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102"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18" w:lineRule="exact"/>
        <w:rPr>
          <w:sz w:val="24"/>
          <w:szCs w:val="24"/>
          <w:color w:val="auto"/>
        </w:rPr>
      </w:pPr>
    </w:p>
    <w:p>
      <w:pPr>
        <w:ind w:left="1680" w:hanging="923"/>
        <w:spacing w:after="0"/>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40"/>
          </w:cols>
          <w:pgMar w:left="320" w:top="233" w:right="339" w:bottom="1440" w:gutter="0" w:footer="0" w:header="0"/>
        </w:sectPr>
      </w:pPr>
    </w:p>
    <w:p>
      <w:pPr>
        <w:spacing w:after="0" w:line="158" w:lineRule="exact"/>
        <w:rPr>
          <w:sz w:val="24"/>
          <w:szCs w:val="24"/>
          <w:color w:val="auto"/>
        </w:rPr>
      </w:pPr>
    </w:p>
    <w:p>
      <w:pPr>
        <w:jc w:val="center"/>
        <w:ind w:right="-19"/>
        <w:spacing w:after="0"/>
        <w:tabs>
          <w:tab w:leader="none" w:pos="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52070</wp:posOffset>
            </wp:positionV>
            <wp:extent cx="150876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6020" w:type="dxa"/>
            <w:vAlign w:val="bottom"/>
          </w:tcPr>
          <w:p>
            <w:pPr>
              <w:jc w:val="center"/>
              <w:ind w:right="1292"/>
              <w:spacing w:after="0"/>
              <w:rPr>
                <w:sz w:val="20"/>
                <w:szCs w:val="20"/>
                <w:color w:val="auto"/>
              </w:rPr>
            </w:pPr>
            <w:r>
              <w:rPr>
                <w:rFonts w:ascii="Arial" w:cs="Arial" w:eastAsia="Arial" w:hAnsi="Arial"/>
                <w:sz w:val="18"/>
                <w:szCs w:val="18"/>
                <w:b w:val="1"/>
                <w:bCs w:val="1"/>
                <w:color w:val="auto"/>
              </w:rPr>
              <w:t>Delaware</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75-1618004</w:t>
            </w:r>
          </w:p>
        </w:tc>
      </w:tr>
      <w:tr>
        <w:trPr>
          <w:trHeight w:val="230"/>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9"/>
              </w:rPr>
              <w:t>(I.R.S. Employer Identification No.)</w:t>
            </w:r>
          </w:p>
        </w:tc>
      </w:tr>
      <w:tr>
        <w:trPr>
          <w:trHeight w:val="230"/>
        </w:trPr>
        <w:tc>
          <w:tcPr>
            <w:tcW w:w="6020" w:type="dxa"/>
            <w:vAlign w:val="bottom"/>
          </w:tcPr>
          <w:p>
            <w:pPr>
              <w:jc w:val="center"/>
              <w:ind w:right="1292"/>
              <w:spacing w:after="0"/>
              <w:rPr>
                <w:sz w:val="20"/>
                <w:szCs w:val="20"/>
                <w:color w:val="auto"/>
              </w:rPr>
            </w:pPr>
            <w:r>
              <w:rPr>
                <w:rFonts w:ascii="Arial" w:cs="Arial" w:eastAsia="Arial" w:hAnsi="Arial"/>
                <w:sz w:val="16"/>
                <w:szCs w:val="16"/>
                <w:b w:val="1"/>
                <w:bCs w:val="1"/>
                <w:color w:val="auto"/>
              </w:rPr>
              <w:t>8000 S. Federal Way, Boise, Idaho</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83716-9632</w:t>
            </w:r>
          </w:p>
        </w:tc>
      </w:tr>
      <w:tr>
        <w:trPr>
          <w:trHeight w:val="230"/>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(Address of principal executive offices)</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8"/>
              </w:rPr>
              <w:t>(Zip Code)</w:t>
            </w:r>
          </w:p>
        </w:tc>
      </w:tr>
      <w:tr>
        <w:trPr>
          <w:trHeight w:val="239"/>
        </w:trPr>
        <w:tc>
          <w:tcPr>
            <w:tcW w:w="6020" w:type="dxa"/>
            <w:vAlign w:val="bottom"/>
          </w:tcPr>
          <w:p>
            <w:pPr>
              <w:jc w:val="center"/>
              <w:ind w:right="1312"/>
              <w:spacing w:after="0"/>
              <w:rPr>
                <w:sz w:val="20"/>
                <w:szCs w:val="20"/>
                <w:color w:val="auto"/>
              </w:rPr>
            </w:pPr>
            <w:r>
              <w:rPr>
                <w:rFonts w:ascii="Arial" w:cs="Arial" w:eastAsia="Arial" w:hAnsi="Arial"/>
                <w:sz w:val="18"/>
                <w:szCs w:val="18"/>
                <w:color w:val="auto"/>
                <w:w w:val="99"/>
              </w:rPr>
              <w:t>(Registrant’s telephone number, including area code)</w:t>
            </w:r>
          </w:p>
        </w:tc>
        <w:tc>
          <w:tcPr>
            <w:tcW w:w="4140" w:type="dxa"/>
            <w:vAlign w:val="bottom"/>
          </w:tcPr>
          <w:p>
            <w:pPr>
              <w:jc w:val="center"/>
              <w:ind w:left="1292"/>
              <w:spacing w:after="0"/>
              <w:rPr>
                <w:sz w:val="20"/>
                <w:szCs w:val="20"/>
                <w:color w:val="auto"/>
              </w:rPr>
            </w:pPr>
            <w:r>
              <w:rPr>
                <w:rFonts w:ascii="Arial" w:cs="Arial" w:eastAsia="Arial" w:hAnsi="Arial"/>
                <w:sz w:val="16"/>
                <w:szCs w:val="16"/>
                <w:b w:val="1"/>
                <w:bCs w:val="1"/>
                <w:color w:val="auto"/>
              </w:rPr>
              <w:t>(208) 368-4000</w:t>
            </w:r>
          </w:p>
        </w:tc>
      </w:tr>
    </w:tbl>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25"/>
        </w:trPr>
        <w:tc>
          <w:tcPr>
            <w:tcW w:w="4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Title of each class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Trading Symbol</w:t>
            </w:r>
          </w:p>
        </w:tc>
        <w:tc>
          <w:tcPr>
            <w:tcW w:w="4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2"/>
        </w:trPr>
        <w:tc>
          <w:tcPr>
            <w:tcW w:w="482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Common Stock, par value $0.10 per share</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3860" w:type="dxa"/>
            <w:vAlign w:val="bottom"/>
            <w:tcBorders>
              <w:top w:val="single" w:sz="8" w:color="auto"/>
            </w:tcBorders>
            <w:gridSpan w:val="2"/>
          </w:tcPr>
          <w:p>
            <w:pPr>
              <w:jc w:val="center"/>
              <w:ind w:left="670"/>
              <w:spacing w:after="0"/>
              <w:rPr>
                <w:sz w:val="20"/>
                <w:szCs w:val="20"/>
                <w:color w:val="auto"/>
              </w:rPr>
            </w:pPr>
            <w:r>
              <w:rPr>
                <w:rFonts w:ascii="Arial" w:cs="Arial" w:eastAsia="Arial" w:hAnsi="Arial"/>
                <w:sz w:val="18"/>
                <w:szCs w:val="18"/>
                <w:color w:val="auto"/>
                <w:w w:val="99"/>
              </w:rPr>
              <w:t>Nasdaq Global Select Market</w:t>
            </w: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9520" w:type="dxa"/>
            <w:vAlign w:val="bottom"/>
            <w:gridSpan w:val="5"/>
          </w:tcPr>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8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4"/>
        </w:trPr>
        <w:tc>
          <w:tcPr>
            <w:tcW w:w="9520" w:type="dxa"/>
            <w:vAlign w:val="bottom"/>
            <w:gridSpan w:val="5"/>
          </w:tcPr>
          <w:p>
            <w:pPr>
              <w:spacing w:after="0" w:line="183" w:lineRule="exact"/>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520" w:type="dxa"/>
            <w:vAlign w:val="bottom"/>
            <w:gridSpan w:val="5"/>
          </w:tcPr>
          <w:p>
            <w:pPr>
              <w:spacing w:after="0"/>
              <w:rPr>
                <w:sz w:val="20"/>
                <w:szCs w:val="20"/>
                <w:color w:val="auto"/>
              </w:rPr>
            </w:pPr>
            <w:r>
              <w:rPr>
                <w:rFonts w:ascii="Arial" w:cs="Arial" w:eastAsia="Arial" w:hAnsi="Arial"/>
                <w:sz w:val="18"/>
                <w:szCs w:val="18"/>
                <w:color w:val="auto"/>
              </w:rPr>
              <w:t>required to file such reports), and (2) has been subject to such filing requirements for the past 90 days.</w:t>
            </w:r>
          </w:p>
        </w:tc>
        <w:tc>
          <w:tcPr>
            <w:tcW w:w="880" w:type="dxa"/>
            <w:vAlign w:val="bottom"/>
            <w:vMerge w:val="restart"/>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1"/>
        </w:trPr>
        <w:tc>
          <w:tcPr>
            <w:tcW w:w="9520" w:type="dxa"/>
            <w:vAlign w:val="bottom"/>
            <w:gridSpan w:val="5"/>
          </w:tcPr>
          <w:p>
            <w:pPr>
              <w:spacing w:after="0" w:line="181"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w:t>
            </w:r>
          </w:p>
        </w:tc>
        <w:tc>
          <w:tcPr>
            <w:tcW w:w="8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520" w:type="dxa"/>
            <w:vAlign w:val="bottom"/>
            <w:gridSpan w:val="5"/>
          </w:tcPr>
          <w:p>
            <w:pPr>
              <w:spacing w:after="0" w:line="201" w:lineRule="exact"/>
              <w:rPr>
                <w:sz w:val="20"/>
                <w:szCs w:val="20"/>
                <w:color w:val="auto"/>
              </w:rPr>
            </w:pPr>
            <w:r>
              <w:rPr>
                <w:rFonts w:ascii="Arial" w:cs="Arial" w:eastAsia="Arial" w:hAnsi="Arial"/>
                <w:sz w:val="18"/>
                <w:szCs w:val="18"/>
                <w:color w:val="auto"/>
              </w:rPr>
              <w:t>submitted pursuant to Rule 405 of Regulation S-T (§232.405 of this chapter) during the preceding 12 months (or for</w:t>
            </w: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8"/>
          <w:szCs w:val="18"/>
          <w:color w:val="auto"/>
        </w:rPr>
        <w:t>such shorter period that the registrant was required to submit such files).</w:t>
      </w:r>
    </w:p>
    <w:p>
      <w:pPr>
        <w:spacing w:after="0" w:line="14" w:lineRule="exact"/>
        <w:rPr>
          <w:sz w:val="24"/>
          <w:szCs w:val="24"/>
          <w:color w:val="auto"/>
        </w:rPr>
      </w:pPr>
    </w:p>
    <w:p>
      <w:pPr>
        <w:ind w:left="40" w:right="300"/>
        <w:spacing w:after="0" w:line="22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w:t>
      </w:r>
    </w:p>
    <w:p>
      <w:pPr>
        <w:ind w:left="40"/>
        <w:spacing w:after="0"/>
        <w:rPr>
          <w:sz w:val="20"/>
          <w:szCs w:val="20"/>
          <w:color w:val="auto"/>
        </w:rPr>
      </w:pPr>
      <w:r>
        <w:rPr>
          <w:rFonts w:ascii="Arial" w:cs="Arial" w:eastAsia="Arial" w:hAnsi="Arial"/>
          <w:sz w:val="18"/>
          <w:szCs w:val="18"/>
          <w:color w:val="auto"/>
        </w:rPr>
        <w:t>and “emerging growth company” in Rule 12b-2 of the Exchange Act.</w:t>
      </w:r>
    </w:p>
    <w:p>
      <w:pPr>
        <w:spacing w:after="0" w:line="8"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2340" w:type="dxa"/>
            <w:vAlign w:val="bottom"/>
          </w:tcPr>
          <w:p>
            <w:pPr>
              <w:jc w:val="center"/>
              <w:ind w:right="32"/>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20" w:type="dxa"/>
            <w:vAlign w:val="bottom"/>
          </w:tcPr>
          <w:p>
            <w:pPr>
              <w:jc w:val="center"/>
              <w:ind w:left="115"/>
              <w:spacing w:after="0"/>
              <w:rPr>
                <w:sz w:val="20"/>
                <w:szCs w:val="20"/>
                <w:color w:val="auto"/>
              </w:rPr>
            </w:pPr>
            <w:r>
              <w:rPr>
                <w:rFonts w:ascii="Arial" w:cs="Arial" w:eastAsia="Arial" w:hAnsi="Arial"/>
                <w:sz w:val="16"/>
                <w:szCs w:val="16"/>
                <w:color w:val="auto"/>
              </w:rPr>
              <w:t>Non-Accelerated Filer</w:t>
            </w:r>
          </w:p>
        </w:tc>
        <w:tc>
          <w:tcPr>
            <w:tcW w:w="24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258"/>
        </w:trPr>
        <w:tc>
          <w:tcPr>
            <w:tcW w:w="2340" w:type="dxa"/>
            <w:vAlign w:val="bottom"/>
          </w:tcPr>
          <w:p>
            <w:pPr>
              <w:jc w:val="center"/>
              <w:ind w:right="52"/>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ind w:left="135"/>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jc w:val="center"/>
              <w:ind w:left="673"/>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jc w:val="right"/>
              <w:ind w:right="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1"/>
        </w:trPr>
        <w:tc>
          <w:tcPr>
            <w:tcW w:w="10400" w:type="dxa"/>
            <w:vAlign w:val="bottom"/>
            <w:gridSpan w:val="5"/>
          </w:tcPr>
          <w:p>
            <w:pPr>
              <w:spacing w:after="0" w:line="181"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400" w:type="dxa"/>
            <w:vAlign w:val="bottom"/>
            <w:gridSpan w:val="5"/>
          </w:tcPr>
          <w:p>
            <w:pPr>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4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1360" w:type="dxa"/>
            <w:vAlign w:val="bottom"/>
          </w:tcPr>
          <w:p>
            <w:pPr>
              <w:ind w:left="6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tcPr>
          <w:p>
            <w:pPr>
              <w:jc w:val="right"/>
              <w:ind w:right="1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March 23, 2023 was 1,094,394,354.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8560" w:type="dxa"/>
            <w:vAlign w:val="bottom"/>
            <w:shd w:val="clear" w:color="auto" w:fill="D1D2D4"/>
          </w:tcPr>
          <w:p>
            <w:pPr>
              <w:spacing w:after="0"/>
              <w:rPr>
                <w:sz w:val="19"/>
                <w:szCs w:val="19"/>
                <w:color w:val="auto"/>
              </w:rPr>
            </w:pP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62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620" w:type="dxa"/>
            <w:vAlign w:val="bottom"/>
          </w:tcPr>
          <w:p>
            <w:pPr>
              <w:spacing w:after="0"/>
              <w:rPr>
                <w:sz w:val="19"/>
                <w:szCs w:val="19"/>
                <w:color w:val="auto"/>
              </w:rPr>
            </w:pPr>
          </w:p>
        </w:tc>
      </w:tr>
      <w:tr>
        <w:trPr>
          <w:trHeight w:val="230"/>
        </w:trPr>
        <w:tc>
          <w:tcPr>
            <w:tcW w:w="10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shd w:val="clear" w:color="auto" w:fill="D1D2D4"/>
          </w:tcPr>
          <w:p>
            <w:pPr>
              <w:ind w:left="80"/>
              <w:spacing w:after="0"/>
              <w:rPr>
                <w:sz w:val="20"/>
                <w:szCs w:val="20"/>
                <w:color w:val="auto"/>
              </w:rPr>
            </w:pPr>
            <w:r>
              <w:rPr>
                <w:rFonts w:ascii="Arial" w:cs="Arial" w:eastAsia="Arial" w:hAnsi="Arial"/>
                <w:sz w:val="18"/>
                <w:szCs w:val="18"/>
                <w:color w:val="auto"/>
              </w:rPr>
              <w:t>Financial Statements:</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06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Consolidated Statements of Operations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060" w:type="dxa"/>
            <w:vAlign w:val="bottom"/>
            <w:shd w:val="clear" w:color="auto" w:fill="D1D2D4"/>
          </w:tcPr>
          <w:p>
            <w:pPr>
              <w:spacing w:after="0"/>
              <w:rPr>
                <w:sz w:val="19"/>
                <w:szCs w:val="19"/>
                <w:color w:val="auto"/>
              </w:rPr>
            </w:pPr>
          </w:p>
        </w:tc>
        <w:tc>
          <w:tcPr>
            <w:tcW w:w="8560" w:type="dxa"/>
            <w:vAlign w:val="bottom"/>
            <w:shd w:val="clear" w:color="auto" w:fill="D1D2D4"/>
          </w:tcPr>
          <w:p>
            <w:pPr>
              <w:ind w:left="200"/>
              <w:spacing w:after="0"/>
              <w:rPr>
                <w:sz w:val="20"/>
                <w:szCs w:val="20"/>
                <w:color w:val="auto"/>
              </w:rPr>
            </w:pPr>
            <w:r>
              <w:rPr>
                <w:rFonts w:ascii="Arial" w:cs="Arial" w:eastAsia="Arial" w:hAnsi="Arial"/>
                <w:sz w:val="18"/>
                <w:szCs w:val="18"/>
                <w:color w:val="auto"/>
              </w:rPr>
              <w:t>Consolidated Statements of Comprehensive Income (Loss)</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6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Consolidated Balance Sheets</w:t>
            </w: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1060" w:type="dxa"/>
            <w:vAlign w:val="bottom"/>
            <w:shd w:val="clear" w:color="auto" w:fill="D1D2D4"/>
          </w:tcPr>
          <w:p>
            <w:pPr>
              <w:spacing w:after="0"/>
              <w:rPr>
                <w:sz w:val="19"/>
                <w:szCs w:val="19"/>
                <w:color w:val="auto"/>
              </w:rPr>
            </w:pPr>
          </w:p>
        </w:tc>
        <w:tc>
          <w:tcPr>
            <w:tcW w:w="8560" w:type="dxa"/>
            <w:vAlign w:val="bottom"/>
            <w:shd w:val="clear" w:color="auto" w:fill="D1D2D4"/>
          </w:tcPr>
          <w:p>
            <w:pPr>
              <w:ind w:left="200"/>
              <w:spacing w:after="0"/>
              <w:rPr>
                <w:sz w:val="20"/>
                <w:szCs w:val="20"/>
                <w:color w:val="auto"/>
              </w:rPr>
            </w:pPr>
            <w:r>
              <w:rPr>
                <w:rFonts w:ascii="Arial" w:cs="Arial" w:eastAsia="Arial" w:hAnsi="Arial"/>
                <w:sz w:val="18"/>
                <w:szCs w:val="18"/>
                <w:color w:val="auto"/>
              </w:rPr>
              <w:t>Consolidated Statements of Changes in Equity</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106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Consolidated Statements of Cash Flows</w:t>
            </w: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60" w:type="dxa"/>
            <w:vAlign w:val="bottom"/>
            <w:shd w:val="clear" w:color="auto" w:fill="D1D2D4"/>
          </w:tcPr>
          <w:p>
            <w:pPr>
              <w:spacing w:after="0"/>
              <w:rPr>
                <w:sz w:val="19"/>
                <w:szCs w:val="19"/>
                <w:color w:val="auto"/>
              </w:rPr>
            </w:pPr>
          </w:p>
        </w:tc>
        <w:tc>
          <w:tcPr>
            <w:tcW w:w="8560" w:type="dxa"/>
            <w:vAlign w:val="bottom"/>
            <w:shd w:val="clear" w:color="auto" w:fill="D1D2D4"/>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106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60" w:type="dxa"/>
            <w:vAlign w:val="bottom"/>
            <w:shd w:val="clear" w:color="auto" w:fill="D1D2D4"/>
          </w:tcPr>
          <w:p>
            <w:pPr>
              <w:spacing w:after="0"/>
              <w:rPr>
                <w:sz w:val="19"/>
                <w:szCs w:val="19"/>
                <w:color w:val="auto"/>
              </w:rPr>
            </w:pPr>
          </w:p>
        </w:tc>
        <w:tc>
          <w:tcPr>
            <w:tcW w:w="8560" w:type="dxa"/>
            <w:vAlign w:val="bottom"/>
            <w:shd w:val="clear" w:color="auto" w:fill="D1D2D4"/>
          </w:tcPr>
          <w:p>
            <w:pPr>
              <w:ind w:left="200"/>
              <w:spacing w:after="0"/>
              <w:rPr>
                <w:sz w:val="20"/>
                <w:szCs w:val="20"/>
                <w:color w:val="auto"/>
              </w:rPr>
            </w:pPr>
            <w:r>
              <w:rPr>
                <w:rFonts w:ascii="Arial" w:cs="Arial" w:eastAsia="Arial" w:hAnsi="Arial"/>
                <w:sz w:val="18"/>
                <w:szCs w:val="18"/>
                <w:color w:val="auto"/>
              </w:rPr>
              <w:t>Results of Operations</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106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Liquidity and Capital Resources</w:t>
            </w: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10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3.</w:t>
            </w:r>
          </w:p>
        </w:tc>
        <w:tc>
          <w:tcPr>
            <w:tcW w:w="8560" w:type="dxa"/>
            <w:vAlign w:val="bottom"/>
            <w:shd w:val="clear" w:color="auto" w:fill="D1D2D4"/>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60" w:type="dxa"/>
            <w:vAlign w:val="bottom"/>
          </w:tcPr>
          <w:p>
            <w:pPr>
              <w:ind w:left="140"/>
              <w:spacing w:after="0"/>
              <w:rPr>
                <w:sz w:val="20"/>
                <w:szCs w:val="20"/>
                <w:color w:val="auto"/>
              </w:rPr>
            </w:pPr>
            <w:r>
              <w:rPr>
                <w:rFonts w:ascii="Arial" w:cs="Arial" w:eastAsia="Arial" w:hAnsi="Arial"/>
                <w:sz w:val="18"/>
                <w:szCs w:val="18"/>
                <w:color w:val="auto"/>
              </w:rPr>
              <w:t>Item 4.</w:t>
            </w:r>
          </w:p>
        </w:tc>
        <w:tc>
          <w:tcPr>
            <w:tcW w:w="856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962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620" w:type="dxa"/>
            <w:vAlign w:val="bottom"/>
            <w:shd w:val="clear" w:color="auto" w:fill="D1D2D4"/>
          </w:tcPr>
          <w:p>
            <w:pPr>
              <w:spacing w:after="0"/>
              <w:rPr>
                <w:sz w:val="19"/>
                <w:szCs w:val="19"/>
                <w:color w:val="auto"/>
              </w:rPr>
            </w:pPr>
          </w:p>
        </w:tc>
      </w:tr>
      <w:tr>
        <w:trPr>
          <w:trHeight w:val="230"/>
        </w:trPr>
        <w:tc>
          <w:tcPr>
            <w:tcW w:w="1060" w:type="dxa"/>
            <w:vAlign w:val="bottom"/>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10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1A.</w:t>
            </w:r>
          </w:p>
        </w:tc>
        <w:tc>
          <w:tcPr>
            <w:tcW w:w="8560" w:type="dxa"/>
            <w:vAlign w:val="bottom"/>
            <w:shd w:val="clear" w:color="auto" w:fill="D1D2D4"/>
          </w:tcPr>
          <w:p>
            <w:pPr>
              <w:ind w:left="80"/>
              <w:spacing w:after="0"/>
              <w:rPr>
                <w:sz w:val="20"/>
                <w:szCs w:val="20"/>
                <w:color w:val="auto"/>
              </w:rPr>
            </w:pPr>
            <w:r>
              <w:rPr>
                <w:rFonts w:ascii="Arial" w:cs="Arial" w:eastAsia="Arial" w:hAnsi="Arial"/>
                <w:sz w:val="18"/>
                <w:szCs w:val="18"/>
                <w:color w:val="auto"/>
              </w:rPr>
              <w:t>Risk Factors</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106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1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0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5.</w:t>
            </w:r>
          </w:p>
        </w:tc>
        <w:tc>
          <w:tcPr>
            <w:tcW w:w="8560" w:type="dxa"/>
            <w:vAlign w:val="bottom"/>
            <w:shd w:val="clear" w:color="auto" w:fill="D1D2D4"/>
          </w:tcPr>
          <w:p>
            <w:pPr>
              <w:ind w:left="80"/>
              <w:spacing w:after="0"/>
              <w:rPr>
                <w:sz w:val="20"/>
                <w:szCs w:val="20"/>
                <w:color w:val="auto"/>
              </w:rPr>
            </w:pPr>
            <w:r>
              <w:rPr>
                <w:rFonts w:ascii="Arial" w:cs="Arial" w:eastAsia="Arial" w:hAnsi="Arial"/>
                <w:sz w:val="18"/>
                <w:szCs w:val="18"/>
                <w:color w:val="auto"/>
              </w:rPr>
              <w:t>Other Information</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1060" w:type="dxa"/>
            <w:vAlign w:val="bottom"/>
          </w:tcPr>
          <w:p>
            <w:pPr>
              <w:ind w:left="140"/>
              <w:spacing w:after="0"/>
              <w:rPr>
                <w:sz w:val="20"/>
                <w:szCs w:val="20"/>
                <w:color w:val="auto"/>
              </w:rPr>
            </w:pPr>
            <w:r>
              <w:rPr>
                <w:rFonts w:ascii="Arial" w:cs="Arial" w:eastAsia="Arial" w:hAnsi="Arial"/>
                <w:sz w:val="18"/>
                <w:szCs w:val="18"/>
                <w:color w:val="auto"/>
              </w:rPr>
              <w:t>Item 6.</w:t>
            </w:r>
          </w:p>
        </w:tc>
        <w:tc>
          <w:tcPr>
            <w:tcW w:w="8560" w:type="dxa"/>
            <w:vAlign w:val="bottom"/>
          </w:tcPr>
          <w:p>
            <w:pPr>
              <w:ind w:left="80"/>
              <w:spacing w:after="0"/>
              <w:rPr>
                <w:sz w:val="20"/>
                <w:szCs w:val="20"/>
                <w:color w:val="auto"/>
              </w:rPr>
            </w:pPr>
            <w:r>
              <w:rPr>
                <w:rFonts w:ascii="Arial" w:cs="Arial" w:eastAsia="Arial" w:hAnsi="Arial"/>
                <w:sz w:val="18"/>
                <w:szCs w:val="18"/>
                <w:color w:val="auto"/>
              </w:rPr>
              <w:t>Exhibits</w:t>
            </w:r>
          </w:p>
        </w:tc>
        <w:tc>
          <w:tcPr>
            <w:tcW w:w="1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1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Signatures</w:t>
            </w:r>
          </w:p>
        </w:tc>
        <w:tc>
          <w:tcPr>
            <w:tcW w:w="8560" w:type="dxa"/>
            <w:vAlign w:val="bottom"/>
            <w:shd w:val="clear" w:color="auto" w:fill="D1D2D4"/>
          </w:tcPr>
          <w:p>
            <w:pPr>
              <w:spacing w:after="0"/>
              <w:rPr>
                <w:sz w:val="19"/>
                <w:szCs w:val="19"/>
                <w:color w:val="auto"/>
              </w:rPr>
            </w:pP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5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tbl>
      <w:tblPr>
        <w:tblLayout w:type="fixed"/>
        <w:tblInd w:w="0" w:type="dxa"/>
        <w:tblCellMar>
          <w:top w:w="0" w:type="dxa"/>
          <w:left w:w="0" w:type="dxa"/>
          <w:bottom w:w="0" w:type="dxa"/>
          <w:right w:w="0" w:type="dxa"/>
        </w:tblCellMar>
      </w:tblPr>
      <w:tr>
        <w:trPr>
          <w:trHeight w:val="235"/>
        </w:trPr>
        <w:tc>
          <w:tcPr>
            <w:tcW w:w="460" w:type="dxa"/>
            <w:vAlign w:val="bottom"/>
          </w:tcPr>
          <w:p>
            <w:pPr>
              <w:ind w:left="20"/>
              <w:spacing w:after="0"/>
              <w:rPr>
                <w:sz w:val="20"/>
                <w:szCs w:val="20"/>
                <w:color w:val="auto"/>
              </w:rPr>
            </w:pPr>
            <w:r>
              <w:rPr>
                <w:rFonts w:ascii="Arial" w:cs="Arial" w:eastAsia="Arial" w:hAnsi="Arial"/>
                <w:sz w:val="18"/>
                <w:szCs w:val="18"/>
                <w:b w:val="1"/>
                <w:bCs w:val="1"/>
                <w:color w:val="auto"/>
                <w:w w:val="95"/>
              </w:rPr>
              <w:t>Term</w:t>
            </w: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b w:val="1"/>
                <w:bCs w:val="1"/>
                <w:color w:val="auto"/>
              </w:rPr>
              <w:t>Definition</w:t>
            </w:r>
          </w:p>
        </w:tc>
        <w:tc>
          <w:tcPr>
            <w:tcW w:w="156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4060" w:type="dxa"/>
            <w:vAlign w:val="bottom"/>
          </w:tcPr>
          <w:p>
            <w:pPr>
              <w:ind w:left="24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0090DA"/>
            </w:tcBorders>
          </w:tcPr>
          <w:p>
            <w:pPr>
              <w:spacing w:after="0"/>
              <w:rPr>
                <w:sz w:val="2"/>
                <w:szCs w:val="2"/>
                <w:color w:val="auto"/>
              </w:rPr>
            </w:pPr>
          </w:p>
        </w:tc>
        <w:tc>
          <w:tcPr>
            <w:tcW w:w="120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308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top w:val="single" w:sz="8" w:color="0090DA"/>
            </w:tcBorders>
          </w:tcPr>
          <w:p>
            <w:pPr>
              <w:spacing w:after="0"/>
              <w:rPr>
                <w:sz w:val="2"/>
                <w:szCs w:val="2"/>
                <w:color w:val="auto"/>
              </w:rPr>
            </w:pPr>
          </w:p>
        </w:tc>
        <w:tc>
          <w:tcPr>
            <w:tcW w:w="4060" w:type="dxa"/>
            <w:vAlign w:val="bottom"/>
            <w:tcBorders>
              <w:top w:val="single" w:sz="8" w:color="0090DA"/>
            </w:tcBorders>
          </w:tcPr>
          <w:p>
            <w:pPr>
              <w:spacing w:after="0"/>
              <w:rPr>
                <w:sz w:val="2"/>
                <w:szCs w:val="2"/>
                <w:color w:val="auto"/>
              </w:rPr>
            </w:pPr>
          </w:p>
        </w:tc>
      </w:tr>
      <w:tr>
        <w:trPr>
          <w:trHeight w:val="175"/>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2023</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2.497%</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April 2023, repaid</w:t>
            </w:r>
          </w:p>
        </w:tc>
        <w:tc>
          <w:tcPr>
            <w:tcW w:w="156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DDR</w:t>
            </w:r>
          </w:p>
        </w:tc>
        <w:tc>
          <w:tcPr>
            <w:tcW w:w="406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Double data rate DRAM</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November 2021</w:t>
            </w: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spacing w:after="0"/>
              <w:rPr>
                <w:sz w:val="21"/>
                <w:szCs w:val="21"/>
                <w:color w:val="auto"/>
              </w:rPr>
            </w:pP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2024</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4.640%</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2024,</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EBITDA</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Earnings before interest, taxes, depreciation,</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repaid November 2021</w:t>
            </w:r>
          </w:p>
        </w:tc>
        <w:tc>
          <w:tcPr>
            <w:tcW w:w="1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and amortization</w:t>
            </w:r>
          </w:p>
        </w:tc>
      </w:tr>
      <w:tr>
        <w:trPr>
          <w:trHeight w:val="232"/>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Senior Term Loan A due October 2024</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ESG</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Environmental, social, and governance</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2025</w:t>
            </w:r>
          </w:p>
        </w:tc>
        <w:tc>
          <w:tcPr>
            <w:tcW w:w="12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Senior Term Loan A due November 2025</w:t>
            </w:r>
          </w:p>
        </w:tc>
        <w:tc>
          <w:tcPr>
            <w:tcW w:w="1560" w:type="dxa"/>
            <w:vAlign w:val="bottom"/>
          </w:tcPr>
          <w:p>
            <w:pPr>
              <w:spacing w:after="0"/>
              <w:rPr>
                <w:sz w:val="20"/>
                <w:szCs w:val="20"/>
                <w:color w:val="auto"/>
              </w:rPr>
            </w:pPr>
            <w:r>
              <w:rPr>
                <w:rFonts w:ascii="Arial" w:cs="Arial" w:eastAsia="Arial" w:hAnsi="Arial"/>
                <w:sz w:val="18"/>
                <w:szCs w:val="18"/>
                <w:color w:val="auto"/>
              </w:rPr>
              <w:t>EUV</w:t>
            </w:r>
          </w:p>
        </w:tc>
        <w:tc>
          <w:tcPr>
            <w:tcW w:w="4060" w:type="dxa"/>
            <w:vAlign w:val="bottom"/>
          </w:tcPr>
          <w:p>
            <w:pPr>
              <w:ind w:left="240"/>
              <w:spacing w:after="0"/>
              <w:rPr>
                <w:sz w:val="20"/>
                <w:szCs w:val="20"/>
                <w:color w:val="auto"/>
              </w:rPr>
            </w:pPr>
            <w:r>
              <w:rPr>
                <w:rFonts w:ascii="Arial" w:cs="Arial" w:eastAsia="Arial" w:hAnsi="Arial"/>
                <w:sz w:val="18"/>
                <w:szCs w:val="18"/>
                <w:color w:val="auto"/>
              </w:rPr>
              <w:t>Extreme ultraviolet lithography</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Senior Term Loan A due November 2026</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GDDR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Graphics double data rate</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2027</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Senior Term Loan A due November 2027</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HBM</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High-bandwidth memory, a stacked DRAM</w:t>
            </w:r>
          </w:p>
        </w:tc>
      </w:tr>
      <w:tr>
        <w:trPr>
          <w:trHeight w:val="175"/>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technology optimized for memory-bandwidth</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intensive applications</w:t>
            </w:r>
          </w:p>
        </w:tc>
      </w:tr>
      <w:tr>
        <w:trPr>
          <w:trHeight w:val="232"/>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2026</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Inotera</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Inotera Memories, Inc.</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2027</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2027</w:t>
            </w:r>
          </w:p>
        </w:tc>
        <w:tc>
          <w:tcPr>
            <w:tcW w:w="1560" w:type="dxa"/>
            <w:vAlign w:val="bottom"/>
          </w:tcPr>
          <w:p>
            <w:pPr>
              <w:spacing w:after="0"/>
              <w:rPr>
                <w:sz w:val="20"/>
                <w:szCs w:val="20"/>
                <w:color w:val="auto"/>
              </w:rPr>
            </w:pPr>
            <w:r>
              <w:rPr>
                <w:rFonts w:ascii="Arial" w:cs="Arial" w:eastAsia="Arial" w:hAnsi="Arial"/>
                <w:sz w:val="18"/>
                <w:szCs w:val="18"/>
                <w:color w:val="auto"/>
              </w:rPr>
              <w:t>LIBOR</w:t>
            </w:r>
          </w:p>
        </w:tc>
        <w:tc>
          <w:tcPr>
            <w:tcW w:w="4060" w:type="dxa"/>
            <w:vAlign w:val="bottom"/>
          </w:tcPr>
          <w:p>
            <w:pPr>
              <w:ind w:left="24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2029 A Notes</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5.327% Senior Notes due February 2029</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LPDRAM</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Low-power DRAM</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2029</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B 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6.750%</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November 2029</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MCP</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Multichip packaged solutions with managed</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NAND and LPDRAM</w:t>
            </w:r>
          </w:p>
        </w:tc>
      </w:tr>
      <w:tr>
        <w:trPr>
          <w:trHeight w:val="232"/>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2030</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4.663%</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2030</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Micron</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2032</w:t>
            </w:r>
          </w:p>
        </w:tc>
        <w:tc>
          <w:tcPr>
            <w:tcW w:w="1200" w:type="dxa"/>
            <w:vAlign w:val="bottom"/>
          </w:tcPr>
          <w:p>
            <w:pPr>
              <w:ind w:left="20"/>
              <w:spacing w:after="0"/>
              <w:rPr>
                <w:sz w:val="20"/>
                <w:szCs w:val="20"/>
                <w:color w:val="auto"/>
              </w:rPr>
            </w:pPr>
            <w:r>
              <w:rPr>
                <w:rFonts w:ascii="Arial" w:cs="Arial" w:eastAsia="Arial" w:hAnsi="Arial"/>
                <w:sz w:val="18"/>
                <w:szCs w:val="18"/>
                <w:color w:val="auto"/>
              </w:rPr>
              <w:t>Green Bonds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2.703%</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April 2032</w:t>
            </w:r>
          </w:p>
        </w:tc>
        <w:tc>
          <w:tcPr>
            <w:tcW w:w="1560" w:type="dxa"/>
            <w:vAlign w:val="bottom"/>
          </w:tcPr>
          <w:p>
            <w:pPr>
              <w:spacing w:after="0"/>
              <w:rPr>
                <w:sz w:val="20"/>
                <w:szCs w:val="20"/>
                <w:color w:val="auto"/>
              </w:rPr>
            </w:pPr>
            <w:r>
              <w:rPr>
                <w:rFonts w:ascii="Arial" w:cs="Arial" w:eastAsia="Arial" w:hAnsi="Arial"/>
                <w:sz w:val="18"/>
                <w:szCs w:val="18"/>
                <w:color w:val="auto"/>
              </w:rPr>
              <w:t>Qimonda</w:t>
            </w:r>
          </w:p>
        </w:tc>
        <w:tc>
          <w:tcPr>
            <w:tcW w:w="4060" w:type="dxa"/>
            <w:vAlign w:val="bottom"/>
          </w:tcPr>
          <w:p>
            <w:pPr>
              <w:ind w:left="240"/>
              <w:spacing w:after="0"/>
              <w:rPr>
                <w:sz w:val="20"/>
                <w:szCs w:val="20"/>
                <w:color w:val="auto"/>
              </w:rPr>
            </w:pPr>
            <w:r>
              <w:rPr>
                <w:rFonts w:ascii="Arial" w:cs="Arial" w:eastAsia="Arial" w:hAnsi="Arial"/>
                <w:sz w:val="18"/>
                <w:szCs w:val="18"/>
                <w:color w:val="auto"/>
              </w:rPr>
              <w:t>Qimonda AG</w:t>
            </w:r>
          </w:p>
        </w:tc>
      </w:tr>
      <w:tr>
        <w:trPr>
          <w:trHeight w:val="176"/>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2033</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5.875%</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February 2033</w:t>
            </w:r>
          </w:p>
        </w:tc>
        <w:tc>
          <w:tcPr>
            <w:tcW w:w="156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Revolving Credit</w:t>
            </w:r>
          </w:p>
        </w:tc>
        <w:tc>
          <w:tcPr>
            <w:tcW w:w="406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$2.5 billion Revolving Credit Facility due May</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3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Facility</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2026</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2041</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3.366%</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November 2041</w:t>
            </w:r>
          </w:p>
        </w:tc>
        <w:tc>
          <w:tcPr>
            <w:tcW w:w="1560" w:type="dxa"/>
            <w:vAlign w:val="bottom"/>
          </w:tcPr>
          <w:p>
            <w:pPr>
              <w:spacing w:after="0"/>
              <w:rPr>
                <w:sz w:val="20"/>
                <w:szCs w:val="20"/>
                <w:color w:val="auto"/>
              </w:rPr>
            </w:pPr>
            <w:r>
              <w:rPr>
                <w:rFonts w:ascii="Arial" w:cs="Arial" w:eastAsia="Arial" w:hAnsi="Arial"/>
                <w:sz w:val="18"/>
                <w:szCs w:val="18"/>
                <w:color w:val="auto"/>
              </w:rPr>
              <w:t>SOFR</w:t>
            </w:r>
          </w:p>
        </w:tc>
        <w:tc>
          <w:tcPr>
            <w:tcW w:w="4060" w:type="dxa"/>
            <w:vAlign w:val="bottom"/>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230"/>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2051</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3.477%</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November 2051</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SSD</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Solid state drive</w:t>
            </w:r>
          </w:p>
        </w:tc>
      </w:tr>
    </w:tbl>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0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803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0"/>
          <w:szCs w:val="10"/>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5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5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restructure plans and expected related savings and charges; market conditions and profitability in our industry; potential write-downs of inventories in future quarters; reductions in our wafer starts and the corresponding impact on our costs in 2023; the timing for construction and ramping of production for new memory manufacturing fabs in the United States; the receipt of government grants and investment tax credits; the sufficiency of our cash and investments; capital spending in 2023; funding of sustainability-focused projects; and allocation and dispersal of the net proceeds of our 2032 Green Bonds.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FINANCIAL INFORMATION</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80" w:type="dxa"/>
            <w:vAlign w:val="bottom"/>
          </w:tcPr>
          <w:p>
            <w:pPr>
              <w:spacing w:after="0"/>
              <w:rPr>
                <w:sz w:val="15"/>
                <w:szCs w:val="15"/>
                <w:color w:val="auto"/>
              </w:rPr>
            </w:pPr>
          </w:p>
        </w:tc>
        <w:tc>
          <w:tcPr>
            <w:tcW w:w="240" w:type="dxa"/>
            <w:vAlign w:val="bottom"/>
            <w:tcBorders>
              <w:top w:val="single" w:sz="8" w:color="0090DA"/>
            </w:tcBorders>
          </w:tcPr>
          <w:p>
            <w:pPr>
              <w:spacing w:after="0"/>
              <w:rPr>
                <w:sz w:val="15"/>
                <w:szCs w:val="15"/>
                <w:color w:val="auto"/>
              </w:rPr>
            </w:pPr>
          </w:p>
        </w:tc>
        <w:tc>
          <w:tcPr>
            <w:tcW w:w="1180" w:type="dxa"/>
            <w:vAlign w:val="bottom"/>
            <w:tcBorders>
              <w:top w:val="single" w:sz="8" w:color="0090DA"/>
            </w:tcBorders>
          </w:tcPr>
          <w:p>
            <w:pPr>
              <w:jc w:val="right"/>
              <w:ind w:right="250"/>
              <w:spacing w:after="0" w:line="177" w:lineRule="exact"/>
              <w:rPr>
                <w:sz w:val="20"/>
                <w:szCs w:val="20"/>
                <w:color w:val="auto"/>
              </w:rPr>
            </w:pPr>
            <w:r>
              <w:rPr>
                <w:rFonts w:ascii="Arial" w:cs="Arial" w:eastAsia="Arial" w:hAnsi="Arial"/>
                <w:sz w:val="18"/>
                <w:szCs w:val="18"/>
                <w:b w:val="1"/>
                <w:bCs w:val="1"/>
                <w:color w:val="auto"/>
              </w:rPr>
              <w:t>March 2,</w:t>
            </w:r>
          </w:p>
        </w:tc>
        <w:tc>
          <w:tcPr>
            <w:tcW w:w="240" w:type="dxa"/>
            <w:vAlign w:val="bottom"/>
            <w:tcBorders>
              <w:top w:val="single" w:sz="8" w:color="0090DA"/>
            </w:tcBorders>
          </w:tcPr>
          <w:p>
            <w:pPr>
              <w:spacing w:after="0"/>
              <w:rPr>
                <w:sz w:val="15"/>
                <w:szCs w:val="15"/>
                <w:color w:val="auto"/>
              </w:rPr>
            </w:pPr>
          </w:p>
        </w:tc>
        <w:tc>
          <w:tcPr>
            <w:tcW w:w="122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3,</w:t>
            </w:r>
          </w:p>
        </w:tc>
        <w:tc>
          <w:tcPr>
            <w:tcW w:w="100" w:type="dxa"/>
            <w:vAlign w:val="bottom"/>
          </w:tcPr>
          <w:p>
            <w:pPr>
              <w:spacing w:after="0"/>
              <w:rPr>
                <w:sz w:val="15"/>
                <w:szCs w:val="15"/>
                <w:color w:val="auto"/>
              </w:rPr>
            </w:pPr>
          </w:p>
        </w:tc>
        <w:tc>
          <w:tcPr>
            <w:tcW w:w="220" w:type="dxa"/>
            <w:vAlign w:val="bottom"/>
            <w:tcBorders>
              <w:top w:val="single" w:sz="8" w:color="0090DA"/>
            </w:tcBorders>
          </w:tcPr>
          <w:p>
            <w:pPr>
              <w:spacing w:after="0"/>
              <w:rPr>
                <w:sz w:val="15"/>
                <w:szCs w:val="15"/>
                <w:color w:val="auto"/>
              </w:rPr>
            </w:pPr>
          </w:p>
        </w:tc>
        <w:tc>
          <w:tcPr>
            <w:tcW w:w="122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2,</w:t>
            </w:r>
          </w:p>
        </w:tc>
        <w:tc>
          <w:tcPr>
            <w:tcW w:w="240" w:type="dxa"/>
            <w:vAlign w:val="bottom"/>
            <w:tcBorders>
              <w:top w:val="single" w:sz="8" w:color="0090DA"/>
            </w:tcBorders>
          </w:tcPr>
          <w:p>
            <w:pPr>
              <w:spacing w:after="0"/>
              <w:rPr>
                <w:sz w:val="15"/>
                <w:szCs w:val="15"/>
                <w:color w:val="auto"/>
              </w:rPr>
            </w:pPr>
          </w:p>
        </w:tc>
        <w:tc>
          <w:tcPr>
            <w:tcW w:w="120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3,</w:t>
            </w:r>
          </w:p>
        </w:tc>
      </w:tr>
      <w:tr>
        <w:trPr>
          <w:trHeight w:val="235"/>
        </w:trPr>
        <w:tc>
          <w:tcPr>
            <w:tcW w:w="538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3,693</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7,786</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7,778</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15,473</w:t>
            </w:r>
          </w:p>
        </w:tc>
      </w:tr>
      <w:tr>
        <w:trPr>
          <w:trHeight w:val="229"/>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w:t>
            </w:r>
          </w:p>
        </w:tc>
      </w:tr>
      <w:tr>
        <w:trPr>
          <w:trHeight w:val="223"/>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7,241</w:t>
            </w:r>
          </w:p>
        </w:tc>
      </w:tr>
      <w:tr>
        <w:trPr>
          <w:trHeight w:val="257"/>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788</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1,637</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1,504</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(2,303)</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(2,512)</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5,177</w:t>
            </w:r>
          </w:p>
        </w:tc>
      </w:tr>
      <w:tr>
        <w:trPr>
          <w:trHeight w:val="257"/>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5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5,030</w:t>
            </w:r>
          </w:p>
        </w:tc>
      </w:tr>
      <w:tr>
        <w:trPr>
          <w:trHeight w:val="256"/>
        </w:trPr>
        <w:tc>
          <w:tcPr>
            <w:tcW w:w="53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r>
      <w:tr>
        <w:trPr>
          <w:trHeight w:val="20"/>
        </w:trPr>
        <w:tc>
          <w:tcPr>
            <w:tcW w:w="538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53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56"/>
        </w:trPr>
        <w:tc>
          <w:tcPr>
            <w:tcW w:w="53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1,091</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1,091</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r>
      <w:tr>
        <w:trPr>
          <w:trHeight w:val="239"/>
        </w:trPr>
        <w:tc>
          <w:tcPr>
            <w:tcW w:w="5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w:t>
            </w: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803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0"/>
          <w:szCs w:val="10"/>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 (Loss)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6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80" w:type="dxa"/>
            <w:vAlign w:val="bottom"/>
          </w:tcPr>
          <w:p>
            <w:pPr>
              <w:spacing w:after="0"/>
              <w:rPr>
                <w:sz w:val="15"/>
                <w:szCs w:val="15"/>
                <w:color w:val="auto"/>
              </w:rPr>
            </w:pPr>
          </w:p>
        </w:tc>
        <w:tc>
          <w:tcPr>
            <w:tcW w:w="220" w:type="dxa"/>
            <w:vAlign w:val="bottom"/>
            <w:tcBorders>
              <w:top w:val="single" w:sz="8" w:color="0090DA"/>
            </w:tcBorders>
          </w:tcPr>
          <w:p>
            <w:pPr>
              <w:spacing w:after="0"/>
              <w:rPr>
                <w:sz w:val="15"/>
                <w:szCs w:val="15"/>
                <w:color w:val="auto"/>
              </w:rPr>
            </w:pPr>
          </w:p>
        </w:tc>
        <w:tc>
          <w:tcPr>
            <w:tcW w:w="1180" w:type="dxa"/>
            <w:vAlign w:val="bottom"/>
            <w:tcBorders>
              <w:top w:val="single" w:sz="8" w:color="0090DA"/>
            </w:tcBorders>
          </w:tcPr>
          <w:p>
            <w:pPr>
              <w:jc w:val="right"/>
              <w:ind w:right="250"/>
              <w:spacing w:after="0" w:line="177" w:lineRule="exact"/>
              <w:rPr>
                <w:sz w:val="20"/>
                <w:szCs w:val="20"/>
                <w:color w:val="auto"/>
              </w:rPr>
            </w:pPr>
            <w:r>
              <w:rPr>
                <w:rFonts w:ascii="Arial" w:cs="Arial" w:eastAsia="Arial" w:hAnsi="Arial"/>
                <w:sz w:val="18"/>
                <w:szCs w:val="18"/>
                <w:b w:val="1"/>
                <w:bCs w:val="1"/>
                <w:color w:val="auto"/>
              </w:rPr>
              <w:t>March 2,</w:t>
            </w:r>
          </w:p>
        </w:tc>
        <w:tc>
          <w:tcPr>
            <w:tcW w:w="240" w:type="dxa"/>
            <w:vAlign w:val="bottom"/>
            <w:tcBorders>
              <w:top w:val="single" w:sz="8" w:color="0090DA"/>
            </w:tcBorders>
          </w:tcPr>
          <w:p>
            <w:pPr>
              <w:spacing w:after="0"/>
              <w:rPr>
                <w:sz w:val="15"/>
                <w:szCs w:val="15"/>
                <w:color w:val="auto"/>
              </w:rPr>
            </w:pPr>
          </w:p>
        </w:tc>
        <w:tc>
          <w:tcPr>
            <w:tcW w:w="1200" w:type="dxa"/>
            <w:vAlign w:val="bottom"/>
            <w:tcBorders>
              <w:top w:val="single" w:sz="8" w:color="0090DA"/>
            </w:tcBorders>
          </w:tcPr>
          <w:p>
            <w:pPr>
              <w:jc w:val="right"/>
              <w:ind w:right="250"/>
              <w:spacing w:after="0" w:line="177" w:lineRule="exact"/>
              <w:rPr>
                <w:sz w:val="20"/>
                <w:szCs w:val="20"/>
                <w:color w:val="auto"/>
              </w:rPr>
            </w:pPr>
            <w:r>
              <w:rPr>
                <w:rFonts w:ascii="Arial" w:cs="Arial" w:eastAsia="Arial" w:hAnsi="Arial"/>
                <w:sz w:val="18"/>
                <w:szCs w:val="18"/>
                <w:b w:val="1"/>
                <w:bCs w:val="1"/>
                <w:color w:val="auto"/>
              </w:rPr>
              <w:t>March 3,</w:t>
            </w:r>
          </w:p>
        </w:tc>
        <w:tc>
          <w:tcPr>
            <w:tcW w:w="100" w:type="dxa"/>
            <w:vAlign w:val="bottom"/>
          </w:tcPr>
          <w:p>
            <w:pPr>
              <w:spacing w:after="0"/>
              <w:rPr>
                <w:sz w:val="15"/>
                <w:szCs w:val="15"/>
                <w:color w:val="auto"/>
              </w:rPr>
            </w:pPr>
          </w:p>
        </w:tc>
        <w:tc>
          <w:tcPr>
            <w:tcW w:w="240" w:type="dxa"/>
            <w:vAlign w:val="bottom"/>
            <w:tcBorders>
              <w:top w:val="single" w:sz="8" w:color="0090DA"/>
            </w:tcBorders>
          </w:tcPr>
          <w:p>
            <w:pPr>
              <w:spacing w:after="0"/>
              <w:rPr>
                <w:sz w:val="15"/>
                <w:szCs w:val="15"/>
                <w:color w:val="auto"/>
              </w:rPr>
            </w:pPr>
          </w:p>
        </w:tc>
        <w:tc>
          <w:tcPr>
            <w:tcW w:w="120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2,</w:t>
            </w:r>
          </w:p>
        </w:tc>
        <w:tc>
          <w:tcPr>
            <w:tcW w:w="240" w:type="dxa"/>
            <w:vAlign w:val="bottom"/>
            <w:tcBorders>
              <w:top w:val="single" w:sz="8" w:color="0090DA"/>
            </w:tcBorders>
          </w:tcPr>
          <w:p>
            <w:pPr>
              <w:spacing w:after="0"/>
              <w:rPr>
                <w:sz w:val="15"/>
                <w:szCs w:val="15"/>
                <w:color w:val="auto"/>
              </w:rPr>
            </w:pPr>
          </w:p>
        </w:tc>
        <w:tc>
          <w:tcPr>
            <w:tcW w:w="120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3,</w:t>
            </w:r>
          </w:p>
        </w:tc>
      </w:tr>
      <w:tr>
        <w:trPr>
          <w:trHeight w:val="235"/>
        </w:trPr>
        <w:tc>
          <w:tcPr>
            <w:tcW w:w="538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(2,312)</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(2,507)</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4,569</w:t>
            </w:r>
          </w:p>
        </w:tc>
      </w:tr>
      <w:tr>
        <w:trPr>
          <w:trHeight w:val="257"/>
        </w:trPr>
        <w:tc>
          <w:tcPr>
            <w:tcW w:w="5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Gains (losses) on investments</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Pension liability adjustments</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38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D1D2D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8"/>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(2,212)</w:t>
            </w:r>
          </w:p>
        </w:tc>
        <w:tc>
          <w:tcPr>
            <w:tcW w:w="2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(2,320)</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4,429</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0090DA"/>
            </w:tcBorders>
          </w:tcPr>
          <w:p>
            <w:pPr>
              <w:spacing w:after="0"/>
              <w:rPr>
                <w:sz w:val="20"/>
                <w:szCs w:val="20"/>
                <w:color w:val="auto"/>
              </w:rPr>
            </w:pPr>
          </w:p>
        </w:tc>
        <w:tc>
          <w:tcPr>
            <w:tcW w:w="6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9,798</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8,129</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21,898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21,781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39,085</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66,520</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4,310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5,255</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12,037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832</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6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D1D2D4"/>
          </w:tcPr>
          <w:p>
            <w:pPr>
              <w:ind w:left="220"/>
              <w:spacing w:after="0" w:line="183" w:lineRule="exact"/>
              <w:rPr>
                <w:sz w:val="20"/>
                <w:szCs w:val="20"/>
                <w:color w:val="auto"/>
              </w:rPr>
            </w:pPr>
            <w:r>
              <w:rPr>
                <w:rFonts w:ascii="Arial" w:cs="Arial" w:eastAsia="Arial" w:hAnsi="Arial"/>
                <w:sz w:val="18"/>
                <w:szCs w:val="18"/>
                <w:color w:val="auto"/>
              </w:rPr>
              <w:t>Common stock, $0.10 par value, 3,000 shares authorized, 1,235 shares issued and 1,094</w:t>
            </w:r>
          </w:p>
        </w:tc>
        <w:tc>
          <w:tcPr>
            <w:tcW w:w="220" w:type="dxa"/>
            <w:vAlign w:val="bottom"/>
            <w:shd w:val="clear" w:color="auto" w:fill="D1D2D4"/>
          </w:tcPr>
          <w:p>
            <w:pPr>
              <w:spacing w:after="0"/>
              <w:rPr>
                <w:sz w:val="15"/>
                <w:szCs w:val="15"/>
                <w:color w:val="auto"/>
              </w:rPr>
            </w:pPr>
          </w:p>
        </w:tc>
        <w:tc>
          <w:tcPr>
            <w:tcW w:w="12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D1D2D4"/>
          </w:tcPr>
          <w:p>
            <w:pPr>
              <w:spacing w:after="0"/>
              <w:rPr>
                <w:sz w:val="15"/>
                <w:szCs w:val="15"/>
                <w:color w:val="auto"/>
              </w:rPr>
            </w:pPr>
          </w:p>
        </w:tc>
        <w:tc>
          <w:tcPr>
            <w:tcW w:w="60" w:type="dxa"/>
            <w:vAlign w:val="bottom"/>
            <w:shd w:val="clear" w:color="auto" w:fill="D1D2D4"/>
          </w:tcPr>
          <w:p>
            <w:pPr>
              <w:spacing w:after="0"/>
              <w:rPr>
                <w:sz w:val="15"/>
                <w:szCs w:val="15"/>
                <w:color w:val="auto"/>
              </w:rPr>
            </w:pP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5"/>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outstanding (1,226 shares issued and 1,094 outstanding as of September 1, 2022)</w:t>
            </w:r>
          </w:p>
        </w:tc>
        <w:tc>
          <w:tcPr>
            <w:tcW w:w="220" w:type="dxa"/>
            <w:vAlign w:val="bottom"/>
            <w:shd w:val="clear" w:color="auto" w:fill="D1D2D4"/>
          </w:tcPr>
          <w:p>
            <w:pPr>
              <w:spacing w:after="0"/>
              <w:rPr>
                <w:sz w:val="20"/>
                <w:szCs w:val="20"/>
                <w:color w:val="auto"/>
              </w:rPr>
            </w:pPr>
          </w:p>
        </w:tc>
        <w:tc>
          <w:tcPr>
            <w:tcW w:w="1220" w:type="dxa"/>
            <w:vAlign w:val="bottom"/>
            <w:vMerge w:val="continue"/>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60" w:type="dxa"/>
            <w:vAlign w:val="bottom"/>
            <w:shd w:val="clear" w:color="auto" w:fill="D1D2D4"/>
          </w:tcPr>
          <w:p>
            <w:pPr>
              <w:spacing w:after="0"/>
              <w:rPr>
                <w:sz w:val="20"/>
                <w:szCs w:val="20"/>
                <w:color w:val="auto"/>
              </w:rPr>
            </w:pPr>
          </w:p>
        </w:tc>
        <w:tc>
          <w:tcPr>
            <w:tcW w:w="130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10,633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44,426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Treasury stock, 141 shares held (132 shares as of September 1, 2022)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47,257</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49,907</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66,520</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79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0"/>
          <w:szCs w:val="10"/>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1940" w:type="dxa"/>
            <w:vAlign w:val="bottom"/>
            <w:tcBorders>
              <w:bottom w:val="single" w:sz="8" w:color="0090DA"/>
            </w:tcBorders>
          </w:tcPr>
          <w:p>
            <w:pPr>
              <w:ind w:left="32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rPr>
              <w:t>Accumulated</w:t>
            </w:r>
          </w:p>
        </w:tc>
        <w:tc>
          <w:tcPr>
            <w:tcW w:w="11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9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Treasury</w:t>
            </w:r>
          </w:p>
        </w:tc>
        <w:tc>
          <w:tcPr>
            <w:tcW w:w="1620" w:type="dxa"/>
            <w:vAlign w:val="bottom"/>
          </w:tcPr>
          <w:p>
            <w:pPr>
              <w:jc w:val="center"/>
              <w:ind w:right="10"/>
              <w:spacing w:after="0" w:line="156" w:lineRule="exact"/>
              <w:rPr>
                <w:sz w:val="20"/>
                <w:szCs w:val="20"/>
                <w:color w:val="auto"/>
              </w:rPr>
            </w:pPr>
            <w:r>
              <w:rPr>
                <w:rFonts w:ascii="Arial" w:cs="Arial" w:eastAsia="Arial" w:hAnsi="Arial"/>
                <w:sz w:val="18"/>
                <w:szCs w:val="18"/>
                <w:b w:val="1"/>
                <w:bCs w:val="1"/>
                <w:color w:val="auto"/>
                <w:w w:val="99"/>
              </w:rPr>
              <w:t>Other</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780" w:type="dxa"/>
            <w:vAlign w:val="bottom"/>
            <w:gridSpan w:val="2"/>
          </w:tcPr>
          <w:p>
            <w:pPr>
              <w:ind w:left="100"/>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0090DA"/>
            </w:tcBorders>
          </w:tcPr>
          <w:p>
            <w:pPr>
              <w:spacing w:after="0"/>
              <w:rPr>
                <w:sz w:val="19"/>
                <w:szCs w:val="19"/>
                <w:color w:val="auto"/>
              </w:rPr>
            </w:pPr>
          </w:p>
        </w:tc>
        <w:tc>
          <w:tcPr>
            <w:tcW w:w="1940" w:type="dxa"/>
            <w:vAlign w:val="bottom"/>
            <w:tcBorders>
              <w:bottom w:val="single" w:sz="8" w:color="0090DA"/>
            </w:tcBorders>
          </w:tcPr>
          <w:p>
            <w:pPr>
              <w:ind w:left="80"/>
              <w:spacing w:after="0"/>
              <w:rPr>
                <w:sz w:val="20"/>
                <w:szCs w:val="20"/>
                <w:color w:val="auto"/>
              </w:rPr>
            </w:pPr>
            <w:r>
              <w:rPr>
                <w:rFonts w:ascii="Arial" w:cs="Arial" w:eastAsia="Arial" w:hAnsi="Arial"/>
                <w:sz w:val="18"/>
                <w:szCs w:val="18"/>
                <w:b w:val="1"/>
                <w:bCs w:val="1"/>
                <w:color w:val="auto"/>
              </w:rPr>
              <w:t>of Shares  Amount</w:t>
            </w:r>
          </w:p>
        </w:tc>
        <w:tc>
          <w:tcPr>
            <w:tcW w:w="10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40" w:type="dxa"/>
            <w:vAlign w:val="bottom"/>
            <w:tcBorders>
              <w:bottom w:val="single" w:sz="8" w:color="0090DA"/>
            </w:tcBorders>
          </w:tcPr>
          <w:p>
            <w:pPr>
              <w:ind w:left="6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rPr>
              <w:t>Stock</w:t>
            </w:r>
          </w:p>
        </w:tc>
        <w:tc>
          <w:tcPr>
            <w:tcW w:w="16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6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right="1020"/>
        <w:spacing w:after="0" w:line="271" w:lineRule="auto"/>
        <w:rPr>
          <w:sz w:val="20"/>
          <w:szCs w:val="20"/>
          <w:color w:val="auto"/>
        </w:rPr>
      </w:pPr>
      <w:r>
        <w:rPr>
          <w:rFonts w:ascii="Arial" w:cs="Arial" w:eastAsia="Arial" w:hAnsi="Arial"/>
          <w:sz w:val="18"/>
          <w:szCs w:val="18"/>
          <w:b w:val="1"/>
          <w:bCs w:val="1"/>
          <w:color w:val="auto"/>
        </w:rPr>
        <w:t xml:space="preserve">Balance at September 1, 2022 </w:t>
      </w:r>
      <w:r>
        <w:rPr>
          <w:rFonts w:ascii="Arial" w:cs="Arial" w:eastAsia="Arial" w:hAnsi="Arial"/>
          <w:sz w:val="18"/>
          <w:szCs w:val="18"/>
          <w:color w:val="auto"/>
        </w:rPr>
        <w:t>Net income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2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20"/>
        <w:spacing w:after="0" w:line="245" w:lineRule="auto"/>
        <w:rPr>
          <w:sz w:val="20"/>
          <w:szCs w:val="20"/>
          <w:color w:val="auto"/>
        </w:rPr>
      </w:pPr>
      <w:r>
        <w:rPr>
          <w:rFonts w:ascii="Arial" w:cs="Arial" w:eastAsia="Arial" w:hAnsi="Arial"/>
          <w:sz w:val="18"/>
          <w:szCs w:val="18"/>
          <w:color w:val="auto"/>
        </w:rPr>
        <w:t>Dividends and dividend equivalents declared ($0.115 per share)</w:t>
      </w:r>
    </w:p>
    <w:p>
      <w:pPr>
        <w:ind w:left="20" w:right="1080"/>
        <w:spacing w:after="0" w:line="271" w:lineRule="auto"/>
        <w:rPr>
          <w:sz w:val="20"/>
          <w:szCs w:val="20"/>
          <w:color w:val="auto"/>
        </w:rPr>
      </w:pPr>
      <w:r>
        <w:rPr>
          <w:rFonts w:ascii="Arial" w:cs="Arial" w:eastAsia="Arial" w:hAnsi="Arial"/>
          <w:sz w:val="18"/>
          <w:szCs w:val="18"/>
          <w:b w:val="1"/>
          <w:bCs w:val="1"/>
          <w:color w:val="auto"/>
        </w:rPr>
        <w:t xml:space="preserve">Balance at December 1, 2022 </w:t>
      </w:r>
      <w:r>
        <w:rPr>
          <w:rFonts w:ascii="Arial" w:cs="Arial" w:eastAsia="Arial" w:hAnsi="Arial"/>
          <w:sz w:val="18"/>
          <w:szCs w:val="18"/>
          <w:color w:val="auto"/>
        </w:rPr>
        <w:t>Net income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20"/>
        <w:spacing w:after="0" w:line="245" w:lineRule="auto"/>
        <w:rPr>
          <w:sz w:val="20"/>
          <w:szCs w:val="20"/>
          <w:color w:val="auto"/>
        </w:rPr>
      </w:pPr>
      <w:r>
        <w:rPr>
          <w:rFonts w:ascii="Arial" w:cs="Arial" w:eastAsia="Arial" w:hAnsi="Arial"/>
          <w:sz w:val="18"/>
          <w:szCs w:val="18"/>
          <w:color w:val="auto"/>
        </w:rPr>
        <w:t>Dividends and dividend equivalents declared ($0.115 per share)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March 2,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1,226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10,197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47,274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(7,127)</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49,907</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14"/>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18"/>
        </w:trPr>
        <w:tc>
          <w:tcPr>
            <w:tcW w:w="960" w:type="dxa"/>
            <w:vAlign w:val="bottom"/>
          </w:tcPr>
          <w:p>
            <w:pPr>
              <w:jc w:val="right"/>
              <w:spacing w:after="0"/>
              <w:rPr>
                <w:sz w:val="20"/>
                <w:szCs w:val="20"/>
                <w:color w:val="auto"/>
              </w:rPr>
            </w:pPr>
            <w:r>
              <w:rPr>
                <w:rFonts w:ascii="Arial" w:cs="Arial" w:eastAsia="Arial" w:hAnsi="Arial"/>
                <w:sz w:val="18"/>
                <w:szCs w:val="18"/>
                <w:color w:val="auto"/>
              </w:rPr>
              <w:t>1,232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10,335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46,873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(7,552)</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49,306</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(2,312)</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(2,312)</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w:t>
            </w: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47,257</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-2862580</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-2571115</wp:posOffset>
            </wp:positionV>
            <wp:extent cx="711517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-2279650</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-1988185</wp:posOffset>
            </wp:positionV>
            <wp:extent cx="7115175"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-1456690</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-1156970</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-864870</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-453390</wp:posOffset>
            </wp:positionV>
            <wp:extent cx="7115175"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40"/>
            <w:col w:w="7620"/>
          </w:cols>
          <w:pgMar w:left="320" w:top="125" w:right="339"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1920" w:type="dxa"/>
            <w:vAlign w:val="bottom"/>
            <w:tcBorders>
              <w:bottom w:val="single" w:sz="8" w:color="0090DA"/>
            </w:tcBorders>
          </w:tcPr>
          <w:p>
            <w:pPr>
              <w:ind w:left="3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1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620" w:type="dxa"/>
            <w:vAlign w:val="bottom"/>
          </w:tcPr>
          <w:p>
            <w:pPr>
              <w:jc w:val="center"/>
              <w:ind w:right="10"/>
              <w:spacing w:after="0" w:line="156" w:lineRule="exact"/>
              <w:rPr>
                <w:sz w:val="20"/>
                <w:szCs w:val="20"/>
                <w:color w:val="auto"/>
              </w:rPr>
            </w:pPr>
            <w:r>
              <w:rPr>
                <w:rFonts w:ascii="Arial" w:cs="Arial" w:eastAsia="Arial" w:hAnsi="Arial"/>
                <w:sz w:val="18"/>
                <w:szCs w:val="18"/>
                <w:b w:val="1"/>
                <w:bCs w:val="1"/>
                <w:color w:val="auto"/>
                <w:w w:val="99"/>
              </w:rPr>
              <w:t>Other</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76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0090DA"/>
            </w:tcBorders>
          </w:tcPr>
          <w:p>
            <w:pPr>
              <w:spacing w:after="0"/>
              <w:rPr>
                <w:sz w:val="19"/>
                <w:szCs w:val="19"/>
                <w:color w:val="auto"/>
              </w:rPr>
            </w:pPr>
          </w:p>
        </w:tc>
        <w:tc>
          <w:tcPr>
            <w:tcW w:w="1920" w:type="dxa"/>
            <w:vAlign w:val="bottom"/>
            <w:tcBorders>
              <w:bottom w:val="single" w:sz="8" w:color="0090DA"/>
            </w:tcBorders>
          </w:tcPr>
          <w:p>
            <w:pPr>
              <w:ind w:left="60"/>
              <w:spacing w:after="0"/>
              <w:rPr>
                <w:sz w:val="20"/>
                <w:szCs w:val="20"/>
                <w:color w:val="auto"/>
              </w:rPr>
            </w:pPr>
            <w:r>
              <w:rPr>
                <w:rFonts w:ascii="Arial" w:cs="Arial" w:eastAsia="Arial" w:hAnsi="Arial"/>
                <w:sz w:val="18"/>
                <w:szCs w:val="18"/>
                <w:b w:val="1"/>
                <w:bCs w:val="1"/>
                <w:color w:val="auto"/>
              </w:rPr>
              <w:t>of Shares  Amount</w:t>
            </w:r>
          </w:p>
        </w:tc>
        <w:tc>
          <w:tcPr>
            <w:tcW w:w="10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0090DA"/>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7"/>
              </w:rPr>
              <w:t>Stock</w:t>
            </w:r>
          </w:p>
        </w:tc>
        <w:tc>
          <w:tcPr>
            <w:tcW w:w="16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4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sectPr>
      </w:pPr>
    </w:p>
    <w:p>
      <w:pPr>
        <w:ind w:left="40" w:right="1040"/>
        <w:spacing w:after="0" w:line="271" w:lineRule="auto"/>
        <w:rPr>
          <w:sz w:val="20"/>
          <w:szCs w:val="20"/>
          <w:color w:val="auto"/>
        </w:rPr>
      </w:pPr>
      <w:r>
        <w:rPr>
          <w:rFonts w:ascii="Arial" w:cs="Arial" w:eastAsia="Arial" w:hAnsi="Arial"/>
          <w:sz w:val="18"/>
          <w:szCs w:val="18"/>
          <w:b w:val="1"/>
          <w:bCs w:val="1"/>
          <w:color w:val="auto"/>
        </w:rPr>
        <w:t xml:space="preserve">Balance at September 2, 2021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40" w:right="520"/>
        <w:spacing w:after="0" w:line="245" w:lineRule="auto"/>
        <w:rPr>
          <w:sz w:val="20"/>
          <w:szCs w:val="20"/>
          <w:color w:val="auto"/>
        </w:rPr>
      </w:pPr>
      <w:r>
        <w:rPr>
          <w:rFonts w:ascii="Arial" w:cs="Arial" w:eastAsia="Arial" w:hAnsi="Arial"/>
          <w:sz w:val="18"/>
          <w:szCs w:val="18"/>
          <w:color w:val="auto"/>
        </w:rPr>
        <w:t>Repurchase of stock - withholdings on employee equity awards</w:t>
      </w:r>
    </w:p>
    <w:p>
      <w:pPr>
        <w:ind w:left="40" w:right="1080"/>
        <w:spacing w:after="0" w:line="271" w:lineRule="auto"/>
        <w:rPr>
          <w:sz w:val="20"/>
          <w:szCs w:val="20"/>
          <w:color w:val="auto"/>
        </w:rPr>
      </w:pPr>
      <w:r>
        <w:rPr>
          <w:rFonts w:ascii="Arial" w:cs="Arial" w:eastAsia="Arial" w:hAnsi="Arial"/>
          <w:sz w:val="18"/>
          <w:szCs w:val="18"/>
          <w:b w:val="1"/>
          <w:bCs w:val="1"/>
          <w:color w:val="auto"/>
        </w:rPr>
        <w:t xml:space="preserve">Balance at December 2, 2021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4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5" w:lineRule="auto"/>
        <w:rPr>
          <w:sz w:val="20"/>
          <w:szCs w:val="20"/>
          <w:color w:val="auto"/>
        </w:rPr>
      </w:pPr>
      <w:r>
        <w:rPr>
          <w:rFonts w:ascii="Arial" w:cs="Arial" w:eastAsia="Arial" w:hAnsi="Arial"/>
          <w:sz w:val="18"/>
          <w:szCs w:val="18"/>
          <w:color w:val="auto"/>
        </w:rPr>
        <w:t>Dividends and dividend equivalents declared ($0.10 per share)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March 3,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1,216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9,453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39,051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(4,695)</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43,933</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414"/>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18"/>
        </w:trPr>
        <w:tc>
          <w:tcPr>
            <w:tcW w:w="960" w:type="dxa"/>
            <w:vAlign w:val="bottom"/>
          </w:tcPr>
          <w:p>
            <w:pPr>
              <w:jc w:val="right"/>
              <w:spacing w:after="0"/>
              <w:rPr>
                <w:sz w:val="20"/>
                <w:szCs w:val="20"/>
                <w:color w:val="auto"/>
              </w:rPr>
            </w:pPr>
            <w:r>
              <w:rPr>
                <w:rFonts w:ascii="Arial" w:cs="Arial" w:eastAsia="Arial" w:hAnsi="Arial"/>
                <w:sz w:val="18"/>
                <w:szCs w:val="18"/>
                <w:color w:val="auto"/>
              </w:rPr>
              <w:t>1,220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9,564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41,267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(4,954)</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45,908</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2,263</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47,845</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-2742565</wp:posOffset>
            </wp:positionV>
            <wp:extent cx="711517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-2451100</wp:posOffset>
            </wp:positionV>
            <wp:extent cx="711517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-2159635</wp:posOffset>
            </wp:positionV>
            <wp:extent cx="711517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-1868170</wp:posOffset>
            </wp:positionV>
            <wp:extent cx="7115175"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-1447800</wp:posOffset>
            </wp:positionV>
            <wp:extent cx="711517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-1156970</wp:posOffset>
            </wp:positionV>
            <wp:extent cx="711517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-865505</wp:posOffset>
            </wp:positionV>
            <wp:extent cx="711517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-454025</wp:posOffset>
            </wp:positionV>
            <wp:extent cx="7115175"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40"/>
            <w:col w:w="7600"/>
          </w:cols>
          <w:pgMar w:left="320" w:top="125" w:right="339"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6"/>
          <w:szCs w:val="16"/>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0090DA"/>
            </w:tcBorders>
          </w:tcPr>
          <w:p>
            <w:pPr>
              <w:spacing w:after="0"/>
              <w:rPr>
                <w:sz w:val="24"/>
                <w:szCs w:val="24"/>
                <w:color w:val="auto"/>
              </w:rPr>
            </w:pPr>
          </w:p>
        </w:tc>
        <w:tc>
          <w:tcPr>
            <w:tcW w:w="12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0090DA"/>
            </w:tcBorders>
          </w:tcPr>
          <w:p>
            <w:pPr>
              <w:spacing w:after="0"/>
              <w:rPr>
                <w:sz w:val="20"/>
                <w:szCs w:val="20"/>
                <w:color w:val="auto"/>
              </w:rPr>
            </w:pPr>
          </w:p>
        </w:tc>
        <w:tc>
          <w:tcPr>
            <w:tcW w:w="16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(2,507)</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Provision to write-down inventories to net realizable value</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(Gain) loss on debt repurchases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8360" w:type="dxa"/>
            <w:vAlign w:val="bottom"/>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2,910</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(1,795)</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1,286</w:t>
            </w:r>
          </w:p>
        </w:tc>
        <w:tc>
          <w:tcPr>
            <w:tcW w:w="80" w:type="dxa"/>
            <w:vAlign w:val="bottom"/>
            <w:tcBorders>
              <w:bottom w:val="single" w:sz="8" w:color="auto"/>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(5,876)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 of Lehi, Utah fab</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(4,181)</w:t>
            </w:r>
          </w:p>
        </w:tc>
        <w:tc>
          <w:tcPr>
            <w:tcW w:w="80" w:type="dxa"/>
            <w:vAlign w:val="bottom"/>
            <w:tcBorders>
              <w:bottom w:val="single" w:sz="8" w:color="auto"/>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auto"/>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196"/>
        </w:trPr>
        <w:tc>
          <w:tcPr>
            <w:tcW w:w="836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22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360" w:type="dxa"/>
            <w:vAlign w:val="bottom"/>
            <w:shd w:val="clear" w:color="auto" w:fill="D1D2D4"/>
          </w:tcPr>
          <w:p>
            <w:pPr>
              <w:spacing w:after="0"/>
              <w:rPr>
                <w:sz w:val="18"/>
                <w:szCs w:val="18"/>
                <w:color w:val="auto"/>
              </w:rPr>
            </w:pPr>
          </w:p>
        </w:tc>
        <w:tc>
          <w:tcPr>
            <w:tcW w:w="220" w:type="dxa"/>
            <w:vAlign w:val="bottom"/>
            <w:shd w:val="clear" w:color="auto" w:fill="D1D2D4"/>
          </w:tcPr>
          <w:p>
            <w:pPr>
              <w:spacing w:after="0"/>
              <w:rPr>
                <w:sz w:val="18"/>
                <w:szCs w:val="18"/>
                <w:color w:val="auto"/>
              </w:rPr>
            </w:pPr>
          </w:p>
        </w:tc>
        <w:tc>
          <w:tcPr>
            <w:tcW w:w="122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20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8,339</w:t>
            </w:r>
          </w:p>
        </w:tc>
        <w:tc>
          <w:tcPr>
            <w:tcW w:w="80" w:type="dxa"/>
            <w:vAlign w:val="bottom"/>
            <w:tcBorders>
              <w:bottom w:val="single" w:sz="8" w:color="auto"/>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5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September 1, 2022. There have been no changes to our significant accounting policies since our Annual Report on Form 10-K for the year ended September 1, 2022.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Basis of Presentation</w:t>
      </w:r>
    </w:p>
    <w:p>
      <w:pPr>
        <w:spacing w:after="0" w:line="2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September 1, 2022.</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2023 and 2022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September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All of our short-term investments and long-term marketable investments were classified as available-for-sale as of the dates noted below.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400" w:type="dxa"/>
            <w:vAlign w:val="bottom"/>
            <w:tcBorders>
              <w:bottom w:val="single" w:sz="8" w:color="0090DA"/>
            </w:tcBorders>
            <w:gridSpan w:val="3"/>
          </w:tcPr>
          <w:p>
            <w:pPr>
              <w:jc w:val="right"/>
              <w:ind w:right="690"/>
              <w:spacing w:after="0"/>
              <w:rPr>
                <w:sz w:val="20"/>
                <w:szCs w:val="20"/>
                <w:color w:val="auto"/>
              </w:rPr>
            </w:pPr>
            <w:r>
              <w:rPr>
                <w:rFonts w:ascii="Arial" w:cs="Arial" w:eastAsia="Arial" w:hAnsi="Arial"/>
                <w:sz w:val="18"/>
                <w:szCs w:val="18"/>
                <w:b w:val="1"/>
                <w:bCs w:val="1"/>
                <w:color w:val="auto"/>
              </w:rPr>
              <w:t>March 2, 2023</w:t>
            </w:r>
          </w:p>
        </w:tc>
        <w:tc>
          <w:tcPr>
            <w:tcW w:w="20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4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1, 2022</w:t>
            </w:r>
          </w:p>
        </w:tc>
        <w:tc>
          <w:tcPr>
            <w:tcW w:w="180" w:type="dxa"/>
            <w:vAlign w:val="bottom"/>
            <w:tcBorders>
              <w:bottom w:val="single" w:sz="8" w:color="0090DA"/>
            </w:tcBorders>
          </w:tcPr>
          <w:p>
            <w:pPr>
              <w:spacing w:after="0"/>
              <w:rPr>
                <w:sz w:val="20"/>
                <w:szCs w:val="20"/>
                <w:color w:val="auto"/>
              </w:rPr>
            </w:pPr>
          </w:p>
        </w:tc>
        <w:tc>
          <w:tcPr>
            <w:tcW w:w="72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5"/>
                <w:szCs w:val="15"/>
                <w:color w:val="auto"/>
              </w:rPr>
            </w:pPr>
          </w:p>
        </w:tc>
        <w:tc>
          <w:tcPr>
            <w:tcW w:w="116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rPr>
              <w:t>Long-term</w:t>
            </w: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6"/>
              </w:rPr>
              <w:t>Total Fair</w:t>
            </w:r>
          </w:p>
        </w:tc>
        <w:tc>
          <w:tcPr>
            <w:tcW w:w="14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5"/>
                <w:szCs w:val="15"/>
                <w:color w:val="auto"/>
              </w:rPr>
            </w:pPr>
          </w:p>
        </w:tc>
        <w:tc>
          <w:tcPr>
            <w:tcW w:w="118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81"/>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Marketable</w:t>
            </w: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20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Value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2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6,222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6,222</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6,055</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1,715</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184"/>
        </w:trPr>
        <w:tc>
          <w:tcPr>
            <w:tcW w:w="2020" w:type="dxa"/>
            <w:vAlign w:val="bottom"/>
            <w:shd w:val="clear" w:color="auto" w:fill="D1D2D4"/>
          </w:tcPr>
          <w:p>
            <w:pPr>
              <w:ind w:left="140"/>
              <w:spacing w:after="0" w:line="183" w:lineRule="exact"/>
              <w:rPr>
                <w:sz w:val="20"/>
                <w:szCs w:val="20"/>
                <w:color w:val="auto"/>
              </w:rPr>
            </w:pPr>
            <w:r>
              <w:rPr>
                <w:rFonts w:ascii="Arial" w:cs="Arial" w:eastAsia="Arial" w:hAnsi="Arial"/>
                <w:sz w:val="18"/>
                <w:szCs w:val="18"/>
                <w:color w:val="auto"/>
              </w:rPr>
              <w:t>Asset-backed</w:t>
            </w:r>
          </w:p>
        </w:tc>
        <w:tc>
          <w:tcPr>
            <w:tcW w:w="140" w:type="dxa"/>
            <w:vAlign w:val="bottom"/>
            <w:shd w:val="clear" w:color="auto" w:fill="D1D2D4"/>
          </w:tcPr>
          <w:p>
            <w:pPr>
              <w:spacing w:after="0"/>
              <w:rPr>
                <w:sz w:val="15"/>
                <w:szCs w:val="15"/>
                <w:color w:val="auto"/>
              </w:rPr>
            </w:pPr>
          </w:p>
        </w:tc>
        <w:tc>
          <w:tcPr>
            <w:tcW w:w="9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9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D1D2D4"/>
          </w:tcPr>
          <w:p>
            <w:pPr>
              <w:spacing w:after="0"/>
              <w:rPr>
                <w:sz w:val="15"/>
                <w:szCs w:val="15"/>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5"/>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1D2D4"/>
          </w:tcPr>
          <w:p>
            <w:pPr>
              <w:spacing w:after="0"/>
              <w:rPr>
                <w:sz w:val="20"/>
                <w:szCs w:val="20"/>
                <w:color w:val="auto"/>
              </w:rPr>
            </w:pPr>
          </w:p>
        </w:tc>
        <w:tc>
          <w:tcPr>
            <w:tcW w:w="98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04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116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98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04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1180" w:type="dxa"/>
            <w:vAlign w:val="bottom"/>
            <w:vMerge w:val="continue"/>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72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9,798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10,978</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89</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77</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20" w:type="dxa"/>
            <w:vAlign w:val="bottom"/>
          </w:tcPr>
          <w:p>
            <w:pPr>
              <w:ind w:left="20"/>
              <w:spacing w:after="0" w:line="164"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9,887</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8,339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primarily range from one to four years.</w:t>
      </w:r>
    </w:p>
    <w:p>
      <w:pPr>
        <w:ind w:left="240" w:hanging="232"/>
        <w:spacing w:after="0" w:line="196" w:lineRule="auto"/>
        <w:tabs>
          <w:tab w:leader="none" w:pos="2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March 2, 2023 or September 1, 2022.</w:t>
      </w:r>
    </w:p>
    <w:p>
      <w:pPr>
        <w:spacing w:after="0" w:line="1" w:lineRule="exact"/>
        <w:rPr>
          <w:rFonts w:ascii="Arial" w:cs="Arial" w:eastAsia="Arial" w:hAnsi="Arial"/>
          <w:sz w:val="23"/>
          <w:szCs w:val="23"/>
          <w:i w:val="1"/>
          <w:iCs w:val="1"/>
          <w:color w:val="auto"/>
          <w:vertAlign w:val="superscript"/>
        </w:rPr>
      </w:pPr>
    </w:p>
    <w:p>
      <w:pPr>
        <w:ind w:left="260" w:right="180" w:hanging="252"/>
        <w:spacing w:after="0" w:line="230" w:lineRule="auto"/>
        <w:tabs>
          <w:tab w:leader="none" w:pos="254"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 or which will be returned if performance conditions are not met.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Non-marketable Equity Investments</w:t>
      </w:r>
    </w:p>
    <w:p>
      <w:pPr>
        <w:spacing w:after="0" w:line="24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addition to the amounts included in the table above, we had $218 million and $222 million of non-marketable equity investments without a readily determinable fair value that were included in other noncurrent assets as of March 2, 2023 and September 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54"/>
        </w:trPr>
        <w:tc>
          <w:tcPr>
            <w:tcW w:w="8360" w:type="dxa"/>
            <w:vAlign w:val="bottom"/>
          </w:tcPr>
          <w:p>
            <w:pPr>
              <w:spacing w:after="0"/>
              <w:rPr>
                <w:sz w:val="20"/>
                <w:szCs w:val="20"/>
                <w:color w:val="auto"/>
              </w:rPr>
            </w:pPr>
            <w:r>
              <w:rPr>
                <w:rFonts w:ascii="Arial" w:cs="Arial" w:eastAsia="Arial" w:hAnsi="Arial"/>
                <w:sz w:val="40"/>
                <w:szCs w:val="40"/>
                <w:b w:val="1"/>
                <w:bCs w:val="1"/>
                <w:color w:val="auto"/>
              </w:rPr>
              <w:t>Receivables</w:t>
            </w:r>
          </w:p>
        </w:tc>
        <w:tc>
          <w:tcPr>
            <w:tcW w:w="220" w:type="dxa"/>
            <w:vAlign w:val="bottom"/>
          </w:tcPr>
          <w:p>
            <w:pPr>
              <w:spacing w:after="0"/>
              <w:rPr>
                <w:sz w:val="24"/>
                <w:szCs w:val="24"/>
                <w:color w:val="auto"/>
              </w:rPr>
            </w:pPr>
          </w:p>
        </w:tc>
        <w:tc>
          <w:tcPr>
            <w:tcW w:w="11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rPr>
              <w:t>March 2,</w:t>
            </w:r>
          </w:p>
        </w:tc>
        <w:tc>
          <w:tcPr>
            <w:tcW w:w="12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vMerge w:val="restart"/>
          </w:tcPr>
          <w:p>
            <w:pPr>
              <w:jc w:val="center"/>
              <w:ind w:right="5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15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0090DA"/>
            </w:tcBorders>
          </w:tcPr>
          <w:p>
            <w:pPr>
              <w:spacing w:after="0"/>
              <w:rPr>
                <w:sz w:val="20"/>
                <w:szCs w:val="20"/>
                <w:color w:val="auto"/>
              </w:rPr>
            </w:pPr>
          </w:p>
        </w:tc>
        <w:tc>
          <w:tcPr>
            <w:tcW w:w="6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1,891</w:t>
            </w:r>
          </w:p>
        </w:tc>
        <w:tc>
          <w:tcPr>
            <w:tcW w:w="1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1"/>
        </w:trPr>
        <w:tc>
          <w:tcPr>
            <w:tcW w:w="8360" w:type="dxa"/>
            <w:vAlign w:val="bottom"/>
            <w:vMerge w:val="restart"/>
          </w:tcPr>
          <w:p>
            <w:pPr>
              <w:spacing w:after="0"/>
              <w:rPr>
                <w:sz w:val="20"/>
                <w:szCs w:val="20"/>
                <w:color w:val="auto"/>
              </w:rPr>
            </w:pPr>
            <w:r>
              <w:rPr>
                <w:rFonts w:ascii="Arial" w:cs="Arial" w:eastAsia="Arial" w:hAnsi="Arial"/>
                <w:sz w:val="40"/>
                <w:szCs w:val="40"/>
                <w:b w:val="1"/>
                <w:bCs w:val="1"/>
                <w:color w:val="auto"/>
              </w:rPr>
              <w:t>Inventories</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8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rPr>
              <w:t>March 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0090DA"/>
            </w:tcBorders>
          </w:tcPr>
          <w:p>
            <w:pPr>
              <w:spacing w:after="0"/>
              <w:rPr>
                <w:sz w:val="21"/>
                <w:szCs w:val="21"/>
                <w:color w:val="auto"/>
              </w:rPr>
            </w:pPr>
          </w:p>
        </w:tc>
        <w:tc>
          <w:tcPr>
            <w:tcW w:w="6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1,631</w:t>
            </w:r>
          </w:p>
        </w:tc>
        <w:tc>
          <w:tcPr>
            <w:tcW w:w="1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the second quarter of 2023, we recorded a charge of $1.43 billion to cost of goods sold to write down the carrying value of work in process and finished goods inventories to their estimated net realizable values.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w:t>
            </w:r>
          </w:p>
        </w:tc>
        <w:tc>
          <w:tcPr>
            <w:tcW w:w="14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17,401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64,279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61,354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1,247</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85,299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81,331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(46,214)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(42,782)</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0" w:hanging="232"/>
        <w:spacing w:after="0"/>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$3.43 billion as of March 2, 2023 and $3.35 billion as of September 1, 2022.</w:t>
      </w:r>
    </w:p>
    <w:p>
      <w:pPr>
        <w:ind w:left="240" w:hanging="232"/>
        <w:spacing w:after="0" w:line="200" w:lineRule="auto"/>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building-related construction, tool installation, and software costs for assets not placed into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0090DA"/>
              </w:rPr>
              <w:t>Table of Contents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4"/>
        </w:trPr>
        <w:tc>
          <w:tcPr>
            <w:tcW w:w="4060" w:type="dxa"/>
            <w:vAlign w:val="bottom"/>
            <w:gridSpan w:val="3"/>
          </w:tcPr>
          <w:p>
            <w:pPr>
              <w:spacing w:after="0"/>
              <w:rPr>
                <w:sz w:val="20"/>
                <w:szCs w:val="20"/>
                <w:color w:val="auto"/>
              </w:rPr>
            </w:pPr>
            <w:r>
              <w:rPr>
                <w:rFonts w:ascii="Arial" w:cs="Arial" w:eastAsia="Arial" w:hAnsi="Arial"/>
                <w:sz w:val="40"/>
                <w:szCs w:val="40"/>
                <w:b w:val="1"/>
                <w:bCs w:val="1"/>
                <w:color w:val="auto"/>
              </w:rPr>
              <w:t>Intangible Assets</w:t>
            </w:r>
          </w:p>
        </w:tc>
        <w:tc>
          <w:tcPr>
            <w:tcW w:w="14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March 2, 2023</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5"/>
            <w:vMerge w:val="restart"/>
          </w:tcPr>
          <w:p>
            <w:pPr>
              <w:jc w:val="center"/>
              <w:ind w:left="950"/>
              <w:spacing w:after="0"/>
              <w:rPr>
                <w:sz w:val="20"/>
                <w:szCs w:val="20"/>
                <w:color w:val="auto"/>
              </w:rPr>
            </w:pPr>
            <w:r>
              <w:rPr>
                <w:rFonts w:ascii="Arial" w:cs="Arial" w:eastAsia="Arial" w:hAnsi="Arial"/>
                <w:sz w:val="18"/>
                <w:szCs w:val="18"/>
                <w:b w:val="1"/>
                <w:bCs w:val="1"/>
                <w:color w:val="auto"/>
                <w:w w:val="99"/>
              </w:rPr>
              <w:t>September 1, 2022</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240" w:type="dxa"/>
            <w:vAlign w:val="bottom"/>
            <w:tcBorders>
              <w:bottom w:val="single" w:sz="8" w:color="0090DA"/>
            </w:tcBorders>
          </w:tcPr>
          <w:p>
            <w:pPr>
              <w:spacing w:after="0"/>
              <w:rPr>
                <w:sz w:val="17"/>
                <w:szCs w:val="17"/>
                <w:color w:val="auto"/>
              </w:rPr>
            </w:pPr>
          </w:p>
        </w:tc>
        <w:tc>
          <w:tcPr>
            <w:tcW w:w="1120" w:type="dxa"/>
            <w:vAlign w:val="bottom"/>
            <w:tcBorders>
              <w:bottom w:val="single" w:sz="8" w:color="0090DA"/>
            </w:tcBorders>
          </w:tcPr>
          <w:p>
            <w:pPr>
              <w:spacing w:after="0"/>
              <w:rPr>
                <w:sz w:val="17"/>
                <w:szCs w:val="17"/>
                <w:color w:val="auto"/>
              </w:rPr>
            </w:pPr>
          </w:p>
        </w:tc>
        <w:tc>
          <w:tcPr>
            <w:tcW w:w="140" w:type="dxa"/>
            <w:vAlign w:val="bottom"/>
            <w:tcBorders>
              <w:bottom w:val="single" w:sz="8" w:color="0090DA"/>
            </w:tcBorders>
          </w:tcPr>
          <w:p>
            <w:pPr>
              <w:spacing w:after="0"/>
              <w:rPr>
                <w:sz w:val="17"/>
                <w:szCs w:val="17"/>
                <w:color w:val="auto"/>
              </w:rPr>
            </w:pPr>
          </w:p>
        </w:tc>
        <w:tc>
          <w:tcPr>
            <w:tcW w:w="1300" w:type="dxa"/>
            <w:vAlign w:val="bottom"/>
            <w:tcBorders>
              <w:bottom w:val="single" w:sz="8" w:color="0090DA"/>
            </w:tcBorders>
            <w:vMerge w:val="continue"/>
          </w:tcPr>
          <w:p>
            <w:pPr>
              <w:spacing w:after="0"/>
              <w:rPr>
                <w:sz w:val="17"/>
                <w:szCs w:val="17"/>
                <w:color w:val="auto"/>
              </w:rPr>
            </w:pPr>
          </w:p>
        </w:tc>
        <w:tc>
          <w:tcPr>
            <w:tcW w:w="140" w:type="dxa"/>
            <w:vAlign w:val="bottom"/>
            <w:tcBorders>
              <w:bottom w:val="single" w:sz="8" w:color="0090DA"/>
            </w:tcBorders>
          </w:tcPr>
          <w:p>
            <w:pPr>
              <w:spacing w:after="0"/>
              <w:rPr>
                <w:sz w:val="17"/>
                <w:szCs w:val="17"/>
                <w:color w:val="auto"/>
              </w:rPr>
            </w:pPr>
          </w:p>
        </w:tc>
        <w:tc>
          <w:tcPr>
            <w:tcW w:w="1260" w:type="dxa"/>
            <w:vAlign w:val="bottom"/>
            <w:tcBorders>
              <w:bottom w:val="single" w:sz="8" w:color="0090DA"/>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0090DA"/>
            </w:tcBorders>
          </w:tcPr>
          <w:p>
            <w:pPr>
              <w:spacing w:after="0"/>
              <w:rPr>
                <w:sz w:val="17"/>
                <w:szCs w:val="17"/>
                <w:color w:val="auto"/>
              </w:rPr>
            </w:pPr>
          </w:p>
        </w:tc>
        <w:tc>
          <w:tcPr>
            <w:tcW w:w="2700" w:type="dxa"/>
            <w:vAlign w:val="bottom"/>
            <w:tcBorders>
              <w:bottom w:val="single" w:sz="8" w:color="0090DA"/>
            </w:tcBorders>
            <w:gridSpan w:val="5"/>
            <w:vMerge w:val="continue"/>
          </w:tcPr>
          <w:p>
            <w:pPr>
              <w:spacing w:after="0"/>
              <w:rPr>
                <w:sz w:val="17"/>
                <w:szCs w:val="17"/>
                <w:color w:val="auto"/>
              </w:rPr>
            </w:pPr>
          </w:p>
        </w:tc>
        <w:tc>
          <w:tcPr>
            <w:tcW w:w="1280" w:type="dxa"/>
            <w:vAlign w:val="bottom"/>
            <w:tcBorders>
              <w:bottom w:val="single" w:sz="8" w:color="0090DA"/>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jc w:val="center"/>
              <w:ind w:right="150"/>
              <w:spacing w:after="0" w:line="177"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300" w:type="dxa"/>
            <w:vAlign w:val="bottom"/>
          </w:tcPr>
          <w:p>
            <w:pPr>
              <w:jc w:val="center"/>
              <w:ind w:right="30"/>
              <w:spacing w:after="0" w:line="177"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26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99"/>
              </w:rPr>
              <w:t>Net Carrying</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10"/>
              <w:spacing w:after="0" w:line="177" w:lineRule="exact"/>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5"/>
                <w:szCs w:val="15"/>
                <w:color w:val="auto"/>
              </w:rPr>
            </w:pPr>
          </w:p>
        </w:tc>
        <w:tc>
          <w:tcPr>
            <w:tcW w:w="1300" w:type="dxa"/>
            <w:vAlign w:val="bottom"/>
          </w:tcPr>
          <w:p>
            <w:pPr>
              <w:jc w:val="center"/>
              <w:ind w:right="30"/>
              <w:spacing w:after="0" w:line="177" w:lineRule="exact"/>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w w:val="99"/>
              </w:rPr>
              <w:t>Net Carrying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940" w:type="dxa"/>
            <w:vAlign w:val="bottom"/>
            <w:gridSpan w:val="2"/>
            <w:vMerge w:val="continue"/>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Amount</w:t>
            </w: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Amortization</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34"/>
        </w:trPr>
        <w:tc>
          <w:tcPr>
            <w:tcW w:w="270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26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16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40" w:type="dxa"/>
            <w:vAlign w:val="bottom"/>
            <w:tcBorders>
              <w:top w:val="single" w:sz="8" w:color="0090DA"/>
            </w:tcBorders>
          </w:tcPr>
          <w:p>
            <w:pPr>
              <w:spacing w:after="0"/>
              <w:rPr>
                <w:sz w:val="2"/>
                <w:szCs w:val="2"/>
                <w:color w:val="auto"/>
              </w:rPr>
            </w:pPr>
          </w:p>
        </w:tc>
        <w:tc>
          <w:tcPr>
            <w:tcW w:w="80" w:type="dxa"/>
            <w:vAlign w:val="bottom"/>
            <w:tcBorders>
              <w:top w:val="single" w:sz="8" w:color="0090DA"/>
            </w:tcBorders>
          </w:tcPr>
          <w:p>
            <w:pPr>
              <w:spacing w:after="0"/>
              <w:rPr>
                <w:sz w:val="2"/>
                <w:szCs w:val="2"/>
                <w:color w:val="auto"/>
              </w:rPr>
            </w:pPr>
          </w:p>
        </w:tc>
        <w:tc>
          <w:tcPr>
            <w:tcW w:w="1280" w:type="dxa"/>
            <w:vAlign w:val="bottom"/>
            <w:tcBorders>
              <w:top w:val="single" w:sz="8" w:color="0090DA"/>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Product and process technology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(321)</w:t>
            </w:r>
          </w:p>
        </w:tc>
        <w:tc>
          <w:tcPr>
            <w:tcW w:w="1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In the first six months of 2023 and 2022, we capitalized $51 million and $105 million, respectively, for product and process technology with weighted-average useful lives of 10 years, and 7 years, respectively. Amortization expense was $45 million and $40 million for the first six months of 2023 and 2022, respectively. Expected amortization expense is $42 million for the remainder of 2023, $73 million for 2024, $52 million for 2025, $46 million for 2026, and $40 million for 2027.</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r>
              <w:rPr>
                <w:rFonts w:ascii="Arial" w:cs="Arial" w:eastAsia="Arial" w:hAnsi="Arial"/>
                <w:sz w:val="18"/>
                <w:szCs w:val="18"/>
                <w:color w:val="auto"/>
              </w:rPr>
              <w:t>The components of lease cost are presented below:</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5380" w:type="dxa"/>
            <w:vAlign w:val="bottom"/>
          </w:tcPr>
          <w:p>
            <w:pPr>
              <w:spacing w:after="0"/>
              <w:rPr>
                <w:sz w:val="21"/>
                <w:szCs w:val="21"/>
                <w:color w:val="auto"/>
              </w:rPr>
            </w:pPr>
          </w:p>
        </w:tc>
        <w:tc>
          <w:tcPr>
            <w:tcW w:w="2560" w:type="dxa"/>
            <w:vAlign w:val="bottom"/>
            <w:tcBorders>
              <w:bottom w:val="single" w:sz="8" w:color="0090DA"/>
            </w:tcBorders>
            <w:gridSpan w:val="3"/>
          </w:tcPr>
          <w:p>
            <w:pPr>
              <w:jc w:val="right"/>
              <w:ind w:right="41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266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2,</w:t>
            </w:r>
          </w:p>
        </w:tc>
        <w:tc>
          <w:tcPr>
            <w:tcW w:w="28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March 2,</w:t>
            </w:r>
          </w:p>
        </w:tc>
        <w:tc>
          <w:tcPr>
            <w:tcW w:w="280" w:type="dxa"/>
            <w:vAlign w:val="bottom"/>
          </w:tcPr>
          <w:p>
            <w:pPr>
              <w:spacing w:after="0"/>
              <w:rPr>
                <w:sz w:val="14"/>
                <w:szCs w:val="14"/>
                <w:color w:val="auto"/>
              </w:rPr>
            </w:pPr>
          </w:p>
        </w:tc>
        <w:tc>
          <w:tcPr>
            <w:tcW w:w="12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w:t>
            </w:r>
          </w:p>
        </w:tc>
      </w:tr>
      <w:tr>
        <w:trPr>
          <w:trHeight w:val="243"/>
        </w:trPr>
        <w:tc>
          <w:tcPr>
            <w:tcW w:w="538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5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5380" w:type="dxa"/>
            <w:vAlign w:val="bottom"/>
            <w:shd w:val="clear" w:color="auto" w:fill="DDDDDD"/>
          </w:tcPr>
          <w:p>
            <w:pPr>
              <w:ind w:left="20"/>
              <w:spacing w:after="0"/>
              <w:rPr>
                <w:sz w:val="20"/>
                <w:szCs w:val="20"/>
                <w:color w:val="auto"/>
              </w:rPr>
            </w:pPr>
            <w:r>
              <w:rPr>
                <w:rFonts w:ascii="Arial" w:cs="Arial" w:eastAsia="Arial" w:hAnsi="Arial"/>
                <w:sz w:val="18"/>
                <w:szCs w:val="18"/>
                <w:color w:val="auto"/>
              </w:rPr>
              <w:t>Finance lease cost</w:t>
            </w:r>
          </w:p>
        </w:tc>
        <w:tc>
          <w:tcPr>
            <w:tcW w:w="1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11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53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Interest on lease liabilities</w:t>
            </w:r>
          </w:p>
        </w:tc>
        <w:tc>
          <w:tcPr>
            <w:tcW w:w="1120" w:type="dxa"/>
            <w:vAlign w:val="bottom"/>
            <w:shd w:val="clear" w:color="auto" w:fill="DDDDDD"/>
          </w:tcPr>
          <w:p>
            <w:pPr>
              <w:spacing w:after="0"/>
              <w:rPr>
                <w:sz w:val="19"/>
                <w:szCs w:val="19"/>
                <w:color w:val="auto"/>
              </w:rPr>
            </w:pPr>
          </w:p>
        </w:tc>
        <w:tc>
          <w:tcPr>
            <w:tcW w:w="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c>
          <w:tcPr>
            <w:tcW w:w="1160" w:type="dxa"/>
            <w:vAlign w:val="bottom"/>
            <w:shd w:val="clear" w:color="auto" w:fill="DDDDDD"/>
          </w:tcPr>
          <w:p>
            <w:pPr>
              <w:spacing w:after="0"/>
              <w:rPr>
                <w:sz w:val="19"/>
                <w:szCs w:val="19"/>
                <w:color w:val="auto"/>
              </w:rPr>
            </w:pPr>
          </w:p>
        </w:tc>
        <w:tc>
          <w:tcPr>
            <w:tcW w:w="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380" w:type="dxa"/>
            <w:vAlign w:val="bottom"/>
            <w:tcBorders>
              <w:bottom w:val="single" w:sz="8" w:color="DDDDDD"/>
            </w:tcBorders>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48"/>
        </w:trPr>
        <w:tc>
          <w:tcPr>
            <w:tcW w:w="5380" w:type="dxa"/>
            <w:vAlign w:val="bottom"/>
            <w:tcBorders>
              <w:bottom w:val="single" w:sz="8" w:color="DDDDDD"/>
            </w:tcBorders>
            <w:shd w:val="clear" w:color="auto" w:fill="DDDDDD"/>
          </w:tcPr>
          <w:p>
            <w:pPr>
              <w:spacing w:after="0"/>
              <w:rPr>
                <w:sz w:val="21"/>
                <w:szCs w:val="21"/>
                <w:color w:val="auto"/>
              </w:rPr>
            </w:pPr>
          </w:p>
        </w:tc>
        <w:tc>
          <w:tcPr>
            <w:tcW w:w="1120" w:type="dxa"/>
            <w:vAlign w:val="bottom"/>
            <w:tcBorders>
              <w:bottom w:val="single" w:sz="8" w:color="auto"/>
            </w:tcBorders>
            <w:shd w:val="clear" w:color="auto" w:fill="DDDDDD"/>
          </w:tcPr>
          <w:p>
            <w:pPr>
              <w:jc w:val="right"/>
              <w:ind w:right="9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62</w:t>
            </w:r>
          </w:p>
        </w:tc>
        <w:tc>
          <w:tcPr>
            <w:tcW w:w="1160" w:type="dxa"/>
            <w:vAlign w:val="bottom"/>
            <w:tcBorders>
              <w:bottom w:val="single" w:sz="8" w:color="auto"/>
            </w:tcBorders>
            <w:shd w:val="clear" w:color="auto" w:fill="DDDDDD"/>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5380" w:type="dxa"/>
            <w:vAlign w:val="bottom"/>
            <w:tcBorders>
              <w:top w:val="single" w:sz="8" w:color="DDDDDD"/>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c>
          <w:tcPr>
            <w:tcW w:w="280" w:type="dxa"/>
            <w:vAlign w:val="bottom"/>
            <w:tcBorders>
              <w:top w:val="single" w:sz="8" w:color="DDDDDD"/>
              <w:bottom w:val="single" w:sz="8" w:color="auto"/>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1180" w:type="dxa"/>
            <w:vAlign w:val="bottom"/>
            <w:tcBorders>
              <w:top w:val="single" w:sz="8" w:color="DDDDDD"/>
              <w:bottom w:val="single" w:sz="8" w:color="auto"/>
            </w:tcBorders>
          </w:tcPr>
          <w:p>
            <w:pPr>
              <w:spacing w:after="0" w:line="20" w:lineRule="exact"/>
              <w:rPr>
                <w:sz w:val="1"/>
                <w:szCs w:val="1"/>
                <w:color w:val="auto"/>
              </w:rPr>
            </w:pPr>
          </w:p>
        </w:tc>
        <w:tc>
          <w:tcPr>
            <w:tcW w:w="28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Operating lease cost includes short-term and variable lease expenses, which were not material for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1660" w:type="dxa"/>
            <w:vAlign w:val="bottom"/>
          </w:tcPr>
          <w:p>
            <w:pPr>
              <w:spacing w:after="0"/>
              <w:rPr>
                <w:sz w:val="17"/>
                <w:szCs w:val="17"/>
                <w:color w:val="auto"/>
              </w:rPr>
            </w:pPr>
          </w:p>
        </w:tc>
        <w:tc>
          <w:tcPr>
            <w:tcW w:w="1180" w:type="dxa"/>
            <w:vAlign w:val="bottom"/>
          </w:tcPr>
          <w:p>
            <w:pPr>
              <w:jc w:val="right"/>
              <w:ind w:right="230"/>
              <w:spacing w:after="0" w:line="199" w:lineRule="exact"/>
              <w:rPr>
                <w:sz w:val="20"/>
                <w:szCs w:val="20"/>
                <w:color w:val="auto"/>
              </w:rPr>
            </w:pPr>
            <w:r>
              <w:rPr>
                <w:rFonts w:ascii="Arial" w:cs="Arial" w:eastAsia="Arial" w:hAnsi="Arial"/>
                <w:sz w:val="18"/>
                <w:szCs w:val="18"/>
                <w:b w:val="1"/>
                <w:bCs w:val="1"/>
                <w:color w:val="auto"/>
              </w:rPr>
              <w:t>March 2,</w:t>
            </w:r>
          </w:p>
        </w:tc>
        <w:tc>
          <w:tcPr>
            <w:tcW w:w="280" w:type="dxa"/>
            <w:vAlign w:val="bottom"/>
          </w:tcPr>
          <w:p>
            <w:pPr>
              <w:spacing w:after="0"/>
              <w:rPr>
                <w:sz w:val="17"/>
                <w:szCs w:val="17"/>
                <w:color w:val="auto"/>
              </w:rPr>
            </w:pPr>
          </w:p>
        </w:tc>
        <w:tc>
          <w:tcPr>
            <w:tcW w:w="1200" w:type="dxa"/>
            <w:vAlign w:val="bottom"/>
          </w:tcPr>
          <w:p>
            <w:pPr>
              <w:jc w:val="right"/>
              <w:ind w:right="270"/>
              <w:spacing w:after="0" w:line="199" w:lineRule="exact"/>
              <w:rPr>
                <w:sz w:val="20"/>
                <w:szCs w:val="20"/>
                <w:color w:val="auto"/>
              </w:rPr>
            </w:pPr>
            <w:r>
              <w:rPr>
                <w:rFonts w:ascii="Arial" w:cs="Arial" w:eastAsia="Arial" w:hAnsi="Arial"/>
                <w:sz w:val="18"/>
                <w:szCs w:val="18"/>
                <w:b w:val="1"/>
                <w:bCs w:val="1"/>
                <w:color w:val="auto"/>
              </w:rPr>
              <w:t>March 3,</w:t>
            </w:r>
          </w:p>
        </w:tc>
        <w:tc>
          <w:tcPr>
            <w:tcW w:w="0" w:type="dxa"/>
            <w:vAlign w:val="bottom"/>
          </w:tcPr>
          <w:p>
            <w:pPr>
              <w:spacing w:after="0"/>
              <w:rPr>
                <w:sz w:val="1"/>
                <w:szCs w:val="1"/>
                <w:color w:val="auto"/>
              </w:rPr>
            </w:pPr>
          </w:p>
        </w:tc>
      </w:tr>
      <w:tr>
        <w:trPr>
          <w:trHeight w:val="243"/>
        </w:trPr>
        <w:tc>
          <w:tcPr>
            <w:tcW w:w="6920" w:type="dxa"/>
            <w:vAlign w:val="bottom"/>
            <w:tcBorders>
              <w:bottom w:val="single" w:sz="8" w:color="0090DA"/>
            </w:tcBorders>
            <w:vMerge w:val="continue"/>
          </w:tcPr>
          <w:p>
            <w:pPr>
              <w:spacing w:after="0"/>
              <w:rPr>
                <w:sz w:val="21"/>
                <w:szCs w:val="21"/>
                <w:color w:val="auto"/>
              </w:rPr>
            </w:pPr>
          </w:p>
        </w:tc>
        <w:tc>
          <w:tcPr>
            <w:tcW w:w="166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6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166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92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Operating leases</w:t>
            </w:r>
          </w:p>
        </w:tc>
        <w:tc>
          <w:tcPr>
            <w:tcW w:w="166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 – Finance leases</w:t>
            </w:r>
          </w:p>
        </w:tc>
        <w:tc>
          <w:tcPr>
            <w:tcW w:w="1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9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166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692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Operating leases</w:t>
            </w:r>
          </w:p>
        </w:tc>
        <w:tc>
          <w:tcPr>
            <w:tcW w:w="166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4"/>
          </w:tcPr>
          <w:p>
            <w:pPr>
              <w:ind w:left="80"/>
              <w:spacing w:after="0"/>
              <w:rPr>
                <w:sz w:val="20"/>
                <w:szCs w:val="20"/>
                <w:color w:val="auto"/>
              </w:rPr>
            </w:pPr>
            <w:r>
              <w:rPr>
                <w:rFonts w:ascii="Arial" w:cs="Arial" w:eastAsia="Arial" w:hAnsi="Arial"/>
                <w:sz w:val="16"/>
                <w:szCs w:val="16"/>
                <w:b w:val="1"/>
                <w:bCs w:val="1"/>
                <w:color w:val="0090DA"/>
                <w:w w:val="99"/>
              </w:rPr>
              <w:t>Table of Contents</w:t>
            </w:r>
          </w:p>
        </w:tc>
        <w:tc>
          <w:tcPr>
            <w:tcW w:w="0" w:type="dxa"/>
            <w:vAlign w:val="bottom"/>
          </w:tcPr>
          <w:p>
            <w:pPr>
              <w:spacing w:after="0"/>
              <w:rPr>
                <w:sz w:val="1"/>
                <w:szCs w:val="1"/>
                <w:color w:val="auto"/>
              </w:rPr>
            </w:pPr>
          </w:p>
        </w:tc>
      </w:tr>
      <w:tr>
        <w:trPr>
          <w:trHeight w:val="848"/>
        </w:trPr>
        <w:tc>
          <w:tcPr>
            <w:tcW w:w="75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0090DA"/>
            </w:tcBorders>
          </w:tcPr>
          <w:p>
            <w:pPr>
              <w:spacing w:after="0"/>
              <w:rPr>
                <w:sz w:val="24"/>
                <w:szCs w:val="24"/>
                <w:color w:val="auto"/>
              </w:rPr>
            </w:pPr>
          </w:p>
        </w:tc>
        <w:tc>
          <w:tcPr>
            <w:tcW w:w="1220" w:type="dxa"/>
            <w:vAlign w:val="bottom"/>
            <w:tcBorders>
              <w:top w:val="single" w:sz="8" w:color="0090DA"/>
            </w:tcBorders>
          </w:tcPr>
          <w:p>
            <w:pPr>
              <w:spacing w:after="0"/>
              <w:rPr>
                <w:sz w:val="24"/>
                <w:szCs w:val="24"/>
                <w:color w:val="auto"/>
              </w:rPr>
            </w:pPr>
          </w:p>
        </w:tc>
        <w:tc>
          <w:tcPr>
            <w:tcW w:w="2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500" w:type="dxa"/>
            <w:vAlign w:val="bottom"/>
            <w:vMerge w:val="restart"/>
          </w:tcPr>
          <w:p>
            <w:pPr>
              <w:spacing w:after="0"/>
              <w:rPr>
                <w:sz w:val="20"/>
                <w:szCs w:val="20"/>
                <w:color w:val="auto"/>
              </w:rPr>
            </w:pPr>
            <w:r>
              <w:rPr>
                <w:rFonts w:ascii="Arial" w:cs="Arial" w:eastAsia="Arial" w:hAnsi="Arial"/>
                <w:sz w:val="18"/>
                <w:szCs w:val="18"/>
                <w:b w:val="1"/>
                <w:bCs w:val="1"/>
                <w:color w:val="auto"/>
              </w:rPr>
              <w:t>As of</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10"/>
              <w:spacing w:after="0" w:line="199" w:lineRule="exact"/>
              <w:rPr>
                <w:sz w:val="20"/>
                <w:szCs w:val="20"/>
                <w:color w:val="auto"/>
              </w:rPr>
            </w:pPr>
            <w:r>
              <w:rPr>
                <w:rFonts w:ascii="Arial" w:cs="Arial" w:eastAsia="Arial" w:hAnsi="Arial"/>
                <w:sz w:val="18"/>
                <w:szCs w:val="18"/>
                <w:b w:val="1"/>
                <w:bCs w:val="1"/>
                <w:color w:val="auto"/>
                <w:w w:val="95"/>
              </w:rPr>
              <w:t>March 2,</w:t>
            </w:r>
          </w:p>
        </w:tc>
        <w:tc>
          <w:tcPr>
            <w:tcW w:w="400" w:type="dxa"/>
            <w:vAlign w:val="bottom"/>
          </w:tcPr>
          <w:p>
            <w:pPr>
              <w:spacing w:after="0"/>
              <w:rPr>
                <w:sz w:val="17"/>
                <w:szCs w:val="17"/>
                <w:color w:val="auto"/>
              </w:rPr>
            </w:pPr>
          </w:p>
        </w:tc>
        <w:tc>
          <w:tcPr>
            <w:tcW w:w="1440" w:type="dxa"/>
            <w:vAlign w:val="bottom"/>
            <w:gridSpan w:val="4"/>
          </w:tcPr>
          <w:p>
            <w:pPr>
              <w:ind w:left="60"/>
              <w:spacing w:after="0" w:line="199" w:lineRule="exact"/>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00" w:type="dxa"/>
            <w:vAlign w:val="bottom"/>
            <w:tcBorders>
              <w:bottom w:val="single" w:sz="8" w:color="0090DA"/>
            </w:tcBorders>
            <w:vMerge w:val="continue"/>
          </w:tcPr>
          <w:p>
            <w:pPr>
              <w:spacing w:after="0"/>
              <w:rPr>
                <w:sz w:val="21"/>
                <w:szCs w:val="21"/>
                <w:color w:val="auto"/>
              </w:rPr>
            </w:pPr>
          </w:p>
        </w:tc>
        <w:tc>
          <w:tcPr>
            <w:tcW w:w="82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92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0090DA"/>
            </w:tcBorders>
          </w:tcPr>
          <w:p>
            <w:pPr>
              <w:spacing w:after="0"/>
              <w:rPr>
                <w:sz w:val="21"/>
                <w:szCs w:val="21"/>
                <w:color w:val="auto"/>
              </w:rPr>
            </w:pPr>
          </w:p>
        </w:tc>
        <w:tc>
          <w:tcPr>
            <w:tcW w:w="8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spacing w:after="0"/>
              <w:rPr>
                <w:sz w:val="20"/>
                <w:szCs w:val="20"/>
                <w:color w:val="auto"/>
              </w:rPr>
            </w:pPr>
            <w:r>
              <w:rPr>
                <w:rFonts w:ascii="Arial" w:cs="Arial" w:eastAsia="Arial" w:hAnsi="Arial"/>
                <w:sz w:val="18"/>
                <w:szCs w:val="18"/>
                <w:color w:val="auto"/>
              </w:rPr>
              <w:t>Finance lease right-of-use assets (included in property, plant, and equipment)</w:t>
            </w:r>
          </w:p>
        </w:tc>
        <w:tc>
          <w:tcPr>
            <w:tcW w:w="8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1,084</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500" w:type="dxa"/>
            <w:vAlign w:val="bottom"/>
            <w:shd w:val="clear" w:color="auto" w:fill="D1D2D4"/>
          </w:tcPr>
          <w:p>
            <w:pPr>
              <w:spacing w:after="0"/>
              <w:rPr>
                <w:sz w:val="23"/>
                <w:szCs w:val="23"/>
                <w:color w:val="auto"/>
              </w:rPr>
            </w:pPr>
          </w:p>
        </w:tc>
        <w:tc>
          <w:tcPr>
            <w:tcW w:w="820" w:type="dxa"/>
            <w:vAlign w:val="bottom"/>
            <w:shd w:val="clear" w:color="auto" w:fill="D1D2D4"/>
          </w:tcPr>
          <w:p>
            <w:pPr>
              <w:spacing w:after="0"/>
              <w:rPr>
                <w:sz w:val="23"/>
                <w:szCs w:val="23"/>
                <w:color w:val="auto"/>
              </w:rPr>
            </w:pPr>
          </w:p>
        </w:tc>
        <w:tc>
          <w:tcPr>
            <w:tcW w:w="120" w:type="dxa"/>
            <w:vAlign w:val="bottom"/>
            <w:shd w:val="clear" w:color="auto" w:fill="D1D2D4"/>
          </w:tcPr>
          <w:p>
            <w:pPr>
              <w:spacing w:after="0"/>
              <w:rPr>
                <w:sz w:val="23"/>
                <w:szCs w:val="23"/>
                <w:color w:val="auto"/>
              </w:rPr>
            </w:pPr>
          </w:p>
        </w:tc>
        <w:tc>
          <w:tcPr>
            <w:tcW w:w="920" w:type="dxa"/>
            <w:vAlign w:val="bottom"/>
            <w:shd w:val="clear" w:color="auto" w:fill="D1D2D4"/>
          </w:tcPr>
          <w:p>
            <w:pPr>
              <w:spacing w:after="0"/>
              <w:rPr>
                <w:sz w:val="23"/>
                <w:szCs w:val="23"/>
                <w:color w:val="auto"/>
              </w:rPr>
            </w:pPr>
          </w:p>
        </w:tc>
        <w:tc>
          <w:tcPr>
            <w:tcW w:w="400" w:type="dxa"/>
            <w:vAlign w:val="bottom"/>
            <w:shd w:val="clear" w:color="auto" w:fill="D1D2D4"/>
          </w:tcPr>
          <w:p>
            <w:pPr>
              <w:spacing w:after="0"/>
              <w:rPr>
                <w:sz w:val="23"/>
                <w:szCs w:val="23"/>
                <w:color w:val="auto"/>
              </w:rPr>
            </w:pPr>
          </w:p>
        </w:tc>
        <w:tc>
          <w:tcPr>
            <w:tcW w:w="80" w:type="dxa"/>
            <w:vAlign w:val="bottom"/>
            <w:shd w:val="clear" w:color="auto" w:fill="D1D2D4"/>
          </w:tcPr>
          <w:p>
            <w:pPr>
              <w:spacing w:after="0"/>
              <w:rPr>
                <w:sz w:val="23"/>
                <w:szCs w:val="23"/>
                <w:color w:val="auto"/>
              </w:rPr>
            </w:pPr>
          </w:p>
        </w:tc>
        <w:tc>
          <w:tcPr>
            <w:tcW w:w="120" w:type="dxa"/>
            <w:vAlign w:val="bottom"/>
            <w:shd w:val="clear" w:color="auto" w:fill="D1D2D4"/>
          </w:tcPr>
          <w:p>
            <w:pPr>
              <w:spacing w:after="0"/>
              <w:rPr>
                <w:sz w:val="23"/>
                <w:szCs w:val="23"/>
                <w:color w:val="auto"/>
              </w:rPr>
            </w:pPr>
          </w:p>
        </w:tc>
        <w:tc>
          <w:tcPr>
            <w:tcW w:w="1220" w:type="dxa"/>
            <w:vAlign w:val="bottom"/>
            <w:shd w:val="clear" w:color="auto" w:fill="D1D2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Finance leases</w:t>
            </w:r>
          </w:p>
        </w:tc>
        <w:tc>
          <w:tcPr>
            <w:tcW w:w="8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gridSpan w:val="2"/>
            <w:shd w:val="clear" w:color="auto" w:fill="D1D2D4"/>
          </w:tcPr>
          <w:p>
            <w:pPr>
              <w:jc w:val="right"/>
              <w:ind w:right="210"/>
              <w:spacing w:after="0"/>
              <w:rPr>
                <w:sz w:val="20"/>
                <w:szCs w:val="20"/>
                <w:color w:val="auto"/>
              </w:rPr>
            </w:pPr>
            <w:r>
              <w:rPr>
                <w:rFonts w:ascii="Arial" w:cs="Arial" w:eastAsia="Arial" w:hAnsi="Arial"/>
                <w:sz w:val="18"/>
                <w:szCs w:val="18"/>
                <w:color w:val="auto"/>
              </w:rPr>
              <w:t>10</w:t>
            </w:r>
          </w:p>
        </w:tc>
        <w:tc>
          <w:tcPr>
            <w:tcW w:w="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center"/>
              <w:ind w:left="690"/>
              <w:spacing w:after="0"/>
              <w:rPr>
                <w:sz w:val="20"/>
                <w:szCs w:val="20"/>
                <w:color w:val="auto"/>
              </w:rPr>
            </w:pPr>
            <w:r>
              <w:rPr>
                <w:rFonts w:ascii="Arial" w:cs="Arial" w:eastAsia="Arial" w:hAnsi="Arial"/>
                <w:sz w:val="18"/>
                <w:szCs w:val="18"/>
                <w:color w:val="auto"/>
                <w:w w:val="99"/>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left="690"/>
              <w:spacing w:after="0"/>
              <w:rPr>
                <w:sz w:val="20"/>
                <w:szCs w:val="20"/>
                <w:color w:val="auto"/>
              </w:rPr>
            </w:pPr>
            <w:r>
              <w:rPr>
                <w:rFonts w:ascii="Arial" w:cs="Arial" w:eastAsia="Arial" w:hAnsi="Arial"/>
                <w:sz w:val="18"/>
                <w:szCs w:val="18"/>
                <w:color w:val="auto"/>
                <w:w w:val="99"/>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spacing w:after="0"/>
              <w:rPr>
                <w:sz w:val="20"/>
                <w:szCs w:val="20"/>
                <w:color w:val="auto"/>
              </w:rPr>
            </w:pPr>
            <w:r>
              <w:rPr>
                <w:rFonts w:ascii="Arial" w:cs="Arial" w:eastAsia="Arial" w:hAnsi="Arial"/>
                <w:sz w:val="18"/>
                <w:szCs w:val="18"/>
                <w:color w:val="auto"/>
              </w:rPr>
              <w:t>Weighted-average discount rate</w:t>
            </w:r>
          </w:p>
        </w:tc>
        <w:tc>
          <w:tcPr>
            <w:tcW w:w="8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4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2.40 %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Operating leases</w:t>
            </w:r>
          </w:p>
        </w:tc>
        <w:tc>
          <w:tcPr>
            <w:tcW w:w="8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3.06 %</w:t>
            </w:r>
          </w:p>
        </w:tc>
        <w:tc>
          <w:tcPr>
            <w:tcW w:w="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8"/>
        </w:trPr>
        <w:tc>
          <w:tcPr>
            <w:tcW w:w="7540" w:type="dxa"/>
            <w:vAlign w:val="bottom"/>
            <w:gridSpan w:val="2"/>
          </w:tcPr>
          <w:p>
            <w:pPr>
              <w:spacing w:after="0"/>
              <w:rPr>
                <w:sz w:val="20"/>
                <w:szCs w:val="20"/>
                <w:color w:val="auto"/>
              </w:rPr>
            </w:pPr>
            <w:r>
              <w:rPr>
                <w:rFonts w:ascii="Arial" w:cs="Arial" w:eastAsia="Arial" w:hAnsi="Arial"/>
                <w:sz w:val="18"/>
                <w:szCs w:val="18"/>
                <w:color w:val="auto"/>
              </w:rPr>
              <w:t>As of March 2, 2023, maturities of lease liabilities by fiscal year were as follows: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820" w:type="dxa"/>
            <w:vAlign w:val="bottom"/>
          </w:tcPr>
          <w:p>
            <w:pPr>
              <w:spacing w:after="0"/>
              <w:rPr>
                <w:sz w:val="17"/>
                <w:szCs w:val="17"/>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Finance Leases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00"/>
              <w:spacing w:after="0" w:line="199" w:lineRule="exact"/>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0090DA"/>
            </w:tcBorders>
            <w:gridSpan w:val="2"/>
            <w:vMerge w:val="continue"/>
          </w:tcPr>
          <w:p>
            <w:pPr>
              <w:spacing w:after="0"/>
              <w:rPr>
                <w:sz w:val="21"/>
                <w:szCs w:val="21"/>
                <w:color w:val="auto"/>
              </w:rPr>
            </w:pPr>
          </w:p>
        </w:tc>
        <w:tc>
          <w:tcPr>
            <w:tcW w:w="820" w:type="dxa"/>
            <w:vAlign w:val="bottom"/>
            <w:tcBorders>
              <w:bottom w:val="single" w:sz="8" w:color="0090DA"/>
            </w:tcBorders>
          </w:tcPr>
          <w:p>
            <w:pPr>
              <w:spacing w:after="0"/>
              <w:rPr>
                <w:sz w:val="21"/>
                <w:szCs w:val="21"/>
                <w:color w:val="auto"/>
              </w:rPr>
            </w:pPr>
          </w:p>
        </w:tc>
        <w:tc>
          <w:tcPr>
            <w:tcW w:w="1440" w:type="dxa"/>
            <w:vAlign w:val="bottom"/>
            <w:tcBorders>
              <w:bottom w:val="single" w:sz="8" w:color="0090DA"/>
            </w:tcBorders>
            <w:gridSpan w:val="3"/>
            <w:vMerge w:val="continue"/>
          </w:tcPr>
          <w:p>
            <w:pPr>
              <w:spacing w:after="0"/>
              <w:rPr>
                <w:sz w:val="21"/>
                <w:szCs w:val="21"/>
                <w:color w:val="auto"/>
              </w:rPr>
            </w:pPr>
          </w:p>
        </w:tc>
        <w:tc>
          <w:tcPr>
            <w:tcW w:w="8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240" w:type="dxa"/>
            <w:vAlign w:val="bottom"/>
            <w:tcBorders>
              <w:bottom w:val="single" w:sz="8" w:color="0090DA"/>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Leases</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Remainder of 2023</w:t>
            </w:r>
          </w:p>
        </w:tc>
        <w:tc>
          <w:tcPr>
            <w:tcW w:w="9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w:t>
            </w:r>
          </w:p>
        </w:tc>
        <w:tc>
          <w:tcPr>
            <w:tcW w:w="20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8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138</w:t>
            </w:r>
          </w:p>
        </w:tc>
        <w:tc>
          <w:tcPr>
            <w:tcW w:w="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8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126</w:t>
            </w:r>
          </w:p>
        </w:tc>
        <w:tc>
          <w:tcPr>
            <w:tcW w:w="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2028 and thereafter</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619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820" w:type="dxa"/>
            <w:vAlign w:val="bottom"/>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bottom w:val="single" w:sz="8" w:color="auto"/>
            </w:tcBorders>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center"/>
              <w:ind w:left="710"/>
              <w:spacing w:after="0"/>
              <w:rPr>
                <w:sz w:val="20"/>
                <w:szCs w:val="20"/>
                <w:color w:val="auto"/>
              </w:rPr>
            </w:pPr>
            <w:r>
              <w:rPr>
                <w:rFonts w:ascii="Arial" w:cs="Arial" w:eastAsia="Arial" w:hAnsi="Arial"/>
                <w:sz w:val="18"/>
                <w:szCs w:val="18"/>
                <w:color w:val="auto"/>
                <w:w w:val="99"/>
              </w:rPr>
              <w:t>(156)</w:t>
            </w:r>
          </w:p>
        </w:tc>
        <w:tc>
          <w:tcPr>
            <w:tcW w:w="20" w:type="dxa"/>
            <w:vAlign w:val="bottom"/>
            <w:tcBorders>
              <w:bottom w:val="single" w:sz="8" w:color="auto"/>
            </w:tcBorders>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1,071</w:t>
            </w: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table above excludes obligations for leases that have been executed but have not yet commenced. As of March 2, 2023, excluded obligations consisted of $ 195 million of estimated finance lease payments over a weighted-average period of 11 years for gas supply arrangements deemed to contain embedded leases and equipment leases. We will recognize right-of-use assets and associated lease liabilities at the time such assets become available for our use.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2,</w:t>
            </w:r>
          </w:p>
        </w:tc>
        <w:tc>
          <w:tcPr>
            <w:tcW w:w="18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1,689</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1,712</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1020" w:type="dxa"/>
            <w:vAlign w:val="bottom"/>
            <w:tcBorders>
              <w:bottom w:val="single" w:sz="8" w:color="0090DA"/>
            </w:tcBorders>
          </w:tcPr>
          <w:p>
            <w:pPr>
              <w:spacing w:after="0"/>
              <w:rPr>
                <w:sz w:val="18"/>
                <w:szCs w:val="18"/>
                <w:color w:val="auto"/>
              </w:rPr>
            </w:pPr>
          </w:p>
        </w:tc>
        <w:tc>
          <w:tcPr>
            <w:tcW w:w="2040" w:type="dxa"/>
            <w:vAlign w:val="bottom"/>
            <w:tcBorders>
              <w:bottom w:val="single" w:sz="8" w:color="0090DA"/>
            </w:tcBorders>
            <w:gridSpan w:val="4"/>
          </w:tcPr>
          <w:p>
            <w:pPr>
              <w:jc w:val="right"/>
              <w:ind w:right="10"/>
              <w:spacing w:after="0"/>
              <w:rPr>
                <w:sz w:val="20"/>
                <w:szCs w:val="20"/>
                <w:color w:val="auto"/>
              </w:rPr>
            </w:pPr>
            <w:r>
              <w:rPr>
                <w:rFonts w:ascii="Arial" w:cs="Arial" w:eastAsia="Arial" w:hAnsi="Arial"/>
                <w:sz w:val="18"/>
                <w:szCs w:val="18"/>
                <w:b w:val="1"/>
                <w:bCs w:val="1"/>
                <w:color w:val="auto"/>
              </w:rPr>
              <w:t>March 2, 2023</w:t>
            </w:r>
          </w:p>
        </w:tc>
        <w:tc>
          <w:tcPr>
            <w:tcW w:w="720" w:type="dxa"/>
            <w:vAlign w:val="bottom"/>
            <w:tcBorders>
              <w:bottom w:val="single" w:sz="8" w:color="0090DA"/>
            </w:tcBorders>
          </w:tcPr>
          <w:p>
            <w:pPr>
              <w:spacing w:after="0"/>
              <w:rPr>
                <w:sz w:val="18"/>
                <w:szCs w:val="18"/>
                <w:color w:val="auto"/>
              </w:rPr>
            </w:pPr>
          </w:p>
        </w:tc>
        <w:tc>
          <w:tcPr>
            <w:tcW w:w="220" w:type="dxa"/>
            <w:vAlign w:val="bottom"/>
            <w:tcBorders>
              <w:bottom w:val="single" w:sz="8" w:color="0090DA"/>
            </w:tcBorders>
          </w:tcPr>
          <w:p>
            <w:pPr>
              <w:spacing w:after="0"/>
              <w:rPr>
                <w:sz w:val="18"/>
                <w:szCs w:val="18"/>
                <w:color w:val="auto"/>
              </w:rPr>
            </w:pPr>
          </w:p>
        </w:tc>
        <w:tc>
          <w:tcPr>
            <w:tcW w:w="720" w:type="dxa"/>
            <w:vAlign w:val="bottom"/>
            <w:tcBorders>
              <w:bottom w:val="single" w:sz="8" w:color="0090DA"/>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0090DA"/>
            </w:tcBorders>
          </w:tcPr>
          <w:p>
            <w:pPr>
              <w:spacing w:after="0"/>
              <w:rPr>
                <w:sz w:val="18"/>
                <w:szCs w:val="18"/>
                <w:color w:val="auto"/>
              </w:rPr>
            </w:pPr>
          </w:p>
        </w:tc>
        <w:tc>
          <w:tcPr>
            <w:tcW w:w="2600" w:type="dxa"/>
            <w:vAlign w:val="bottom"/>
            <w:tcBorders>
              <w:bottom w:val="single" w:sz="8" w:color="0090DA"/>
            </w:tcBorders>
            <w:gridSpan w:val="5"/>
          </w:tcPr>
          <w:p>
            <w:pPr>
              <w:jc w:val="center"/>
              <w:ind w:right="10"/>
              <w:spacing w:after="0"/>
              <w:rPr>
                <w:sz w:val="20"/>
                <w:szCs w:val="20"/>
                <w:color w:val="auto"/>
              </w:rPr>
            </w:pPr>
            <w:r>
              <w:rPr>
                <w:rFonts w:ascii="Arial" w:cs="Arial" w:eastAsia="Arial" w:hAnsi="Arial"/>
                <w:sz w:val="18"/>
                <w:szCs w:val="18"/>
                <w:b w:val="1"/>
                <w:bCs w:val="1"/>
                <w:color w:val="auto"/>
                <w:w w:val="99"/>
              </w:rPr>
              <w:t>September 1, 2022</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60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10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60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77"/>
        </w:trPr>
        <w:tc>
          <w:tcPr>
            <w:tcW w:w="3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rPr>
              <w:t>Stated</w:t>
            </w:r>
          </w:p>
        </w:tc>
        <w:tc>
          <w:tcPr>
            <w:tcW w:w="98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Effective</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5"/>
                <w:szCs w:val="15"/>
                <w:color w:val="auto"/>
              </w:rPr>
            </w:pPr>
          </w:p>
        </w:tc>
        <w:tc>
          <w:tcPr>
            <w:tcW w:w="720" w:type="dxa"/>
            <w:vAlign w:val="bottom"/>
          </w:tcPr>
          <w:p>
            <w:pPr>
              <w:jc w:val="center"/>
              <w:ind w:right="1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200" w:type="dxa"/>
            <w:vAlign w:val="bottom"/>
          </w:tcPr>
          <w:p>
            <w:pPr>
              <w:spacing w:after="0"/>
              <w:rPr>
                <w:sz w:val="15"/>
                <w:szCs w:val="15"/>
                <w:color w:val="auto"/>
              </w:rPr>
            </w:pPr>
          </w:p>
        </w:tc>
        <w:tc>
          <w:tcPr>
            <w:tcW w:w="700" w:type="dxa"/>
            <w:vAlign w:val="bottom"/>
          </w:tcPr>
          <w:p>
            <w:pPr>
              <w:jc w:val="center"/>
              <w:ind w:right="3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3700" w:type="dxa"/>
            <w:vAlign w:val="bottom"/>
            <w:vMerge w:val="continue"/>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Rate</w:t>
            </w: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Term</w:t>
            </w:r>
          </w:p>
        </w:tc>
        <w:tc>
          <w:tcPr>
            <w:tcW w:w="22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70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5.340 %</w:t>
            </w:r>
          </w:p>
        </w:tc>
        <w:tc>
          <w:tcPr>
            <w:tcW w:w="11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5.38 % $</w:t>
            </w:r>
          </w:p>
        </w:tc>
        <w:tc>
          <w:tcPr>
            <w:tcW w:w="9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2025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5.968 %</w:t>
            </w:r>
          </w:p>
        </w:tc>
        <w:tc>
          <w:tcPr>
            <w:tcW w:w="980" w:type="dxa"/>
            <w:vAlign w:val="bottom"/>
          </w:tcPr>
          <w:p>
            <w:pPr>
              <w:jc w:val="right"/>
              <w:spacing w:after="0"/>
              <w:rPr>
                <w:sz w:val="20"/>
                <w:szCs w:val="20"/>
                <w:color w:val="auto"/>
              </w:rPr>
            </w:pPr>
            <w:r>
              <w:rPr>
                <w:rFonts w:ascii="Arial" w:cs="Arial" w:eastAsia="Arial" w:hAnsi="Arial"/>
                <w:sz w:val="18"/>
                <w:szCs w:val="18"/>
                <w:color w:val="auto"/>
              </w:rPr>
              <w:t>6.10 %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6.093 %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6.23 %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2027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6.218 %</w:t>
            </w:r>
          </w:p>
        </w:tc>
        <w:tc>
          <w:tcPr>
            <w:tcW w:w="980" w:type="dxa"/>
            <w:vAlign w:val="bottom"/>
          </w:tcPr>
          <w:p>
            <w:pPr>
              <w:jc w:val="right"/>
              <w:spacing w:after="0"/>
              <w:rPr>
                <w:sz w:val="20"/>
                <w:szCs w:val="20"/>
                <w:color w:val="auto"/>
              </w:rPr>
            </w:pPr>
            <w:r>
              <w:rPr>
                <w:rFonts w:ascii="Arial" w:cs="Arial" w:eastAsia="Arial" w:hAnsi="Arial"/>
                <w:sz w:val="18"/>
                <w:szCs w:val="18"/>
                <w:color w:val="auto"/>
              </w:rPr>
              <w:t>6.36 %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tcPr>
          <w:p>
            <w:pPr>
              <w:jc w:val="right"/>
              <w:spacing w:after="0"/>
              <w:rPr>
                <w:sz w:val="20"/>
                <w:szCs w:val="20"/>
                <w:color w:val="auto"/>
              </w:rPr>
            </w:pPr>
            <w:r>
              <w:rPr>
                <w:rFonts w:ascii="Arial" w:cs="Arial" w:eastAsia="Arial" w:hAnsi="Arial"/>
                <w:sz w:val="18"/>
                <w:szCs w:val="18"/>
                <w:color w:val="auto"/>
              </w:rPr>
              <w:t>4.27 %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A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2029 B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6.750 %</w:t>
            </w:r>
          </w:p>
        </w:tc>
        <w:tc>
          <w:tcPr>
            <w:tcW w:w="980" w:type="dxa"/>
            <w:vAlign w:val="bottom"/>
          </w:tcPr>
          <w:p>
            <w:pPr>
              <w:jc w:val="right"/>
              <w:spacing w:after="0"/>
              <w:rPr>
                <w:sz w:val="20"/>
                <w:szCs w:val="20"/>
                <w:color w:val="auto"/>
              </w:rPr>
            </w:pPr>
            <w:r>
              <w:rPr>
                <w:rFonts w:ascii="Arial" w:cs="Arial" w:eastAsia="Arial" w:hAnsi="Arial"/>
                <w:sz w:val="18"/>
                <w:szCs w:val="18"/>
                <w:color w:val="auto"/>
              </w:rPr>
              <w:t>6.54 %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2032 Green Bonds</w:t>
            </w:r>
          </w:p>
        </w:tc>
        <w:tc>
          <w:tcPr>
            <w:tcW w:w="1020" w:type="dxa"/>
            <w:vAlign w:val="bottom"/>
          </w:tcPr>
          <w:p>
            <w:pPr>
              <w:jc w:val="right"/>
              <w:spacing w:after="0"/>
              <w:rPr>
                <w:sz w:val="20"/>
                <w:szCs w:val="20"/>
                <w:color w:val="auto"/>
              </w:rPr>
            </w:pPr>
            <w:r>
              <w:rPr>
                <w:rFonts w:ascii="Arial" w:cs="Arial" w:eastAsia="Arial" w:hAnsi="Arial"/>
                <w:sz w:val="18"/>
                <w:szCs w:val="18"/>
                <w:color w:val="auto"/>
              </w:rPr>
              <w:t>2.703 %</w:t>
            </w:r>
          </w:p>
        </w:tc>
        <w:tc>
          <w:tcPr>
            <w:tcW w:w="980" w:type="dxa"/>
            <w:vAlign w:val="bottom"/>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2041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3.366 %</w:t>
            </w:r>
          </w:p>
        </w:tc>
        <w:tc>
          <w:tcPr>
            <w:tcW w:w="980" w:type="dxa"/>
            <w:vAlign w:val="bottom"/>
          </w:tcPr>
          <w:p>
            <w:pPr>
              <w:jc w:val="right"/>
              <w:spacing w:after="0"/>
              <w:rPr>
                <w:sz w:val="20"/>
                <w:szCs w:val="20"/>
                <w:color w:val="auto"/>
              </w:rPr>
            </w:pPr>
            <w:r>
              <w:rPr>
                <w:rFonts w:ascii="Arial" w:cs="Arial" w:eastAsia="Arial" w:hAnsi="Arial"/>
                <w:sz w:val="18"/>
                <w:szCs w:val="18"/>
                <w:color w:val="auto"/>
              </w:rPr>
              <w:t>3.41 %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2051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3.477 %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N/A</w:t>
            </w:r>
          </w:p>
        </w:tc>
        <w:tc>
          <w:tcPr>
            <w:tcW w:w="9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D1D2D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D1D2D4"/>
            </w:tcBorders>
            <w:shd w:val="clear" w:color="auto" w:fill="D1D2D4"/>
          </w:tcPr>
          <w:p>
            <w:pPr>
              <w:spacing w:after="0"/>
              <w:rPr>
                <w:sz w:val="21"/>
                <w:szCs w:val="21"/>
                <w:color w:val="auto"/>
              </w:rPr>
            </w:pPr>
          </w:p>
        </w:tc>
        <w:tc>
          <w:tcPr>
            <w:tcW w:w="1020" w:type="dxa"/>
            <w:vAlign w:val="bottom"/>
            <w:tcBorders>
              <w:bottom w:val="single" w:sz="8" w:color="D1D2D4"/>
            </w:tcBorders>
            <w:shd w:val="clear" w:color="auto" w:fill="D1D2D4"/>
          </w:tcPr>
          <w:p>
            <w:pPr>
              <w:spacing w:after="0"/>
              <w:rPr>
                <w:sz w:val="21"/>
                <w:szCs w:val="21"/>
                <w:color w:val="auto"/>
              </w:rPr>
            </w:pPr>
          </w:p>
        </w:tc>
        <w:tc>
          <w:tcPr>
            <w:tcW w:w="98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12,037</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12,274</w:t>
            </w:r>
          </w:p>
        </w:tc>
        <w:tc>
          <w:tcPr>
            <w:tcW w:w="10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6,803</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0"/>
        </w:trPr>
        <w:tc>
          <w:tcPr>
            <w:tcW w:w="3700" w:type="dxa"/>
            <w:vAlign w:val="bottom"/>
            <w:tcBorders>
              <w:top w:val="single" w:sz="8" w:color="D1D2D4"/>
            </w:tcBorders>
          </w:tcPr>
          <w:p>
            <w:pPr>
              <w:spacing w:after="0" w:line="20" w:lineRule="exact"/>
              <w:rPr>
                <w:sz w:val="1"/>
                <w:szCs w:val="1"/>
                <w:color w:val="auto"/>
              </w:rPr>
            </w:pPr>
          </w:p>
        </w:tc>
        <w:tc>
          <w:tcPr>
            <w:tcW w:w="1020" w:type="dxa"/>
            <w:vAlign w:val="bottom"/>
            <w:tcBorders>
              <w:top w:val="single" w:sz="8" w:color="D1D2D4"/>
            </w:tcBorders>
          </w:tcPr>
          <w:p>
            <w:pPr>
              <w:spacing w:after="0" w:line="20" w:lineRule="exact"/>
              <w:rPr>
                <w:sz w:val="1"/>
                <w:szCs w:val="1"/>
                <w:color w:val="auto"/>
              </w:rPr>
            </w:pPr>
          </w:p>
        </w:tc>
        <w:tc>
          <w:tcPr>
            <w:tcW w:w="9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7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76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80" w:right="240" w:hanging="172"/>
        <w:spacing w:after="0" w:line="239" w:lineRule="auto"/>
        <w:tabs>
          <w:tab w:leader="none" w:pos="211"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as a result, the carrying values of our 2027 Notes reflect adjustments in fair value.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Debt Activity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effects of debt financing activities in the first six months of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Increase in</w:t>
            </w:r>
          </w:p>
        </w:tc>
        <w:tc>
          <w:tcPr>
            <w:tcW w:w="22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Increase in</w:t>
            </w:r>
          </w:p>
        </w:tc>
        <w:tc>
          <w:tcPr>
            <w:tcW w:w="2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Increase in</w:t>
            </w:r>
          </w:p>
        </w:tc>
      </w:tr>
      <w:tr>
        <w:trPr>
          <w:trHeight w:val="243"/>
        </w:trPr>
        <w:tc>
          <w:tcPr>
            <w:tcW w:w="460" w:type="dxa"/>
            <w:vAlign w:val="bottom"/>
            <w:tcBorders>
              <w:bottom w:val="single" w:sz="8" w:color="0090DA"/>
            </w:tcBorders>
          </w:tcPr>
          <w:p>
            <w:pPr>
              <w:spacing w:after="0"/>
              <w:rPr>
                <w:sz w:val="21"/>
                <w:szCs w:val="21"/>
                <w:color w:val="auto"/>
              </w:rPr>
            </w:pPr>
          </w:p>
        </w:tc>
        <w:tc>
          <w:tcPr>
            <w:tcW w:w="6440" w:type="dxa"/>
            <w:vAlign w:val="bottom"/>
            <w:tcBorders>
              <w:bottom w:val="single" w:sz="8" w:color="0090DA"/>
            </w:tcBorders>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14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Carrying Value</w:t>
            </w:r>
          </w:p>
        </w:tc>
        <w:tc>
          <w:tcPr>
            <w:tcW w:w="22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Cash</w:t>
            </w:r>
          </w:p>
        </w:tc>
      </w:tr>
      <w:tr>
        <w:trPr>
          <w:trHeight w:val="34"/>
        </w:trPr>
        <w:tc>
          <w:tcPr>
            <w:tcW w:w="4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6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Term Loan A</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1,052</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1,050</w:t>
            </w: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2026 Term Loan A</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6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Term Loan A</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1,149</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1,149</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2029</w:t>
            </w:r>
          </w:p>
        </w:tc>
        <w:tc>
          <w:tcPr>
            <w:tcW w:w="6440" w:type="dxa"/>
            <w:vAlign w:val="bottom"/>
          </w:tcPr>
          <w:p>
            <w:pPr>
              <w:ind w:left="20"/>
              <w:spacing w:after="0"/>
              <w:rPr>
                <w:sz w:val="20"/>
                <w:szCs w:val="20"/>
                <w:color w:val="auto"/>
              </w:rPr>
            </w:pPr>
            <w:r>
              <w:rPr>
                <w:rFonts w:ascii="Arial" w:cs="Arial" w:eastAsia="Arial" w:hAnsi="Arial"/>
                <w:sz w:val="18"/>
                <w:szCs w:val="18"/>
                <w:color w:val="auto"/>
              </w:rPr>
              <w:t>B Notes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w:t>
            </w:r>
          </w:p>
        </w:tc>
        <w:tc>
          <w:tcPr>
            <w:tcW w:w="6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18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745</w:t>
            </w:r>
          </w:p>
        </w:tc>
      </w:tr>
      <w:tr>
        <w:trPr>
          <w:trHeight w:val="223"/>
        </w:trPr>
        <w:tc>
          <w:tcPr>
            <w:tcW w:w="4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w:t>
            </w:r>
          </w:p>
        </w:tc>
      </w:tr>
      <w:tr>
        <w:trPr>
          <w:trHeight w:val="20"/>
        </w:trPr>
        <w:tc>
          <w:tcPr>
            <w:tcW w:w="4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Term Loan Agreements</w:t>
      </w:r>
    </w:p>
    <w:p>
      <w:pPr>
        <w:spacing w:after="0" w:line="2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November 3, 2022, we entered into a term loan agreement consisting of three tranches and borrowed $2.60 billion in aggregate principal amount, including $927 million due November 3, 2025; $ 746 million due November 3, 2026; and $927 million due November 3, 2027 (the “Term Loan Agreement”). We incurred aggregate fees of $6 million in connection with these borrowings.</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January 5, 2023, we amended the Term Loan Agreement and borrowed an additional $600 million in aggregate principal amount, including $125 million due November 3, 2025, $ 250 million due November 3, 2026, and $225 million due November 3, 2027. The additional borrowings have terms that are identical to, and will be treated as a single class with, the three original tranches.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2026 Term Loan A and 2027 Term Loan A each require equal quarterly installment payments in an amount equal to 1.25% of the original principal amount. The 2025 Term Loan A does not require quarterly installment payments. Borrowings under the Term Loan Agreement will generally bear interest at adjusted term SOFR plus an applicable interest rate margin ranging from 1.00% to 2.00%, varying by tranche and depending on our corporate credit ratings. The Term Loan Agreement requires us to maintain, on a consolidated basis, a leverage ratio of total indebtedness to adjusted EBITDA, as defined in the Term Loan Agreement and calculated as of the last day of each fiscal quarter, not to exceed 3.25 to 1.00, except as described below.</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27, 2023, we further amended the Term Loan Agreement to provide that in lieu of the foregoing leverage ratio, during the fourth quarter of 2023 and each quarter of 2024, we will be required to maintain, on a consolidated basis, a net leverage ratio of total net indebtedness to adjusted EBITDA, as defined in the Term Loan Agreement and calculated as of the last day of each fiscal quarter, not to exceed 3.25 to 1.00, or alternatively, for up to three of such five quarters, we may elect to comply with a requirement of minimum liquidity, as defined in the Term Loan Agreement, of not less than $5.0 billion. Each of the leverage ratio and net leverage ratio maximums, as applicable, is subject to a temporary four quarter increase in such ratio to 3.75 to 1.00 following certain material acquisitions. Our obligations under the Term Loan Agreement are unsecured.</w:t>
      </w:r>
    </w:p>
    <w:p>
      <w:pPr>
        <w:spacing w:after="0" w:line="210"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On March 27, 2023, we also amended the agreement governing the 2024 Term Loan A to align the leverage ratio covenant with the corresponding covenant in the Term Loan Agreement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2029 B Notes and 2033 Notes</w:t>
      </w:r>
    </w:p>
    <w:p>
      <w:pPr>
        <w:spacing w:after="0" w:line="24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October 31, 2022, we issued $750 million principal amount of senior unsecured 2029 B Notes in a public offering. The 2029 B Notes bear interest at a rate of 6.750% per year and will mature on November 1, 2029. Issuance costs and debt discount for these notes were $6 million.</w:t>
      </w:r>
    </w:p>
    <w:p>
      <w:pPr>
        <w:spacing w:after="0" w:line="1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February 9, 2023, we issued an additional $ 500 million principal amount of 2029 B Notes at a $22 million premium. The additional notes have terms that are identical to the terms of the original 2029 B Notes other than the original offering price. Also on February 9, 2023, we issued $750 million principal amount of senior unsecured 2033 Notes. The 2033 Notes bear interest at a rate of 5.875% per year and will mature on February 9, 2033. Aggregate issuance costs for the February 9, 2023 offerings were $7 million.</w:t>
      </w:r>
    </w:p>
    <w:p>
      <w:pPr>
        <w:spacing w:after="0" w:line="20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may redeem the 2029 B Notes and the 2033 Notes (the “Notes”), in whole or in part, at our option prior to their maturity dates at a redemption price equal to the greater of (i) 100% of the principal amount of the notes to be redeemed and (ii) the present value of the remaining scheduled payments of principal and interest, plus accrued interest in each case. We may also redeem the Notes, in whole or in part, at a price equal to par either two or three months prior to maturity in accordance with the terms of the Notes.</w:t>
      </w:r>
    </w:p>
    <w:p>
      <w:pPr>
        <w:spacing w:after="0" w:line="2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notes) to (1) create or incur certain liens; (2) enter into certain sale and lease-back transactions; and</w:t>
      </w:r>
    </w:p>
    <w:p>
      <w:pPr>
        <w:spacing w:after="0" w:line="1" w:lineRule="exact"/>
        <w:rPr>
          <w:sz w:val="20"/>
          <w:szCs w:val="20"/>
          <w:color w:val="auto"/>
        </w:rPr>
      </w:pPr>
    </w:p>
    <w:p>
      <w:pPr>
        <w:ind w:right="40" w:firstLine="8"/>
        <w:spacing w:after="0" w:line="255"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 governing the Notes, we will be required to offer to purchase such notes at 101% of the outstanding aggregate principal amount plus accrued interest up to the purchase date.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Revolving Credit Facility</w:t>
      </w:r>
    </w:p>
    <w:p>
      <w:pPr>
        <w:spacing w:after="0" w:line="2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March 2, 2023, $2.50 billion was available to us under the Revolving Credit Facility and no amounts were outstanding. Any amounts outstanding under the Revolving Credit Facility would mature in May 2026 and amounts borrowed may be prepaid any time without penalty. Any amounts drawn under the Revolving Credit Facility would generally bear interest at a rate equal to LIBOR plus 1.00% to 1.75%, depending on our corporate credit ratings. The credit facility agreement provides for a transition to SOFR or other alternate benchmark rate upon the retirement of LIBOR in 2023.</w:t>
      </w:r>
    </w:p>
    <w:p>
      <w:pPr>
        <w:spacing w:after="0" w:line="20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On March 27, 2023, we amended the agreement governing the Revolving Credit Facility to align the leverage ratio covenant with the corresponding covenants in the Term Loan Agreement and 2024 Term Loan A described above.</w:t>
      </w:r>
    </w:p>
    <w:p>
      <w:pPr>
        <w:spacing w:after="0" w:line="38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Maturities of Notes Payable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0" w:type="dxa"/>
            <w:vAlign w:val="bottom"/>
          </w:tcPr>
          <w:p>
            <w:pPr>
              <w:spacing w:after="0"/>
              <w:rPr>
                <w:sz w:val="20"/>
                <w:szCs w:val="20"/>
                <w:color w:val="auto"/>
              </w:rPr>
            </w:pPr>
            <w:r>
              <w:rPr>
                <w:rFonts w:ascii="Arial" w:cs="Arial" w:eastAsia="Arial" w:hAnsi="Arial"/>
                <w:sz w:val="18"/>
                <w:szCs w:val="18"/>
                <w:color w:val="auto"/>
              </w:rPr>
              <w:t>As of March 2, 2023, maturities of notes payable by fiscal year were as follows: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2023</w:t>
            </w:r>
          </w:p>
        </w:tc>
        <w:tc>
          <w:tcPr>
            <w:tcW w:w="46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1,295</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1,659</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6,443</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issuance costs, discounts, and premium, net</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460" w:type="dxa"/>
            <w:vAlign w:val="bottom"/>
            <w:tcBorders>
              <w:bottom w:val="single" w:sz="8" w:color="auto"/>
            </w:tcBorders>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11,203</w:t>
            </w: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Commitments</w:t>
      </w:r>
    </w:p>
    <w:p>
      <w:pPr>
        <w:spacing w:after="0" w:line="25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the second quarter of 2023, we entered into an 18-year power purchase agreement in Singapore to purchase up to 450 megawatts of power at variable prices. This contract, which begins in the fourth quarter of 2023, is expected to supply the majority of our power consumption needs in Singapore with more favorable pricing than our existing supply arrangements.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5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 On November 26, 2021, pursuant to a settlement agreement between UMC and Micron, UMC filed an application to the Fuzhou Court to withdraw its complaints against MXA and MSS.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3, 2018, MSS was served with another patent infringement complaint filed by Jinhua and an additional complaint filed by UMC in the Fuzhou Court. The additional complaints allege that MSS infringes two Chinese patents by manufacturing and selling certain Crucial MX300 SSDs. The complaint filed by UMC seeks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November 26, 2021, pursuant to a settlement agreement between UMC and Micron, UMC filed an application to the Fuzhou Court to withdraw its complaint against MSS.</w:t>
      </w:r>
    </w:p>
    <w:p>
      <w:pPr>
        <w:spacing w:after="0" w:line="2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We are complying with the ruling and have requested the Fuzhou Court to reconsider or stay its decision.</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4, 2020, Flash-Control, LLC filed a patent infringement action against Micron in the U.S.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 On July 21, 2020, in a separate matter, the District Court ruled that two of the four asserted patents are invalid, and on July 14, 2021, the U.S. Court of Appeals for the Federal Circuit affirmed the ruling of invalidity.</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costs, and injunctive relief. 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w:t>
      </w:r>
    </w:p>
    <w:p>
      <w:pPr>
        <w:spacing w:after="0" w:line="2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May 10, 2021, Vervain, LLC filed a patent infringement action against Micron, MSP, and MTEC in the U.S. District Court for the Western District of Texas. The complaint alleges that four U.S. patents are infringed by certain SSD products. The complaint seeks injunctive relief, damages, attorneys’ fees, and costs.</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Between April 27, 2022 and October 18, 2022, Bell Semiconductor, LLC (“Bell”) filed four patent infringement complaints against Micron in the U.S. District Court for the District of Idaho. These complaints allege that a total of six U.S. patents are infringed by certain SSDs, a process for designing a NAND flash device included in certain SSDs, and an SSD controller. On September 30, 2022, Bell filed a complaint against Micron in the U.S. District Court for the District of Delaware alleging that six U.S. patents are infringed by certain SSD, GDDR5, GDDR6, GDDR6X, and DDR3 SDRAM products. Each of Bell’s complaints in the District Courts sought damages, injunctive relief, attorneys’ fees, and costs. On October 6, 2022, Bell filed a complaint with the ITC alleging violations of Section 337 of the Tariff Act of 1930 based on alleged importation of certain SSDs that infringe two U.S. patents also asserted by Bell in two of the lawsuits pending in the District of Idaho. The complaint requested institution of an investigation, which was granted on November 8, 2022, and, after the investigation, issuance of a limited exclusion order and cease and desist orders prohibiting Micron from importing, selling, offering for sale, or marketing the accused products in the United States. Pursuant to a December 31, 2022 agreement, all of Bell’s complaints against Micron have been dismissed, and the ITC investigation was dismissed as to Micron.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August 16, 2022, Sonrai Memory Ltd. filed a patent infringement action against Micron in the U.S. District Court for the Western District of Texas. The complaint alleges that two U.S. patents are infringed by certain SSD and NAND flash products. The complaint seeks damages, attorneys’ fees, and costs.</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On January 23, 2023, Besang Inc. filed a patent infringement complaint against Micron, MSP, and MTEC in the U.S. District Court for the Eastern District of Texas. The complaint alleges that one U.S. patent is infringed by certain of our 3D NAND and SSD products. The complaint seeks an injunction, damages, attorneys’ fees, and costs.</w:t>
      </w:r>
    </w:p>
    <w:p>
      <w:pPr>
        <w:spacing w:after="0" w:line="19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1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spacing w:after="0" w:line="1" w:lineRule="exact"/>
        <w:rPr>
          <w:sz w:val="20"/>
          <w:szCs w:val="20"/>
          <w:color w:val="auto"/>
        </w:rPr>
      </w:pPr>
    </w:p>
    <w:p>
      <w:pPr>
        <w:ind w:right="140" w:firstLine="8"/>
        <w:spacing w:after="0" w:line="251"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Micron and Micron B.V. appealed the judgments to the German Appeals Court, which thereafter appointed an independent expert to perform an evaluation of Dr. Jaffé’s claims that the amount Micron paid for Qimonda was less than fair market value. On March 31, 2020, the expert presented an opinion to the Appeals Court concluding that the amount paid by Micron was within an acceptable range of fair value. On October 5, 2022, the Appeals Court ruled that the relevant issue to be addressed is whether Qimonda's creditors were prejudiced such that the original transaction should be voided. The Appeals Court set a date of May 23, 2023 for issuing a decision.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4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Six cases have been filed against Micron alleging price fixing of DRAM products in the following Canadian courts on the dates indicated: Superior Court of Quebec (April 30, 2018 and May 3, 2018), the Federal Court of Canada (May 2, 2018), the Ontario Superior Court of Justice (May 15, 2018), and the Supreme Court of British Columbia (May 10, 2018). The plaintiffs in these cases are individuals seeking certification of class actions on behalf of direct and indirect purchasers of DRAM in Canada (or regions of Canada) between June 1, 2016 and February 1, 2018.</w:t>
      </w:r>
    </w:p>
    <w:p>
      <w:pPr>
        <w:spacing w:after="0" w:line="20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Securities Matters</w:t>
      </w:r>
    </w:p>
    <w:p>
      <w:pPr>
        <w:spacing w:after="0" w:line="24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 Matters</w:t>
      </w:r>
    </w:p>
    <w:p>
      <w:pPr>
        <w:spacing w:after="0" w:line="243"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Contingency Assessment</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No shares were repurchased in the second quarter of 2023. In the first quarter of 2023, we repurchased 8.6 million shares of our common stock for $425 million. Through March 2, 2023, we had repurchased an aggregate of $6.89 billion under the authorization. Amounts repurchased are included in treasury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declared and paid dividends of $126 million ($0.115 per share) in each of the second and first quarters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437515</wp:posOffset>
            </wp:positionV>
            <wp:extent cx="64325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325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b w:val="1"/>
          <w:bCs w:val="1"/>
          <w:i w:val="1"/>
          <w:iCs w:val="1"/>
          <w:color w:val="auto"/>
        </w:rPr>
        <w:t>Accumulated Other Comprehensive Income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(loss) by component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March 2, 2023 were as follows:</w:t>
      </w: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50"/>
              <w:spacing w:after="0" w:line="182" w:lineRule="exact"/>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Pension</w:t>
            </w:r>
          </w:p>
        </w:tc>
        <w:tc>
          <w:tcPr>
            <w:tcW w:w="16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2660" w:type="dxa"/>
            <w:vAlign w:val="bottom"/>
            <w:gridSpan w:val="4"/>
          </w:tcPr>
          <w:p>
            <w:pPr>
              <w:jc w:val="right"/>
              <w:spacing w:after="0" w:line="176" w:lineRule="exact"/>
              <w:rPr>
                <w:sz w:val="20"/>
                <w:szCs w:val="20"/>
                <w:color w:val="auto"/>
              </w:rPr>
            </w:pPr>
            <w:r>
              <w:rPr>
                <w:rFonts w:ascii="Arial" w:cs="Arial" w:eastAsia="Arial" w:hAnsi="Arial"/>
                <w:sz w:val="18"/>
                <w:szCs w:val="18"/>
                <w:b w:val="1"/>
                <w:bCs w:val="1"/>
                <w:color w:val="auto"/>
                <w:w w:val="99"/>
              </w:rPr>
              <w:t>Gains (Losses) Gains (Losses)</w:t>
            </w: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320" w:type="dxa"/>
            <w:vAlign w:val="bottom"/>
            <w:gridSpan w:val="2"/>
          </w:tcPr>
          <w:p>
            <w:pPr>
              <w:jc w:val="right"/>
              <w:ind w:right="10"/>
              <w:spacing w:after="0" w:line="189" w:lineRule="exact"/>
              <w:rPr>
                <w:sz w:val="20"/>
                <w:szCs w:val="20"/>
                <w:color w:val="auto"/>
              </w:rPr>
            </w:pPr>
            <w:r>
              <w:rPr>
                <w:rFonts w:ascii="Arial" w:cs="Arial" w:eastAsia="Arial" w:hAnsi="Arial"/>
                <w:sz w:val="18"/>
                <w:szCs w:val="18"/>
                <w:b w:val="1"/>
                <w:bCs w:val="1"/>
                <w:color w:val="auto"/>
              </w:rPr>
              <w:t>on Derivative</w:t>
            </w:r>
          </w:p>
        </w:tc>
        <w:tc>
          <w:tcPr>
            <w:tcW w:w="1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on</w:t>
            </w:r>
          </w:p>
        </w:tc>
        <w:tc>
          <w:tcPr>
            <w:tcW w:w="12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Liability</w:t>
            </w:r>
          </w:p>
        </w:tc>
        <w:tc>
          <w:tcPr>
            <w:tcW w:w="16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6"/>
                <w:szCs w:val="16"/>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8"/>
              </w:rPr>
              <w:t>Investments</w:t>
            </w:r>
          </w:p>
        </w:tc>
        <w:tc>
          <w:tcPr>
            <w:tcW w:w="12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0090DA"/>
            </w:tcBorders>
          </w:tcPr>
          <w:p>
            <w:pPr>
              <w:spacing w:after="0"/>
              <w:rPr>
                <w:sz w:val="20"/>
                <w:szCs w:val="20"/>
                <w:color w:val="auto"/>
              </w:rPr>
            </w:pPr>
          </w:p>
        </w:tc>
        <w:tc>
          <w:tcPr>
            <w:tcW w:w="1040" w:type="dxa"/>
            <w:vAlign w:val="bottom"/>
            <w:tcBorders>
              <w:bottom w:val="single" w:sz="8" w:color="0090DA"/>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1, 2022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shd w:val="clear" w:color="auto" w:fill="D1D2D4"/>
          </w:tcPr>
          <w:p>
            <w:pPr>
              <w:ind w:left="94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55"/>
        </w:trPr>
        <w:tc>
          <w:tcPr>
            <w:tcW w:w="4580" w:type="dxa"/>
            <w:vAlign w:val="bottom"/>
          </w:tcPr>
          <w:p>
            <w:pPr>
              <w:ind w:left="240"/>
              <w:spacing w:after="0" w:line="156"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5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D1D2D4"/>
          </w:tcPr>
          <w:p>
            <w:pPr>
              <w:ind w:left="240"/>
              <w:spacing w:after="0" w:line="176"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6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280" w:type="dxa"/>
            <w:vAlign w:val="bottom"/>
            <w:shd w:val="clear" w:color="auto" w:fill="D1D2D4"/>
          </w:tcPr>
          <w:p>
            <w:pPr>
              <w:spacing w:after="0"/>
              <w:rPr>
                <w:sz w:val="21"/>
                <w:szCs w:val="21"/>
                <w:color w:val="auto"/>
              </w:rPr>
            </w:pPr>
          </w:p>
        </w:tc>
        <w:tc>
          <w:tcPr>
            <w:tcW w:w="104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March 2,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4"/>
          </w:tcPr>
          <w:p>
            <w:pPr>
              <w:ind w:left="540"/>
              <w:spacing w:after="0"/>
              <w:rPr>
                <w:sz w:val="20"/>
                <w:szCs w:val="20"/>
                <w:color w:val="auto"/>
              </w:rPr>
            </w:pPr>
            <w:r>
              <w:rPr>
                <w:rFonts w:ascii="Arial" w:cs="Arial" w:eastAsia="Arial" w:hAnsi="Arial"/>
                <w:sz w:val="18"/>
                <w:szCs w:val="18"/>
                <w:b w:val="1"/>
                <w:bCs w:val="1"/>
                <w:color w:val="auto"/>
              </w:rPr>
              <w:t>March 2, 2023</w:t>
            </w:r>
          </w:p>
        </w:tc>
        <w:tc>
          <w:tcPr>
            <w:tcW w:w="300" w:type="dxa"/>
            <w:vAlign w:val="bottom"/>
          </w:tcPr>
          <w:p>
            <w:pPr>
              <w:spacing w:after="0"/>
              <w:rPr>
                <w:sz w:val="20"/>
                <w:szCs w:val="20"/>
                <w:color w:val="auto"/>
              </w:rPr>
            </w:pPr>
          </w:p>
        </w:tc>
        <w:tc>
          <w:tcPr>
            <w:tcW w:w="25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1, 2022</w:t>
            </w: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300" w:type="dxa"/>
            <w:vAlign w:val="bottom"/>
            <w:tcBorders>
              <w:top w:val="single" w:sz="8" w:color="0090DA"/>
            </w:tcBorders>
          </w:tcPr>
          <w:p>
            <w:pPr>
              <w:spacing w:after="0"/>
              <w:rPr>
                <w:sz w:val="14"/>
                <w:szCs w:val="14"/>
                <w:color w:val="auto"/>
              </w:rPr>
            </w:pPr>
          </w:p>
        </w:tc>
        <w:tc>
          <w:tcPr>
            <w:tcW w:w="1100" w:type="dxa"/>
            <w:vAlign w:val="bottom"/>
            <w:tcBorders>
              <w:top w:val="single" w:sz="8" w:color="0090DA"/>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6"/>
              </w:rPr>
              <w:t>Fair</w:t>
            </w:r>
          </w:p>
        </w:tc>
        <w:tc>
          <w:tcPr>
            <w:tcW w:w="28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4"/>
                <w:szCs w:val="14"/>
                <w:color w:val="auto"/>
              </w:rPr>
            </w:pPr>
          </w:p>
        </w:tc>
        <w:tc>
          <w:tcPr>
            <w:tcW w:w="300" w:type="dxa"/>
            <w:vAlign w:val="bottom"/>
            <w:tcBorders>
              <w:top w:val="single" w:sz="8" w:color="0090DA"/>
            </w:tcBorders>
          </w:tcPr>
          <w:p>
            <w:pPr>
              <w:spacing w:after="0"/>
              <w:rPr>
                <w:sz w:val="14"/>
                <w:szCs w:val="14"/>
                <w:color w:val="auto"/>
              </w:rPr>
            </w:pPr>
          </w:p>
        </w:tc>
        <w:tc>
          <w:tcPr>
            <w:tcW w:w="1100" w:type="dxa"/>
            <w:vAlign w:val="bottom"/>
            <w:tcBorders>
              <w:top w:val="single" w:sz="8" w:color="0090DA"/>
            </w:tcBorders>
          </w:tcPr>
          <w:p>
            <w:pPr>
              <w:jc w:val="center"/>
              <w:ind w:right="190"/>
              <w:spacing w:after="0" w:line="169" w:lineRule="exact"/>
              <w:rPr>
                <w:sz w:val="20"/>
                <w:szCs w:val="20"/>
                <w:color w:val="auto"/>
              </w:rPr>
            </w:pPr>
            <w:r>
              <w:rPr>
                <w:rFonts w:ascii="Arial" w:cs="Arial" w:eastAsia="Arial" w:hAnsi="Arial"/>
                <w:sz w:val="18"/>
                <w:szCs w:val="18"/>
                <w:b w:val="1"/>
                <w:bCs w:val="1"/>
                <w:color w:val="auto"/>
              </w:rPr>
              <w:t>Fair</w:t>
            </w:r>
          </w:p>
        </w:tc>
        <w:tc>
          <w:tcPr>
            <w:tcW w:w="28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9"/>
              </w:rPr>
              <w:t>Carrying</w:t>
            </w:r>
          </w:p>
        </w:tc>
        <w:tc>
          <w:tcPr>
            <w:tcW w:w="0" w:type="dxa"/>
            <w:vAlign w:val="bottom"/>
          </w:tcPr>
          <w:p>
            <w:pPr>
              <w:spacing w:after="0"/>
              <w:rPr>
                <w:sz w:val="1"/>
                <w:szCs w:val="1"/>
                <w:color w:val="auto"/>
              </w:rPr>
            </w:pPr>
          </w:p>
        </w:tc>
      </w:tr>
      <w:tr>
        <w:trPr>
          <w:trHeight w:val="243"/>
        </w:trPr>
        <w:tc>
          <w:tcPr>
            <w:tcW w:w="53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Value</w:t>
            </w:r>
          </w:p>
        </w:tc>
        <w:tc>
          <w:tcPr>
            <w:tcW w:w="280" w:type="dxa"/>
            <w:vAlign w:val="bottom"/>
          </w:tcPr>
          <w:p>
            <w:pPr>
              <w:spacing w:after="0"/>
              <w:rPr>
                <w:sz w:val="21"/>
                <w:szCs w:val="21"/>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Value</w:t>
            </w:r>
          </w:p>
        </w:tc>
        <w:tc>
          <w:tcPr>
            <w:tcW w:w="300" w:type="dxa"/>
            <w:vAlign w:val="bottom"/>
          </w:tcPr>
          <w:p>
            <w:pPr>
              <w:spacing w:after="0"/>
              <w:rPr>
                <w:sz w:val="21"/>
                <w:szCs w:val="21"/>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21"/>
                <w:szCs w:val="21"/>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34"/>
        </w:trPr>
        <w:tc>
          <w:tcPr>
            <w:tcW w:w="5360" w:type="dxa"/>
            <w:vAlign w:val="bottom"/>
            <w:tcBorders>
              <w:top w:val="single" w:sz="8" w:color="0090DA"/>
            </w:tcBorders>
          </w:tcPr>
          <w:p>
            <w:pPr>
              <w:spacing w:after="0"/>
              <w:rPr>
                <w:sz w:val="2"/>
                <w:szCs w:val="2"/>
                <w:color w:val="auto"/>
              </w:rPr>
            </w:pPr>
          </w:p>
        </w:tc>
        <w:tc>
          <w:tcPr>
            <w:tcW w:w="300" w:type="dxa"/>
            <w:vAlign w:val="bottom"/>
            <w:tcBorders>
              <w:top w:val="single" w:sz="8" w:color="0090DA"/>
            </w:tcBorders>
          </w:tcPr>
          <w:p>
            <w:pPr>
              <w:spacing w:after="0"/>
              <w:rPr>
                <w:sz w:val="2"/>
                <w:szCs w:val="2"/>
                <w:color w:val="auto"/>
              </w:rPr>
            </w:pPr>
          </w:p>
        </w:tc>
        <w:tc>
          <w:tcPr>
            <w:tcW w:w="110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2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0090DA"/>
            </w:tcBorders>
          </w:tcPr>
          <w:p>
            <w:pPr>
              <w:spacing w:after="0"/>
              <w:rPr>
                <w:sz w:val="2"/>
                <w:szCs w:val="2"/>
                <w:color w:val="auto"/>
              </w:rPr>
            </w:pPr>
          </w:p>
        </w:tc>
        <w:tc>
          <w:tcPr>
            <w:tcW w:w="110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2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10,577</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11,203</w:t>
            </w:r>
          </w:p>
        </w:tc>
        <w:tc>
          <w:tcPr>
            <w:tcW w:w="120" w:type="dxa"/>
            <w:vAlign w:val="bottom"/>
            <w:shd w:val="clear" w:color="auto" w:fill="D1D2D4"/>
          </w:tcPr>
          <w:p>
            <w:pPr>
              <w:spacing w:after="0"/>
              <w:rPr>
                <w:sz w:val="19"/>
                <w:szCs w:val="19"/>
                <w:color w:val="auto"/>
              </w:rPr>
            </w:pPr>
          </w:p>
        </w:tc>
        <w:tc>
          <w:tcPr>
            <w:tcW w:w="3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5,472</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54"/>
        </w:trPr>
        <w:tc>
          <w:tcPr>
            <w:tcW w:w="5900" w:type="dxa"/>
            <w:vAlign w:val="bottom"/>
          </w:tcPr>
          <w:p>
            <w:pPr>
              <w:spacing w:after="0"/>
              <w:rPr>
                <w:sz w:val="20"/>
                <w:szCs w:val="20"/>
                <w:color w:val="auto"/>
              </w:rPr>
            </w:pPr>
            <w:r>
              <w:rPr>
                <w:rFonts w:ascii="Arial" w:cs="Arial" w:eastAsia="Arial" w:hAnsi="Arial"/>
                <w:sz w:val="40"/>
                <w:szCs w:val="40"/>
                <w:b w:val="1"/>
                <w:bCs w:val="1"/>
                <w:color w:val="auto"/>
              </w:rPr>
              <w:t>Derivative Instruments</w:t>
            </w:r>
          </w:p>
        </w:tc>
        <w:tc>
          <w:tcPr>
            <w:tcW w:w="1180" w:type="dxa"/>
            <w:vAlign w:val="bottom"/>
          </w:tcPr>
          <w:p>
            <w:pPr>
              <w:spacing w:after="0"/>
              <w:rPr>
                <w:sz w:val="24"/>
                <w:szCs w:val="24"/>
                <w:color w:val="auto"/>
              </w:rPr>
            </w:pPr>
          </w:p>
        </w:tc>
        <w:tc>
          <w:tcPr>
            <w:tcW w:w="12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90DA"/>
            </w:tcBorders>
          </w:tcPr>
          <w:p>
            <w:pPr>
              <w:spacing w:after="0"/>
              <w:rPr>
                <w:sz w:val="24"/>
                <w:szCs w:val="24"/>
                <w:color w:val="auto"/>
              </w:rPr>
            </w:pPr>
          </w:p>
        </w:tc>
        <w:tc>
          <w:tcPr>
            <w:tcW w:w="126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2"/>
              <w:spacing w:after="0" w:line="135"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0090DA"/>
            </w:tcBorders>
          </w:tcPr>
          <w:p>
            <w:pPr>
              <w:spacing w:after="0"/>
              <w:rPr>
                <w:sz w:val="4"/>
                <w:szCs w:val="4"/>
                <w:color w:val="auto"/>
              </w:rPr>
            </w:pPr>
          </w:p>
        </w:tc>
        <w:tc>
          <w:tcPr>
            <w:tcW w:w="1180" w:type="dxa"/>
            <w:vAlign w:val="bottom"/>
            <w:tcBorders>
              <w:bottom w:val="single" w:sz="8" w:color="0090DA"/>
            </w:tcBorders>
          </w:tcPr>
          <w:p>
            <w:pPr>
              <w:spacing w:after="0"/>
              <w:rPr>
                <w:sz w:val="4"/>
                <w:szCs w:val="4"/>
                <w:color w:val="auto"/>
              </w:rPr>
            </w:pPr>
          </w:p>
        </w:tc>
        <w:tc>
          <w:tcPr>
            <w:tcW w:w="120" w:type="dxa"/>
            <w:vAlign w:val="bottom"/>
            <w:tcBorders>
              <w:bottom w:val="single" w:sz="8" w:color="0090DA"/>
            </w:tcBorders>
          </w:tcPr>
          <w:p>
            <w:pPr>
              <w:spacing w:after="0"/>
              <w:rPr>
                <w:sz w:val="4"/>
                <w:szCs w:val="4"/>
                <w:color w:val="auto"/>
              </w:rPr>
            </w:pPr>
          </w:p>
        </w:tc>
        <w:tc>
          <w:tcPr>
            <w:tcW w:w="100" w:type="dxa"/>
            <w:vAlign w:val="bottom"/>
            <w:tcBorders>
              <w:bottom w:val="single" w:sz="8" w:color="0090DA"/>
            </w:tcBorders>
          </w:tcPr>
          <w:p>
            <w:pPr>
              <w:spacing w:after="0"/>
              <w:rPr>
                <w:sz w:val="4"/>
                <w:szCs w:val="4"/>
                <w:color w:val="auto"/>
              </w:rPr>
            </w:pPr>
          </w:p>
        </w:tc>
        <w:tc>
          <w:tcPr>
            <w:tcW w:w="1260" w:type="dxa"/>
            <w:vAlign w:val="bottom"/>
            <w:tcBorders>
              <w:bottom w:val="single" w:sz="8" w:color="0090DA"/>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center"/>
              <w:ind w:right="11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vMerge w:val="continue"/>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March 2, 2023</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4,116</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1, 2022</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5,427</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D1D2D4"/>
          </w:tcPr>
          <w:p>
            <w:pPr>
              <w:jc w:val="right"/>
              <w:ind w:right="6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2,821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200" w:lineRule="auto"/>
        <w:tabs>
          <w:tab w:leader="none" w:pos="240" w:val="left"/>
        </w:tabs>
        <w:numPr>
          <w:ilvl w:val="0"/>
          <w:numId w:val="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our exposure to changes in currency exchange rates or commodity prices for certain capital expenditures and manufacturing costs. Forward and swap contracts are measured at fair value based on market-based observable inputs including market spot and forward rates, interest rates, and credit-risk spreads (Level 2). We recognized gains from cash flow hedges of $75 million and $128 million for the second quarter and first six months of 2023, respectively, and losses of $70 million and $170 million for the second quarter and first six months of 2022, respectively, in accumulated other comprehensive income (loss). We reclassified losses of $54 million and $122 million for the second quarter and first six months of 2023, respectively, from accumulated other comprehensive income (loss) to earnings, primarily to cost of goods sold. The reclassifications for the second quarter and first six months of 2022 were not significant. As of March 2, 2023, we expect to reclassify $ 220 million of pre-tax losses related to cash flow hedges from accumulated other comprehensive income (loss) into earnings in the next 12 months.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fixed-to-floating interest rate swaps designated as fair value hedges to minimize certain exposures to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The effects of fair value hedges on our consolidated statements of operations, recognized in interest expense, were not significant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 We do not use derivative instruments for speculative purposes.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5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As of March 2, 2023, 50 million shares of our common stock were available for future awards under our equity plans, including 16 million shares approved for issuance under our employee stock purchase plan (“ESPP”).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40" w:type="dxa"/>
            <w:vAlign w:val="bottom"/>
          </w:tcPr>
          <w:p>
            <w:pPr>
              <w:spacing w:after="0"/>
              <w:rPr>
                <w:sz w:val="20"/>
                <w:szCs w:val="20"/>
                <w:color w:val="auto"/>
              </w:rPr>
            </w:pPr>
            <w:r>
              <w:rPr>
                <w:rFonts w:ascii="Arial" w:cs="Arial" w:eastAsia="Arial" w:hAnsi="Arial"/>
                <w:sz w:val="18"/>
                <w:szCs w:val="18"/>
                <w:color w:val="auto"/>
              </w:rPr>
              <w:t>Restricted Stock Awards activity is summarized as follows:</w:t>
            </w:r>
          </w:p>
        </w:tc>
        <w:tc>
          <w:tcPr>
            <w:tcW w:w="2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2080" w:type="dxa"/>
            <w:vAlign w:val="bottom"/>
          </w:tcPr>
          <w:p>
            <w:pPr>
              <w:spacing w:after="0"/>
              <w:rPr>
                <w:sz w:val="17"/>
                <w:szCs w:val="17"/>
                <w:color w:val="auto"/>
              </w:rPr>
            </w:pPr>
          </w:p>
        </w:tc>
        <w:tc>
          <w:tcPr>
            <w:tcW w:w="1180" w:type="dxa"/>
            <w:vAlign w:val="bottom"/>
          </w:tcPr>
          <w:p>
            <w:pPr>
              <w:jc w:val="center"/>
              <w:ind w:right="150"/>
              <w:spacing w:after="0" w:line="199" w:lineRule="exact"/>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17"/>
                <w:szCs w:val="17"/>
                <w:color w:val="auto"/>
              </w:rPr>
            </w:pPr>
          </w:p>
        </w:tc>
        <w:tc>
          <w:tcPr>
            <w:tcW w:w="1200" w:type="dxa"/>
            <w:vAlign w:val="bottom"/>
          </w:tcPr>
          <w:p>
            <w:pPr>
              <w:jc w:val="center"/>
              <w:ind w:right="150"/>
              <w:spacing w:after="0" w:line="199" w:lineRule="exact"/>
              <w:rPr>
                <w:sz w:val="20"/>
                <w:szCs w:val="20"/>
                <w:color w:val="auto"/>
              </w:rPr>
            </w:pPr>
            <w:r>
              <w:rPr>
                <w:rFonts w:ascii="Arial" w:cs="Arial" w:eastAsia="Arial" w:hAnsi="Arial"/>
                <w:sz w:val="18"/>
                <w:szCs w:val="18"/>
                <w:b w:val="1"/>
                <w:bCs w:val="1"/>
                <w:color w:val="auto"/>
                <w:w w:val="98"/>
              </w:rPr>
              <w:t>March 3,</w:t>
            </w:r>
          </w:p>
        </w:tc>
        <w:tc>
          <w:tcPr>
            <w:tcW w:w="0" w:type="dxa"/>
            <w:vAlign w:val="bottom"/>
          </w:tcPr>
          <w:p>
            <w:pPr>
              <w:spacing w:after="0"/>
              <w:rPr>
                <w:sz w:val="1"/>
                <w:szCs w:val="1"/>
                <w:color w:val="auto"/>
              </w:rPr>
            </w:pPr>
          </w:p>
        </w:tc>
      </w:tr>
      <w:tr>
        <w:trPr>
          <w:trHeight w:val="243"/>
        </w:trPr>
        <w:tc>
          <w:tcPr>
            <w:tcW w:w="6540" w:type="dxa"/>
            <w:vAlign w:val="bottom"/>
            <w:tcBorders>
              <w:bottom w:val="single" w:sz="8" w:color="0090DA"/>
            </w:tcBorders>
            <w:vMerge w:val="continue"/>
          </w:tcPr>
          <w:p>
            <w:pPr>
              <w:spacing w:after="0"/>
              <w:rPr>
                <w:sz w:val="21"/>
                <w:szCs w:val="21"/>
                <w:color w:val="auto"/>
              </w:rPr>
            </w:pPr>
          </w:p>
        </w:tc>
        <w:tc>
          <w:tcPr>
            <w:tcW w:w="208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6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0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9"/>
        </w:trPr>
        <w:tc>
          <w:tcPr>
            <w:tcW w:w="654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54.00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Employee Stock Purchase Plan (“ESPP”)</w:t>
      </w:r>
    </w:p>
    <w:p>
      <w:pPr>
        <w:spacing w:after="0" w:line="24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For each six-month ESPP offering period that ended in the second quarter of 2023 and 2022, employees purchased 3 million and 2 million shares, respectively, at a per share price of $52.45 and $65.94,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Stock-based compensation expense recognized in our statements of operations is presented below. Stock-based compensation expense of $92 million and $48 million was capitalized and remained in inventory as of March 2, 2023 and September 1, 2022,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80" w:type="dxa"/>
            <w:vAlign w:val="bottom"/>
          </w:tcPr>
          <w:p>
            <w:pPr>
              <w:spacing w:after="0"/>
              <w:rPr>
                <w:sz w:val="15"/>
                <w:szCs w:val="15"/>
                <w:color w:val="auto"/>
              </w:rPr>
            </w:pPr>
          </w:p>
        </w:tc>
        <w:tc>
          <w:tcPr>
            <w:tcW w:w="240" w:type="dxa"/>
            <w:vAlign w:val="bottom"/>
            <w:tcBorders>
              <w:top w:val="single" w:sz="8" w:color="0090DA"/>
            </w:tcBorders>
          </w:tcPr>
          <w:p>
            <w:pPr>
              <w:spacing w:after="0"/>
              <w:rPr>
                <w:sz w:val="15"/>
                <w:szCs w:val="15"/>
                <w:color w:val="auto"/>
              </w:rPr>
            </w:pPr>
          </w:p>
        </w:tc>
        <w:tc>
          <w:tcPr>
            <w:tcW w:w="1180" w:type="dxa"/>
            <w:vAlign w:val="bottom"/>
            <w:tcBorders>
              <w:top w:val="single" w:sz="8" w:color="0090DA"/>
            </w:tcBorders>
          </w:tcPr>
          <w:p>
            <w:pPr>
              <w:jc w:val="right"/>
              <w:ind w:right="250"/>
              <w:spacing w:after="0" w:line="177" w:lineRule="exact"/>
              <w:rPr>
                <w:sz w:val="20"/>
                <w:szCs w:val="20"/>
                <w:color w:val="auto"/>
              </w:rPr>
            </w:pPr>
            <w:r>
              <w:rPr>
                <w:rFonts w:ascii="Arial" w:cs="Arial" w:eastAsia="Arial" w:hAnsi="Arial"/>
                <w:sz w:val="18"/>
                <w:szCs w:val="18"/>
                <w:b w:val="1"/>
                <w:bCs w:val="1"/>
                <w:color w:val="auto"/>
              </w:rPr>
              <w:t>March 2,</w:t>
            </w:r>
          </w:p>
        </w:tc>
        <w:tc>
          <w:tcPr>
            <w:tcW w:w="240" w:type="dxa"/>
            <w:vAlign w:val="bottom"/>
            <w:tcBorders>
              <w:top w:val="single" w:sz="8" w:color="0090DA"/>
            </w:tcBorders>
          </w:tcPr>
          <w:p>
            <w:pPr>
              <w:spacing w:after="0"/>
              <w:rPr>
                <w:sz w:val="15"/>
                <w:szCs w:val="15"/>
                <w:color w:val="auto"/>
              </w:rPr>
            </w:pPr>
          </w:p>
        </w:tc>
        <w:tc>
          <w:tcPr>
            <w:tcW w:w="122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3,</w:t>
            </w:r>
          </w:p>
        </w:tc>
        <w:tc>
          <w:tcPr>
            <w:tcW w:w="100" w:type="dxa"/>
            <w:vAlign w:val="bottom"/>
          </w:tcPr>
          <w:p>
            <w:pPr>
              <w:spacing w:after="0"/>
              <w:rPr>
                <w:sz w:val="15"/>
                <w:szCs w:val="15"/>
                <w:color w:val="auto"/>
              </w:rPr>
            </w:pPr>
          </w:p>
        </w:tc>
        <w:tc>
          <w:tcPr>
            <w:tcW w:w="220" w:type="dxa"/>
            <w:vAlign w:val="bottom"/>
            <w:tcBorders>
              <w:top w:val="single" w:sz="8" w:color="0090DA"/>
            </w:tcBorders>
          </w:tcPr>
          <w:p>
            <w:pPr>
              <w:spacing w:after="0"/>
              <w:rPr>
                <w:sz w:val="15"/>
                <w:szCs w:val="15"/>
                <w:color w:val="auto"/>
              </w:rPr>
            </w:pPr>
          </w:p>
        </w:tc>
        <w:tc>
          <w:tcPr>
            <w:tcW w:w="122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2,</w:t>
            </w:r>
          </w:p>
        </w:tc>
        <w:tc>
          <w:tcPr>
            <w:tcW w:w="240" w:type="dxa"/>
            <w:vAlign w:val="bottom"/>
            <w:tcBorders>
              <w:top w:val="single" w:sz="8" w:color="0090DA"/>
            </w:tcBorders>
          </w:tcPr>
          <w:p>
            <w:pPr>
              <w:spacing w:after="0"/>
              <w:rPr>
                <w:sz w:val="15"/>
                <w:szCs w:val="15"/>
                <w:color w:val="auto"/>
              </w:rPr>
            </w:pPr>
          </w:p>
        </w:tc>
        <w:tc>
          <w:tcPr>
            <w:tcW w:w="120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3,</w:t>
            </w:r>
          </w:p>
        </w:tc>
      </w:tr>
      <w:tr>
        <w:trPr>
          <w:trHeight w:val="235"/>
        </w:trPr>
        <w:tc>
          <w:tcPr>
            <w:tcW w:w="538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D1D2D4"/>
          </w:tcPr>
          <w:p>
            <w:pPr>
              <w:spacing w:after="0"/>
              <w:rPr>
                <w:sz w:val="19"/>
                <w:szCs w:val="19"/>
                <w:color w:val="auto"/>
              </w:rPr>
            </w:pPr>
          </w:p>
        </w:tc>
        <w:tc>
          <w:tcPr>
            <w:tcW w:w="13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3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0"/>
        </w:trPr>
        <w:tc>
          <w:tcPr>
            <w:tcW w:w="538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53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ESPP</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3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3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 of March 2, 2023, $1.43 billion of total unrecognized compensation costs for unvested awards, before the effect of any future forfeitures, was expected to be recognized through the second quarter of 2027, resulting in a weighted-average period of 1.4 years.</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w:t>
      </w:r>
    </w:p>
    <w:p>
      <w:pPr>
        <w:spacing w:after="0" w:line="2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March 2, 2023, our future performance obligations beyond one year were not significant.</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As of March 2, 2023 and September 1, 2022, other current liabilities included $605 million and $1.26 billion, respectively, for estimates of consideration payable to customers including estimates for pricing adjustments and returns.</w:t>
      </w:r>
    </w:p>
    <w:p>
      <w:pPr>
        <w:spacing w:after="0" w:line="18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the second quarter of 2023, we received $ 120 million in cash as settlement of an insurance claim involving an operational disruption in 2017, of which $114 million was for business interruption and recognized in revenue.</w:t>
      </w:r>
    </w:p>
    <w:p>
      <w:pPr>
        <w:spacing w:after="0" w:line="37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gridSpan w:val="4"/>
          </w:tcPr>
          <w:p>
            <w:pPr>
              <w:ind w:left="120"/>
              <w:spacing w:after="0"/>
              <w:rPr>
                <w:sz w:val="20"/>
                <w:szCs w:val="20"/>
                <w:color w:val="auto"/>
              </w:rPr>
            </w:pPr>
            <w:r>
              <w:rPr>
                <w:rFonts w:ascii="Arial" w:cs="Arial" w:eastAsia="Arial" w:hAnsi="Arial"/>
                <w:sz w:val="16"/>
                <w:szCs w:val="16"/>
                <w:b w:val="1"/>
                <w:bCs w:val="1"/>
                <w:color w:val="0090DA"/>
              </w:rPr>
              <w:t>Table of Contents</w:t>
            </w:r>
          </w:p>
        </w:tc>
      </w:tr>
      <w:tr>
        <w:trPr>
          <w:trHeight w:val="911"/>
        </w:trPr>
        <w:tc>
          <w:tcPr>
            <w:tcW w:w="5380" w:type="dxa"/>
            <w:vAlign w:val="bottom"/>
          </w:tcPr>
          <w:p>
            <w:pPr>
              <w:spacing w:after="0"/>
              <w:rPr>
                <w:sz w:val="20"/>
                <w:szCs w:val="20"/>
                <w:color w:val="auto"/>
              </w:rPr>
            </w:pPr>
            <w:r>
              <w:rPr>
                <w:rFonts w:ascii="Arial" w:cs="Arial" w:eastAsia="Arial" w:hAnsi="Arial"/>
                <w:sz w:val="22"/>
                <w:szCs w:val="22"/>
                <w:b w:val="1"/>
                <w:bCs w:val="1"/>
                <w:color w:val="0090DA"/>
              </w:rPr>
              <w:t>Revenue by Technology</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0090DA"/>
            </w:tcBorders>
          </w:tcPr>
          <w:p>
            <w:pPr>
              <w:spacing w:after="0"/>
              <w:rPr>
                <w:sz w:val="24"/>
                <w:szCs w:val="24"/>
                <w:color w:val="auto"/>
              </w:rPr>
            </w:pPr>
          </w:p>
        </w:tc>
        <w:tc>
          <w:tcPr>
            <w:tcW w:w="1200" w:type="dxa"/>
            <w:vAlign w:val="bottom"/>
            <w:tcBorders>
              <w:top w:val="single" w:sz="8" w:color="0090DA"/>
            </w:tcBorders>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4"/>
                <w:szCs w:val="24"/>
                <w:color w:val="auto"/>
              </w:rPr>
            </w:pPr>
          </w:p>
        </w:tc>
        <w:tc>
          <w:tcPr>
            <w:tcW w:w="2680" w:type="dxa"/>
            <w:vAlign w:val="bottom"/>
            <w:gridSpan w:val="5"/>
          </w:tcPr>
          <w:p>
            <w:pPr>
              <w:ind w:left="44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80" w:type="dxa"/>
            <w:vAlign w:val="bottom"/>
          </w:tcPr>
          <w:p>
            <w:pPr>
              <w:spacing w:after="0"/>
              <w:rPr>
                <w:sz w:val="15"/>
                <w:szCs w:val="15"/>
                <w:color w:val="auto"/>
              </w:rPr>
            </w:pPr>
          </w:p>
        </w:tc>
        <w:tc>
          <w:tcPr>
            <w:tcW w:w="240" w:type="dxa"/>
            <w:vAlign w:val="bottom"/>
            <w:tcBorders>
              <w:top w:val="single" w:sz="8" w:color="0090DA"/>
            </w:tcBorders>
          </w:tcPr>
          <w:p>
            <w:pPr>
              <w:spacing w:after="0"/>
              <w:rPr>
                <w:sz w:val="15"/>
                <w:szCs w:val="15"/>
                <w:color w:val="auto"/>
              </w:rPr>
            </w:pPr>
          </w:p>
        </w:tc>
        <w:tc>
          <w:tcPr>
            <w:tcW w:w="1160" w:type="dxa"/>
            <w:vAlign w:val="bottom"/>
            <w:tcBorders>
              <w:top w:val="single" w:sz="8" w:color="0090DA"/>
            </w:tcBorders>
          </w:tcPr>
          <w:p>
            <w:pPr>
              <w:jc w:val="right"/>
              <w:ind w:right="230"/>
              <w:spacing w:after="0" w:line="177" w:lineRule="exact"/>
              <w:rPr>
                <w:sz w:val="20"/>
                <w:szCs w:val="20"/>
                <w:color w:val="auto"/>
              </w:rPr>
            </w:pPr>
            <w:r>
              <w:rPr>
                <w:rFonts w:ascii="Arial" w:cs="Arial" w:eastAsia="Arial" w:hAnsi="Arial"/>
                <w:sz w:val="18"/>
                <w:szCs w:val="18"/>
                <w:b w:val="1"/>
                <w:bCs w:val="1"/>
                <w:color w:val="auto"/>
              </w:rPr>
              <w:t>March 2,</w:t>
            </w:r>
          </w:p>
        </w:tc>
        <w:tc>
          <w:tcPr>
            <w:tcW w:w="260" w:type="dxa"/>
            <w:vAlign w:val="bottom"/>
            <w:tcBorders>
              <w:top w:val="single" w:sz="8" w:color="0090DA"/>
            </w:tcBorders>
          </w:tcPr>
          <w:p>
            <w:pPr>
              <w:spacing w:after="0"/>
              <w:rPr>
                <w:sz w:val="15"/>
                <w:szCs w:val="15"/>
                <w:color w:val="auto"/>
              </w:rPr>
            </w:pPr>
          </w:p>
        </w:tc>
        <w:tc>
          <w:tcPr>
            <w:tcW w:w="122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3,</w:t>
            </w:r>
          </w:p>
        </w:tc>
        <w:tc>
          <w:tcPr>
            <w:tcW w:w="100" w:type="dxa"/>
            <w:vAlign w:val="bottom"/>
          </w:tcPr>
          <w:p>
            <w:pPr>
              <w:spacing w:after="0"/>
              <w:rPr>
                <w:sz w:val="15"/>
                <w:szCs w:val="15"/>
                <w:color w:val="auto"/>
              </w:rPr>
            </w:pPr>
          </w:p>
        </w:tc>
        <w:tc>
          <w:tcPr>
            <w:tcW w:w="220" w:type="dxa"/>
            <w:vAlign w:val="bottom"/>
            <w:tcBorders>
              <w:top w:val="single" w:sz="8" w:color="0090DA"/>
            </w:tcBorders>
          </w:tcPr>
          <w:p>
            <w:pPr>
              <w:spacing w:after="0"/>
              <w:rPr>
                <w:sz w:val="15"/>
                <w:szCs w:val="15"/>
                <w:color w:val="auto"/>
              </w:rPr>
            </w:pPr>
          </w:p>
        </w:tc>
        <w:tc>
          <w:tcPr>
            <w:tcW w:w="1180" w:type="dxa"/>
            <w:vAlign w:val="bottom"/>
            <w:tcBorders>
              <w:top w:val="single" w:sz="8" w:color="0090DA"/>
            </w:tcBorders>
          </w:tcPr>
          <w:p>
            <w:pPr>
              <w:jc w:val="right"/>
              <w:ind w:right="230"/>
              <w:spacing w:after="0" w:line="177" w:lineRule="exact"/>
              <w:rPr>
                <w:sz w:val="20"/>
                <w:szCs w:val="20"/>
                <w:color w:val="auto"/>
              </w:rPr>
            </w:pPr>
            <w:r>
              <w:rPr>
                <w:rFonts w:ascii="Arial" w:cs="Arial" w:eastAsia="Arial" w:hAnsi="Arial"/>
                <w:sz w:val="18"/>
                <w:szCs w:val="18"/>
                <w:b w:val="1"/>
                <w:bCs w:val="1"/>
                <w:color w:val="auto"/>
              </w:rPr>
              <w:t>March 2,</w:t>
            </w:r>
          </w:p>
        </w:tc>
        <w:tc>
          <w:tcPr>
            <w:tcW w:w="120" w:type="dxa"/>
            <w:vAlign w:val="bottom"/>
            <w:tcBorders>
              <w:top w:val="single" w:sz="8" w:color="0090DA"/>
            </w:tcBorders>
          </w:tcPr>
          <w:p>
            <w:pPr>
              <w:spacing w:after="0"/>
              <w:rPr>
                <w:sz w:val="15"/>
                <w:szCs w:val="15"/>
                <w:color w:val="auto"/>
              </w:rPr>
            </w:pPr>
          </w:p>
        </w:tc>
        <w:tc>
          <w:tcPr>
            <w:tcW w:w="160" w:type="dxa"/>
            <w:vAlign w:val="bottom"/>
            <w:tcBorders>
              <w:top w:val="single" w:sz="8" w:color="0090DA"/>
            </w:tcBorders>
          </w:tcPr>
          <w:p>
            <w:pPr>
              <w:spacing w:after="0"/>
              <w:rPr>
                <w:sz w:val="15"/>
                <w:szCs w:val="15"/>
                <w:color w:val="auto"/>
              </w:rPr>
            </w:pPr>
          </w:p>
        </w:tc>
        <w:tc>
          <w:tcPr>
            <w:tcW w:w="120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3,</w:t>
            </w:r>
          </w:p>
        </w:tc>
        <w:tc>
          <w:tcPr>
            <w:tcW w:w="20" w:type="dxa"/>
            <w:vAlign w:val="bottom"/>
          </w:tcPr>
          <w:p>
            <w:pPr>
              <w:spacing w:after="0"/>
              <w:rPr>
                <w:sz w:val="15"/>
                <w:szCs w:val="15"/>
                <w:color w:val="auto"/>
              </w:rPr>
            </w:pPr>
          </w:p>
        </w:tc>
      </w:tr>
      <w:tr>
        <w:trPr>
          <w:trHeight w:val="235"/>
        </w:trPr>
        <w:tc>
          <w:tcPr>
            <w:tcW w:w="538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1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0090DA"/>
            </w:tcBorders>
          </w:tcPr>
          <w:p>
            <w:pPr>
              <w:spacing w:after="0"/>
              <w:rPr>
                <w:sz w:val="20"/>
                <w:szCs w:val="20"/>
                <w:color w:val="auto"/>
              </w:rPr>
            </w:pPr>
          </w:p>
        </w:tc>
        <w:tc>
          <w:tcPr>
            <w:tcW w:w="16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2,722</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5,719</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5,551</w:t>
            </w:r>
          </w:p>
        </w:tc>
        <w:tc>
          <w:tcPr>
            <w:tcW w:w="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11,306</w:t>
            </w:r>
          </w:p>
        </w:tc>
        <w:tc>
          <w:tcPr>
            <w:tcW w:w="20" w:type="dxa"/>
            <w:vAlign w:val="bottom"/>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NAND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3,835</w:t>
            </w:r>
          </w:p>
        </w:tc>
        <w:tc>
          <w:tcPr>
            <w:tcW w:w="20" w:type="dxa"/>
            <w:vAlign w:val="bottom"/>
          </w:tcPr>
          <w:p>
            <w:pPr>
              <w:spacing w:after="0"/>
              <w:rPr>
                <w:sz w:val="19"/>
                <w:szCs w:val="19"/>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NOR)</w:t>
            </w:r>
          </w:p>
        </w:tc>
        <w:tc>
          <w:tcPr>
            <w:tcW w:w="24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auto"/>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r>
      <w:tr>
        <w:trPr>
          <w:trHeight w:val="223"/>
        </w:trPr>
        <w:tc>
          <w:tcPr>
            <w:tcW w:w="53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w:t>
            </w:r>
          </w:p>
        </w:tc>
        <w:tc>
          <w:tcPr>
            <w:tcW w:w="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15,473</w:t>
            </w:r>
          </w:p>
        </w:tc>
        <w:tc>
          <w:tcPr>
            <w:tcW w:w="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Restructure and Asset Impairments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2560" w:type="dxa"/>
            <w:vAlign w:val="bottom"/>
            <w:tcBorders>
              <w:bottom w:val="single" w:sz="8" w:color="0090DA"/>
            </w:tcBorders>
            <w:gridSpan w:val="3"/>
          </w:tcPr>
          <w:p>
            <w:pPr>
              <w:jc w:val="right"/>
              <w:ind w:right="41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Borders>
              <w:bottom w:val="single" w:sz="8" w:color="0090D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0090DA"/>
            </w:tcBorders>
          </w:tcPr>
          <w:p>
            <w:pPr>
              <w:spacing w:after="0"/>
              <w:rPr>
                <w:sz w:val="18"/>
                <w:szCs w:val="18"/>
                <w:color w:val="auto"/>
              </w:rPr>
            </w:pPr>
          </w:p>
        </w:tc>
        <w:tc>
          <w:tcPr>
            <w:tcW w:w="266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2,</w:t>
            </w:r>
          </w:p>
        </w:tc>
        <w:tc>
          <w:tcPr>
            <w:tcW w:w="30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2,</w:t>
            </w:r>
          </w:p>
        </w:tc>
        <w:tc>
          <w:tcPr>
            <w:tcW w:w="240" w:type="dxa"/>
            <w:vAlign w:val="bottom"/>
          </w:tcPr>
          <w:p>
            <w:pPr>
              <w:spacing w:after="0"/>
              <w:rPr>
                <w:sz w:val="14"/>
                <w:szCs w:val="14"/>
                <w:color w:val="auto"/>
              </w:rPr>
            </w:pPr>
          </w:p>
        </w:tc>
        <w:tc>
          <w:tcPr>
            <w:tcW w:w="12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w:t>
            </w:r>
          </w:p>
        </w:tc>
      </w:tr>
      <w:tr>
        <w:trPr>
          <w:trHeight w:val="243"/>
        </w:trPr>
        <w:tc>
          <w:tcPr>
            <w:tcW w:w="538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5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Employee severance</w:t>
            </w:r>
          </w:p>
        </w:tc>
        <w:tc>
          <w:tcPr>
            <w:tcW w:w="1120" w:type="dxa"/>
            <w:vAlign w:val="bottom"/>
            <w:shd w:val="clear" w:color="auto" w:fill="DBDBDB"/>
          </w:tcPr>
          <w:p>
            <w:pPr>
              <w:jc w:val="right"/>
              <w:ind w:right="91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1140" w:type="dxa"/>
            <w:vAlign w:val="bottom"/>
            <w:shd w:val="clear" w:color="auto" w:fill="DBDBDB"/>
          </w:tcPr>
          <w:p>
            <w:pPr>
              <w:jc w:val="right"/>
              <w:ind w:right="91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Asset impairments and other asset-related costs</w:t>
            </w:r>
          </w:p>
        </w:tc>
        <w:tc>
          <w:tcPr>
            <w:tcW w:w="1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5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auto"/>
            </w:tcBorders>
            <w:shd w:val="clear" w:color="auto" w:fill="DBDBDB"/>
          </w:tcPr>
          <w:p>
            <w:pPr>
              <w:spacing w:after="0"/>
              <w:rPr>
                <w:sz w:val="19"/>
                <w:szCs w:val="19"/>
                <w:color w:val="auto"/>
              </w:rPr>
            </w:pPr>
          </w:p>
        </w:tc>
        <w:tc>
          <w:tcPr>
            <w:tcW w:w="42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Restructure and asset impairments</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1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
        </w:trPr>
        <w:tc>
          <w:tcPr>
            <w:tcW w:w="5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2023, we initiated a restructure plan in response to challenging industry conditions (the “2023 Restructure Plan”). Under the 2023 Restructure Plan, we expect our headcount reduction to approach 15% by the end of calendar 2023, through a combination of voluntary attrition and personnel reductions. In connection with the plan, we incurred restructure charges of $86 million and $99 million in the second quarter and first six months of 2023 respectively, primarily related to employee severance costs. As of March 2, 2023, total costs expected to be incurred under the 2023 Restructure Plan were approximately $160 million. We expect the plan to be substantially completed by the end of the third quarter of 2023.</w:t>
      </w:r>
    </w:p>
    <w:p>
      <w:pPr>
        <w:spacing w:after="0" w:line="20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Changes in our restructure liability (included in accounts payable and accrued expenses) for the six months ended March 2, 2023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Restructure liability as of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Costs incurred and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Costs paid or otherwise settled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Restructure liability as of March 2, 2023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87"/>
        <w:spacing w:after="0"/>
        <w:rPr>
          <w:sz w:val="20"/>
          <w:szCs w:val="20"/>
          <w:color w:val="auto"/>
        </w:rPr>
      </w:pPr>
      <w:r>
        <w:rPr>
          <w:rFonts w:ascii="Arial" w:cs="Arial" w:eastAsia="Arial" w:hAnsi="Arial"/>
          <w:sz w:val="18"/>
          <w:szCs w:val="18"/>
          <w:b w:val="1"/>
          <w:bCs w:val="1"/>
          <w:color w:val="auto"/>
        </w:rPr>
        <w:t>Employee</w:t>
      </w:r>
    </w:p>
    <w:p>
      <w:pPr>
        <w:ind w:left="247"/>
        <w:spacing w:after="0"/>
        <w:rPr>
          <w:sz w:val="20"/>
          <w:szCs w:val="20"/>
          <w:color w:val="auto"/>
        </w:rPr>
      </w:pPr>
      <w:r>
        <w:rPr>
          <w:rFonts w:ascii="Arial" w:cs="Arial" w:eastAsia="Arial" w:hAnsi="Arial"/>
          <w:sz w:val="18"/>
          <w:szCs w:val="18"/>
          <w:b w:val="1"/>
          <w:bCs w:val="1"/>
          <w:color w:val="auto"/>
        </w:rPr>
        <w:t>Severance</w:t>
      </w:r>
    </w:p>
    <w:p>
      <w:pPr>
        <w:spacing w:after="0" w:line="72" w:lineRule="exact"/>
        <w:rPr>
          <w:sz w:val="20"/>
          <w:szCs w:val="20"/>
          <w:color w:val="auto"/>
        </w:rPr>
      </w:pPr>
    </w:p>
    <w:p>
      <w:pPr>
        <w:ind w:left="1167" w:hanging="1167"/>
        <w:spacing w:after="0"/>
        <w:tabs>
          <w:tab w:leader="none" w:pos="11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31" w:lineRule="exact"/>
        <w:rPr>
          <w:rFonts w:ascii="Arial" w:cs="Arial" w:eastAsia="Arial" w:hAnsi="Arial"/>
          <w:sz w:val="18"/>
          <w:szCs w:val="18"/>
          <w:color w:val="auto"/>
        </w:rPr>
      </w:pPr>
    </w:p>
    <w:p>
      <w:pPr>
        <w:ind w:left="1147"/>
        <w:spacing w:after="0"/>
        <w:rPr>
          <w:rFonts w:ascii="Arial" w:cs="Arial" w:eastAsia="Arial" w:hAnsi="Arial"/>
          <w:sz w:val="18"/>
          <w:szCs w:val="18"/>
          <w:color w:val="auto"/>
        </w:rPr>
      </w:pPr>
      <w:r>
        <w:rPr>
          <w:rFonts w:ascii="Arial" w:cs="Arial" w:eastAsia="Arial" w:hAnsi="Arial"/>
          <w:sz w:val="18"/>
          <w:szCs w:val="18"/>
          <w:color w:val="auto"/>
        </w:rPr>
        <w:t>93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9175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7" w:lineRule="exact"/>
        <w:rPr>
          <w:sz w:val="20"/>
          <w:szCs w:val="20"/>
          <w:color w:val="auto"/>
        </w:rPr>
      </w:pPr>
    </w:p>
    <w:p>
      <w:pPr>
        <w:ind w:left="1147" w:hanging="1147"/>
        <w:spacing w:after="0"/>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917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175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93" w:space="720"/>
            <w:col w:w="1427"/>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22"/>
        </w:trPr>
        <w:tc>
          <w:tcPr>
            <w:tcW w:w="8360" w:type="dxa"/>
            <w:vAlign w:val="bottom"/>
            <w:gridSpan w:val="9"/>
          </w:tcPr>
          <w:p>
            <w:pPr>
              <w:spacing w:after="0"/>
              <w:rPr>
                <w:sz w:val="20"/>
                <w:szCs w:val="20"/>
                <w:color w:val="auto"/>
              </w:rPr>
            </w:pPr>
            <w:r>
              <w:rPr>
                <w:rFonts w:ascii="Arial" w:cs="Arial" w:eastAsia="Arial" w:hAnsi="Arial"/>
                <w:sz w:val="40"/>
                <w:szCs w:val="40"/>
                <w:b w:val="1"/>
                <w:bCs w:val="1"/>
                <w:color w:val="auto"/>
                <w:w w:val="99"/>
              </w:rPr>
              <w:t>Other Non-Operating Income (Expense), Net</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0090DA"/>
            </w:tcBorders>
          </w:tcPr>
          <w:p>
            <w:pPr>
              <w:spacing w:after="0"/>
              <w:rPr>
                <w:sz w:val="24"/>
                <w:szCs w:val="24"/>
                <w:color w:val="auto"/>
              </w:rPr>
            </w:pPr>
          </w:p>
        </w:tc>
        <w:tc>
          <w:tcPr>
            <w:tcW w:w="1240" w:type="dxa"/>
            <w:vAlign w:val="bottom"/>
            <w:tcBorders>
              <w:top w:val="single" w:sz="8" w:color="0090D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77"/>
        </w:trPr>
        <w:tc>
          <w:tcPr>
            <w:tcW w:w="4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Borders>
              <w:top w:val="single" w:sz="8" w:color="0090DA"/>
            </w:tcBorders>
          </w:tcPr>
          <w:p>
            <w:pPr>
              <w:ind w:left="360"/>
              <w:spacing w:after="0" w:line="177" w:lineRule="exact"/>
              <w:rPr>
                <w:sz w:val="20"/>
                <w:szCs w:val="20"/>
                <w:color w:val="auto"/>
              </w:rPr>
            </w:pPr>
            <w:r>
              <w:rPr>
                <w:rFonts w:ascii="Arial" w:cs="Arial" w:eastAsia="Arial" w:hAnsi="Arial"/>
                <w:sz w:val="18"/>
                <w:szCs w:val="18"/>
                <w:b w:val="1"/>
                <w:bCs w:val="1"/>
                <w:color w:val="auto"/>
              </w:rPr>
              <w:t>March 2,</w:t>
            </w:r>
          </w:p>
        </w:tc>
        <w:tc>
          <w:tcPr>
            <w:tcW w:w="280" w:type="dxa"/>
            <w:vAlign w:val="bottom"/>
            <w:tcBorders>
              <w:top w:val="single" w:sz="8" w:color="0090DA"/>
            </w:tcBorders>
          </w:tcPr>
          <w:p>
            <w:pPr>
              <w:spacing w:after="0"/>
              <w:rPr>
                <w:sz w:val="15"/>
                <w:szCs w:val="15"/>
                <w:color w:val="auto"/>
              </w:rPr>
            </w:pPr>
          </w:p>
        </w:tc>
        <w:tc>
          <w:tcPr>
            <w:tcW w:w="1140" w:type="dxa"/>
            <w:vAlign w:val="bottom"/>
            <w:tcBorders>
              <w:top w:val="single" w:sz="8" w:color="0090DA"/>
            </w:tcBorders>
          </w:tcPr>
          <w:p>
            <w:pPr>
              <w:jc w:val="right"/>
              <w:spacing w:after="0" w:line="177" w:lineRule="exact"/>
              <w:rPr>
                <w:sz w:val="20"/>
                <w:szCs w:val="20"/>
                <w:color w:val="auto"/>
              </w:rPr>
            </w:pPr>
            <w:r>
              <w:rPr>
                <w:rFonts w:ascii="Arial" w:cs="Arial" w:eastAsia="Arial" w:hAnsi="Arial"/>
                <w:sz w:val="18"/>
                <w:szCs w:val="18"/>
                <w:b w:val="1"/>
                <w:bCs w:val="1"/>
                <w:color w:val="auto"/>
              </w:rPr>
              <w:t>March 3,</w:t>
            </w:r>
          </w:p>
        </w:tc>
        <w:tc>
          <w:tcPr>
            <w:tcW w:w="120" w:type="dxa"/>
            <w:vAlign w:val="bottom"/>
            <w:tcBorders>
              <w:top w:val="single" w:sz="8" w:color="0090DA"/>
            </w:tcBorders>
          </w:tcPr>
          <w:p>
            <w:pPr>
              <w:spacing w:after="0"/>
              <w:rPr>
                <w:sz w:val="15"/>
                <w:szCs w:val="15"/>
                <w:color w:val="auto"/>
              </w:rPr>
            </w:pPr>
          </w:p>
        </w:tc>
        <w:tc>
          <w:tcPr>
            <w:tcW w:w="100" w:type="dxa"/>
            <w:vAlign w:val="bottom"/>
            <w:tcBorders>
              <w:top w:val="single" w:sz="8" w:color="0090DA"/>
            </w:tcBorders>
          </w:tcPr>
          <w:p>
            <w:pPr>
              <w:spacing w:after="0"/>
              <w:rPr>
                <w:sz w:val="15"/>
                <w:szCs w:val="15"/>
                <w:color w:val="auto"/>
              </w:rPr>
            </w:pPr>
          </w:p>
        </w:tc>
        <w:tc>
          <w:tcPr>
            <w:tcW w:w="100" w:type="dxa"/>
            <w:vAlign w:val="bottom"/>
            <w:tcBorders>
              <w:top w:val="single" w:sz="8" w:color="0090DA"/>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0090DA"/>
            </w:tcBorders>
          </w:tcPr>
          <w:p>
            <w:pPr>
              <w:spacing w:after="0"/>
              <w:rPr>
                <w:sz w:val="15"/>
                <w:szCs w:val="15"/>
                <w:color w:val="auto"/>
              </w:rPr>
            </w:pPr>
          </w:p>
        </w:tc>
        <w:tc>
          <w:tcPr>
            <w:tcW w:w="128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2,</w:t>
            </w:r>
          </w:p>
        </w:tc>
        <w:tc>
          <w:tcPr>
            <w:tcW w:w="80" w:type="dxa"/>
            <w:vAlign w:val="bottom"/>
            <w:tcBorders>
              <w:top w:val="single" w:sz="8" w:color="0090DA"/>
            </w:tcBorders>
          </w:tcPr>
          <w:p>
            <w:pPr>
              <w:spacing w:after="0"/>
              <w:rPr>
                <w:sz w:val="15"/>
                <w:szCs w:val="15"/>
                <w:color w:val="auto"/>
              </w:rPr>
            </w:pPr>
          </w:p>
        </w:tc>
        <w:tc>
          <w:tcPr>
            <w:tcW w:w="120" w:type="dxa"/>
            <w:vAlign w:val="bottom"/>
            <w:tcBorders>
              <w:top w:val="single" w:sz="8" w:color="0090DA"/>
            </w:tcBorders>
          </w:tcPr>
          <w:p>
            <w:pPr>
              <w:spacing w:after="0"/>
              <w:rPr>
                <w:sz w:val="15"/>
                <w:szCs w:val="15"/>
                <w:color w:val="auto"/>
              </w:rPr>
            </w:pPr>
          </w:p>
        </w:tc>
        <w:tc>
          <w:tcPr>
            <w:tcW w:w="1240" w:type="dxa"/>
            <w:vAlign w:val="bottom"/>
            <w:tcBorders>
              <w:top w:val="single" w:sz="8" w:color="0090DA"/>
            </w:tcBorders>
          </w:tcPr>
          <w:p>
            <w:pPr>
              <w:jc w:val="center"/>
              <w:ind w:right="110"/>
              <w:spacing w:after="0" w:line="177" w:lineRule="exact"/>
              <w:rPr>
                <w:sz w:val="20"/>
                <w:szCs w:val="20"/>
                <w:color w:val="auto"/>
              </w:rPr>
            </w:pPr>
            <w:r>
              <w:rPr>
                <w:rFonts w:ascii="Arial" w:cs="Arial" w:eastAsia="Arial" w:hAnsi="Arial"/>
                <w:sz w:val="18"/>
                <w:szCs w:val="18"/>
                <w:b w:val="1"/>
                <w:bCs w:val="1"/>
                <w:color w:val="auto"/>
                <w:w w:val="98"/>
              </w:rPr>
              <w:t>March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980" w:type="dxa"/>
            <w:vAlign w:val="bottom"/>
            <w:tcBorders>
              <w:bottom w:val="single" w:sz="8" w:color="0090DA"/>
            </w:tcBorders>
          </w:tcPr>
          <w:p>
            <w:pPr>
              <w:spacing w:after="0"/>
              <w:rPr>
                <w:sz w:val="20"/>
                <w:szCs w:val="20"/>
                <w:color w:val="auto"/>
              </w:rPr>
            </w:pPr>
          </w:p>
        </w:tc>
        <w:tc>
          <w:tcPr>
            <w:tcW w:w="400" w:type="dxa"/>
            <w:vAlign w:val="bottom"/>
            <w:tcBorders>
              <w:bottom w:val="single" w:sz="8" w:color="0090DA"/>
            </w:tcBorders>
          </w:tcPr>
          <w:p>
            <w:pPr>
              <w:spacing w:after="0"/>
              <w:rPr>
                <w:sz w:val="20"/>
                <w:szCs w:val="20"/>
                <w:color w:val="auto"/>
              </w:rPr>
            </w:pPr>
          </w:p>
        </w:tc>
        <w:tc>
          <w:tcPr>
            <w:tcW w:w="1140" w:type="dxa"/>
            <w:vAlign w:val="bottom"/>
            <w:tcBorders>
              <w:bottom w:val="single" w:sz="8" w:color="0090DA"/>
            </w:tcBorders>
          </w:tcPr>
          <w:p>
            <w:pPr>
              <w:ind w:left="52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0090DA"/>
            </w:tcBorders>
          </w:tcPr>
          <w:p>
            <w:pPr>
              <w:spacing w:after="0"/>
              <w:rPr>
                <w:sz w:val="20"/>
                <w:szCs w:val="20"/>
                <w:color w:val="auto"/>
              </w:rPr>
            </w:pPr>
          </w:p>
        </w:tc>
        <w:tc>
          <w:tcPr>
            <w:tcW w:w="114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0090DA"/>
            </w:tcBorders>
          </w:tcPr>
          <w:p>
            <w:pPr>
              <w:spacing w:after="0"/>
              <w:rPr>
                <w:sz w:val="20"/>
                <w:szCs w:val="20"/>
                <w:color w:val="auto"/>
              </w:rPr>
            </w:pPr>
          </w:p>
        </w:tc>
        <w:tc>
          <w:tcPr>
            <w:tcW w:w="100" w:type="dxa"/>
            <w:vAlign w:val="bottom"/>
            <w:tcBorders>
              <w:bottom w:val="single" w:sz="8" w:color="0090DA"/>
            </w:tcBorders>
          </w:tcPr>
          <w:p>
            <w:pPr>
              <w:spacing w:after="0"/>
              <w:rPr>
                <w:sz w:val="20"/>
                <w:szCs w:val="20"/>
                <w:color w:val="auto"/>
              </w:rPr>
            </w:pPr>
          </w:p>
        </w:tc>
        <w:tc>
          <w:tcPr>
            <w:tcW w:w="100" w:type="dxa"/>
            <w:vAlign w:val="bottom"/>
            <w:tcBorders>
              <w:bottom w:val="single" w:sz="8" w:color="0090DA"/>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0090DA"/>
            </w:tcBorders>
          </w:tcPr>
          <w:p>
            <w:pPr>
              <w:spacing w:after="0"/>
              <w:rPr>
                <w:sz w:val="20"/>
                <w:szCs w:val="20"/>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24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on investments</w:t>
            </w:r>
          </w:p>
        </w:tc>
        <w:tc>
          <w:tcPr>
            <w:tcW w:w="400" w:type="dxa"/>
            <w:vAlign w:val="bottom"/>
            <w:shd w:val="clear" w:color="auto" w:fill="D1D2D4"/>
          </w:tcPr>
          <w:p>
            <w:pPr>
              <w:spacing w:after="0"/>
              <w:rPr>
                <w:sz w:val="19"/>
                <w:szCs w:val="19"/>
                <w:color w:val="auto"/>
              </w:rPr>
            </w:pPr>
          </w:p>
        </w:tc>
        <w:tc>
          <w:tcPr>
            <w:tcW w:w="1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140" w:type="dxa"/>
            <w:vAlign w:val="bottom"/>
            <w:shd w:val="clear" w:color="auto" w:fill="D1D2D4"/>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D1D2D4"/>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1D2D4"/>
          </w:tcPr>
          <w:p>
            <w:pPr>
              <w:spacing w:after="0"/>
              <w:rPr>
                <w:sz w:val="19"/>
                <w:szCs w:val="19"/>
                <w:color w:val="auto"/>
              </w:rPr>
            </w:pP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0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Gain (loss) on debt repurchases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spacing w:after="0"/>
              <w:rPr>
                <w:sz w:val="19"/>
                <w:szCs w:val="19"/>
                <w:color w:val="auto"/>
              </w:rPr>
            </w:pPr>
          </w:p>
        </w:tc>
        <w:tc>
          <w:tcPr>
            <w:tcW w:w="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auto"/>
            </w:tcBorders>
            <w:shd w:val="clear" w:color="auto" w:fill="D1D2D4"/>
          </w:tcPr>
          <w:p>
            <w:pPr>
              <w:spacing w:after="0"/>
              <w:rPr>
                <w:sz w:val="19"/>
                <w:szCs w:val="19"/>
                <w:color w:val="auto"/>
              </w:rPr>
            </w:pPr>
          </w:p>
        </w:tc>
        <w:tc>
          <w:tcPr>
            <w:tcW w:w="320" w:type="dxa"/>
            <w:vAlign w:val="bottom"/>
            <w:tcBorders>
              <w:bottom w:val="single" w:sz="8" w:color="auto"/>
            </w:tcBorders>
            <w:gridSpan w:val="3"/>
            <w:shd w:val="clear" w:color="auto" w:fill="D1D2D4"/>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80" w:type="dxa"/>
            <w:vAlign w:val="bottom"/>
            <w:vMerge w:val="restart"/>
          </w:tcPr>
          <w:p>
            <w:pPr>
              <w:spacing w:after="0"/>
              <w:rPr>
                <w:sz w:val="20"/>
                <w:szCs w:val="20"/>
                <w:color w:val="auto"/>
              </w:rPr>
            </w:pPr>
            <w:r>
              <w:rPr>
                <w:rFonts w:ascii="Arial" w:cs="Arial" w:eastAsia="Arial" w:hAnsi="Arial"/>
                <w:sz w:val="40"/>
                <w:szCs w:val="40"/>
                <w:b w:val="1"/>
                <w:bCs w:val="1"/>
                <w:color w:val="auto"/>
              </w:rPr>
              <w:t>Income Taxes</w:t>
            </w: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49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98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60" w:type="dxa"/>
            <w:vAlign w:val="bottom"/>
            <w:gridSpan w:val="3"/>
          </w:tcPr>
          <w:p>
            <w:pPr>
              <w:ind w:left="54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4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400" w:type="dxa"/>
            <w:vAlign w:val="bottom"/>
            <w:tcBorders>
              <w:top w:val="single" w:sz="8" w:color="0090DA"/>
            </w:tcBorders>
          </w:tcPr>
          <w:p>
            <w:pPr>
              <w:spacing w:after="0"/>
              <w:rPr>
                <w:sz w:val="14"/>
                <w:szCs w:val="14"/>
                <w:color w:val="auto"/>
              </w:rPr>
            </w:pPr>
          </w:p>
        </w:tc>
        <w:tc>
          <w:tcPr>
            <w:tcW w:w="1140" w:type="dxa"/>
            <w:vAlign w:val="bottom"/>
            <w:tcBorders>
              <w:top w:val="single" w:sz="8" w:color="0090DA"/>
            </w:tcBorders>
          </w:tcPr>
          <w:p>
            <w:pPr>
              <w:ind w:left="20"/>
              <w:spacing w:after="0" w:line="169" w:lineRule="exact"/>
              <w:rPr>
                <w:sz w:val="20"/>
                <w:szCs w:val="20"/>
                <w:color w:val="auto"/>
              </w:rPr>
            </w:pPr>
            <w:r>
              <w:rPr>
                <w:rFonts w:ascii="Arial" w:cs="Arial" w:eastAsia="Arial" w:hAnsi="Arial"/>
                <w:sz w:val="18"/>
                <w:szCs w:val="18"/>
                <w:b w:val="1"/>
                <w:bCs w:val="1"/>
                <w:color w:val="auto"/>
              </w:rPr>
              <w:t>March 2,</w:t>
            </w:r>
          </w:p>
        </w:tc>
        <w:tc>
          <w:tcPr>
            <w:tcW w:w="280" w:type="dxa"/>
            <w:vAlign w:val="bottom"/>
            <w:tcBorders>
              <w:top w:val="single" w:sz="8" w:color="0090DA"/>
            </w:tcBorders>
          </w:tcPr>
          <w:p>
            <w:pPr>
              <w:spacing w:after="0"/>
              <w:rPr>
                <w:sz w:val="14"/>
                <w:szCs w:val="14"/>
                <w:color w:val="auto"/>
              </w:rPr>
            </w:pPr>
          </w:p>
        </w:tc>
        <w:tc>
          <w:tcPr>
            <w:tcW w:w="1140" w:type="dxa"/>
            <w:vAlign w:val="bottom"/>
            <w:tcBorders>
              <w:top w:val="single" w:sz="8" w:color="0090DA"/>
            </w:tcBorders>
          </w:tcPr>
          <w:p>
            <w:pPr>
              <w:jc w:val="right"/>
              <w:ind w:right="190"/>
              <w:spacing w:after="0" w:line="169" w:lineRule="exact"/>
              <w:rPr>
                <w:sz w:val="20"/>
                <w:szCs w:val="20"/>
                <w:color w:val="auto"/>
              </w:rPr>
            </w:pPr>
            <w:r>
              <w:rPr>
                <w:rFonts w:ascii="Arial" w:cs="Arial" w:eastAsia="Arial" w:hAnsi="Arial"/>
                <w:sz w:val="18"/>
                <w:szCs w:val="18"/>
                <w:b w:val="1"/>
                <w:bCs w:val="1"/>
                <w:color w:val="auto"/>
              </w:rPr>
              <w:t>March 3,</w:t>
            </w:r>
          </w:p>
        </w:tc>
        <w:tc>
          <w:tcPr>
            <w:tcW w:w="120" w:type="dxa"/>
            <w:vAlign w:val="bottom"/>
            <w:tcBorders>
              <w:top w:val="single" w:sz="8" w:color="0090DA"/>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0090DA"/>
            </w:tcBorders>
          </w:tcPr>
          <w:p>
            <w:pPr>
              <w:spacing w:after="0"/>
              <w:rPr>
                <w:sz w:val="14"/>
                <w:szCs w:val="14"/>
                <w:color w:val="auto"/>
              </w:rPr>
            </w:pPr>
          </w:p>
        </w:tc>
        <w:tc>
          <w:tcPr>
            <w:tcW w:w="100" w:type="dxa"/>
            <w:vAlign w:val="bottom"/>
            <w:tcBorders>
              <w:top w:val="single" w:sz="8" w:color="0090DA"/>
            </w:tcBorders>
          </w:tcPr>
          <w:p>
            <w:pPr>
              <w:spacing w:after="0"/>
              <w:rPr>
                <w:sz w:val="14"/>
                <w:szCs w:val="14"/>
                <w:color w:val="auto"/>
              </w:rPr>
            </w:pPr>
          </w:p>
        </w:tc>
        <w:tc>
          <w:tcPr>
            <w:tcW w:w="160" w:type="dxa"/>
            <w:vAlign w:val="bottom"/>
            <w:tcBorders>
              <w:top w:val="single" w:sz="8" w:color="0090DA"/>
            </w:tcBorders>
          </w:tcPr>
          <w:p>
            <w:pPr>
              <w:spacing w:after="0"/>
              <w:rPr>
                <w:sz w:val="14"/>
                <w:szCs w:val="14"/>
                <w:color w:val="auto"/>
              </w:rPr>
            </w:pPr>
          </w:p>
        </w:tc>
        <w:tc>
          <w:tcPr>
            <w:tcW w:w="1280" w:type="dxa"/>
            <w:vAlign w:val="bottom"/>
            <w:tcBorders>
              <w:top w:val="single" w:sz="8" w:color="0090DA"/>
            </w:tcBorders>
          </w:tcPr>
          <w:p>
            <w:pPr>
              <w:jc w:val="right"/>
              <w:ind w:right="410"/>
              <w:spacing w:after="0" w:line="169" w:lineRule="exact"/>
              <w:rPr>
                <w:sz w:val="20"/>
                <w:szCs w:val="20"/>
                <w:color w:val="auto"/>
              </w:rPr>
            </w:pPr>
            <w:r>
              <w:rPr>
                <w:rFonts w:ascii="Arial" w:cs="Arial" w:eastAsia="Arial" w:hAnsi="Arial"/>
                <w:sz w:val="18"/>
                <w:szCs w:val="18"/>
                <w:b w:val="1"/>
                <w:bCs w:val="1"/>
                <w:color w:val="auto"/>
              </w:rPr>
              <w:t>March 2,</w:t>
            </w:r>
          </w:p>
        </w:tc>
        <w:tc>
          <w:tcPr>
            <w:tcW w:w="80" w:type="dxa"/>
            <w:vAlign w:val="bottom"/>
            <w:tcBorders>
              <w:top w:val="single" w:sz="8" w:color="0090DA"/>
            </w:tcBorders>
          </w:tcPr>
          <w:p>
            <w:pPr>
              <w:spacing w:after="0"/>
              <w:rPr>
                <w:sz w:val="14"/>
                <w:szCs w:val="14"/>
                <w:color w:val="auto"/>
              </w:rPr>
            </w:pPr>
          </w:p>
        </w:tc>
        <w:tc>
          <w:tcPr>
            <w:tcW w:w="120" w:type="dxa"/>
            <w:vAlign w:val="bottom"/>
            <w:tcBorders>
              <w:top w:val="single" w:sz="8" w:color="0090DA"/>
            </w:tcBorders>
          </w:tcPr>
          <w:p>
            <w:pPr>
              <w:spacing w:after="0"/>
              <w:rPr>
                <w:sz w:val="14"/>
                <w:szCs w:val="14"/>
                <w:color w:val="auto"/>
              </w:rPr>
            </w:pPr>
          </w:p>
        </w:tc>
        <w:tc>
          <w:tcPr>
            <w:tcW w:w="1240" w:type="dxa"/>
            <w:vAlign w:val="bottom"/>
            <w:tcBorders>
              <w:top w:val="single" w:sz="8" w:color="0090DA"/>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March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0090DA"/>
            </w:tcBorders>
          </w:tcPr>
          <w:p>
            <w:pPr>
              <w:spacing w:after="0"/>
              <w:rPr>
                <w:sz w:val="21"/>
                <w:szCs w:val="21"/>
                <w:color w:val="auto"/>
              </w:rPr>
            </w:pPr>
          </w:p>
        </w:tc>
        <w:tc>
          <w:tcPr>
            <w:tcW w:w="40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0090DA"/>
            </w:tcBorders>
          </w:tcPr>
          <w:p>
            <w:pPr>
              <w:spacing w:after="0"/>
              <w:rPr>
                <w:sz w:val="21"/>
                <w:szCs w:val="21"/>
                <w:color w:val="auto"/>
              </w:rPr>
            </w:pPr>
          </w:p>
        </w:tc>
        <w:tc>
          <w:tcPr>
            <w:tcW w:w="10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24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40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(2,271)</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2,509</w:t>
            </w:r>
          </w:p>
        </w:tc>
        <w:tc>
          <w:tcPr>
            <w:tcW w:w="420" w:type="dxa"/>
            <w:vAlign w:val="bottom"/>
            <w:gridSpan w:val="4"/>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(2,447)  $</w:t>
            </w:r>
          </w:p>
        </w:tc>
        <w:tc>
          <w:tcPr>
            <w:tcW w:w="120" w:type="dxa"/>
            <w:vAlign w:val="bottom"/>
            <w:shd w:val="clear" w:color="auto" w:fill="D1D2D4"/>
          </w:tcPr>
          <w:p>
            <w:pPr>
              <w:spacing w:after="0"/>
              <w:rPr>
                <w:sz w:val="19"/>
                <w:szCs w:val="19"/>
                <w:color w:val="auto"/>
              </w:rPr>
            </w:pPr>
          </w:p>
        </w:tc>
        <w:tc>
          <w:tcPr>
            <w:tcW w:w="12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40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D1D2D4"/>
          </w:tcPr>
          <w:p>
            <w:pPr>
              <w:spacing w:after="0"/>
              <w:rPr>
                <w:sz w:val="19"/>
                <w:szCs w:val="19"/>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(2.5)%</w:t>
            </w:r>
          </w:p>
        </w:tc>
        <w:tc>
          <w:tcPr>
            <w:tcW w:w="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changes in our effective tax rate for the second quarter and first six months of 2023 as compared to the corresponding periods of 2022 were primarily due to pre-tax losses incurred in the first six months of 2023. Despite a consolidated pre-tax loss on a worldwide basis, we have taxes payable in certain geographies due to minimum taxable income reportable in those geographies.</w:t>
      </w:r>
    </w:p>
    <w:p>
      <w:pPr>
        <w:spacing w:after="0" w:line="19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a loss before taxes and geographic mix of income, the benefit from tax incentive arrangements was not material for the second quarter and first six months of 2023. These arrangements reduced our tax provision by $304 million ($0.27 per diluted share) and $594 million ($0.53 per diluted share) for the second quarter and first six months of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0090DA"/>
            </w:tcBorders>
            <w:gridSpan w:val="2"/>
          </w:tcPr>
          <w:p>
            <w:pPr>
              <w:jc w:val="right"/>
              <w:spacing w:after="0"/>
              <w:rPr>
                <w:sz w:val="20"/>
                <w:szCs w:val="20"/>
                <w:color w:val="auto"/>
              </w:rPr>
            </w:pPr>
            <w:r>
              <w:rPr>
                <w:rFonts w:ascii="Arial" w:cs="Arial" w:eastAsia="Arial" w:hAnsi="Arial"/>
                <w:sz w:val="16"/>
                <w:szCs w:val="16"/>
                <w:b w:val="1"/>
                <w:bCs w:val="1"/>
                <w:color w:val="0090DA"/>
                <w:w w:val="99"/>
              </w:rPr>
              <w:t>Table of Contents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4"/>
        </w:trPr>
        <w:tc>
          <w:tcPr>
            <w:tcW w:w="5360" w:type="dxa"/>
            <w:vAlign w:val="bottom"/>
          </w:tcPr>
          <w:p>
            <w:pPr>
              <w:spacing w:after="0"/>
              <w:rPr>
                <w:sz w:val="20"/>
                <w:szCs w:val="20"/>
                <w:color w:val="auto"/>
              </w:rPr>
            </w:pPr>
            <w:r>
              <w:rPr>
                <w:rFonts w:ascii="Arial" w:cs="Arial" w:eastAsia="Arial" w:hAnsi="Arial"/>
                <w:sz w:val="40"/>
                <w:szCs w:val="40"/>
                <w:b w:val="1"/>
                <w:bCs w:val="1"/>
                <w:color w:val="auto"/>
              </w:rPr>
              <w:t>Earnings Per Share</w:t>
            </w:r>
          </w:p>
        </w:tc>
        <w:tc>
          <w:tcPr>
            <w:tcW w:w="240" w:type="dxa"/>
            <w:vAlign w:val="bottom"/>
          </w:tcPr>
          <w:p>
            <w:pPr>
              <w:spacing w:after="0"/>
              <w:rPr>
                <w:sz w:val="24"/>
                <w:szCs w:val="24"/>
                <w:color w:val="auto"/>
              </w:rPr>
            </w:pPr>
          </w:p>
        </w:tc>
        <w:tc>
          <w:tcPr>
            <w:tcW w:w="2760" w:type="dxa"/>
            <w:vAlign w:val="bottom"/>
            <w:gridSpan w:val="4"/>
            <w:vMerge w:val="restart"/>
          </w:tcPr>
          <w:p>
            <w:pPr>
              <w:ind w:left="60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4"/>
                <w:szCs w:val="24"/>
                <w:color w:val="auto"/>
              </w:rPr>
            </w:pPr>
          </w:p>
        </w:tc>
        <w:tc>
          <w:tcPr>
            <w:tcW w:w="2680" w:type="dxa"/>
            <w:vAlign w:val="bottom"/>
            <w:gridSpan w:val="5"/>
            <w:vMerge w:val="restart"/>
          </w:tcPr>
          <w:p>
            <w:pPr>
              <w:ind w:lef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360" w:type="dxa"/>
            <w:vAlign w:val="bottom"/>
          </w:tcPr>
          <w:p>
            <w:pPr>
              <w:spacing w:after="0"/>
              <w:rPr>
                <w:sz w:val="15"/>
                <w:szCs w:val="15"/>
                <w:color w:val="auto"/>
              </w:rPr>
            </w:pPr>
          </w:p>
        </w:tc>
        <w:tc>
          <w:tcPr>
            <w:tcW w:w="240" w:type="dxa"/>
            <w:vAlign w:val="bottom"/>
            <w:tcBorders>
              <w:top w:val="single" w:sz="8" w:color="0090DA"/>
            </w:tcBorders>
          </w:tcPr>
          <w:p>
            <w:pPr>
              <w:spacing w:after="0"/>
              <w:rPr>
                <w:sz w:val="15"/>
                <w:szCs w:val="15"/>
                <w:color w:val="auto"/>
              </w:rPr>
            </w:pPr>
          </w:p>
        </w:tc>
        <w:tc>
          <w:tcPr>
            <w:tcW w:w="1200" w:type="dxa"/>
            <w:vAlign w:val="bottom"/>
            <w:tcBorders>
              <w:top w:val="single" w:sz="8" w:color="0090DA"/>
            </w:tcBorders>
          </w:tcPr>
          <w:p>
            <w:pPr>
              <w:jc w:val="right"/>
              <w:ind w:right="250"/>
              <w:spacing w:after="0" w:line="177" w:lineRule="exact"/>
              <w:rPr>
                <w:sz w:val="20"/>
                <w:szCs w:val="20"/>
                <w:color w:val="auto"/>
              </w:rPr>
            </w:pPr>
            <w:r>
              <w:rPr>
                <w:rFonts w:ascii="Arial" w:cs="Arial" w:eastAsia="Arial" w:hAnsi="Arial"/>
                <w:sz w:val="18"/>
                <w:szCs w:val="18"/>
                <w:b w:val="1"/>
                <w:bCs w:val="1"/>
                <w:color w:val="auto"/>
              </w:rPr>
              <w:t>March 2,</w:t>
            </w:r>
          </w:p>
        </w:tc>
        <w:tc>
          <w:tcPr>
            <w:tcW w:w="240" w:type="dxa"/>
            <w:vAlign w:val="bottom"/>
            <w:tcBorders>
              <w:top w:val="single" w:sz="8" w:color="0090DA"/>
            </w:tcBorders>
          </w:tcPr>
          <w:p>
            <w:pPr>
              <w:spacing w:after="0"/>
              <w:rPr>
                <w:sz w:val="15"/>
                <w:szCs w:val="15"/>
                <w:color w:val="auto"/>
              </w:rPr>
            </w:pPr>
          </w:p>
        </w:tc>
        <w:tc>
          <w:tcPr>
            <w:tcW w:w="122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3,</w:t>
            </w:r>
          </w:p>
        </w:tc>
        <w:tc>
          <w:tcPr>
            <w:tcW w:w="100" w:type="dxa"/>
            <w:vAlign w:val="bottom"/>
          </w:tcPr>
          <w:p>
            <w:pPr>
              <w:spacing w:after="0"/>
              <w:rPr>
                <w:sz w:val="15"/>
                <w:szCs w:val="15"/>
                <w:color w:val="auto"/>
              </w:rPr>
            </w:pPr>
          </w:p>
        </w:tc>
        <w:tc>
          <w:tcPr>
            <w:tcW w:w="220" w:type="dxa"/>
            <w:vAlign w:val="bottom"/>
            <w:tcBorders>
              <w:top w:val="single" w:sz="8" w:color="0090DA"/>
            </w:tcBorders>
          </w:tcPr>
          <w:p>
            <w:pPr>
              <w:spacing w:after="0"/>
              <w:rPr>
                <w:sz w:val="15"/>
                <w:szCs w:val="15"/>
                <w:color w:val="auto"/>
              </w:rPr>
            </w:pPr>
          </w:p>
        </w:tc>
        <w:tc>
          <w:tcPr>
            <w:tcW w:w="122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2,</w:t>
            </w:r>
          </w:p>
        </w:tc>
        <w:tc>
          <w:tcPr>
            <w:tcW w:w="80" w:type="dxa"/>
            <w:vAlign w:val="bottom"/>
            <w:tcBorders>
              <w:top w:val="single" w:sz="8" w:color="0090DA"/>
            </w:tcBorders>
          </w:tcPr>
          <w:p>
            <w:pPr>
              <w:spacing w:after="0"/>
              <w:rPr>
                <w:sz w:val="15"/>
                <w:szCs w:val="15"/>
                <w:color w:val="auto"/>
              </w:rPr>
            </w:pPr>
          </w:p>
        </w:tc>
        <w:tc>
          <w:tcPr>
            <w:tcW w:w="160" w:type="dxa"/>
            <w:vAlign w:val="bottom"/>
            <w:tcBorders>
              <w:top w:val="single" w:sz="8" w:color="0090DA"/>
            </w:tcBorders>
          </w:tcPr>
          <w:p>
            <w:pPr>
              <w:spacing w:after="0"/>
              <w:rPr>
                <w:sz w:val="15"/>
                <w:szCs w:val="15"/>
                <w:color w:val="auto"/>
              </w:rPr>
            </w:pPr>
          </w:p>
        </w:tc>
        <w:tc>
          <w:tcPr>
            <w:tcW w:w="120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36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0090DA"/>
            </w:tcBorders>
          </w:tcPr>
          <w:p>
            <w:pPr>
              <w:spacing w:after="0"/>
              <w:rPr>
                <w:sz w:val="20"/>
                <w:szCs w:val="20"/>
                <w:color w:val="auto"/>
              </w:rPr>
            </w:pPr>
          </w:p>
        </w:tc>
        <w:tc>
          <w:tcPr>
            <w:tcW w:w="16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 – Basic and Diluted</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(2,312)</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(2,507)</w:t>
            </w:r>
          </w:p>
        </w:tc>
        <w:tc>
          <w:tcPr>
            <w:tcW w:w="240" w:type="dxa"/>
            <w:vAlign w:val="bottom"/>
            <w:gridSpan w:val="2"/>
            <w:shd w:val="clear" w:color="auto" w:fill="D1D2D4"/>
          </w:tcPr>
          <w:p>
            <w:pPr>
              <w:jc w:val="right"/>
              <w:ind w:right="3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1,091</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1,091</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Borders>
              <w:bottom w:val="single" w:sz="8" w:color="auto"/>
            </w:tcBorders>
            <w:shd w:val="clear" w:color="auto" w:fill="D1D2D4"/>
          </w:tcPr>
          <w:p>
            <w:pPr>
              <w:spacing w:after="0"/>
              <w:rPr>
                <w:sz w:val="21"/>
                <w:szCs w:val="21"/>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spacing w:after="0"/>
              <w:rPr>
                <w:sz w:val="21"/>
                <w:szCs w:val="21"/>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Borders>
              <w:bottom w:val="single" w:sz="8" w:color="auto"/>
            </w:tcBorders>
            <w:shd w:val="clear" w:color="auto" w:fill="D1D2D4"/>
          </w:tcPr>
          <w:p>
            <w:pPr>
              <w:spacing w:after="0"/>
              <w:rPr>
                <w:sz w:val="21"/>
                <w:szCs w:val="21"/>
                <w:color w:val="auto"/>
              </w:rPr>
            </w:pPr>
          </w:p>
        </w:tc>
        <w:tc>
          <w:tcPr>
            <w:tcW w:w="16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3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gridSpan w:val="2"/>
          </w:tcPr>
          <w:p>
            <w:pPr>
              <w:jc w:val="right"/>
              <w:ind w:right="39"/>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Antidilutive potential common shares excluded from the computation of diluted earnings per share, that could dilute basic earnings per share in the future, were 33 million and 34 million for the second quarter and first six months of 2023, respectively, and were 2 million for the second quarter and first six months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5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80" w:lineRule="exact"/>
        <w:rPr>
          <w:sz w:val="20"/>
          <w:szCs w:val="20"/>
          <w:color w:val="auto"/>
        </w:rPr>
      </w:pPr>
    </w:p>
    <w:p>
      <w:pPr>
        <w:ind w:left="340" w:right="380" w:hanging="323"/>
        <w:spacing w:after="0" w:line="260"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9" w:lineRule="exact"/>
        <w:rPr>
          <w:sz w:val="20"/>
          <w:szCs w:val="20"/>
          <w:color w:val="auto"/>
        </w:rPr>
      </w:pPr>
    </w:p>
    <w:p>
      <w:pPr>
        <w:ind w:left="340" w:hanging="323"/>
        <w:spacing w:after="0" w:line="266"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w:t>
      </w:r>
    </w:p>
    <w:p>
      <w:pPr>
        <w:spacing w:after="0" w:line="19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77"/>
        </w:trPr>
        <w:tc>
          <w:tcPr>
            <w:tcW w:w="5380" w:type="dxa"/>
            <w:vAlign w:val="bottom"/>
          </w:tcPr>
          <w:p>
            <w:pPr>
              <w:spacing w:after="0"/>
              <w:rPr>
                <w:sz w:val="15"/>
                <w:szCs w:val="15"/>
                <w:color w:val="auto"/>
              </w:rPr>
            </w:pPr>
          </w:p>
        </w:tc>
        <w:tc>
          <w:tcPr>
            <w:tcW w:w="240" w:type="dxa"/>
            <w:vAlign w:val="bottom"/>
            <w:tcBorders>
              <w:top w:val="single" w:sz="8" w:color="0090DA"/>
            </w:tcBorders>
          </w:tcPr>
          <w:p>
            <w:pPr>
              <w:spacing w:after="0"/>
              <w:rPr>
                <w:sz w:val="15"/>
                <w:szCs w:val="15"/>
                <w:color w:val="auto"/>
              </w:rPr>
            </w:pPr>
          </w:p>
        </w:tc>
        <w:tc>
          <w:tcPr>
            <w:tcW w:w="1180" w:type="dxa"/>
            <w:vAlign w:val="bottom"/>
            <w:tcBorders>
              <w:top w:val="single" w:sz="8" w:color="0090DA"/>
            </w:tcBorders>
          </w:tcPr>
          <w:p>
            <w:pPr>
              <w:jc w:val="right"/>
              <w:ind w:right="250"/>
              <w:spacing w:after="0" w:line="177" w:lineRule="exact"/>
              <w:rPr>
                <w:sz w:val="20"/>
                <w:szCs w:val="20"/>
                <w:color w:val="auto"/>
              </w:rPr>
            </w:pPr>
            <w:r>
              <w:rPr>
                <w:rFonts w:ascii="Arial" w:cs="Arial" w:eastAsia="Arial" w:hAnsi="Arial"/>
                <w:sz w:val="18"/>
                <w:szCs w:val="18"/>
                <w:b w:val="1"/>
                <w:bCs w:val="1"/>
                <w:color w:val="auto"/>
              </w:rPr>
              <w:t>March 2,</w:t>
            </w:r>
          </w:p>
        </w:tc>
        <w:tc>
          <w:tcPr>
            <w:tcW w:w="240" w:type="dxa"/>
            <w:vAlign w:val="bottom"/>
            <w:tcBorders>
              <w:top w:val="single" w:sz="8" w:color="0090DA"/>
            </w:tcBorders>
          </w:tcPr>
          <w:p>
            <w:pPr>
              <w:spacing w:after="0"/>
              <w:rPr>
                <w:sz w:val="15"/>
                <w:szCs w:val="15"/>
                <w:color w:val="auto"/>
              </w:rPr>
            </w:pPr>
          </w:p>
        </w:tc>
        <w:tc>
          <w:tcPr>
            <w:tcW w:w="122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3,</w:t>
            </w:r>
          </w:p>
        </w:tc>
        <w:tc>
          <w:tcPr>
            <w:tcW w:w="100" w:type="dxa"/>
            <w:vAlign w:val="bottom"/>
          </w:tcPr>
          <w:p>
            <w:pPr>
              <w:spacing w:after="0"/>
              <w:rPr>
                <w:sz w:val="15"/>
                <w:szCs w:val="15"/>
                <w:color w:val="auto"/>
              </w:rPr>
            </w:pPr>
          </w:p>
        </w:tc>
        <w:tc>
          <w:tcPr>
            <w:tcW w:w="220" w:type="dxa"/>
            <w:vAlign w:val="bottom"/>
            <w:tcBorders>
              <w:top w:val="single" w:sz="8" w:color="0090DA"/>
            </w:tcBorders>
          </w:tcPr>
          <w:p>
            <w:pPr>
              <w:spacing w:after="0"/>
              <w:rPr>
                <w:sz w:val="15"/>
                <w:szCs w:val="15"/>
                <w:color w:val="auto"/>
              </w:rPr>
            </w:pPr>
          </w:p>
        </w:tc>
        <w:tc>
          <w:tcPr>
            <w:tcW w:w="122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2,</w:t>
            </w:r>
          </w:p>
        </w:tc>
        <w:tc>
          <w:tcPr>
            <w:tcW w:w="240" w:type="dxa"/>
            <w:vAlign w:val="bottom"/>
            <w:tcBorders>
              <w:top w:val="single" w:sz="8" w:color="0090DA"/>
            </w:tcBorders>
          </w:tcPr>
          <w:p>
            <w:pPr>
              <w:spacing w:after="0"/>
              <w:rPr>
                <w:sz w:val="15"/>
                <w:szCs w:val="15"/>
                <w:color w:val="auto"/>
              </w:rPr>
            </w:pPr>
          </w:p>
        </w:tc>
        <w:tc>
          <w:tcPr>
            <w:tcW w:w="1200" w:type="dxa"/>
            <w:vAlign w:val="bottom"/>
            <w:tcBorders>
              <w:top w:val="single" w:sz="8" w:color="0090DA"/>
            </w:tcBorders>
          </w:tcPr>
          <w:p>
            <w:pPr>
              <w:jc w:val="right"/>
              <w:ind w:right="270"/>
              <w:spacing w:after="0" w:line="177" w:lineRule="exact"/>
              <w:rPr>
                <w:sz w:val="20"/>
                <w:szCs w:val="20"/>
                <w:color w:val="auto"/>
              </w:rPr>
            </w:pPr>
            <w:r>
              <w:rPr>
                <w:rFonts w:ascii="Arial" w:cs="Arial" w:eastAsia="Arial" w:hAnsi="Arial"/>
                <w:sz w:val="18"/>
                <w:szCs w:val="18"/>
                <w:b w:val="1"/>
                <w:bCs w:val="1"/>
                <w:color w:val="auto"/>
              </w:rPr>
              <w:t>March 3,</w:t>
            </w:r>
          </w:p>
        </w:tc>
      </w:tr>
      <w:tr>
        <w:trPr>
          <w:trHeight w:val="235"/>
        </w:trPr>
        <w:tc>
          <w:tcPr>
            <w:tcW w:w="538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6,867</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3,782</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2,497</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2,321</w:t>
            </w:r>
          </w:p>
        </w:tc>
      </w:tr>
      <w:tr>
        <w:trPr>
          <w:trHeight w:val="230"/>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538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3,693</w:t>
            </w:r>
          </w:p>
        </w:tc>
        <w:tc>
          <w:tcPr>
            <w:tcW w:w="2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7,786</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7,778</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15,473</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3,086</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1,212</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380" w:type="dxa"/>
            <w:vAlign w:val="bottom"/>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24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5,475</w:t>
            </w:r>
          </w:p>
        </w:tc>
      </w:tr>
      <w:tr>
        <w:trPr>
          <w:trHeight w:val="237"/>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Provision to write-down inventories to net realizable value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(1,430)</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380" w:type="dxa"/>
            <w:vAlign w:val="bottom"/>
            <w:tcBorders>
              <w:bottom w:val="single" w:sz="8" w:color="D1D2D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36"/>
        </w:trPr>
        <w:tc>
          <w:tcPr>
            <w:tcW w:w="5380" w:type="dxa"/>
            <w:vAlign w:val="bottom"/>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1220" w:type="dxa"/>
            <w:vAlign w:val="bottom"/>
            <w:tcBorders>
              <w:bottom w:val="single" w:sz="8" w:color="auto"/>
            </w:tcBorders>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220" w:type="dxa"/>
            <w:vAlign w:val="bottom"/>
            <w:tcBorders>
              <w:bottom w:val="single" w:sz="8" w:color="auto"/>
            </w:tcBorders>
            <w:shd w:val="clear" w:color="auto" w:fill="D1D2D4"/>
          </w:tcPr>
          <w:p>
            <w:pPr>
              <w:spacing w:after="0"/>
              <w:rPr>
                <w:sz w:val="20"/>
                <w:szCs w:val="20"/>
                <w:color w:val="auto"/>
              </w:rPr>
            </w:pPr>
          </w:p>
        </w:tc>
        <w:tc>
          <w:tcPr>
            <w:tcW w:w="1220" w:type="dxa"/>
            <w:vAlign w:val="bottom"/>
            <w:tcBorders>
              <w:bottom w:val="single" w:sz="8" w:color="auto"/>
            </w:tcBorders>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1200" w:type="dxa"/>
            <w:vAlign w:val="bottom"/>
            <w:tcBorders>
              <w:bottom w:val="single" w:sz="8" w:color="auto"/>
            </w:tcBorders>
            <w:shd w:val="clear" w:color="auto" w:fill="D1D2D4"/>
          </w:tcPr>
          <w:p>
            <w:pPr>
              <w:spacing w:after="0"/>
              <w:rPr>
                <w:sz w:val="20"/>
                <w:szCs w:val="20"/>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w:t>
            </w:r>
          </w:p>
        </w:tc>
      </w:tr>
      <w:tr>
        <w:trPr>
          <w:trHeight w:val="21"/>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54"/>
        </w:trPr>
        <w:tc>
          <w:tcPr>
            <w:tcW w:w="6460" w:type="dxa"/>
            <w:vAlign w:val="bottom"/>
          </w:tcPr>
          <w:p>
            <w:pPr>
              <w:spacing w:after="0"/>
              <w:rPr>
                <w:sz w:val="20"/>
                <w:szCs w:val="20"/>
                <w:color w:val="auto"/>
              </w:rPr>
            </w:pPr>
            <w:r>
              <w:rPr>
                <w:rFonts w:ascii="Arial" w:cs="Arial" w:eastAsia="Arial" w:hAnsi="Arial"/>
                <w:sz w:val="40"/>
                <w:szCs w:val="40"/>
                <w:b w:val="1"/>
                <w:bCs w:val="1"/>
                <w:color w:val="auto"/>
              </w:rPr>
              <w:t>Certain Concentrations</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780" w:type="dxa"/>
            <w:vAlign w:val="bottom"/>
            <w:gridSpan w:val="2"/>
          </w:tcPr>
          <w:p>
            <w:pPr>
              <w:spacing w:after="0"/>
              <w:rPr>
                <w:sz w:val="20"/>
                <w:szCs w:val="20"/>
                <w:color w:val="auto"/>
              </w:rPr>
            </w:pPr>
            <w:r>
              <w:rPr>
                <w:rFonts w:ascii="Arial" w:cs="Arial" w:eastAsia="Arial" w:hAnsi="Arial"/>
                <w:sz w:val="18"/>
                <w:szCs w:val="18"/>
                <w:color w:val="auto"/>
              </w:rPr>
              <w:t>Revenue for key market segments as an approximate percent of total revenue is presented in the table below:</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332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2,</w:t>
            </w:r>
          </w:p>
        </w:tc>
        <w:tc>
          <w:tcPr>
            <w:tcW w:w="100" w:type="dxa"/>
            <w:vAlign w:val="bottom"/>
          </w:tcPr>
          <w:p>
            <w:pPr>
              <w:spacing w:after="0"/>
              <w:rPr>
                <w:sz w:val="17"/>
                <w:szCs w:val="17"/>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w:t>
            </w:r>
          </w:p>
        </w:tc>
        <w:tc>
          <w:tcPr>
            <w:tcW w:w="0" w:type="dxa"/>
            <w:vAlign w:val="bottom"/>
          </w:tcPr>
          <w:p>
            <w:pPr>
              <w:spacing w:after="0"/>
              <w:rPr>
                <w:sz w:val="1"/>
                <w:szCs w:val="1"/>
                <w:color w:val="auto"/>
              </w:rPr>
            </w:pPr>
          </w:p>
        </w:tc>
      </w:tr>
      <w:tr>
        <w:trPr>
          <w:trHeight w:val="235"/>
        </w:trPr>
        <w:tc>
          <w:tcPr>
            <w:tcW w:w="6460" w:type="dxa"/>
            <w:vAlign w:val="bottom"/>
            <w:tcBorders>
              <w:bottom w:val="single" w:sz="8" w:color="0090DA"/>
            </w:tcBorders>
            <w:vMerge w:val="continue"/>
          </w:tcPr>
          <w:p>
            <w:pPr>
              <w:spacing w:after="0"/>
              <w:rPr>
                <w:sz w:val="20"/>
                <w:szCs w:val="20"/>
                <w:color w:val="auto"/>
              </w:rPr>
            </w:pPr>
          </w:p>
        </w:tc>
        <w:tc>
          <w:tcPr>
            <w:tcW w:w="3320" w:type="dxa"/>
            <w:vAlign w:val="bottom"/>
            <w:tcBorders>
              <w:bottom w:val="single" w:sz="8" w:color="0090DA"/>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460" w:type="dxa"/>
            <w:vAlign w:val="bottom"/>
            <w:tcBorders>
              <w:bottom w:val="single" w:sz="8" w:color="0090DA"/>
            </w:tcBorders>
            <w:gridSpan w:val="2"/>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Automotive, industrial, and consumer</w:t>
            </w:r>
          </w:p>
        </w:tc>
        <w:tc>
          <w:tcPr>
            <w:tcW w:w="33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25 %</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Enterprise and cloud server</w:t>
            </w:r>
          </w:p>
        </w:tc>
        <w:tc>
          <w:tcPr>
            <w:tcW w:w="3320" w:type="dxa"/>
            <w:vAlign w:val="bottom"/>
          </w:tcPr>
          <w:p>
            <w:pPr>
              <w:jc w:val="right"/>
              <w:ind w:right="30"/>
              <w:spacing w:after="0"/>
              <w:rPr>
                <w:sz w:val="20"/>
                <w:szCs w:val="20"/>
                <w:color w:val="auto"/>
              </w:rPr>
            </w:pPr>
            <w:r>
              <w:rPr>
                <w:rFonts w:ascii="Arial" w:cs="Arial" w:eastAsia="Arial" w:hAnsi="Arial"/>
                <w:sz w:val="18"/>
                <w:szCs w:val="18"/>
                <w:color w:val="auto"/>
              </w:rPr>
              <w:t>20 %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6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Client and graphics</w:t>
            </w:r>
          </w:p>
        </w:tc>
        <w:tc>
          <w:tcPr>
            <w:tcW w:w="33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20 %</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Mobile</w:t>
            </w:r>
          </w:p>
        </w:tc>
        <w:tc>
          <w:tcPr>
            <w:tcW w:w="3320" w:type="dxa"/>
            <w:vAlign w:val="bottom"/>
          </w:tcPr>
          <w:p>
            <w:pPr>
              <w:jc w:val="right"/>
              <w:ind w:right="30"/>
              <w:spacing w:after="0"/>
              <w:rPr>
                <w:sz w:val="20"/>
                <w:szCs w:val="20"/>
                <w:color w:val="auto"/>
              </w:rPr>
            </w:pPr>
            <w:r>
              <w:rPr>
                <w:rFonts w:ascii="Arial" w:cs="Arial" w:eastAsia="Arial" w:hAnsi="Arial"/>
                <w:sz w:val="18"/>
                <w:szCs w:val="18"/>
                <w:color w:val="auto"/>
              </w:rPr>
              <w:t>20 %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6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SSDs and other storage</w:t>
            </w:r>
          </w:p>
        </w:tc>
        <w:tc>
          <w:tcPr>
            <w:tcW w:w="33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15 %</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Subsequent Events</w:t>
      </w:r>
    </w:p>
    <w:p>
      <w:pPr>
        <w:spacing w:after="0" w:line="25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On March 10, 2023, we reached an agreement in principle to settle an insurance claim involving a power disruption in 2022, under which we expect to receive approximately $110 million in cash, of which approximately $70 million is for business interruption and will be recognized in revenue.</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March 27, 2023, we entered into amendments to the Term Loan Agreement and the agreements governing the Revolving Credit Facility and the 2024 Term Loan A to revise the leverage ratio covenant in each such agreement, as further described in “Item 1. Financial Statements – Notes to Consolidated Financial Statements – Debt.”</w:t>
      </w:r>
    </w:p>
    <w:p>
      <w:pPr>
        <w:spacing w:after="0" w:line="198"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On March 28, 2023, our Board of Directors declared a quarterly dividend of $0.115 per share, payable in cash on April 25, 2023, to shareholders of record as of the close of business on April 10, 2023.</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4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September 1, 2022. All period references are to our fiscal periods unless otherwise indicated. Our fiscal year is the 52 or 53-week period ending on the Thursday closest to August 31. Fiscal years 2023 and 2022 each contain 52 weeks. All tabular dollar amounts are in millions, except per share amounts.</w:t>
      </w:r>
    </w:p>
    <w:p>
      <w:pPr>
        <w:spacing w:after="0" w:line="20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Technologies</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and NOR. We sell our products into various markets through our business units in numerous forms, including components, modules, SSDs, managed NAND, MCPs, and wafers. Our system-level solutions, including SSDs and managed NAND, combine NAND, a controller, firmware, and in some cases DRAM.</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DRAM: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 xml:space="preserve">NAND: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NOR: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and consumer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Industry Conditions</w:t>
      </w:r>
    </w:p>
    <w:p>
      <w:pPr>
        <w:spacing w:after="0" w:line="2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memory and storage industry environment deteriorated sharply in the fourth quarter of 2022 through the first six months of 2023 due to reduced demand resulting from customer adjustments to lower elevated inventory levels and weak demand in many end markets combined with global and macroeconomic challenges. This led to significant reductions in average selling prices and bit shipments for both DRAM and NAND, as well as declines in revenue across all of our business segments and nearly all our end markets. Due to the challenging pricing environment, we recognized a $1.43 billion charge to write down inventories to their estimated net realizable value in the second quarter of 2023 and we project approximately $500 million of additional write-downs in the third quarter. These projected write-downs, which relate to inventories to be produced in the third quarter, may change significantly. Small changes to price expectations beyond the third quarter could have a substantial positive or negative impact on our expected third quarter inventory write-downs. Further write-downs of inventories in future quarters could occur if the challenging pricing environment persists. Given the challenging pricing environment, elevated levels of inventories for suppliers and customers, and significant supply-demand mismatch, we expect industry profitability will remain challenged throughout calendar 2023.</w:t>
      </w:r>
    </w:p>
    <w:p>
      <w:pPr>
        <w:spacing w:after="0" w:line="2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a result of these conditions and increases in our inventory levels, we have reduced wafer starts and capital expenditures. We recognized $27 million of period costs from underutilization in the second quarter of 2023 due to wafer start reductions. We estimate approximately $300 million of period costs from underutilization due to wafer start reductions in the second half of 2023. We are also taking significant steps to reduce our costs and operating expenses. These actions include the 2023 Restructure Plan discussed below and additional reductions in external spending, including implementing productivity programs across the business, suspension of our 2023 bonus company-wide, reductions in select product programs, lower discretionary spending, and cuts to 2023 executive salaries across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2023 Restructure Plan</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initiated the 2023 Restructure Plan in response to challenging industry conditions. Under the plan, we expect our headcount reduction to approach 15% by the end of calendar 2023, through a combination of voluntary attrition and personnel reductions. In connection with the plan, we incurred restructure charges of $86 million and $99 million in the second quarter and first six months of 2023, respectively. We expect to incur additional charges of approximately $60 million in the second half of 2023. As of March 2, 2023, we expect to make future cash payments of approximately $120 million in connection with the plan, substantially all of which will be paid in 2023. We expect the plan to be substantially completed by the end of the third quarter of 2023. As a result of the 2023 Restructure Plan, we expect to realize cost savings of approximately $130 million per quarter (approximately 60% in cost of goods sold, 30% in R&amp;D, and 10% in SG&amp;A) starting in the fourth quarter of 2023. Further information on restructure activities can be found in “Item 1. Financial Statements – Notes to Consolidated Financial Statements – Restructure and Asset Impairments.”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Second Quarter</w:t>
            </w:r>
          </w:p>
        </w:tc>
        <w:tc>
          <w:tcPr>
            <w:tcW w:w="16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rPr>
              <w:t>First Quarter</w:t>
            </w:r>
          </w:p>
        </w:tc>
        <w:tc>
          <w:tcPr>
            <w:tcW w:w="176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9"/>
              </w:rPr>
              <w:t>Second Quarter</w:t>
            </w:r>
          </w:p>
        </w:tc>
        <w:tc>
          <w:tcPr>
            <w:tcW w:w="680" w:type="dxa"/>
            <w:vAlign w:val="bottom"/>
          </w:tcPr>
          <w:p>
            <w:pPr>
              <w:spacing w:after="0"/>
              <w:rPr>
                <w:sz w:val="20"/>
                <w:szCs w:val="20"/>
                <w:color w:val="auto"/>
              </w:rPr>
            </w:pPr>
          </w:p>
        </w:tc>
        <w:tc>
          <w:tcPr>
            <w:tcW w:w="20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Six months ended</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980" w:type="dxa"/>
            <w:vAlign w:val="bottom"/>
            <w:tcBorders>
              <w:bottom w:val="single" w:sz="8" w:color="0090DA"/>
            </w:tcBorders>
            <w:gridSpan w:val="2"/>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0090DA"/>
            </w:tcBorders>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900" w:type="dxa"/>
            <w:vAlign w:val="bottom"/>
            <w:tcBorders>
              <w:bottom w:val="single" w:sz="8" w:color="0090DA"/>
            </w:tcBorders>
            <w:gridSpan w:val="2"/>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980" w:type="dxa"/>
            <w:vAlign w:val="bottom"/>
            <w:tcBorders>
              <w:bottom w:val="single" w:sz="8" w:color="0090DA"/>
            </w:tcBorders>
            <w:gridSpan w:val="2"/>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0090DA"/>
            </w:tcBorders>
          </w:tcPr>
          <w:p>
            <w:pPr>
              <w:spacing w:after="0"/>
              <w:rPr>
                <w:sz w:val="19"/>
                <w:szCs w:val="19"/>
                <w:color w:val="auto"/>
              </w:rPr>
            </w:pPr>
          </w:p>
        </w:tc>
        <w:tc>
          <w:tcPr>
            <w:tcW w:w="180" w:type="dxa"/>
            <w:vAlign w:val="bottom"/>
            <w:tcBorders>
              <w:top w:val="single" w:sz="8" w:color="0090DA"/>
              <w:bottom w:val="single" w:sz="8" w:color="0090DA"/>
            </w:tcBorders>
          </w:tcPr>
          <w:p>
            <w:pPr>
              <w:spacing w:after="0"/>
              <w:rPr>
                <w:sz w:val="19"/>
                <w:szCs w:val="19"/>
                <w:color w:val="auto"/>
              </w:rPr>
            </w:pPr>
          </w:p>
        </w:tc>
        <w:tc>
          <w:tcPr>
            <w:tcW w:w="960" w:type="dxa"/>
            <w:vAlign w:val="bottom"/>
            <w:tcBorders>
              <w:top w:val="single" w:sz="8" w:color="0090DA"/>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top w:val="single" w:sz="8" w:color="0090DA"/>
              <w:bottom w:val="single" w:sz="8" w:color="0090DA"/>
            </w:tcBorders>
          </w:tcPr>
          <w:p>
            <w:pPr>
              <w:spacing w:after="0"/>
              <w:rPr>
                <w:sz w:val="19"/>
                <w:szCs w:val="19"/>
                <w:color w:val="auto"/>
              </w:rPr>
            </w:pPr>
          </w:p>
        </w:tc>
        <w:tc>
          <w:tcPr>
            <w:tcW w:w="180" w:type="dxa"/>
            <w:vAlign w:val="bottom"/>
            <w:tcBorders>
              <w:top w:val="single" w:sz="8" w:color="0090DA"/>
              <w:bottom w:val="single" w:sz="8" w:color="0090DA"/>
            </w:tcBorders>
          </w:tcPr>
          <w:p>
            <w:pPr>
              <w:spacing w:after="0"/>
              <w:rPr>
                <w:sz w:val="19"/>
                <w:szCs w:val="19"/>
                <w:color w:val="auto"/>
              </w:rPr>
            </w:pPr>
          </w:p>
        </w:tc>
        <w:tc>
          <w:tcPr>
            <w:tcW w:w="960" w:type="dxa"/>
            <w:vAlign w:val="bottom"/>
            <w:tcBorders>
              <w:top w:val="single" w:sz="8" w:color="0090DA"/>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0090DA"/>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3,693</w:t>
            </w:r>
          </w:p>
        </w:tc>
        <w:tc>
          <w:tcPr>
            <w:tcW w:w="28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100 %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7,786</w:t>
            </w:r>
          </w:p>
        </w:tc>
        <w:tc>
          <w:tcPr>
            <w:tcW w:w="280" w:type="dxa"/>
            <w:vAlign w:val="bottom"/>
            <w:shd w:val="clear" w:color="auto" w:fill="D1D2D4"/>
          </w:tcPr>
          <w:p>
            <w:pPr>
              <w:spacing w:after="0"/>
              <w:rPr>
                <w:sz w:val="19"/>
                <w:szCs w:val="19"/>
                <w:color w:val="auto"/>
              </w:rPr>
            </w:pP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7,778</w:t>
            </w:r>
          </w:p>
        </w:tc>
        <w:tc>
          <w:tcPr>
            <w:tcW w:w="280" w:type="dxa"/>
            <w:vAlign w:val="bottom"/>
            <w:shd w:val="clear" w:color="auto" w:fill="D1D2D4"/>
          </w:tcPr>
          <w:p>
            <w:pPr>
              <w:spacing w:after="0"/>
              <w:rPr>
                <w:sz w:val="19"/>
                <w:szCs w:val="19"/>
                <w:color w:val="auto"/>
              </w:rPr>
            </w:pP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15,473</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28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133 %</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26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78 %</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28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53 %</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c>
          <w:tcPr>
            <w:tcW w:w="28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104 %</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28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3"/>
        </w:trPr>
        <w:tc>
          <w:tcPr>
            <w:tcW w:w="25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22 %</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47 %</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7,241</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57"/>
        </w:trPr>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788</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21 %</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21 %</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792</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1,637</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21 %</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1,504</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84"/>
        </w:trPr>
        <w:tc>
          <w:tcPr>
            <w:tcW w:w="2560" w:type="dxa"/>
            <w:vAlign w:val="bottom"/>
          </w:tcPr>
          <w:p>
            <w:pPr>
              <w:ind w:left="20"/>
              <w:spacing w:after="0" w:line="183" w:lineRule="exact"/>
              <w:rPr>
                <w:sz w:val="20"/>
                <w:szCs w:val="20"/>
                <w:color w:val="auto"/>
              </w:rPr>
            </w:pPr>
            <w:r>
              <w:rPr>
                <w:rFonts w:ascii="Arial" w:cs="Arial" w:eastAsia="Arial" w:hAnsi="Arial"/>
                <w:sz w:val="18"/>
                <w:szCs w:val="18"/>
                <w:color w:val="auto"/>
              </w:rPr>
              <w:t>Selling, general, and</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5"/>
        </w:trPr>
        <w:tc>
          <w:tcPr>
            <w:tcW w:w="256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56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Restructure and asset</w:t>
            </w:r>
          </w:p>
        </w:tc>
        <w:tc>
          <w:tcPr>
            <w:tcW w:w="16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2 %</w:t>
            </w:r>
          </w:p>
        </w:tc>
        <w:tc>
          <w:tcPr>
            <w:tcW w:w="220" w:type="dxa"/>
            <w:vAlign w:val="bottom"/>
            <w:shd w:val="clear" w:color="auto" w:fill="D1D2D4"/>
          </w:tcPr>
          <w:p>
            <w:pPr>
              <w:spacing w:after="0"/>
              <w:rPr>
                <w:sz w:val="15"/>
                <w:szCs w:val="15"/>
                <w:color w:val="auto"/>
              </w:rPr>
            </w:pPr>
          </w:p>
        </w:tc>
        <w:tc>
          <w:tcPr>
            <w:tcW w:w="6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D1D2D4"/>
          </w:tcPr>
          <w:p>
            <w:pPr>
              <w:spacing w:after="0"/>
              <w:rPr>
                <w:sz w:val="15"/>
                <w:szCs w:val="15"/>
                <w:color w:val="auto"/>
              </w:rPr>
            </w:pPr>
          </w:p>
        </w:tc>
        <w:tc>
          <w:tcPr>
            <w:tcW w:w="760" w:type="dxa"/>
            <w:vAlign w:val="bottom"/>
            <w:gridSpan w:val="2"/>
            <w:vMerge w:val="restart"/>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D1D2D4"/>
          </w:tcPr>
          <w:p>
            <w:pPr>
              <w:spacing w:after="0"/>
              <w:rPr>
                <w:sz w:val="15"/>
                <w:szCs w:val="15"/>
                <w:color w:val="auto"/>
              </w:rPr>
            </w:pPr>
          </w:p>
        </w:tc>
        <w:tc>
          <w:tcPr>
            <w:tcW w:w="780" w:type="dxa"/>
            <w:vAlign w:val="bottom"/>
            <w:gridSpan w:val="2"/>
            <w:vMerge w:val="restart"/>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D1D2D4"/>
          </w:tcPr>
          <w:p>
            <w:pPr>
              <w:spacing w:after="0"/>
              <w:rPr>
                <w:sz w:val="15"/>
                <w:szCs w:val="15"/>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5"/>
        </w:trPr>
        <w:tc>
          <w:tcPr>
            <w:tcW w:w="2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impairments</w:t>
            </w:r>
          </w:p>
        </w:tc>
        <w:tc>
          <w:tcPr>
            <w:tcW w:w="16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640" w:type="dxa"/>
            <w:vAlign w:val="bottom"/>
            <w:vMerge w:val="continue"/>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760" w:type="dxa"/>
            <w:vAlign w:val="bottom"/>
            <w:gridSpan w:val="2"/>
            <w:vMerge w:val="continue"/>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780" w:type="dxa"/>
            <w:vAlign w:val="bottom"/>
            <w:gridSpan w:val="2"/>
            <w:vMerge w:val="continue"/>
            <w:shd w:val="clear" w:color="auto" w:fill="D1D2D4"/>
          </w:tcPr>
          <w:p>
            <w:pPr>
              <w:spacing w:after="0"/>
              <w:rPr>
                <w:sz w:val="20"/>
                <w:szCs w:val="20"/>
                <w:color w:val="auto"/>
              </w:rPr>
            </w:pPr>
          </w:p>
        </w:tc>
        <w:tc>
          <w:tcPr>
            <w:tcW w:w="68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680" w:type="dxa"/>
            <w:vAlign w:val="bottom"/>
            <w:vMerge w:val="continue"/>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60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560" w:type="dxa"/>
            <w:vAlign w:val="bottom"/>
          </w:tcPr>
          <w:p>
            <w:pPr>
              <w:ind w:left="20"/>
              <w:spacing w:after="0" w:line="183" w:lineRule="exact"/>
              <w:rPr>
                <w:sz w:val="20"/>
                <w:szCs w:val="20"/>
                <w:color w:val="auto"/>
              </w:rPr>
            </w:pPr>
            <w:r>
              <w:rPr>
                <w:rFonts w:ascii="Arial" w:cs="Arial" w:eastAsia="Arial" w:hAnsi="Arial"/>
                <w:sz w:val="18"/>
                <w:szCs w:val="18"/>
                <w:color w:val="auto"/>
              </w:rPr>
              <w:t>Other operating (income)</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5"/>
                <w:szCs w:val="15"/>
                <w:color w:val="auto"/>
              </w:rPr>
            </w:pPr>
          </w:p>
        </w:tc>
        <w:tc>
          <w:tcPr>
            <w:tcW w:w="82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5"/>
                <w:szCs w:val="15"/>
                <w:color w:val="auto"/>
              </w:rPr>
            </w:pP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5"/>
                <w:szCs w:val="15"/>
                <w:color w:val="auto"/>
              </w:rPr>
            </w:pPr>
          </w:p>
        </w:tc>
        <w:tc>
          <w:tcPr>
            <w:tcW w:w="7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5"/>
        </w:trPr>
        <w:tc>
          <w:tcPr>
            <w:tcW w:w="2560" w:type="dxa"/>
            <w:vAlign w:val="bottom"/>
          </w:tcPr>
          <w:p>
            <w:pPr>
              <w:ind w:left="180"/>
              <w:spacing w:after="0"/>
              <w:rPr>
                <w:sz w:val="20"/>
                <w:szCs w:val="20"/>
                <w:color w:val="auto"/>
              </w:rPr>
            </w:pPr>
            <w:r>
              <w:rPr>
                <w:rFonts w:ascii="Arial" w:cs="Arial" w:eastAsia="Arial" w:hAnsi="Arial"/>
                <w:sz w:val="18"/>
                <w:szCs w:val="18"/>
                <w:color w:val="auto"/>
              </w:rPr>
              <w:t>expense, net</w:t>
            </w: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(2,303)</w:t>
            </w:r>
          </w:p>
        </w:tc>
        <w:tc>
          <w:tcPr>
            <w:tcW w:w="280" w:type="dxa"/>
            <w:vAlign w:val="bottom"/>
            <w:tcBorders>
              <w:top w:val="single" w:sz="8" w:color="D1D2D4"/>
            </w:tcBorders>
            <w:shd w:val="clear" w:color="auto" w:fill="D1D2D4"/>
          </w:tcPr>
          <w:p>
            <w:pPr>
              <w:spacing w:after="0"/>
              <w:rPr>
                <w:sz w:val="19"/>
                <w:szCs w:val="19"/>
                <w:color w:val="auto"/>
              </w:rPr>
            </w:pPr>
          </w:p>
        </w:tc>
        <w:tc>
          <w:tcPr>
            <w:tcW w:w="60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auto"/>
            </w:tcBorders>
            <w:shd w:val="clear" w:color="auto" w:fill="D1D2D4"/>
          </w:tcPr>
          <w:p>
            <w:pPr>
              <w:spacing w:after="0"/>
              <w:rPr>
                <w:sz w:val="19"/>
                <w:szCs w:val="19"/>
                <w:color w:val="auto"/>
              </w:rPr>
            </w:pPr>
          </w:p>
        </w:tc>
        <w:tc>
          <w:tcPr>
            <w:tcW w:w="64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Borders>
              <w:top w:val="single" w:sz="8" w:color="D1D2D4"/>
            </w:tcBorders>
            <w:shd w:val="clear" w:color="auto" w:fill="D1D2D4"/>
          </w:tcPr>
          <w:p>
            <w:pPr>
              <w:spacing w:after="0"/>
              <w:rPr>
                <w:sz w:val="19"/>
                <w:szCs w:val="19"/>
                <w:color w:val="auto"/>
              </w:rPr>
            </w:pPr>
          </w:p>
        </w:tc>
        <w:tc>
          <w:tcPr>
            <w:tcW w:w="60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280" w:type="dxa"/>
            <w:vAlign w:val="bottom"/>
            <w:tcBorders>
              <w:top w:val="single" w:sz="8" w:color="D1D2D4"/>
            </w:tcBorders>
            <w:shd w:val="clear" w:color="auto" w:fill="D1D2D4"/>
          </w:tcPr>
          <w:p>
            <w:pPr>
              <w:spacing w:after="0"/>
              <w:rPr>
                <w:sz w:val="19"/>
                <w:szCs w:val="19"/>
                <w:color w:val="auto"/>
              </w:rPr>
            </w:pPr>
          </w:p>
        </w:tc>
        <w:tc>
          <w:tcPr>
            <w:tcW w:w="60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33 %</w:t>
            </w:r>
          </w:p>
        </w:tc>
        <w:tc>
          <w:tcPr>
            <w:tcW w:w="180" w:type="dxa"/>
            <w:vAlign w:val="bottom"/>
            <w:tcBorders>
              <w:top w:val="single" w:sz="8" w:color="auto"/>
            </w:tcBorders>
            <w:shd w:val="clear" w:color="auto" w:fill="D1D2D4"/>
          </w:tcPr>
          <w:p>
            <w:pPr>
              <w:spacing w:after="0"/>
              <w:rPr>
                <w:sz w:val="19"/>
                <w:szCs w:val="19"/>
                <w:color w:val="auto"/>
              </w:rPr>
            </w:pPr>
          </w:p>
        </w:tc>
        <w:tc>
          <w:tcPr>
            <w:tcW w:w="6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(2,512)</w:t>
            </w:r>
          </w:p>
        </w:tc>
        <w:tc>
          <w:tcPr>
            <w:tcW w:w="280" w:type="dxa"/>
            <w:vAlign w:val="bottom"/>
            <w:tcBorders>
              <w:top w:val="single" w:sz="8" w:color="D1D2D4"/>
            </w:tcBorders>
            <w:shd w:val="clear" w:color="auto" w:fill="D1D2D4"/>
          </w:tcPr>
          <w:p>
            <w:pPr>
              <w:spacing w:after="0"/>
              <w:rPr>
                <w:sz w:val="19"/>
                <w:szCs w:val="19"/>
                <w:color w:val="auto"/>
              </w:rPr>
            </w:pPr>
          </w:p>
        </w:tc>
        <w:tc>
          <w:tcPr>
            <w:tcW w:w="60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auto"/>
            </w:tcBorders>
            <w:shd w:val="clear" w:color="auto" w:fill="D1D2D4"/>
          </w:tcPr>
          <w:p>
            <w:pPr>
              <w:spacing w:after="0"/>
              <w:rPr>
                <w:sz w:val="19"/>
                <w:szCs w:val="19"/>
                <w:color w:val="auto"/>
              </w:rPr>
            </w:pPr>
          </w:p>
        </w:tc>
        <w:tc>
          <w:tcPr>
            <w:tcW w:w="6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5,177</w:t>
            </w:r>
          </w:p>
        </w:tc>
        <w:tc>
          <w:tcPr>
            <w:tcW w:w="280" w:type="dxa"/>
            <w:vAlign w:val="bottom"/>
            <w:tcBorders>
              <w:top w:val="single" w:sz="8" w:color="D1D2D4"/>
            </w:tcBorders>
            <w:shd w:val="clear" w:color="auto" w:fill="D1D2D4"/>
          </w:tcPr>
          <w:p>
            <w:pPr>
              <w:spacing w:after="0"/>
              <w:rPr>
                <w:sz w:val="19"/>
                <w:szCs w:val="19"/>
                <w:color w:val="auto"/>
              </w:rPr>
            </w:pPr>
          </w:p>
        </w:tc>
        <w:tc>
          <w:tcPr>
            <w:tcW w:w="60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57"/>
        </w:trPr>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2560" w:type="dxa"/>
            <w:vAlign w:val="bottom"/>
          </w:tcPr>
          <w:p>
            <w:pPr>
              <w:ind w:left="20"/>
              <w:spacing w:after="0" w:line="183" w:lineRule="exact"/>
              <w:rPr>
                <w:sz w:val="20"/>
                <w:szCs w:val="20"/>
                <w:color w:val="auto"/>
              </w:rPr>
            </w:pPr>
            <w:r>
              <w:rPr>
                <w:rFonts w:ascii="Arial" w:cs="Arial" w:eastAsia="Arial" w:hAnsi="Arial"/>
                <w:sz w:val="18"/>
                <w:szCs w:val="18"/>
                <w:color w:val="auto"/>
              </w:rPr>
              <w:t>Other non-operating income</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5"/>
                <w:szCs w:val="15"/>
                <w:color w:val="auto"/>
              </w:rPr>
            </w:pPr>
          </w:p>
        </w:tc>
        <w:tc>
          <w:tcPr>
            <w:tcW w:w="82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5"/>
                <w:szCs w:val="15"/>
                <w:color w:val="auto"/>
              </w:rPr>
            </w:pP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5"/>
                <w:szCs w:val="15"/>
                <w:color w:val="auto"/>
              </w:rPr>
            </w:pPr>
          </w:p>
        </w:tc>
        <w:tc>
          <w:tcPr>
            <w:tcW w:w="7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5"/>
                <w:szCs w:val="15"/>
                <w:color w:val="auto"/>
              </w:rPr>
            </w:pPr>
          </w:p>
        </w:tc>
        <w:tc>
          <w:tcPr>
            <w:tcW w:w="7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5"/>
        </w:trPr>
        <w:tc>
          <w:tcPr>
            <w:tcW w:w="2560" w:type="dxa"/>
            <w:vAlign w:val="bottom"/>
          </w:tcPr>
          <w:p>
            <w:pPr>
              <w:ind w:left="180"/>
              <w:spacing w:after="0"/>
              <w:rPr>
                <w:sz w:val="20"/>
                <w:szCs w:val="20"/>
                <w:color w:val="auto"/>
              </w:rPr>
            </w:pPr>
            <w:r>
              <w:rPr>
                <w:rFonts w:ascii="Arial" w:cs="Arial" w:eastAsia="Arial" w:hAnsi="Arial"/>
                <w:sz w:val="18"/>
                <w:szCs w:val="18"/>
                <w:color w:val="auto"/>
              </w:rPr>
              <w:t>(expense), net</w:t>
            </w: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4"/>
        </w:trPr>
        <w:tc>
          <w:tcPr>
            <w:tcW w:w="2560" w:type="dxa"/>
            <w:vAlign w:val="bottom"/>
          </w:tcPr>
          <w:p>
            <w:pPr>
              <w:ind w:left="20"/>
              <w:spacing w:after="0" w:line="183" w:lineRule="exact"/>
              <w:rPr>
                <w:sz w:val="20"/>
                <w:szCs w:val="20"/>
                <w:color w:val="auto"/>
              </w:rPr>
            </w:pPr>
            <w:r>
              <w:rPr>
                <w:rFonts w:ascii="Arial" w:cs="Arial" w:eastAsia="Arial" w:hAnsi="Arial"/>
                <w:sz w:val="18"/>
                <w:szCs w:val="18"/>
                <w:color w:val="auto"/>
              </w:rPr>
              <w:t>Equity in net income (loss) of</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5"/>
                <w:szCs w:val="15"/>
                <w:color w:val="auto"/>
              </w:rPr>
            </w:pPr>
          </w:p>
        </w:tc>
        <w:tc>
          <w:tcPr>
            <w:tcW w:w="82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5"/>
                <w:szCs w:val="15"/>
                <w:color w:val="auto"/>
              </w:rPr>
            </w:pP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5"/>
                <w:szCs w:val="15"/>
                <w:color w:val="auto"/>
              </w:rPr>
            </w:pPr>
          </w:p>
        </w:tc>
        <w:tc>
          <w:tcPr>
            <w:tcW w:w="7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5"/>
                <w:szCs w:val="15"/>
                <w:color w:val="auto"/>
              </w:rPr>
            </w:pPr>
          </w:p>
        </w:tc>
        <w:tc>
          <w:tcPr>
            <w:tcW w:w="7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5"/>
        </w:trPr>
        <w:tc>
          <w:tcPr>
            <w:tcW w:w="2560" w:type="dxa"/>
            <w:vAlign w:val="bottom"/>
          </w:tcPr>
          <w:p>
            <w:pPr>
              <w:ind w:left="180"/>
              <w:spacing w:after="0"/>
              <w:rPr>
                <w:sz w:val="20"/>
                <w:szCs w:val="20"/>
                <w:color w:val="auto"/>
              </w:rPr>
            </w:pPr>
            <w:r>
              <w:rPr>
                <w:rFonts w:ascii="Arial" w:cs="Arial" w:eastAsia="Arial" w:hAnsi="Arial"/>
                <w:sz w:val="18"/>
                <w:szCs w:val="18"/>
                <w:color w:val="auto"/>
              </w:rPr>
              <w:t>equity method investees</w:t>
            </w: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560" w:type="dxa"/>
            <w:vAlign w:val="bottom"/>
            <w:tcBorders>
              <w:top w:val="single" w:sz="8" w:color="D1D2D4"/>
              <w:bottom w:val="single" w:sz="8" w:color="D1D2D4"/>
            </w:tcBorders>
            <w:shd w:val="clear" w:color="auto" w:fill="D1D2D4"/>
          </w:tcPr>
          <w:p>
            <w:pPr>
              <w:ind w:left="40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(2,312)</w:t>
            </w:r>
          </w:p>
        </w:tc>
        <w:tc>
          <w:tcPr>
            <w:tcW w:w="280" w:type="dxa"/>
            <w:vAlign w:val="bottom"/>
            <w:tcBorders>
              <w:top w:val="single" w:sz="8" w:color="D1D2D4"/>
              <w:bottom w:val="single" w:sz="8" w:color="D1D2D4"/>
            </w:tcBorders>
            <w:shd w:val="clear" w:color="auto" w:fill="D1D2D4"/>
          </w:tcPr>
          <w:p>
            <w:pPr>
              <w:spacing w:after="0"/>
              <w:rPr>
                <w:sz w:val="21"/>
                <w:szCs w:val="21"/>
                <w:color w:val="auto"/>
              </w:rPr>
            </w:pPr>
          </w:p>
        </w:tc>
        <w:tc>
          <w:tcPr>
            <w:tcW w:w="60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auto"/>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Borders>
              <w:top w:val="single" w:sz="8" w:color="D1D2D4"/>
              <w:bottom w:val="single" w:sz="8" w:color="D1D2D4"/>
            </w:tcBorders>
            <w:shd w:val="clear" w:color="auto" w:fill="D1D2D4"/>
          </w:tcPr>
          <w:p>
            <w:pPr>
              <w:spacing w:after="0"/>
              <w:rPr>
                <w:sz w:val="21"/>
                <w:szCs w:val="21"/>
                <w:color w:val="auto"/>
              </w:rPr>
            </w:pPr>
          </w:p>
        </w:tc>
        <w:tc>
          <w:tcPr>
            <w:tcW w:w="60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2,263</w:t>
            </w:r>
          </w:p>
        </w:tc>
        <w:tc>
          <w:tcPr>
            <w:tcW w:w="280" w:type="dxa"/>
            <w:vAlign w:val="bottom"/>
            <w:tcBorders>
              <w:top w:val="single" w:sz="8" w:color="D1D2D4"/>
              <w:bottom w:val="single" w:sz="8" w:color="D1D2D4"/>
            </w:tcBorders>
            <w:shd w:val="clear" w:color="auto" w:fill="D1D2D4"/>
          </w:tcPr>
          <w:p>
            <w:pPr>
              <w:spacing w:after="0"/>
              <w:rPr>
                <w:sz w:val="21"/>
                <w:szCs w:val="21"/>
                <w:color w:val="auto"/>
              </w:rPr>
            </w:pPr>
          </w:p>
        </w:tc>
        <w:tc>
          <w:tcPr>
            <w:tcW w:w="60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29 %</w:t>
            </w:r>
          </w:p>
        </w:tc>
        <w:tc>
          <w:tcPr>
            <w:tcW w:w="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(2,507)</w:t>
            </w:r>
          </w:p>
        </w:tc>
        <w:tc>
          <w:tcPr>
            <w:tcW w:w="280" w:type="dxa"/>
            <w:vAlign w:val="bottom"/>
            <w:tcBorders>
              <w:top w:val="single" w:sz="8" w:color="D1D2D4"/>
              <w:bottom w:val="single" w:sz="8" w:color="D1D2D4"/>
            </w:tcBorders>
            <w:shd w:val="clear" w:color="auto" w:fill="D1D2D4"/>
          </w:tcPr>
          <w:p>
            <w:pPr>
              <w:spacing w:after="0"/>
              <w:rPr>
                <w:sz w:val="21"/>
                <w:szCs w:val="21"/>
                <w:color w:val="auto"/>
              </w:rPr>
            </w:pPr>
          </w:p>
        </w:tc>
        <w:tc>
          <w:tcPr>
            <w:tcW w:w="60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4,569</w:t>
            </w:r>
          </w:p>
        </w:tc>
        <w:tc>
          <w:tcPr>
            <w:tcW w:w="280" w:type="dxa"/>
            <w:vAlign w:val="bottom"/>
            <w:tcBorders>
              <w:top w:val="single" w:sz="8" w:color="D1D2D4"/>
              <w:bottom w:val="single" w:sz="8" w:color="D1D2D4"/>
            </w:tcBorders>
            <w:shd w:val="clear" w:color="auto" w:fill="D1D2D4"/>
          </w:tcPr>
          <w:p>
            <w:pPr>
              <w:spacing w:after="0"/>
              <w:rPr>
                <w:sz w:val="21"/>
                <w:szCs w:val="21"/>
                <w:color w:val="auto"/>
              </w:rPr>
            </w:pPr>
          </w:p>
        </w:tc>
        <w:tc>
          <w:tcPr>
            <w:tcW w:w="60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25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64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for the second quarter and first six months of 2023 decreased significantly relative to the comparative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as a result of the factors described in the “Industry Conditions” section above.</w:t>
      </w:r>
    </w:p>
    <w:p>
      <w:pPr>
        <w:spacing w:after="0" w:line="18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Total revenue for the second quarter of 2023 decreased 10% as compared to the first quarter of 2023 primarily due to decreases in sales of both DRAM and NAND products.</w:t>
      </w:r>
    </w:p>
    <w:p>
      <w:pPr>
        <w:spacing w:after="0" w:line="180" w:lineRule="exact"/>
        <w:rPr>
          <w:sz w:val="20"/>
          <w:szCs w:val="20"/>
          <w:color w:val="auto"/>
        </w:rPr>
      </w:pPr>
    </w:p>
    <w:p>
      <w:pPr>
        <w:ind w:left="660" w:right="20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DRAM products decreased 4% primarily due to an approximate 20 percent decline in average selling prices partially offset by a mid-teens percent range increase in bit shipments.</w:t>
      </w:r>
    </w:p>
    <w:p>
      <w:pPr>
        <w:spacing w:after="0" w:line="1"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NAND products decreased 20% primarily due to a mid-20s percent range decline in average selling prices partially offset by a mid-to-high single-digit percent range increase in bit shipments.</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Total revenue for the second quarter of 2023 decreased 53% as compared to the second quarter of 2022 primarily due to decreases in sales of both DRAM and NAND products.</w:t>
      </w:r>
    </w:p>
    <w:p>
      <w:pPr>
        <w:spacing w:after="0" w:line="180" w:lineRule="exact"/>
        <w:rPr>
          <w:sz w:val="20"/>
          <w:szCs w:val="20"/>
          <w:color w:val="auto"/>
        </w:rPr>
      </w:pPr>
    </w:p>
    <w:p>
      <w:pPr>
        <w:ind w:left="660" w:right="160" w:hanging="328"/>
        <w:spacing w:after="0" w:line="260"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Sales of DRAM products decreased 52% primarily due to a high-40s percent range decline in average selling prices and decreases in bit shipments in the low-teens percent range.</w:t>
      </w:r>
    </w:p>
    <w:p>
      <w:pPr>
        <w:spacing w:after="0" w:line="1" w:lineRule="exact"/>
        <w:rPr>
          <w:rFonts w:ascii="Arial" w:cs="Arial" w:eastAsia="Arial" w:hAnsi="Arial"/>
          <w:sz w:val="18"/>
          <w:szCs w:val="18"/>
          <w:b w:val="1"/>
          <w:bCs w:val="1"/>
          <w:i w:val="1"/>
          <w:iCs w:val="1"/>
          <w:color w:val="auto"/>
        </w:rPr>
      </w:pPr>
    </w:p>
    <w:p>
      <w:pPr>
        <w:ind w:left="660" w:right="180" w:hanging="328"/>
        <w:spacing w:after="0" w:line="266"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Sales of NAND products decreased 55% primarily due to a high-40s percent range decline in average selling prices and decreases in bit shipments in the mid-teens percent range.</w:t>
      </w:r>
    </w:p>
    <w:p>
      <w:pPr>
        <w:spacing w:after="0" w:line="19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Total revenue for the first six months of 2023 decreased 50% as compared to the first six months of 2022 primarily due to decreases in both DRAM and NAND sales.</w:t>
      </w:r>
    </w:p>
    <w:p>
      <w:pPr>
        <w:spacing w:after="0" w:line="180" w:lineRule="exact"/>
        <w:rPr>
          <w:sz w:val="20"/>
          <w:szCs w:val="20"/>
          <w:color w:val="auto"/>
        </w:rPr>
      </w:pPr>
    </w:p>
    <w:p>
      <w:pPr>
        <w:ind w:left="660" w:right="4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DRAM products decreased 51% primarily due to a low-40s percent range decline in average selling prices and decreases in bit shipments in the mid-teens percent range.</w:t>
      </w:r>
    </w:p>
    <w:p>
      <w:pPr>
        <w:spacing w:after="0" w:line="1" w:lineRule="exact"/>
        <w:rPr>
          <w:rFonts w:ascii="Arial" w:cs="Arial" w:eastAsia="Arial" w:hAnsi="Arial"/>
          <w:sz w:val="18"/>
          <w:szCs w:val="18"/>
          <w:color w:val="auto"/>
        </w:rPr>
      </w:pPr>
    </w:p>
    <w:p>
      <w:pPr>
        <w:ind w:left="660" w:right="18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NAND products decreased 48% primarily due to a high-30s percent range decline in average selling prices and decreases in bit shipments in the high-teens percent range.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Consolidated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gross margin percentage decreased to negative 33% for the second quarter of 2023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 for the first quarter of 2023 primarily due to a $1.43 billion charge to write down inventories to their estimated net realizable value and the declines in average selling prices for both DRAM and NAND. Our consolidated gross margin percentage decreased to negative 33% for the second quarter of 2023 from 47% for the second quarter of 2022 primarily due to the charge to write down inventories and declines in average selling prices for both DRAM and NAND. Our consolidated gross margin percentage decreased to negative 4% for the first six months of 2023 from 47% for the first six months of 2022 primarily due to the charge to write down inventories and declines in average selling prices for both DRAM and NAND.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rPr>
              <w:t>Second Quarter</w:t>
            </w:r>
          </w:p>
        </w:tc>
        <w:tc>
          <w:tcPr>
            <w:tcW w:w="16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rPr>
              <w:t>First Quarter</w:t>
            </w:r>
          </w:p>
        </w:tc>
        <w:tc>
          <w:tcPr>
            <w:tcW w:w="18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Second Quarter</w:t>
            </w:r>
          </w:p>
        </w:tc>
        <w:tc>
          <w:tcPr>
            <w:tcW w:w="640" w:type="dxa"/>
            <w:vAlign w:val="bottom"/>
          </w:tcPr>
          <w:p>
            <w:pPr>
              <w:spacing w:after="0"/>
              <w:rPr>
                <w:sz w:val="20"/>
                <w:szCs w:val="20"/>
                <w:color w:val="auto"/>
              </w:rPr>
            </w:pPr>
          </w:p>
        </w:tc>
        <w:tc>
          <w:tcPr>
            <w:tcW w:w="20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Six months ended</w:t>
            </w:r>
          </w:p>
        </w:tc>
        <w:tc>
          <w:tcPr>
            <w:tcW w:w="560" w:type="dxa"/>
            <w:vAlign w:val="bottom"/>
          </w:tcPr>
          <w:p>
            <w:pPr>
              <w:spacing w:after="0"/>
              <w:rPr>
                <w:sz w:val="20"/>
                <w:szCs w:val="20"/>
                <w:color w:val="auto"/>
              </w:rPr>
            </w:pPr>
          </w:p>
        </w:tc>
      </w:tr>
      <w:tr>
        <w:trPr>
          <w:trHeight w:val="223"/>
        </w:trPr>
        <w:tc>
          <w:tcPr>
            <w:tcW w:w="258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02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0090DA"/>
            </w:tcBorders>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96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020" w:type="dxa"/>
            <w:vAlign w:val="bottom"/>
            <w:tcBorders>
              <w:bottom w:val="single" w:sz="8" w:color="0090DA"/>
            </w:tcBorders>
            <w:gridSpan w:val="2"/>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0090DA"/>
            </w:tcBorders>
          </w:tcPr>
          <w:p>
            <w:pPr>
              <w:spacing w:after="0"/>
              <w:rPr>
                <w:sz w:val="19"/>
                <w:szCs w:val="19"/>
                <w:color w:val="auto"/>
              </w:rPr>
            </w:pPr>
          </w:p>
        </w:tc>
        <w:tc>
          <w:tcPr>
            <w:tcW w:w="220" w:type="dxa"/>
            <w:vAlign w:val="bottom"/>
            <w:tcBorders>
              <w:top w:val="single" w:sz="8" w:color="0090DA"/>
              <w:bottom w:val="single" w:sz="8" w:color="0090DA"/>
            </w:tcBorders>
          </w:tcPr>
          <w:p>
            <w:pPr>
              <w:spacing w:after="0"/>
              <w:rPr>
                <w:sz w:val="19"/>
                <w:szCs w:val="19"/>
                <w:color w:val="auto"/>
              </w:rPr>
            </w:pPr>
          </w:p>
        </w:tc>
        <w:tc>
          <w:tcPr>
            <w:tcW w:w="960" w:type="dxa"/>
            <w:vAlign w:val="bottom"/>
            <w:tcBorders>
              <w:top w:val="single" w:sz="8" w:color="0090DA"/>
              <w:bottom w:val="single" w:sz="8" w:color="0090DA"/>
            </w:tcBorders>
            <w:gridSpan w:val="2"/>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0090DA"/>
              <w:bottom w:val="single" w:sz="8" w:color="0090DA"/>
            </w:tcBorders>
          </w:tcPr>
          <w:p>
            <w:pPr>
              <w:spacing w:after="0"/>
              <w:rPr>
                <w:sz w:val="19"/>
                <w:szCs w:val="19"/>
                <w:color w:val="auto"/>
              </w:rPr>
            </w:pPr>
          </w:p>
        </w:tc>
        <w:tc>
          <w:tcPr>
            <w:tcW w:w="180" w:type="dxa"/>
            <w:vAlign w:val="bottom"/>
            <w:tcBorders>
              <w:top w:val="single" w:sz="8" w:color="0090DA"/>
              <w:bottom w:val="single" w:sz="8" w:color="0090DA"/>
            </w:tcBorders>
          </w:tcPr>
          <w:p>
            <w:pPr>
              <w:spacing w:after="0"/>
              <w:rPr>
                <w:sz w:val="19"/>
                <w:szCs w:val="19"/>
                <w:color w:val="auto"/>
              </w:rPr>
            </w:pPr>
          </w:p>
        </w:tc>
        <w:tc>
          <w:tcPr>
            <w:tcW w:w="1020" w:type="dxa"/>
            <w:vAlign w:val="bottom"/>
            <w:tcBorders>
              <w:top w:val="single" w:sz="8" w:color="0090DA"/>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0090DA"/>
              <w:bottom w:val="single" w:sz="8" w:color="0090DA"/>
            </w:tcBorders>
          </w:tcPr>
          <w:p>
            <w:pPr>
              <w:spacing w:after="0"/>
              <w:rPr>
                <w:sz w:val="19"/>
                <w:szCs w:val="19"/>
                <w:color w:val="auto"/>
              </w:rPr>
            </w:pPr>
          </w:p>
        </w:tc>
      </w:tr>
      <w:tr>
        <w:trPr>
          <w:trHeight w:val="3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1,375</w:t>
            </w:r>
          </w:p>
        </w:tc>
        <w:tc>
          <w:tcPr>
            <w:tcW w:w="32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37 %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1,746</w:t>
            </w:r>
          </w:p>
        </w:tc>
        <w:tc>
          <w:tcPr>
            <w:tcW w:w="320" w:type="dxa"/>
            <w:vAlign w:val="bottom"/>
            <w:shd w:val="clear" w:color="auto" w:fill="D1D2D4"/>
          </w:tcPr>
          <w:p>
            <w:pPr>
              <w:spacing w:after="0"/>
              <w:rPr>
                <w:sz w:val="19"/>
                <w:szCs w:val="19"/>
                <w:color w:val="auto"/>
              </w:rPr>
            </w:pPr>
          </w:p>
        </w:tc>
        <w:tc>
          <w:tcPr>
            <w:tcW w:w="7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43 %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3,461</w:t>
            </w:r>
          </w:p>
        </w:tc>
        <w:tc>
          <w:tcPr>
            <w:tcW w:w="300" w:type="dxa"/>
            <w:vAlign w:val="bottom"/>
            <w:shd w:val="clear" w:color="auto" w:fill="D1D2D4"/>
          </w:tcPr>
          <w:p>
            <w:pPr>
              <w:spacing w:after="0"/>
              <w:rPr>
                <w:sz w:val="19"/>
                <w:szCs w:val="19"/>
                <w:color w:val="auto"/>
              </w:rPr>
            </w:pPr>
          </w:p>
        </w:tc>
        <w:tc>
          <w:tcPr>
            <w:tcW w:w="78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44 %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3,121</w:t>
            </w:r>
          </w:p>
        </w:tc>
        <w:tc>
          <w:tcPr>
            <w:tcW w:w="320" w:type="dxa"/>
            <w:vAlign w:val="bottom"/>
            <w:shd w:val="clear" w:color="auto" w:fill="D1D2D4"/>
          </w:tcPr>
          <w:p>
            <w:pPr>
              <w:spacing w:after="0"/>
              <w:rPr>
                <w:sz w:val="19"/>
                <w:szCs w:val="19"/>
                <w:color w:val="auto"/>
              </w:rPr>
            </w:pPr>
          </w:p>
        </w:tc>
        <w:tc>
          <w:tcPr>
            <w:tcW w:w="7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6,867</w:t>
            </w:r>
          </w:p>
        </w:tc>
        <w:tc>
          <w:tcPr>
            <w:tcW w:w="32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MBU</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945</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1,875</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3,782</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865</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23 %</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24 %</w:t>
            </w:r>
          </w:p>
        </w:tc>
        <w:tc>
          <w:tcPr>
            <w:tcW w:w="16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1,277</w:t>
            </w:r>
          </w:p>
        </w:tc>
        <w:tc>
          <w:tcPr>
            <w:tcW w:w="30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16 %</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1,865</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2,497</w:t>
            </w:r>
          </w:p>
        </w:tc>
        <w:tc>
          <w:tcPr>
            <w:tcW w:w="32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SBU</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680</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17 %</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1,171</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1,187</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2,321</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5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D1D2D4"/>
          </w:tcPr>
          <w:p>
            <w:pPr>
              <w:spacing w:after="0"/>
              <w:rPr>
                <w:sz w:val="19"/>
                <w:szCs w:val="19"/>
                <w:color w:val="auto"/>
              </w:rPr>
            </w:pPr>
          </w:p>
        </w:tc>
        <w:tc>
          <w:tcPr>
            <w:tcW w:w="70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D1D2D4"/>
          </w:tcPr>
          <w:p>
            <w:pPr>
              <w:spacing w:after="0"/>
              <w:rPr>
                <w:sz w:val="19"/>
                <w:szCs w:val="19"/>
                <w:color w:val="auto"/>
              </w:rPr>
            </w:pPr>
          </w:p>
        </w:tc>
        <w:tc>
          <w:tcPr>
            <w:tcW w:w="780" w:type="dxa"/>
            <w:vAlign w:val="bottom"/>
            <w:gridSpan w:val="2"/>
            <w:shd w:val="clear" w:color="auto" w:fill="D1D2D4"/>
          </w:tcPr>
          <w:p>
            <w:pPr>
              <w:jc w:val="right"/>
              <w:ind w:right="15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D1D2D4"/>
          </w:tcPr>
          <w:p>
            <w:pPr>
              <w:spacing w:after="0"/>
              <w:rPr>
                <w:sz w:val="19"/>
                <w:szCs w:val="19"/>
                <w:color w:val="auto"/>
              </w:rPr>
            </w:pPr>
          </w:p>
        </w:tc>
        <w:tc>
          <w:tcPr>
            <w:tcW w:w="72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7,778</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15,473</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second quarter of 2023 as compared to the first quarter of 2023 were as follows:</w:t>
      </w:r>
    </w:p>
    <w:p>
      <w:pPr>
        <w:spacing w:after="0" w:line="252" w:lineRule="exact"/>
        <w:rPr>
          <w:sz w:val="20"/>
          <w:szCs w:val="20"/>
          <w:color w:val="auto"/>
        </w:rPr>
      </w:pPr>
    </w:p>
    <w:p>
      <w:pPr>
        <w:ind w:left="660" w:right="44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CNBU revenue decreased 21% primarily due to declines in DRAM average selling prices and decreases in bit shipments due to weakened conditions in server markets.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MBU revenue increased 44% primarily due to increases in bit shipments due to timing of shipments between quarters, partially offset by declines in average selling prices for both DRAM and NAND.</w:t>
      </w:r>
    </w:p>
    <w:p>
      <w:pPr>
        <w:ind w:left="660" w:right="6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EBU revenue decreased 14% primarily due to declines in average selling prices for both DRAM and NAND and declines in bit shipments for NAND as a result of weakness in industrial and consumer markets.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SBU revenue decreased 25% primarily due to declines in average selling prices as a result of challenging NAND market conditions.</w:t>
      </w:r>
    </w:p>
    <w:p>
      <w:pPr>
        <w:spacing w:after="0" w:line="23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Changes in revenue for each business unit for the second quarter and first six months of 2023 as compared to the corresponding periods of 2022 were as follows:</w:t>
      </w:r>
    </w:p>
    <w:p>
      <w:pPr>
        <w:spacing w:after="0" w:line="180" w:lineRule="exact"/>
        <w:rPr>
          <w:sz w:val="20"/>
          <w:szCs w:val="20"/>
          <w:color w:val="auto"/>
        </w:rPr>
      </w:pPr>
    </w:p>
    <w:p>
      <w:pPr>
        <w:ind w:left="660" w:right="2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CNBU revenue decreased 60% and 55%, respectively, primarily due to declines in DRAM average selling prices and decreases in bit shipments.</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MBU revenue decreased 50% and 58%, respectively, primarily due to declines in average selling prices for both DRAM and NAND and decreases in NAND bit shipments.</w:t>
      </w:r>
    </w:p>
    <w:p>
      <w:pPr>
        <w:ind w:left="660" w:right="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EBU revenue decreased 32% and 25%, respectively, primarily due to lower DRAM revenue resulting from declines in DRAM average selling prices and decreases in bit shipments.</w:t>
      </w:r>
    </w:p>
    <w:p>
      <w:pPr>
        <w:ind w:left="660" w:right="74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SBU revenue decreased 57% and 49%, respectively, primarily due to declines in average selling prices and decreases in bit shipments for NAND.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rPr>
              <w:t>Second Quarter</w:t>
            </w:r>
          </w:p>
        </w:tc>
        <w:tc>
          <w:tcPr>
            <w:tcW w:w="16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rPr>
              <w:t>First Quarter</w:t>
            </w:r>
          </w:p>
        </w:tc>
        <w:tc>
          <w:tcPr>
            <w:tcW w:w="184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9"/>
              </w:rPr>
              <w:t>Second Quarter</w:t>
            </w:r>
          </w:p>
        </w:tc>
        <w:tc>
          <w:tcPr>
            <w:tcW w:w="580" w:type="dxa"/>
            <w:vAlign w:val="bottom"/>
          </w:tcPr>
          <w:p>
            <w:pPr>
              <w:spacing w:after="0"/>
              <w:rPr>
                <w:sz w:val="20"/>
                <w:szCs w:val="20"/>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Six months ended</w:t>
            </w:r>
          </w:p>
        </w:tc>
        <w:tc>
          <w:tcPr>
            <w:tcW w:w="540" w:type="dxa"/>
            <w:vAlign w:val="bottom"/>
          </w:tcPr>
          <w:p>
            <w:pPr>
              <w:spacing w:after="0"/>
              <w:rPr>
                <w:sz w:val="20"/>
                <w:szCs w:val="20"/>
                <w:color w:val="auto"/>
              </w:rPr>
            </w:pPr>
          </w:p>
        </w:tc>
      </w:tr>
      <w:tr>
        <w:trPr>
          <w:trHeight w:val="223"/>
        </w:trPr>
        <w:tc>
          <w:tcPr>
            <w:tcW w:w="258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960" w:type="dxa"/>
            <w:vAlign w:val="bottom"/>
            <w:tcBorders>
              <w:bottom w:val="single" w:sz="8" w:color="0090DA"/>
            </w:tcBorders>
            <w:gridSpan w:val="2"/>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02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0090DA"/>
            </w:tcBorders>
          </w:tcPr>
          <w:p>
            <w:pPr>
              <w:spacing w:after="0"/>
              <w:rPr>
                <w:sz w:val="19"/>
                <w:szCs w:val="19"/>
                <w:color w:val="auto"/>
              </w:rPr>
            </w:pPr>
          </w:p>
        </w:tc>
        <w:tc>
          <w:tcPr>
            <w:tcW w:w="260" w:type="dxa"/>
            <w:vAlign w:val="bottom"/>
            <w:tcBorders>
              <w:top w:val="single" w:sz="8" w:color="0090DA"/>
              <w:bottom w:val="single" w:sz="8" w:color="0090DA"/>
            </w:tcBorders>
          </w:tcPr>
          <w:p>
            <w:pPr>
              <w:spacing w:after="0"/>
              <w:rPr>
                <w:sz w:val="19"/>
                <w:szCs w:val="19"/>
                <w:color w:val="auto"/>
              </w:rPr>
            </w:pPr>
          </w:p>
        </w:tc>
        <w:tc>
          <w:tcPr>
            <w:tcW w:w="880" w:type="dxa"/>
            <w:vAlign w:val="bottom"/>
            <w:tcBorders>
              <w:top w:val="single" w:sz="8" w:color="0090DA"/>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top w:val="single" w:sz="8" w:color="0090DA"/>
              <w:bottom w:val="single" w:sz="8" w:color="0090DA"/>
            </w:tcBorders>
          </w:tcPr>
          <w:p>
            <w:pPr>
              <w:spacing w:after="0"/>
              <w:rPr>
                <w:sz w:val="19"/>
                <w:szCs w:val="19"/>
                <w:color w:val="auto"/>
              </w:rPr>
            </w:pPr>
          </w:p>
        </w:tc>
        <w:tc>
          <w:tcPr>
            <w:tcW w:w="220" w:type="dxa"/>
            <w:vAlign w:val="bottom"/>
            <w:tcBorders>
              <w:top w:val="single" w:sz="8" w:color="0090DA"/>
              <w:bottom w:val="single" w:sz="8" w:color="0090DA"/>
            </w:tcBorders>
          </w:tcPr>
          <w:p>
            <w:pPr>
              <w:spacing w:after="0"/>
              <w:rPr>
                <w:sz w:val="19"/>
                <w:szCs w:val="19"/>
                <w:color w:val="auto"/>
              </w:rPr>
            </w:pPr>
          </w:p>
        </w:tc>
        <w:tc>
          <w:tcPr>
            <w:tcW w:w="960" w:type="dxa"/>
            <w:vAlign w:val="bottom"/>
            <w:tcBorders>
              <w:top w:val="single" w:sz="8" w:color="0090DA"/>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0090DA"/>
              <w:bottom w:val="single" w:sz="8" w:color="0090DA"/>
            </w:tcBorders>
          </w:tcPr>
          <w:p>
            <w:pPr>
              <w:spacing w:after="0"/>
              <w:rPr>
                <w:sz w:val="19"/>
                <w:szCs w:val="19"/>
                <w:color w:val="auto"/>
              </w:rPr>
            </w:pPr>
          </w:p>
        </w:tc>
      </w:tr>
      <w:tr>
        <w:trPr>
          <w:trHeight w:val="34"/>
        </w:trPr>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 $</w:t>
            </w: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D1D2D4"/>
          </w:tcPr>
          <w:p>
            <w:pPr>
              <w:spacing w:after="0"/>
              <w:rPr>
                <w:sz w:val="19"/>
                <w:szCs w:val="19"/>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11 %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1,562</w:t>
            </w:r>
          </w:p>
        </w:tc>
        <w:tc>
          <w:tcPr>
            <w:tcW w:w="32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rPr>
              <w:t>45 % $</w:t>
            </w: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5 %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3,086</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MBU</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31 %</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1,212</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16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19 %</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33 %</w:t>
            </w:r>
          </w:p>
        </w:tc>
        <w:tc>
          <w:tcPr>
            <w:tcW w:w="26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843</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SBU</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15 %</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2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c>
          <w:tcPr>
            <w:tcW w:w="200" w:type="dxa"/>
            <w:vAlign w:val="bottom"/>
            <w:tcBorders>
              <w:bottom w:val="single" w:sz="8" w:color="auto"/>
            </w:tcBorders>
            <w:shd w:val="clear" w:color="auto" w:fill="D1D2D4"/>
          </w:tcPr>
          <w:p>
            <w:pPr>
              <w:spacing w:after="0"/>
              <w:rPr>
                <w:sz w:val="19"/>
                <w:szCs w:val="19"/>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75 %</w:t>
            </w:r>
          </w:p>
        </w:tc>
        <w:tc>
          <w:tcPr>
            <w:tcW w:w="16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c>
          <w:tcPr>
            <w:tcW w:w="260" w:type="dxa"/>
            <w:vAlign w:val="bottom"/>
            <w:tcBorders>
              <w:bottom w:val="single" w:sz="8" w:color="auto"/>
            </w:tcBorders>
            <w:shd w:val="clear" w:color="auto" w:fill="D1D2D4"/>
          </w:tcPr>
          <w:p>
            <w:pPr>
              <w:spacing w:after="0"/>
              <w:rPr>
                <w:sz w:val="19"/>
                <w:szCs w:val="19"/>
                <w:color w:val="auto"/>
              </w:rPr>
            </w:pPr>
          </w:p>
        </w:tc>
        <w:tc>
          <w:tcPr>
            <w:tcW w:w="5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80 %</w:t>
            </w:r>
          </w:p>
        </w:tc>
        <w:tc>
          <w:tcPr>
            <w:tcW w:w="22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67 %</w:t>
            </w:r>
          </w:p>
        </w:tc>
      </w:tr>
      <w:tr>
        <w:trPr>
          <w:trHeight w:val="223"/>
        </w:trPr>
        <w:tc>
          <w:tcPr>
            <w:tcW w:w="2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Changes in operating income or loss for each business unit for the second quarter of 2023 as compared to the first quarter of 2023 were as follows:</w:t>
      </w:r>
    </w:p>
    <w:p>
      <w:pPr>
        <w:spacing w:after="0" w:line="18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CNBU operating income (loss) declined primarily due to declines in average selling prices and lower bit shipments.</w:t>
      </w:r>
    </w:p>
    <w:p>
      <w:pPr>
        <w:spacing w:after="0" w:line="27"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MBU operating loss increased primarily due to declines in average selling prices partially offset by lower R&amp;D costs due to spending optimization.</w:t>
      </w:r>
    </w:p>
    <w:p>
      <w:pPr>
        <w:ind w:left="660" w:right="28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declines in average selling prices for both DRAM and NAND and declines in bit shipments for NAND.</w:t>
      </w:r>
    </w:p>
    <w:p>
      <w:pPr>
        <w:ind w:left="660" w:right="20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SBU operating loss increased primarily due to declines in average selling prices partially offset by lower operating expenses due to spending optimization.</w:t>
      </w:r>
    </w:p>
    <w:p>
      <w:pPr>
        <w:spacing w:after="0" w:line="198"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Changes in operating income or loss for each business unit for the second quarter and first six months of 2023 as compared to the corresponding periods of 2022 were as follows:</w:t>
      </w:r>
    </w:p>
    <w:p>
      <w:pPr>
        <w:spacing w:after="0" w:line="18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CNBU operating income (loss) declined primarily due to declines in average selling prices and lower bit shipments.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MBU operating income (loss) declined primarily due to declines in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declines in average selling prices and lower bit shipments.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SBU operating income (loss) declined primarily due to declines in average selling prices and lower bit shipments.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R&amp;D expenses for the second quarter of 2023 were 7% lower as compared to the first quarter of 2023 primarily due to lower volumes of development and prequalification wafers. R&amp;D expenses for the second quarter of 2023 were relatively unchanged compared to the second quarter of 2022 as decreases in employee compensation were offset by higher depreciation expense. R&amp;D expenses for the first six months of 2023 were 9% higher as compared to the first six months of 2022 primarily due to higher volumes of development and prequalification wafers and higher depreciation expense.</w:t>
      </w:r>
    </w:p>
    <w:p>
      <w:pPr>
        <w:spacing w:after="0" w:line="20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expenses for the second quarter of 2023 were 8% lower as compared to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primarily due to decreases in employee compensation and other incremental decreases across multiple expense categories. SG&amp;A expenses for the second quarter and first six months of 2023 decreased 12% and 8%, respectively, as compared to the corresponding periods of 2022, primarily due to decreases in employee compensation, legal fees, and advertising.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b w:val="1"/>
          <w:bCs w:val="1"/>
          <w:i w:val="1"/>
          <w:iCs w:val="1"/>
          <w:color w:val="auto"/>
        </w:rPr>
        <w:t xml:space="preserve">Restructure and Asset Impairments: </w:t>
      </w:r>
      <w:r>
        <w:rPr>
          <w:rFonts w:ascii="Arial" w:cs="Arial" w:eastAsia="Arial" w:hAnsi="Arial"/>
          <w:sz w:val="17"/>
          <w:szCs w:val="17"/>
          <w:color w:val="auto"/>
        </w:rPr>
        <w:t>See “Item 1. Financial Statements – Notes to Consolidated Financial Statements – Restructure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 Impairments” and “Item 2. Management’s Discussion and Analysis of Financial Condition and Results of Operations – Overview.”</w:t>
      </w:r>
    </w:p>
    <w:p>
      <w:pPr>
        <w:spacing w:after="0" w:line="15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Interest Income (Expense),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(expense) for the second quarter of 2023 was relatively unchanged compared to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2023. Interest income (expense) improved for the second quarter and first six months of 2023 as compared to the corresponding periods of 2022, primarily as a result of increases of $107 million and $185 million, respectively, in interest income due to higher interest rates on our cash and investments.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income tax (provision) benefit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40" w:type="dxa"/>
            <w:vAlign w:val="bottom"/>
          </w:tcPr>
          <w:p>
            <w:pPr>
              <w:spacing w:after="0"/>
              <w:rPr>
                <w:sz w:val="20"/>
                <w:szCs w:val="20"/>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Second Quarter</w:t>
            </w:r>
          </w:p>
        </w:tc>
        <w:tc>
          <w:tcPr>
            <w:tcW w:w="16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First Quarter</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Second Quarter</w:t>
            </w:r>
          </w:p>
        </w:tc>
        <w:tc>
          <w:tcPr>
            <w:tcW w:w="340" w:type="dxa"/>
            <w:vAlign w:val="bottom"/>
            <w:tcBorders>
              <w:bottom w:val="single" w:sz="8" w:color="0090DA"/>
            </w:tcBorders>
          </w:tcPr>
          <w:p>
            <w:pPr>
              <w:spacing w:after="0"/>
              <w:rPr>
                <w:sz w:val="20"/>
                <w:szCs w:val="20"/>
                <w:color w:val="auto"/>
              </w:rPr>
            </w:pPr>
          </w:p>
        </w:tc>
        <w:tc>
          <w:tcPr>
            <w:tcW w:w="2700" w:type="dxa"/>
            <w:vAlign w:val="bottom"/>
            <w:tcBorders>
              <w:bottom w:val="single" w:sz="8" w:color="0090DA"/>
            </w:tcBorders>
            <w:gridSpan w:val="3"/>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3040" w:type="dxa"/>
            <w:vAlign w:val="bottom"/>
            <w:tcBorders>
              <w:bottom w:val="single" w:sz="8" w:color="0090DA"/>
            </w:tcBorders>
          </w:tcPr>
          <w:p>
            <w:pPr>
              <w:spacing w:after="0"/>
              <w:rPr>
                <w:sz w:val="19"/>
                <w:szCs w:val="19"/>
                <w:color w:val="auto"/>
              </w:rPr>
            </w:pPr>
          </w:p>
        </w:tc>
        <w:tc>
          <w:tcPr>
            <w:tcW w:w="9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0090DA"/>
            </w:tcBorders>
          </w:tcPr>
          <w:p>
            <w:pPr>
              <w:spacing w:after="0"/>
              <w:rPr>
                <w:sz w:val="19"/>
                <w:szCs w:val="19"/>
                <w:color w:val="auto"/>
              </w:rPr>
            </w:pPr>
          </w:p>
        </w:tc>
        <w:tc>
          <w:tcPr>
            <w:tcW w:w="134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34"/>
        </w:trPr>
        <w:tc>
          <w:tcPr>
            <w:tcW w:w="3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98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2,509</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(2,447)</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5,030</w:t>
            </w: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8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(255)</w:t>
            </w: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(474)</w:t>
            </w:r>
          </w:p>
        </w:tc>
      </w:tr>
      <w:tr>
        <w:trPr>
          <w:trHeight w:val="230"/>
        </w:trPr>
        <w:tc>
          <w:tcPr>
            <w:tcW w:w="3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9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D1D2D4"/>
          </w:tcPr>
          <w:p>
            <w:pPr>
              <w:spacing w:after="0"/>
              <w:rPr>
                <w:sz w:val="19"/>
                <w:szCs w:val="19"/>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10.2 %</w:t>
            </w:r>
          </w:p>
        </w:tc>
        <w:tc>
          <w:tcPr>
            <w:tcW w:w="3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9.4 %</w:t>
            </w:r>
          </w:p>
        </w:tc>
      </w:tr>
    </w:tbl>
    <w:p>
      <w:pPr>
        <w:spacing w:after="0" w:line="31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changes in our effective tax rate for the second quarter and first six months of 2023 as compared to the corresponding periods of 2022 were primarily due to pre-tax losses incurred in the first six months of 2023. Despite a consolidated pre-tax loss on a worldwide basis, we have taxes payable in certain geographies due to minimum taxable income reportable in those geographies.</w:t>
      </w:r>
    </w:p>
    <w:p>
      <w:pPr>
        <w:spacing w:after="0" w:line="19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a loss before taxes and geographical mix of income, the net benefit from tax incentive arrangements was not material for the first six months of 2023. These arrangements reduced our tax provision by $304 million ($0.27 per diluted share) for the second quarter of 2022 and $594 million ($0.53 per diluted share) for the first six months of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information on other items can be found in “Item 1. Financial Statements – 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5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$12.03 billion as of March 2, 2023, and $10.98 billion as of September 1, 2022.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March 2, 2023, $3.53 billion of our cash and marketable investments was held by our foreign subsidiaries.</w:t>
      </w:r>
    </w:p>
    <w:p>
      <w:pPr>
        <w:spacing w:after="0" w:line="21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continuously evaluate alternatives for efficiently funding our capital expenditures and ongoing operations. We expect, from time to time, to engage in a variety of financing transactions for such purposes, including the issuance of securities. As of March 2, 2023, $2.50 billion was available to draw under our Revolving Credit Facility. On March 27, 2023, we entered into amendments to the Term Loan Agreement and the agreements governing the Revolving Credit Facility and the 2024 Term Loan A to revise the leverage ratio covenant in each such agreement, as further described in “Item 1. Financial Statements – Notes to Consolidated Financial Statements – Debt.” Funding of certain significant capital projects is also dependent on the receipt of government incentives, which are subject to conditions and may not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2023 for property, plant, and equipment, net of partner contributions, to be approximately $7.0 billion. Actual amounts for 2023 will vary depending on market conditions. As of March 2, 2023, we had purchase obligations of approximately $3.14 billion for the acquisition of property, plant, and equipment, of which approximately $2.26 billion is expected to be paid within one year. For a description of other contractual obligations, such as leases, debt, and commitments, see “Item 1. Financial Statements – Notes to Consolidated Financial Statements – Leases,” “ – Debt,” and “ – Commitments.”</w:t>
      </w:r>
    </w:p>
    <w:p>
      <w:pPr>
        <w:spacing w:after="0" w:line="2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support expected memory demand in the second half of the decade, we plan to add new DRAM wafer capacity. Following the enactment of the U.S. CHIPS and Science Act of 2022 (“CHIPS Act”), we announced plans to invest in two leading-edge memory manufacturing fabs in the United States, contingent on CHIPS Act support through grants and investment tax credits. As part of this plan, in September 2022, we broke ground on a leading-edge memory manufacturing fab in Boise, Idaho. Construction of the fab is expected to begin in calendar 2023 with DRAM production targeted to start in calendar 2025. In addition, in October 2022, we announced plans to build a second leading-edge DRAM manufacturing fab in Clay, New York. We plan to start site preparation work in calendar 2023 and expect construction to begin in calendar 2024, with production anticipated to ramp in the latter half of the decade. We expect these new fabs to fulfill our requirements for additional wafer capacity starting in the second half of the decade and beyond, in line with industry demand trends.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1, 2021, we issued $1 billion in aggregate principal amount of unsecured 2032 Green Bonds. Over time, we plan to allocate an amount equal to the net proceeds to fund eligible sustainability-focused projects involving renewable energy, green buildings, energy efficiency, water management, waste abatement, and a circular economy. Through November 1, 2022, the date of our 2022 Green Bond Report, we had allocated $676 million toward this commitment. We currently anticipate that 100% of net proceeds of the 2032 Green Bonds will be allocated and dispersed for eligible projects by November 1, 2023.</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March 2, 2023, we had repurchased an aggregate of $6.89 billion of the authorized amount. See “Item 1. Financial Statements – Notes to Consolidated Financial Statements – Equity.”</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March 28, 2023, our Board of Directors declared a quarterly dividend of $0.115 per share, payable in cash on April 25, 2023, to shareholders of record as of the close of business on April 10, 2023.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0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expect that our cash and investments, cash flows from operations, and available financing will be sufficient to meet our requirements at least through the next 12 months and thereafter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p>
        </w:tc>
        <w:tc>
          <w:tcPr>
            <w:tcW w:w="320" w:type="dxa"/>
            <w:vAlign w:val="bottom"/>
            <w:tcBorders>
              <w:bottom w:val="single" w:sz="8" w:color="0090DA"/>
            </w:tcBorders>
          </w:tcPr>
          <w:p>
            <w:pPr>
              <w:spacing w:after="0"/>
              <w:rPr>
                <w:sz w:val="20"/>
                <w:szCs w:val="20"/>
                <w:color w:val="auto"/>
              </w:rPr>
            </w:pPr>
          </w:p>
        </w:tc>
        <w:tc>
          <w:tcPr>
            <w:tcW w:w="256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8360" w:type="dxa"/>
            <w:vAlign w:val="bottom"/>
            <w:tcBorders>
              <w:bottom w:val="single" w:sz="8" w:color="0090DA"/>
            </w:tcBorders>
          </w:tcPr>
          <w:p>
            <w:pPr>
              <w:spacing w:after="0"/>
              <w:rPr>
                <w:sz w:val="19"/>
                <w:szCs w:val="19"/>
                <w:color w:val="auto"/>
              </w:rPr>
            </w:pPr>
          </w:p>
        </w:tc>
        <w:tc>
          <w:tcPr>
            <w:tcW w:w="3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1,286</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7,566</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(5,176)</w:t>
            </w: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4,434</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(979)</w:t>
            </w: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1,548</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1,395</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(loss) adjusted for certain non-cash items,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expense, amortization of intangible assets, and stock-based compensation, and the effects of changes in operating assets and liabilities. The decrease in cash provided by operating activities for the first six months of 2023 as compared to the first six months of 2022 was primarily due to a net loss in the current quarter adjusted for non-cash items and the effect of lower receivables, partially offset by an increase in inventories and a decline in accounts payable and accrued expenses.</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the first six months of 2023, net cash used for investing activities consisted primarily of $4.65 billion of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property, plant, and equipment, partially offset by $480 million of net inflows from maturities, sales, and purchases of available-for-sale securities.</w:t>
      </w:r>
    </w:p>
    <w:p>
      <w:pPr>
        <w:spacing w:after="0" w:line="19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For the first six months of 2022, net cash used for investing activities consisted primarily of $5.88 billion of expenditures for property, plant, and equipment; inflows of $66 million of partner contributions for capital expenditures; $893 million of net inflows from the sale of the Lehi, Utah fab; and $119 million of net outflows from purchases, sales, and maturities of available-for-sale securities.</w:t>
      </w:r>
    </w:p>
    <w:p>
      <w:pPr>
        <w:spacing w:after="0" w:line="19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six months of 2023, net cash provided by financing activities consisted primarily of $3.20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from our 2025, 2026, and 2027 Term Loan A borrowings, $1.27 billion from the issuance of the 2029 B Notes, and $749 million from the issuance of the 2033 Notes. See “Item 1. Financial Statements – Notes to Consolidated Financial Statements – Debt.” Cash used for financing activities included $425 million for the acquisition of 8.6 million shares of our common stock under our share repurchase authorization, $252 million of cash payments of dividends to shareholders, and $76 million of payments on equipment purchase contracts.</w:t>
      </w:r>
    </w:p>
    <w:p>
      <w:pPr>
        <w:spacing w:after="0" w:line="2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first six months of 2022, net cash used for financing activities included $1.98 billion of repayments of debt primarily to redeem the 2023 Notes and 2024 Notes, $667 million for the acquisition of 8.4 million shares of our common stock under our share repurchase authorization, $224 million of cash payments of dividends to shareholders, and $105 million of payments on equipment purchase contracts. Cash used for financing activities was partially offset by aggregate proceeds of $2.00 billion from the issuance of the unsecured 2032 Green Bonds, 2041 Notes, and 2051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25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a discussion of our critical accounting estimates, see “Part II – Item 7. Management’s Discussion and Analysis of Financial Condition and Results of Operations – Critical Accounting Estimates” of our Annual Report on Form 10-K for the year ended September 1, 2022. Except for the significant accounting estimate associated with inventories as discussed below, there have been no changes to our critical accounting estimates since our Annual Report on Form 10-K for the year ended September 1, 2022.</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stated at the lower of cost or net realizable value, with cost being determined on a first-in, first-out (“FIFO”)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Cost includes depreciation, labor, material, and overhead costs, including product and process technology costs. Determining net realizable value of inventories involves significant judgments, including projecting future average selling prices, future sales volumes, and estimated costs to complete. To project average selling prices and sales volumes, we review recent sales volumes, existing customer orders, current contract prices, industry analyses of supply and demand, seasonal factors, general economic trends, and other information. Actual selling prices and volumes may vary significantly from projected prices and volumes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 significantly. Differences in forecasted average selling prices used in calculating lower of cost or net realizable value adjustments can result in significant changes in the estimated net realizable value of product inventories and accordingly the amount of write-down recorded. For example, a 5% variance in the estimated selling prices would have changed the estimated net realizable value of our inventory by approximately $600 million as of March 2, 2023. Due to the volatile nature of the semiconductor memory and storage markets, actual selling prices and volumes often vary significantly from projected prices and volumes; as a result, the timing of when product costs are charged to operations can vary significantly.</w:t>
      </w:r>
    </w:p>
    <w:p>
      <w:pPr>
        <w:spacing w:after="0" w:line="21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average cost or net realizable value analysis and categorize all inventories (including DRAM, NAND, and other memory) as a single group.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exposed to interest rate risk related to our indebtedness. As of March 2, 2023 and September 1, 2022, we had fixed-rate debt with an aggregate carrying value of $6.04 billion and $4.03 billion, respectively, and as a result, the fair value of our debt fluctuates with changes in market interest rates. In the first six months of 2023, we issued $2.00 billion principal amount of new fixed-rate debt. We estimate that, as of March 2, 2023 and September 1, 2022, a hypothetical 1% decrease in market interest rates would increase the fair value of our fixed-rate debt by approximately $385 million and $275 million, respectively.</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2, 2023 and September 1, 2022, we had floating-rate debt as well as fixed-rate debt that is swapped to floating-rate debt with an aggregate principal amount of $5.29 billion and $2.09 billion, respectively. In the first six months of 2023, we borrowed $3.20 billion principal amount of new floating-rate debt. We estimate that, as of March 2, 2023 and September 1, 2022, a hypothetical 1% increase in the interest rates of this floating-rate debt would result in an increase in annual interest expense of approximately $53 million and $21 million,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about market risk and sensitivity analysis related to changes in interest rates and currency exchange rates, see “Part II</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Item 7A. Quantitative and Qualitative Disclosures About Market Risk” in our Annual Report on Form 10-K for the year ended September 1,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During the second quarter of 2023,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4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September 1, 2022, and the sections titled “Part I. Financial Information – Item 1. Financial Statements – Notes to Consolidated Financial Statements – Contingencies” and “Item 1A. Risk Factors” in this Quarterly Report on Form 10-Q, as well as in our Quarterly Report on Form 10-Q for the first quarter of 2023.</w:t>
      </w:r>
    </w:p>
    <w:p>
      <w:pPr>
        <w:spacing w:after="0" w:line="20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or improve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downturn in the worldwide economy;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and products;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dependency on specific customers, concentration of revenue with a select number of customers, and customers who are located internationally;</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availability and quality of materials, supplies, and capital equipment and dependency on third-party service providers for ourselves and our customers;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breaches of our security systems or products,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realizing expected returns from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achieving or maintaining certain performance or other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and/or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ESG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legal proceedings and claims; and</w:t>
      </w:r>
    </w:p>
    <w:p>
      <w:pPr>
        <w:spacing w:after="0" w:line="9"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ESG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amount and timing of our common stock repurchases and payment of cash dividends and resulting impacts.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experienced significant volatility in our average selling prices and may continue to experience such volatility in the future. For example, average selling prices for both DRAM and NAND declined approximately 40% for the second quarter of 2023 as compared to the fourth quarter of 2022. Since 2017, annual percentage changes in DRAM average selling prices have ranged from approximately plus 35% to minus 35%. Since 2017, annual percentage changes in NAND average selling prices have ranged from nearly flat to approximately minus 50%. In some prior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maintain or improve gross margins include, but are not limited to:</w:t>
      </w:r>
    </w:p>
    <w:p>
      <w:pPr>
        <w:spacing w:after="0" w:line="19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product diversification decisions affecting product mix;</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complexity of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transitioning to smaller line-width process technologies or additional 3D memory layers or NAND cell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process complexity including number of mask layers and fabrication steps;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yield;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technological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process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products that may require relatively larger die sizes;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start-up or other costs associated with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costs of goods and services due to inflationary pressures or market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manufacturing costs per gigabit due to fab underutilization.</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See “Part I. Financial Information – Item 2. Management’s Discussion and Analysis of Financial Condition and Results of Operations – Overview – Industry Conditions” for information regarding our current underutilization. A significant portion of our manufacturing costs are fixed and do not vary proportionally with changes in production output. As a result, lower utilization and corresponding increases in our per gigabit manufacturing costs have had, and may continue to have, an adverse effect our gross margins, business, results of operations, or financial condition.</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For example, in the second quarter of 2023, we recorded a charge of $1.43 billion to write down the carrying value of our inventories to estimated net realizable value.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Our inability to maintain or improve gross margins could have a material adverse effect on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Corporation; Kioxia Holdings Corporation; Samsung Electronics Co., Ltd.; SK hynix Inc.; and Western Digital Corporation. Our competitors may use aggressive pricing to obtain market share.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w:t>
      </w:r>
    </w:p>
    <w:p>
      <w:pPr>
        <w:spacing w:after="0" w:line="20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such as Yangtze Memory Technologies Co., Ltd. (“YMTC”) and ChangXin Memory Technologies, Inc. (“CXMT”), that is intended to advance China’s stated national policy objectives. In addition, the Chinese government may restrict us from participating in the China market or may prevent us from competing effectively with Chinese companies.</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and our competitors generally seek to increase wafer output,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Downturns in the worldwide economy,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2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spacing w:after="0" w:line="296" w:lineRule="auto"/>
        <w:rPr>
          <w:sz w:val="20"/>
          <w:szCs w:val="20"/>
          <w:color w:val="auto"/>
        </w:rPr>
      </w:pPr>
      <w:r>
        <w:rPr>
          <w:rFonts w:ascii="Arial" w:cs="Arial" w:eastAsia="Arial" w:hAnsi="Arial"/>
          <w:sz w:val="18"/>
          <w:szCs w:val="18"/>
          <w:b w:val="1"/>
          <w:bCs w:val="1"/>
          <w:color w:val="0090DA"/>
        </w:rPr>
        <w:t>Our future success depends on our ability to develop and produce new and competitive memory and storage technologies and products.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key semiconductor memory and storage technologies face technological barriers to continue to meet long-term customer needs. These barriers include potential limitations on stacking additional 3D memory layers, increasing bits per cell (i.e., cell levels), meeting higher density requirements,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of the following:</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 successful in developing competitive new semiconductor memory and storage technologies and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 able to successfully market these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w:t>
      </w:r>
    </w:p>
    <w:p>
      <w:pPr>
        <w:spacing w:after="0" w:line="23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Unsuccessful efforts to develop new memory and storage technologies and products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or any significant reduction in orders from, or a shift in product mix by, customers could have a material adverse effect on our business, results of operations, or financial condition.</w:t>
      </w:r>
    </w:p>
    <w:p>
      <w:pPr>
        <w:spacing w:after="0" w:line="212"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b w:val="1"/>
          <w:bCs w:val="1"/>
          <w:color w:val="0090DA"/>
        </w:rPr>
        <w:t>We face geopolitical and other risks associated with our international operations that could materially adversely affect our business, results of operations, or financial condition.</w:t>
      </w:r>
    </w:p>
    <w:p>
      <w:pPr>
        <w:spacing w:after="0" w:line="16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In addition to our U.S. operations, a substantial portion of our operations are conducted in Taiwan, Singapore, Japan, Malaysia, China, and India, and many of our customers, suppliers, and vendors also operate internationally. In 2022, nearly half of our revenue was from sales to customers who have headquarters located outside the United States, while over 80% of our revenue in 2022 was from products shipped to customer locations outside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number of risks, including:</w:t>
      </w:r>
    </w:p>
    <w:p>
      <w:pPr>
        <w:spacing w:after="0" w:line="252" w:lineRule="exact"/>
        <w:rPr>
          <w:sz w:val="20"/>
          <w:szCs w:val="20"/>
          <w:color w:val="auto"/>
        </w:rPr>
      </w:pPr>
    </w:p>
    <w:p>
      <w:pPr>
        <w:ind w:left="660" w:right="10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health issues;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instability, including the effects of disputes between China and Taiwan and Russia’s invasion of Ukraine;</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 For example, political, economic, or other actions may adversely affect our operations in Taiwan. A majority of our DRAM production output in 2022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the U.S. government has in the past restricted American firms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209" w:lineRule="exact"/>
        <w:rPr>
          <w:sz w:val="20"/>
          <w:szCs w:val="20"/>
          <w:color w:val="auto"/>
        </w:rPr>
      </w:pPr>
    </w:p>
    <w:p>
      <w:pPr>
        <w:ind w:right="480"/>
        <w:spacing w:after="0" w:line="296"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dependency on third-party service providers.</w:t>
      </w:r>
    </w:p>
    <w:p>
      <w:pPr>
        <w:spacing w:after="0" w:line="16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and shortages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was to cease operations or become insolvent, this could impact their ability to provide us with necessary supplies, and we may not be able to obtain the needed supply in a timely way or at all from other providers.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and/or our suppliers and service providers could be affected by regional conflicts, sanctions,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89" w:lineRule="exact"/>
        <w:rPr>
          <w:sz w:val="20"/>
          <w:szCs w:val="20"/>
          <w:color w:val="auto"/>
        </w:rPr>
      </w:pPr>
    </w:p>
    <w:p>
      <w:pPr>
        <w:ind w:right="880"/>
        <w:spacing w:after="0" w:line="296" w:lineRule="auto"/>
        <w:rPr>
          <w:sz w:val="20"/>
          <w:szCs w:val="20"/>
          <w:color w:val="auto"/>
        </w:rPr>
      </w:pPr>
      <w:r>
        <w:rPr>
          <w:rFonts w:ascii="Arial" w:cs="Arial" w:eastAsia="Arial" w:hAnsi="Arial"/>
          <w:sz w:val="18"/>
          <w:szCs w:val="18"/>
          <w:b w:val="1"/>
          <w:bCs w:val="1"/>
          <w:color w:val="0090DA"/>
        </w:rPr>
        <w:t>The continued effects of the COVID-19 pandemic could adversely affect our business, results of operations, and financial condition.</w:t>
      </w:r>
    </w:p>
    <w:p>
      <w:pPr>
        <w:spacing w:after="0" w:line="164"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ongoing effects of the public health crisis caused by the COVID-19 pandemic and the measures being taken to limit COVID-19’s impact on our business, results of operations, and financial condition are uncertain and difficult to predict, but may include, and in some cases, have included and may continue to include:</w:t>
      </w:r>
    </w:p>
    <w:p>
      <w:pPr>
        <w:spacing w:after="0" w:line="19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to our supply chain and our operations, or those of our suppliers, especially as a result of public health measures;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Impacts to customer demand, resulting in industry oversupply and declines in pricing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impacts to our business activities and increased costs from our efforts to mitigate the impact of COVID-19;</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components, electricity and/or other energy sources, or other inputs necessary for the operation of our business;</w:t>
      </w:r>
    </w:p>
    <w:p>
      <w:pPr>
        <w:ind w:left="660" w:right="52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Reductions in, or cessation of, operations at one or more of our sites or those of our subcontractors or suppliers, resulting from government restrictions and/or our own measures to prevent and/or mitigate the spread of COVID-19; and</w:t>
      </w:r>
    </w:p>
    <w:p>
      <w:pPr>
        <w:ind w:left="660" w:right="260" w:hanging="328"/>
        <w:spacing w:after="0" w:line="26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impacts to our construction projects, which could hamper our ability to introduce new technologies, reduce costs, or meet customer demand.</w:t>
      </w:r>
    </w:p>
    <w:p>
      <w:pPr>
        <w:spacing w:after="0" w:line="19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These effects and other impacts of the pandemic, alone or taken together,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qualify, and manufacture our system solutions.</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Manufacturing system-level solutions, such as SSDs and managed NAND,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09"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0090DA"/>
        </w:rPr>
        <w:t>Products that fail to meet specifications, are defective, or are otherwise incompatible with end uses could impose significant costs on us.</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9" w:lineRule="exact"/>
        <w:rPr>
          <w:sz w:val="20"/>
          <w:szCs w:val="20"/>
          <w:color w:val="auto"/>
        </w:rPr>
      </w:pPr>
    </w:p>
    <w:p>
      <w:pPr>
        <w:ind w:left="660" w:right="100" w:hanging="328"/>
        <w:spacing w:after="0" w:line="26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like COVID-19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3"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0090DA"/>
        </w:rPr>
        <w:t>Breaches of our security systems or products, or those of our customers, suppliers, or business partners, could expose us to losses.</w:t>
      </w:r>
    </w:p>
    <w:p>
      <w:pPr>
        <w:spacing w:after="0" w:line="16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employees, former employees, or other third parties may gain access to our facilities or technology infrastructure and systems to steal trade secrets or other proprietary information, compromise confidential information, create system disruptions, or cause shutdowns. This risk is exacerbated as competitors for talent, particularly engineering talent, increasingly attempt to hire our employees. Through cyberattacks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which could impact our operations. Cyberattacks can include ransomware, computer denial-of-service attacks, worms, supply chain attacks, social engineering,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attacks on our technology infrastructure and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Our products are also targets for cyberattacks, including those products utilized in cloud-based environments.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claims, and harm to our reputation.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security risks could have a material adverse effect on our business, results of operations, or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To remain competitive, we must attract, retain, and motivate executives and other highly skilled, diverse employees, as well as effectively manage succession for key employees. Competition for experienced employees in our industry can be intense. Hiring and retaining qualified executives and other employees is critical to our business. If our total compensation programs, employment benefits, and workplace culture are not viewed as competitive and inclusive, our ability to attract, retain, and motivate employees could be compromised.</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times, we experience higher levels of attrition, increasing compensation costs, and more intense competition for talent across our industry.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20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inability to attract, retain, and motivate executives and other employees or effectively manage succession of key roles may inhibit our ability to maintain or expand our business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not be able to achieve expected returns from capacity expansions.</w:t>
      </w:r>
    </w:p>
    <w:p>
      <w:pPr>
        <w:spacing w:after="0" w:line="25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We have announced our intent to expand our DRAM production capacity in the United States and we also make capital investments in projects outside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These expansions involve several risks including the following:</w:t>
      </w:r>
    </w:p>
    <w:p>
      <w:pPr>
        <w:spacing w:after="0" w:line="252" w:lineRule="exact"/>
        <w:rPr>
          <w:sz w:val="20"/>
          <w:szCs w:val="20"/>
          <w:color w:val="auto"/>
        </w:rPr>
      </w:pPr>
    </w:p>
    <w:p>
      <w:pPr>
        <w:ind w:left="660" w:right="320" w:hanging="328"/>
        <w:spacing w:after="0" w:line="26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expenditure requirements for capacity expansions during periods of relatively low free cash flow generation, resulting from challenging memory and storage industry conditions;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necessary funding, which may include external sources;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realize expected grants, investment tax credits, and other government incentives, including through the CHIPS Act and foreign, state, and local grants;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changes in laws or provisions of grants, investment tax credits, and other government incentives;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restrictions on expanding in certain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equipment and construction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complete construction as scheduled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the necessary workforce;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timely ramp production in a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to our cost structure until new production is ramped to adequate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sufficient customer demand to utilize our increased capacity.</w:t>
      </w:r>
    </w:p>
    <w:p>
      <w:pPr>
        <w:spacing w:after="0" w:line="2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factors could have a material adverse effect on our business, results of operations, or financial condition.</w:t>
      </w:r>
    </w:p>
    <w:p>
      <w:pPr>
        <w:spacing w:after="0" w:line="252"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or other obligations and are subject to reduction, termination, clawback, or could impose certain limitations on our business.</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achieve or maintain certain levels of investment, capital spending, employment, technology deployment, or research and development activities to qualify for such incentives or could restrict us from undertaking certain activities. We may be unable to obtain significant future incentives to continue to fund a portion of our capital expenditures and operating costs, without which our cost structure would be adversely impacted. We also cannot guarantee that we will successfully achieve performance or other obligations required to qualify for these incentives or that the granting agencies will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Acquisitions and/or alliances involve numerous risks.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8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right="92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underestimating the costs or overestimating the benefits, including product, revenue, cost and other synergies and growth opportunities that we expect to realize, and we may not achieve those benefits;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40" w:hanging="328"/>
        <w:spacing w:after="0" w:line="26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or technological advancements.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90DA"/>
        </w:rPr>
        <w:t>We have incurred restructure charges and may incur restructure charges in future periods and may not realize expected savings or other benefits from restructure activities.</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2023, we initiated a restructure plan in response to current market conditions. See “Part I. Financial Information – Item 1. Financial Statements – Notes to Consolidated Financial Statements – Restructure and Asset Impairments” and “Part I. Financial Information – Item 2. Management’s Discussion and Analysis of Financial Condition and Results of Operations – Overview.” In addition, we may in the future, enter into other restructure initiatives in order to, among other items, streamline our operations, respond to changes in business conditions, our markets, or product offerings, or to centralize certain key functions.</w:t>
      </w:r>
    </w:p>
    <w:p>
      <w:pPr>
        <w:spacing w:after="0" w:line="20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may not realize expected savings or other benefits from our current or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3"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b w:val="1"/>
          <w:bCs w:val="1"/>
          <w:color w:val="0090DA"/>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ESG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980"/>
        <w:spacing w:after="0" w:line="296" w:lineRule="auto"/>
        <w:rPr>
          <w:sz w:val="20"/>
          <w:szCs w:val="20"/>
          <w:color w:val="auto"/>
        </w:rPr>
      </w:pPr>
      <w:r>
        <w:rPr>
          <w:rFonts w:ascii="Arial" w:cs="Arial" w:eastAsia="Arial" w:hAnsi="Arial"/>
          <w:sz w:val="18"/>
          <w:szCs w:val="18"/>
          <w:b w:val="1"/>
          <w:bCs w:val="1"/>
          <w:color w:val="0090DA"/>
        </w:rPr>
        <w:t>Failure to meet ESG expectations or standards or achieve our ESG goals could adversely affect our business, results of operations, financial condition, or stock price.</w:t>
      </w:r>
    </w:p>
    <w:p>
      <w:pPr>
        <w:spacing w:after="0" w:line="1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recent years, there has been an increased focus from stakeholders on ESG matters, including greenhouse gas emissions and climate-related risks, renewable energy, water stewardship, waste management, diversity, equality and inclusion, responsible sourcing and supply chain, human rights, and social responsibility. Given our commitment to ESG,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Such risks and uncertainties include:</w:t>
      </w:r>
    </w:p>
    <w:p>
      <w:pPr>
        <w:spacing w:after="0" w:line="25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reputational harm, including damage to our relationships with customers, suppliers, investors, governments, or other stakeholders;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impacts on our ability to sell and manufacture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risk of litigation, investigations, or regulatory enforcement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ESG ratings or investor sentiment;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resources and increased costs to control, assess, and report on ESG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achieve our goals, commitments, and targets within timeframes announced;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costs to achieve our goals, commitments, and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operational and technological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access to and increased cost of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impacts on our stock price.</w:t>
      </w:r>
    </w:p>
    <w:p>
      <w:pPr>
        <w:spacing w:after="0" w:line="23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Any failure, or perceived failure, to meet evolving stakeholder expectations and industry standards or achieve our ESG goals, commitments, and targets could have an adverse effect on our business, results of operations, financial condition, or stock price.</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57" w:lineRule="exact"/>
        <w:rPr>
          <w:sz w:val="20"/>
          <w:szCs w:val="20"/>
          <w:color w:val="auto"/>
        </w:rPr>
      </w:pPr>
    </w:p>
    <w:p>
      <w:pPr>
        <w:ind w:right="840"/>
        <w:spacing w:after="0" w:line="296"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1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Such claims include, but are not limited to, allegations of anticompetitive conduct and infringement of intellectual property. See “Part I. Financial Information – Item 1. Financial Statements – Notes to Consolidated Financial Statements – Contingencies.”</w:t>
      </w:r>
    </w:p>
    <w:p>
      <w:pPr>
        <w:spacing w:after="0" w:line="20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198" w:lineRule="exact"/>
        <w:rPr>
          <w:sz w:val="20"/>
          <w:szCs w:val="20"/>
          <w:color w:val="auto"/>
        </w:rPr>
      </w:pPr>
    </w:p>
    <w:p>
      <w:pPr>
        <w:ind w:left="660" w:right="520" w:hanging="328"/>
        <w:spacing w:after="0" w:line="26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10"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57"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0090DA"/>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predict what further actions may ultimately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Tax-related matters could have a material adverse effect on our business, results of operations, or financial condition.</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mandatory capitalization of R&amp;D expenses beginning in 2023,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Beginning in 2024, the Inflation Reduction Act of 2022 imposes a 15% book minimum tax on corporations with three-year average annual adjusted financial statement income exceeding $ 1 billion. We are in the process of assessing whether the book minimum tax would impact our effective tax rate. Further changes in the tax laws of foreign jurisdictions could arise as a result of the base erosion and profit shifting project undertaken by the Organisation for Economic Co-operation and Development (“OECD”). In December 2022, the European Union (“EU”) member states reached an agreement to implement the minimum tax component (“Pillar Two”) of the OECD’s tax reform initiative. The directive is expected to be enacted into the national law of the EU member states by December 31, 2023. If similar directives under Pillar Two are adopted by taxing authorities in other countries where we do business, such changes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including with respect to ESG considerations, which may have a material adverse effect on our business, results of operations, or financial condition.</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New ESG considerations, including those related to climate change and the potential resulting environmental impact,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items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5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pay our dividend, and make adequate capital investments.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2023 for property, plant, and equipment, net of partner contributions, will be approximately $7.0 billion.</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5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realign our capital structure. As of March 2, 2023, we had debt with a carrying value of $12.27 billion and may incur additional debt, including under our $2.50 billion Revolving Credit Facility. Our debt obligations could adversely impact us as follows:</w:t>
      </w:r>
    </w:p>
    <w:p>
      <w:pPr>
        <w:spacing w:after="0" w:line="198" w:lineRule="exact"/>
        <w:rPr>
          <w:sz w:val="20"/>
          <w:szCs w:val="20"/>
          <w:color w:val="auto"/>
        </w:rPr>
      </w:pPr>
    </w:p>
    <w:p>
      <w:pPr>
        <w:ind w:left="660" w:right="420" w:hanging="328"/>
        <w:spacing w:after="0" w:line="26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our exposure to rising interest rates from variable rate indebtedness; and</w:t>
      </w:r>
    </w:p>
    <w:p>
      <w:pPr>
        <w:spacing w:after="0" w:line="9"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 in certain of our debt instruments becoming immediately due and payable or being deemed to be in default if applicable cross default, cross-acceleration and/or similar provisions are triggered.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light of current industry conditions, we amended the financial covenants in our Revolving Credit Facility and term loan agreements. See “Part I. Financial Information - Item 1. Financial Statements – Notes to Consolidated Financial Statements – Debt.”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9"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Malaysian ringgit,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320"/>
        <w:spacing w:after="0" w:line="273"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amount, timing, and execution of our share repurchases pursuant to our share repurchase authorization may fluctuate based on our operating results, cash flows, and priorities for the use of cash for other purposes. Our expenditures for share repurchases were $2.43 billion in 2022, $1.20 billion in 2021, $176 million in 2020, and $ 2.66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0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There can be no assurance that we will continue to declare cash dividends in any particular amounts or at all.</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During the quarter ended March 2, 2023, we did not repurchase any common stock under the authorization and as of March 2, 2023, $3.11 billion of the authorization remained available for the repurchase of our common stock.</w:t>
      </w:r>
    </w:p>
    <w:p>
      <w:pPr>
        <w:spacing w:after="0" w:line="20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required to be disclosed under Item 703 of Regulation S-K and accordingly are excluded from this Item 2.</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5. OTHER INFORMATION</w:t>
      </w:r>
    </w:p>
    <w:p>
      <w:pPr>
        <w:spacing w:after="0" w:line="27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information set forth below in this Item 5 is included herein in lieu of reporting on a Current Report on Form 8-K under Item 1.01 Entry into a Material Definitive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 to Term Loan Agreement, 2024 Term Loan A, and Revolving Credit Facility.</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March 27, 2023, we entered into amendments to our Term Loan Agreement, 2024 Term Loan A, and Revolving Credit Facility (the “Amendments”). The descriptions of the Amendments below are not intended to be complete and are qualified in their entirety by reference to the full text of the Amendments, copies of which are filed herewith as Exhibits 10.2, 10.3, and 10.4, respectively, and are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Term Loan Agreement</w:t>
      </w:r>
    </w:p>
    <w:p>
      <w:pPr>
        <w:spacing w:after="0" w:line="25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previously disclosed, on November 3, 2022, we entered into a term loan agreement consisting of three tranches and borrowed $2.60 billion in aggregate principal amount, including $927 million due November 3, 2025; $746 million due November 3, 2026; and $927 million due November 3, 2027 (the “Term Loan Agreement”).</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January 5, 2023, we amended the Term Loan Agreement and borrowed an additional $600 million in aggregate principal amount, including $125 million due November 3, 2025, $ 250 million due November 3, 2026, and $225 million due November 3, 2027. The additional borrowings have terms that are identical to, and will be treated as a single class with, the three original tranches.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2026 Term Loan A and 2027 Term Loan A each require equal quarterly installment payments in an amount equal to 1.25% of the original principal amount. The 2025 Term Loan A does not require quarterly installment payments. Borrowings under the Term Loan Agreement will generally bear interest at adjusted term SOFR plus an applicable interest rate margin ranging from 1.00% to 2.00%, varying by tranche and depending on our corporate credit ratings. The Term Loan Agreement requires us to maintain, on a consolidated basis, a leverage ratio of total indebtedness to adjusted EBITDA, as defined in the Term Loan Agreement and calculated as of the last day of each fiscal quarter, not to exceed 3.25 to 1.00, except as described below.</w:t>
      </w:r>
    </w:p>
    <w:p>
      <w:pPr>
        <w:spacing w:after="0" w:line="20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March 27, 2023, we further amended the Term Loan Agreement to provide that in lieu of the foregoing leverage ratio, during the fourth quarter of 2023 and each quarter of 2024, we will be required to maintain, on a consolidated basis, a net leverage ratio of total net indebtedness to adjusted EBITDA, as defined in the Term Loan Agreement and calculated as of the last day of each fiscal quarter, not to exceed 3.25 to 1.00, or alternatively, for up to three of such five quarters, we may elect to comply with a requirement of minimum liquidity as defined in the Term Loan Agreement of not less than $ 5.0 billion. Each of the maximum leverage ratio and net leverage ratio, as applicable, is subject to a temporary four quarter increase in such maximum ratio to 3.75 to 1.00 following certain material acquisitions. Our obligations under the Term Loan Agreement are unsecured.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2024 Term Loan A</w:t>
      </w:r>
    </w:p>
    <w:p>
      <w:pPr>
        <w:spacing w:after="0" w:line="25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On March 27, 2023, we also amended the agreement governing the 2024 Term Loan A to align the leverage ratio covenant with the corresponding covenant in the Term Loan Agreement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Revolving Credit Facility</w:t>
      </w:r>
    </w:p>
    <w:p>
      <w:pPr>
        <w:spacing w:after="0" w:line="252"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On March 27, 2023, we amended the agreement governing the Revolving Credit Facility to align the leverage ratio covenant with the corresponding covenants in the Term Loan Agreement and 2024 Term Loan A described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520" w:type="dxa"/>
            <w:vAlign w:val="bottom"/>
            <w:gridSpan w:val="25"/>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1680" w:type="dxa"/>
            <w:vAlign w:val="bottom"/>
          </w:tcPr>
          <w:p>
            <w:pPr>
              <w:ind w:left="40"/>
              <w:spacing w:after="0"/>
              <w:rPr>
                <w:sz w:val="20"/>
                <w:szCs w:val="20"/>
                <w:color w:val="auto"/>
              </w:rPr>
            </w:pPr>
            <w:r>
              <w:rPr>
                <w:rFonts w:ascii="Arial" w:cs="Arial" w:eastAsia="Arial" w:hAnsi="Arial"/>
                <w:sz w:val="18"/>
                <w:szCs w:val="18"/>
                <w:b w:val="1"/>
                <w:bCs w:val="1"/>
                <w:color w:val="auto"/>
              </w:rPr>
              <w:t>Filed</w:t>
            </w: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3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5520" w:type="dxa"/>
            <w:vAlign w:val="bottom"/>
            <w:tcBorders>
              <w:bottom w:val="single" w:sz="8" w:color="auto"/>
            </w:tcBorders>
            <w:gridSpan w:val="25"/>
            <w:vMerge w:val="continue"/>
          </w:tcPr>
          <w:p>
            <w:pPr>
              <w:spacing w:after="0"/>
              <w:rPr>
                <w:sz w:val="20"/>
                <w:szCs w:val="20"/>
                <w:color w:val="auto"/>
              </w:rPr>
            </w:pPr>
          </w:p>
        </w:tc>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Herewith   Form</w:t>
            </w: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Appendix</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83"/>
        </w:trPr>
        <w:tc>
          <w:tcPr>
            <w:tcW w:w="1000" w:type="dxa"/>
            <w:vAlign w:val="bottom"/>
            <w:tcBorders>
              <w:right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4.1</w:t>
            </w:r>
          </w:p>
        </w:tc>
        <w:tc>
          <w:tcPr>
            <w:tcW w:w="5520" w:type="dxa"/>
            <w:vAlign w:val="bottom"/>
            <w:gridSpan w:val="25"/>
            <w:shd w:val="clear" w:color="auto" w:fill="D1D2D4"/>
          </w:tcPr>
          <w:p>
            <w:pPr>
              <w:spacing w:after="0" w:line="182" w:lineRule="exact"/>
              <w:rPr>
                <w:rFonts w:ascii="Arial" w:cs="Arial" w:eastAsia="Arial" w:hAnsi="Arial"/>
                <w:sz w:val="18"/>
                <w:szCs w:val="18"/>
                <w:color w:val="auto"/>
              </w:rPr>
            </w:pPr>
            <w:hyperlink r:id="rId127">
              <w:r>
                <w:rPr>
                  <w:rFonts w:ascii="Arial" w:cs="Arial" w:eastAsia="Arial" w:hAnsi="Arial"/>
                  <w:sz w:val="18"/>
                  <w:szCs w:val="18"/>
                  <w:color w:val="auto"/>
                </w:rPr>
                <w:t>Indenture, dated February 6, 2019, by and between Micron</w:t>
              </w:r>
            </w:hyperlink>
          </w:p>
        </w:tc>
        <w:tc>
          <w:tcPr>
            <w:tcW w:w="1680" w:type="dxa"/>
            <w:vAlign w:val="bottom"/>
            <w:shd w:val="clear" w:color="auto" w:fill="D1D2D4"/>
          </w:tcPr>
          <w:p>
            <w:pPr>
              <w:ind w:left="1060"/>
              <w:spacing w:after="0" w:line="182" w:lineRule="exact"/>
              <w:rPr>
                <w:sz w:val="20"/>
                <w:szCs w:val="20"/>
                <w:color w:val="auto"/>
              </w:rPr>
            </w:pPr>
            <w:r>
              <w:rPr>
                <w:rFonts w:ascii="Arial" w:cs="Arial" w:eastAsia="Arial" w:hAnsi="Arial"/>
                <w:sz w:val="18"/>
                <w:szCs w:val="18"/>
                <w:color w:val="auto"/>
              </w:rPr>
              <w:t>8-K</w:t>
            </w: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ind w:left="140"/>
              <w:spacing w:after="0" w:line="182" w:lineRule="exact"/>
              <w:rPr>
                <w:sz w:val="20"/>
                <w:szCs w:val="20"/>
                <w:color w:val="auto"/>
              </w:rPr>
            </w:pPr>
            <w:r>
              <w:rPr>
                <w:rFonts w:ascii="Arial" w:cs="Arial" w:eastAsia="Arial" w:hAnsi="Arial"/>
                <w:sz w:val="18"/>
                <w:szCs w:val="18"/>
                <w:color w:val="auto"/>
              </w:rPr>
              <w:t>4.1</w:t>
            </w:r>
          </w:p>
        </w:tc>
        <w:tc>
          <w:tcPr>
            <w:tcW w:w="1020" w:type="dxa"/>
            <w:vAlign w:val="bottom"/>
            <w:shd w:val="clear" w:color="auto" w:fill="D1D2D4"/>
          </w:tcPr>
          <w:p>
            <w:pPr>
              <w:ind w:left="120"/>
              <w:spacing w:after="0" w:line="182"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1000" w:type="dxa"/>
            <w:vAlign w:val="bottom"/>
            <w:tcBorders>
              <w:top w:val="single" w:sz="8" w:color="D1D2D4"/>
              <w:right w:val="single" w:sz="8" w:color="D1D2D4"/>
            </w:tcBorders>
            <w:shd w:val="clear" w:color="auto" w:fill="D1D2D4"/>
          </w:tcPr>
          <w:p>
            <w:pPr>
              <w:spacing w:after="0"/>
              <w:rPr>
                <w:sz w:val="14"/>
                <w:szCs w:val="14"/>
                <w:color w:val="auto"/>
              </w:rPr>
            </w:pPr>
          </w:p>
        </w:tc>
        <w:tc>
          <w:tcPr>
            <w:tcW w:w="4680" w:type="dxa"/>
            <w:vAlign w:val="bottom"/>
            <w:tcBorders>
              <w:top w:val="single" w:sz="8" w:color="auto"/>
            </w:tcBorders>
            <w:gridSpan w:val="10"/>
            <w:shd w:val="clear" w:color="auto" w:fill="D1D2D4"/>
          </w:tcPr>
          <w:p>
            <w:pPr>
              <w:spacing w:after="0" w:line="169" w:lineRule="exact"/>
              <w:rPr>
                <w:rFonts w:ascii="Arial" w:cs="Arial" w:eastAsia="Arial" w:hAnsi="Arial"/>
                <w:sz w:val="18"/>
                <w:szCs w:val="18"/>
                <w:color w:val="auto"/>
              </w:rPr>
            </w:pPr>
            <w:hyperlink r:id="rId127">
              <w:r>
                <w:rPr>
                  <w:rFonts w:ascii="Arial" w:cs="Arial" w:eastAsia="Arial" w:hAnsi="Arial"/>
                  <w:sz w:val="18"/>
                  <w:szCs w:val="18"/>
                  <w:color w:val="auto"/>
                </w:rPr>
                <w:t>Technology, Inc. and U.S. Bank Trust Company, National</w:t>
              </w:r>
            </w:hyperlink>
          </w:p>
        </w:tc>
        <w:tc>
          <w:tcPr>
            <w:tcW w:w="840" w:type="dxa"/>
            <w:vAlign w:val="bottom"/>
            <w:tcBorders>
              <w:top w:val="single" w:sz="8" w:color="D1D2D4"/>
            </w:tcBorders>
            <w:gridSpan w:val="15"/>
            <w:shd w:val="clear" w:color="auto" w:fill="D1D2D4"/>
          </w:tcPr>
          <w:p>
            <w:pPr>
              <w:spacing w:after="0" w:line="169" w:lineRule="exact"/>
              <w:rPr>
                <w:rFonts w:ascii="Arial" w:cs="Arial" w:eastAsia="Arial" w:hAnsi="Arial"/>
                <w:sz w:val="18"/>
                <w:szCs w:val="18"/>
                <w:color w:val="auto"/>
                <w:w w:val="89"/>
              </w:rPr>
            </w:pPr>
            <w:hyperlink r:id="rId127">
              <w:r>
                <w:rPr>
                  <w:rFonts w:ascii="Arial" w:cs="Arial" w:eastAsia="Arial" w:hAnsi="Arial"/>
                  <w:sz w:val="18"/>
                  <w:szCs w:val="18"/>
                  <w:color w:val="auto"/>
                  <w:w w:val="89"/>
                </w:rPr>
                <w:t>Association</w:t>
              </w:r>
            </w:hyperlink>
          </w:p>
        </w:tc>
        <w:tc>
          <w:tcPr>
            <w:tcW w:w="1680" w:type="dxa"/>
            <w:vAlign w:val="bottom"/>
            <w:tcBorders>
              <w:top w:val="single" w:sz="8" w:color="D1D2D4"/>
            </w:tcBorders>
            <w:shd w:val="clear" w:color="auto" w:fill="D1D2D4"/>
          </w:tcPr>
          <w:p>
            <w:pPr>
              <w:spacing w:after="0"/>
              <w:rPr>
                <w:sz w:val="14"/>
                <w:szCs w:val="14"/>
                <w:color w:val="auto"/>
              </w:rPr>
            </w:pPr>
          </w:p>
        </w:tc>
        <w:tc>
          <w:tcPr>
            <w:tcW w:w="94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102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Borders>
              <w:top w:val="single" w:sz="8" w:color="D1D2D4"/>
              <w:right w:val="single" w:sz="8" w:color="D1D2D4"/>
            </w:tcBorders>
            <w:shd w:val="clear" w:color="auto" w:fill="D1D2D4"/>
          </w:tcPr>
          <w:p>
            <w:pPr>
              <w:spacing w:after="0"/>
              <w:rPr>
                <w:sz w:val="13"/>
                <w:szCs w:val="13"/>
                <w:color w:val="auto"/>
              </w:rPr>
            </w:pPr>
          </w:p>
        </w:tc>
        <w:tc>
          <w:tcPr>
            <w:tcW w:w="5480" w:type="dxa"/>
            <w:vAlign w:val="bottom"/>
            <w:tcBorders>
              <w:top w:val="single" w:sz="8" w:color="auto"/>
            </w:tcBorders>
            <w:gridSpan w:val="23"/>
            <w:shd w:val="clear" w:color="auto" w:fill="D1D2D4"/>
          </w:tcPr>
          <w:p>
            <w:pPr>
              <w:spacing w:after="0" w:line="156" w:lineRule="exact"/>
              <w:rPr>
                <w:rFonts w:ascii="Arial" w:cs="Arial" w:eastAsia="Arial" w:hAnsi="Arial"/>
                <w:sz w:val="18"/>
                <w:szCs w:val="18"/>
                <w:color w:val="auto"/>
              </w:rPr>
            </w:pPr>
            <w:hyperlink r:id="rId127">
              <w:r>
                <w:rPr>
                  <w:rFonts w:ascii="Arial" w:cs="Arial" w:eastAsia="Arial" w:hAnsi="Arial"/>
                  <w:sz w:val="18"/>
                  <w:szCs w:val="18"/>
                  <w:color w:val="auto"/>
                </w:rPr>
                <w:t>(as successor in interest to U.S. Bank National Association), as</w:t>
              </w:r>
            </w:hyperlink>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1680" w:type="dxa"/>
            <w:vAlign w:val="bottom"/>
            <w:tcBorders>
              <w:top w:val="single" w:sz="8" w:color="D1D2D4"/>
            </w:tcBorders>
            <w:shd w:val="clear" w:color="auto" w:fill="D1D2D4"/>
          </w:tcPr>
          <w:p>
            <w:pPr>
              <w:spacing w:after="0"/>
              <w:rPr>
                <w:sz w:val="13"/>
                <w:szCs w:val="13"/>
                <w:color w:val="auto"/>
              </w:rPr>
            </w:pPr>
          </w:p>
        </w:tc>
        <w:tc>
          <w:tcPr>
            <w:tcW w:w="94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102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top w:val="single" w:sz="8" w:color="D1D2D4"/>
              <w:right w:val="single" w:sz="8" w:color="D1D2D4"/>
            </w:tcBorders>
            <w:shd w:val="clear" w:color="auto" w:fill="D1D2D4"/>
          </w:tcPr>
          <w:p>
            <w:pPr>
              <w:spacing w:after="0"/>
              <w:rPr>
                <w:sz w:val="13"/>
                <w:szCs w:val="13"/>
                <w:color w:val="auto"/>
              </w:rPr>
            </w:pPr>
          </w:p>
        </w:tc>
        <w:tc>
          <w:tcPr>
            <w:tcW w:w="5020" w:type="dxa"/>
            <w:vAlign w:val="bottom"/>
            <w:tcBorders>
              <w:top w:val="single" w:sz="8" w:color="auto"/>
            </w:tcBorders>
            <w:gridSpan w:val="14"/>
            <w:shd w:val="clear" w:color="auto" w:fill="D1D2D4"/>
          </w:tcPr>
          <w:p>
            <w:pPr>
              <w:spacing w:after="0" w:line="156" w:lineRule="exact"/>
              <w:rPr>
                <w:rFonts w:ascii="Arial" w:cs="Arial" w:eastAsia="Arial" w:hAnsi="Arial"/>
                <w:sz w:val="18"/>
                <w:szCs w:val="18"/>
                <w:color w:val="auto"/>
              </w:rPr>
            </w:pPr>
            <w:hyperlink r:id="rId127">
              <w:r>
                <w:rPr>
                  <w:rFonts w:ascii="Arial" w:cs="Arial" w:eastAsia="Arial" w:hAnsi="Arial"/>
                  <w:sz w:val="18"/>
                  <w:szCs w:val="18"/>
                  <w:color w:val="auto"/>
                </w:rPr>
                <w:t>Trustee</w:t>
              </w:r>
            </w:hyperlink>
          </w:p>
        </w:tc>
        <w:tc>
          <w:tcPr>
            <w:tcW w:w="40" w:type="dxa"/>
            <w:vAlign w:val="bottom"/>
            <w:tcBorders>
              <w:top w:val="single" w:sz="8" w:color="D1D2D4"/>
            </w:tcBorders>
            <w:shd w:val="clear" w:color="auto" w:fill="D1D2D4"/>
          </w:tcPr>
          <w:p>
            <w:pPr>
              <w:spacing w:after="0"/>
              <w:rPr>
                <w:sz w:val="13"/>
                <w:szCs w:val="13"/>
                <w:color w:val="auto"/>
              </w:rPr>
            </w:pPr>
          </w:p>
        </w:tc>
        <w:tc>
          <w:tcPr>
            <w:tcW w:w="60" w:type="dxa"/>
            <w:vAlign w:val="bottom"/>
            <w:tcBorders>
              <w:top w:val="single" w:sz="8" w:color="D1D2D4"/>
            </w:tcBorders>
            <w:shd w:val="clear" w:color="auto" w:fill="D1D2D4"/>
          </w:tcPr>
          <w:p>
            <w:pPr>
              <w:spacing w:after="0"/>
              <w:rPr>
                <w:sz w:val="13"/>
                <w:szCs w:val="13"/>
                <w:color w:val="auto"/>
              </w:rPr>
            </w:pPr>
          </w:p>
        </w:tc>
        <w:tc>
          <w:tcPr>
            <w:tcW w:w="180" w:type="dxa"/>
            <w:vAlign w:val="bottom"/>
            <w:tcBorders>
              <w:top w:val="single" w:sz="8" w:color="D1D2D4"/>
              <w:right w:val="single" w:sz="8" w:color="D1D2D4"/>
            </w:tcBorders>
            <w:shd w:val="clear" w:color="auto" w:fill="D1D2D4"/>
          </w:tcPr>
          <w:p>
            <w:pPr>
              <w:spacing w:after="0"/>
              <w:rPr>
                <w:sz w:val="13"/>
                <w:szCs w:val="13"/>
                <w:color w:val="auto"/>
              </w:rPr>
            </w:pPr>
          </w:p>
        </w:tc>
        <w:tc>
          <w:tcPr>
            <w:tcW w:w="6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1680" w:type="dxa"/>
            <w:vAlign w:val="bottom"/>
            <w:tcBorders>
              <w:top w:val="single" w:sz="8" w:color="D1D2D4"/>
            </w:tcBorders>
            <w:shd w:val="clear" w:color="auto" w:fill="D1D2D4"/>
          </w:tcPr>
          <w:p>
            <w:pPr>
              <w:spacing w:after="0"/>
              <w:rPr>
                <w:sz w:val="13"/>
                <w:szCs w:val="13"/>
                <w:color w:val="auto"/>
              </w:rPr>
            </w:pPr>
          </w:p>
        </w:tc>
        <w:tc>
          <w:tcPr>
            <w:tcW w:w="94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102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540" w:type="dxa"/>
            <w:vAlign w:val="bottom"/>
            <w:tcBorders>
              <w:top w:val="single" w:sz="8" w:color="auto"/>
            </w:tcBorders>
            <w:shd w:val="clear" w:color="auto" w:fill="D1D2D4"/>
          </w:tcPr>
          <w:p>
            <w:pPr>
              <w:spacing w:after="0" w:line="20" w:lineRule="exact"/>
              <w:rPr>
                <w:sz w:val="1"/>
                <w:szCs w:val="1"/>
                <w:color w:val="auto"/>
              </w:rPr>
            </w:pPr>
          </w:p>
        </w:tc>
        <w:tc>
          <w:tcPr>
            <w:tcW w:w="40" w:type="dxa"/>
            <w:vAlign w:val="bottom"/>
            <w:tcBorders>
              <w:top w:val="single" w:sz="8" w:color="auto"/>
            </w:tcBorders>
            <w:shd w:val="clear" w:color="auto" w:fill="D1D2D4"/>
          </w:tcPr>
          <w:p>
            <w:pPr>
              <w:spacing w:after="0" w:line="20" w:lineRule="exact"/>
              <w:rPr>
                <w:sz w:val="1"/>
                <w:szCs w:val="1"/>
                <w:color w:val="auto"/>
              </w:rPr>
            </w:pPr>
          </w:p>
        </w:tc>
        <w:tc>
          <w:tcPr>
            <w:tcW w:w="42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116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4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8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5520" w:type="dxa"/>
            <w:vAlign w:val="bottom"/>
            <w:gridSpan w:val="25"/>
          </w:tcPr>
          <w:p>
            <w:pPr>
              <w:spacing w:after="0" w:line="189" w:lineRule="exact"/>
              <w:rPr>
                <w:rFonts w:ascii="Arial" w:cs="Arial" w:eastAsia="Arial" w:hAnsi="Arial"/>
                <w:sz w:val="18"/>
                <w:szCs w:val="18"/>
                <w:color w:val="auto"/>
              </w:rPr>
            </w:pPr>
            <w:hyperlink r:id="rId128">
              <w:r>
                <w:rPr>
                  <w:rFonts w:ascii="Arial" w:cs="Arial" w:eastAsia="Arial" w:hAnsi="Arial"/>
                  <w:sz w:val="18"/>
                  <w:szCs w:val="18"/>
                  <w:color w:val="auto"/>
                </w:rPr>
                <w:t>Sixth Supplemental Indenture, dated as of February 9, 2023, by and</w:t>
              </w:r>
            </w:hyperlink>
          </w:p>
        </w:tc>
        <w:tc>
          <w:tcPr>
            <w:tcW w:w="1680" w:type="dxa"/>
            <w:vAlign w:val="bottom"/>
          </w:tcPr>
          <w:p>
            <w:pPr>
              <w:ind w:left="1060"/>
              <w:spacing w:after="0" w:line="189" w:lineRule="exact"/>
              <w:rPr>
                <w:sz w:val="20"/>
                <w:szCs w:val="20"/>
                <w:color w:val="auto"/>
              </w:rPr>
            </w:pPr>
            <w:r>
              <w:rPr>
                <w:rFonts w:ascii="Arial" w:cs="Arial" w:eastAsia="Arial" w:hAnsi="Arial"/>
                <w:sz w:val="18"/>
                <w:szCs w:val="18"/>
                <w:color w:val="auto"/>
              </w:rPr>
              <w:t>8-K</w:t>
            </w:r>
          </w:p>
        </w:tc>
        <w:tc>
          <w:tcPr>
            <w:tcW w:w="940" w:type="dxa"/>
            <w:vAlign w:val="bottom"/>
          </w:tcPr>
          <w:p>
            <w:pPr>
              <w:spacing w:after="0"/>
              <w:rPr>
                <w:sz w:val="16"/>
                <w:szCs w:val="16"/>
                <w:color w:val="auto"/>
              </w:rPr>
            </w:pPr>
          </w:p>
        </w:tc>
        <w:tc>
          <w:tcPr>
            <w:tcW w:w="1080" w:type="dxa"/>
            <w:vAlign w:val="bottom"/>
          </w:tcPr>
          <w:p>
            <w:pPr>
              <w:ind w:left="140"/>
              <w:spacing w:after="0" w:line="189" w:lineRule="exact"/>
              <w:rPr>
                <w:sz w:val="20"/>
                <w:szCs w:val="20"/>
                <w:color w:val="auto"/>
              </w:rPr>
            </w:pPr>
            <w:r>
              <w:rPr>
                <w:rFonts w:ascii="Arial" w:cs="Arial" w:eastAsia="Arial" w:hAnsi="Arial"/>
                <w:sz w:val="18"/>
                <w:szCs w:val="18"/>
                <w:color w:val="auto"/>
              </w:rPr>
              <w:t>4.3</w:t>
            </w:r>
          </w:p>
        </w:tc>
        <w:tc>
          <w:tcPr>
            <w:tcW w:w="1020" w:type="dxa"/>
            <w:vAlign w:val="bottom"/>
          </w:tcPr>
          <w:p>
            <w:pPr>
              <w:ind w:left="120"/>
              <w:spacing w:after="0" w:line="189"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5400" w:type="dxa"/>
            <w:vAlign w:val="bottom"/>
            <w:tcBorders>
              <w:top w:val="single" w:sz="8" w:color="auto"/>
            </w:tcBorders>
            <w:gridSpan w:val="20"/>
          </w:tcPr>
          <w:p>
            <w:pPr>
              <w:spacing w:after="0" w:line="169" w:lineRule="exact"/>
              <w:rPr>
                <w:rFonts w:ascii="Arial" w:cs="Arial" w:eastAsia="Arial" w:hAnsi="Arial"/>
                <w:sz w:val="18"/>
                <w:szCs w:val="18"/>
                <w:color w:val="auto"/>
              </w:rPr>
            </w:pPr>
            <w:hyperlink r:id="rId128">
              <w:r>
                <w:rPr>
                  <w:rFonts w:ascii="Arial" w:cs="Arial" w:eastAsia="Arial" w:hAnsi="Arial"/>
                  <w:sz w:val="18"/>
                  <w:szCs w:val="18"/>
                  <w:color w:val="auto"/>
                </w:rPr>
                <w:t>between Micron Technology, Inc. and U.S. Bank Trust Company,</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120" w:type="dxa"/>
            <w:vAlign w:val="bottom"/>
            <w:tcBorders>
              <w:top w:val="single" w:sz="8" w:color="auto"/>
            </w:tcBorders>
            <w:gridSpan w:val="16"/>
          </w:tcPr>
          <w:p>
            <w:pPr>
              <w:spacing w:after="0" w:line="156" w:lineRule="exact"/>
              <w:rPr>
                <w:rFonts w:ascii="Arial" w:cs="Arial" w:eastAsia="Arial" w:hAnsi="Arial"/>
                <w:sz w:val="18"/>
                <w:szCs w:val="18"/>
                <w:color w:val="auto"/>
              </w:rPr>
            </w:pPr>
            <w:hyperlink r:id="rId128">
              <w:r>
                <w:rPr>
                  <w:rFonts w:ascii="Arial" w:cs="Arial" w:eastAsia="Arial" w:hAnsi="Arial"/>
                  <w:sz w:val="18"/>
                  <w:szCs w:val="18"/>
                  <w:color w:val="auto"/>
                </w:rPr>
                <w:t>National Association, as Trustee</w:t>
              </w:r>
            </w:hyperlink>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Borders>
              <w:right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4.3</w:t>
            </w:r>
          </w:p>
        </w:tc>
        <w:tc>
          <w:tcPr>
            <w:tcW w:w="5520" w:type="dxa"/>
            <w:vAlign w:val="bottom"/>
            <w:gridSpan w:val="25"/>
            <w:shd w:val="clear" w:color="auto" w:fill="D1D2D4"/>
          </w:tcPr>
          <w:p>
            <w:pPr>
              <w:spacing w:after="0" w:line="189" w:lineRule="exact"/>
              <w:rPr>
                <w:rFonts w:ascii="Arial" w:cs="Arial" w:eastAsia="Arial" w:hAnsi="Arial"/>
                <w:sz w:val="18"/>
                <w:szCs w:val="18"/>
                <w:color w:val="auto"/>
                <w:w w:val="99"/>
              </w:rPr>
            </w:pPr>
            <w:hyperlink r:id="rId128">
              <w:r>
                <w:rPr>
                  <w:rFonts w:ascii="Arial" w:cs="Arial" w:eastAsia="Arial" w:hAnsi="Arial"/>
                  <w:sz w:val="18"/>
                  <w:szCs w:val="18"/>
                  <w:color w:val="auto"/>
                  <w:w w:val="99"/>
                </w:rPr>
                <w:t>Form of Note for Micron Technology, Inc.’s 5.875% Senior Notes due</w:t>
              </w:r>
            </w:hyperlink>
          </w:p>
        </w:tc>
        <w:tc>
          <w:tcPr>
            <w:tcW w:w="1680" w:type="dxa"/>
            <w:vAlign w:val="bottom"/>
            <w:shd w:val="clear" w:color="auto" w:fill="D1D2D4"/>
          </w:tcPr>
          <w:p>
            <w:pPr>
              <w:ind w:left="1060"/>
              <w:spacing w:after="0" w:line="189" w:lineRule="exact"/>
              <w:rPr>
                <w:sz w:val="20"/>
                <w:szCs w:val="20"/>
                <w:color w:val="auto"/>
              </w:rPr>
            </w:pPr>
            <w:r>
              <w:rPr>
                <w:rFonts w:ascii="Arial" w:cs="Arial" w:eastAsia="Arial" w:hAnsi="Arial"/>
                <w:sz w:val="18"/>
                <w:szCs w:val="18"/>
                <w:color w:val="auto"/>
              </w:rPr>
              <w:t>8-K</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ind w:left="140"/>
              <w:spacing w:after="0" w:line="189" w:lineRule="exact"/>
              <w:rPr>
                <w:sz w:val="20"/>
                <w:szCs w:val="20"/>
                <w:color w:val="auto"/>
              </w:rPr>
            </w:pPr>
            <w:r>
              <w:rPr>
                <w:rFonts w:ascii="Arial" w:cs="Arial" w:eastAsia="Arial" w:hAnsi="Arial"/>
                <w:sz w:val="18"/>
                <w:szCs w:val="18"/>
                <w:color w:val="auto"/>
              </w:rPr>
              <w:t>4.5</w:t>
            </w:r>
          </w:p>
        </w:tc>
        <w:tc>
          <w:tcPr>
            <w:tcW w:w="1020" w:type="dxa"/>
            <w:vAlign w:val="bottom"/>
            <w:shd w:val="clear" w:color="auto" w:fill="D1D2D4"/>
          </w:tcPr>
          <w:p>
            <w:pPr>
              <w:ind w:left="120"/>
              <w:spacing w:after="0" w:line="189"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169"/>
        </w:trPr>
        <w:tc>
          <w:tcPr>
            <w:tcW w:w="1000" w:type="dxa"/>
            <w:vAlign w:val="bottom"/>
            <w:tcBorders>
              <w:top w:val="single" w:sz="8" w:color="D1D2D4"/>
              <w:right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22"/>
            <w:shd w:val="clear" w:color="auto" w:fill="D1D2D4"/>
          </w:tcPr>
          <w:p>
            <w:pPr>
              <w:spacing w:after="0" w:line="169" w:lineRule="exact"/>
              <w:rPr>
                <w:rFonts w:ascii="Arial" w:cs="Arial" w:eastAsia="Arial" w:hAnsi="Arial"/>
                <w:sz w:val="18"/>
                <w:szCs w:val="18"/>
                <w:color w:val="auto"/>
              </w:rPr>
            </w:pPr>
            <w:hyperlink r:id="rId128">
              <w:r>
                <w:rPr>
                  <w:rFonts w:ascii="Arial" w:cs="Arial" w:eastAsia="Arial" w:hAnsi="Arial"/>
                  <w:sz w:val="18"/>
                  <w:szCs w:val="18"/>
                  <w:color w:val="auto"/>
                </w:rPr>
                <w:t>2033 (included in Exhibit 4.2)</w:t>
              </w:r>
            </w:hyperlink>
          </w:p>
        </w:tc>
        <w:tc>
          <w:tcPr>
            <w:tcW w:w="40" w:type="dxa"/>
            <w:vAlign w:val="bottom"/>
            <w:tcBorders>
              <w:top w:val="single" w:sz="8" w:color="D1D2D4"/>
            </w:tcBorders>
            <w:gridSpan w:val="2"/>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680" w:type="dxa"/>
            <w:vAlign w:val="bottom"/>
            <w:tcBorders>
              <w:top w:val="single" w:sz="8" w:color="D1D2D4"/>
            </w:tcBorders>
            <w:shd w:val="clear" w:color="auto" w:fill="D1D2D4"/>
          </w:tcPr>
          <w:p>
            <w:pPr>
              <w:spacing w:after="0"/>
              <w:rPr>
                <w:sz w:val="14"/>
                <w:szCs w:val="14"/>
                <w:color w:val="auto"/>
              </w:rPr>
            </w:pPr>
          </w:p>
        </w:tc>
        <w:tc>
          <w:tcPr>
            <w:tcW w:w="94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102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540" w:type="dxa"/>
            <w:vAlign w:val="bottom"/>
            <w:tcBorders>
              <w:top w:val="single" w:sz="8" w:color="auto"/>
            </w:tcBorders>
            <w:shd w:val="clear" w:color="auto" w:fill="D1D2D4"/>
          </w:tcPr>
          <w:p>
            <w:pPr>
              <w:spacing w:after="0" w:line="20" w:lineRule="exact"/>
              <w:rPr>
                <w:sz w:val="1"/>
                <w:szCs w:val="1"/>
                <w:color w:val="auto"/>
              </w:rPr>
            </w:pPr>
          </w:p>
        </w:tc>
        <w:tc>
          <w:tcPr>
            <w:tcW w:w="40" w:type="dxa"/>
            <w:vAlign w:val="bottom"/>
            <w:tcBorders>
              <w:top w:val="single" w:sz="8" w:color="auto"/>
            </w:tcBorders>
            <w:shd w:val="clear" w:color="auto" w:fill="D1D2D4"/>
          </w:tcPr>
          <w:p>
            <w:pPr>
              <w:spacing w:after="0" w:line="20" w:lineRule="exact"/>
              <w:rPr>
                <w:sz w:val="1"/>
                <w:szCs w:val="1"/>
                <w:color w:val="auto"/>
              </w:rPr>
            </w:pPr>
          </w:p>
        </w:tc>
        <w:tc>
          <w:tcPr>
            <w:tcW w:w="420" w:type="dxa"/>
            <w:vAlign w:val="bottom"/>
            <w:tcBorders>
              <w:top w:val="single" w:sz="8" w:color="auto"/>
            </w:tcBorders>
            <w:shd w:val="clear" w:color="auto" w:fill="D1D2D4"/>
          </w:tcPr>
          <w:p>
            <w:pPr>
              <w:spacing w:after="0" w:line="20" w:lineRule="exact"/>
              <w:rPr>
                <w:sz w:val="1"/>
                <w:szCs w:val="1"/>
                <w:color w:val="auto"/>
              </w:rPr>
            </w:pPr>
          </w:p>
        </w:tc>
        <w:tc>
          <w:tcPr>
            <w:tcW w:w="940" w:type="dxa"/>
            <w:vAlign w:val="bottom"/>
            <w:tcBorders>
              <w:top w:val="single" w:sz="8" w:color="auto"/>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116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4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8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5520" w:type="dxa"/>
            <w:vAlign w:val="bottom"/>
            <w:gridSpan w:val="25"/>
          </w:tcPr>
          <w:p>
            <w:pPr>
              <w:spacing w:after="0" w:line="189" w:lineRule="exact"/>
              <w:rPr>
                <w:sz w:val="20"/>
                <w:szCs w:val="20"/>
                <w:color w:val="auto"/>
              </w:rPr>
            </w:pPr>
            <w:r>
              <w:rPr>
                <w:rFonts w:ascii="Arial" w:cs="Arial" w:eastAsia="Arial" w:hAnsi="Arial"/>
                <w:sz w:val="18"/>
                <w:szCs w:val="18"/>
                <w:color w:val="auto"/>
              </w:rPr>
              <w:t>Incremental Amendment No. 1, dated as of January 5, 2023, to the</w:t>
            </w:r>
          </w:p>
        </w:tc>
        <w:tc>
          <w:tcPr>
            <w:tcW w:w="168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5500" w:type="dxa"/>
            <w:vAlign w:val="bottom"/>
            <w:tcBorders>
              <w:bottom w:val="single" w:sz="8" w:color="auto"/>
            </w:tcBorders>
            <w:gridSpan w:val="24"/>
          </w:tcPr>
          <w:p>
            <w:pPr>
              <w:spacing w:after="0" w:line="169" w:lineRule="exact"/>
              <w:rPr>
                <w:sz w:val="20"/>
                <w:szCs w:val="20"/>
                <w:color w:val="auto"/>
              </w:rPr>
            </w:pPr>
            <w:r>
              <w:rPr>
                <w:rFonts w:ascii="Arial" w:cs="Arial" w:eastAsia="Arial" w:hAnsi="Arial"/>
                <w:sz w:val="18"/>
                <w:szCs w:val="18"/>
                <w:color w:val="auto"/>
                <w:w w:val="99"/>
              </w:rPr>
              <w:t>Term Loan Credit Agreement, dated as of November 3, 2022, by and</w:t>
            </w: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720" w:type="dxa"/>
            <w:vAlign w:val="bottom"/>
            <w:gridSpan w:val="12"/>
          </w:tcPr>
          <w:p>
            <w:pPr>
              <w:spacing w:after="0" w:line="156" w:lineRule="exact"/>
              <w:rPr>
                <w:sz w:val="20"/>
                <w:szCs w:val="20"/>
                <w:color w:val="auto"/>
              </w:rPr>
            </w:pPr>
            <w:r>
              <w:rPr>
                <w:rFonts w:ascii="Arial" w:cs="Arial" w:eastAsia="Arial" w:hAnsi="Arial"/>
                <w:sz w:val="18"/>
                <w:szCs w:val="18"/>
                <w:color w:val="auto"/>
              </w:rPr>
              <w:t>among Micron Technology, Inc., as borrower, Wells Fargo</w:t>
            </w:r>
          </w:p>
        </w:tc>
        <w:tc>
          <w:tcPr>
            <w:tcW w:w="800" w:type="dxa"/>
            <w:vAlign w:val="bottom"/>
            <w:gridSpan w:val="13"/>
          </w:tcPr>
          <w:p>
            <w:pPr>
              <w:spacing w:after="0" w:line="156" w:lineRule="exact"/>
              <w:rPr>
                <w:sz w:val="20"/>
                <w:szCs w:val="20"/>
                <w:color w:val="auto"/>
              </w:rPr>
            </w:pPr>
            <w:r>
              <w:rPr>
                <w:rFonts w:ascii="Arial" w:cs="Arial" w:eastAsia="Arial" w:hAnsi="Arial"/>
                <w:sz w:val="18"/>
                <w:szCs w:val="18"/>
                <w:color w:val="auto"/>
              </w:rPr>
              <w:t>Bank,</w:t>
            </w:r>
          </w:p>
        </w:tc>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5520" w:type="dxa"/>
            <w:vAlign w:val="bottom"/>
            <w:gridSpan w:val="25"/>
          </w:tcPr>
          <w:p>
            <w:pPr>
              <w:spacing w:after="0" w:line="156" w:lineRule="exact"/>
              <w:rPr>
                <w:sz w:val="20"/>
                <w:szCs w:val="20"/>
                <w:color w:val="auto"/>
              </w:rPr>
            </w:pPr>
            <w:r>
              <w:rPr>
                <w:rFonts w:ascii="Arial" w:cs="Arial" w:eastAsia="Arial" w:hAnsi="Arial"/>
                <w:sz w:val="18"/>
                <w:szCs w:val="18"/>
                <w:color w:val="auto"/>
              </w:rPr>
              <w:t>National Association, as administrative agent, and the lenders party</w:t>
            </w:r>
          </w:p>
        </w:tc>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5360" w:type="dxa"/>
            <w:vAlign w:val="bottom"/>
            <w:tcBorders>
              <w:top w:val="single" w:sz="8" w:color="auto"/>
            </w:tcBorders>
            <w:gridSpan w:val="18"/>
          </w:tcPr>
          <w:p>
            <w:pPr>
              <w:spacing w:after="0" w:line="169" w:lineRule="exact"/>
              <w:rPr>
                <w:sz w:val="20"/>
                <w:szCs w:val="20"/>
                <w:color w:val="auto"/>
              </w:rPr>
            </w:pPr>
            <w:r>
              <w:rPr>
                <w:rFonts w:ascii="Arial" w:cs="Arial" w:eastAsia="Arial" w:hAnsi="Arial"/>
                <w:sz w:val="18"/>
                <w:szCs w:val="18"/>
                <w:color w:val="auto"/>
              </w:rPr>
              <w:t>thereto</w:t>
            </w: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Borders>
              <w:right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10.2</w:t>
            </w:r>
          </w:p>
        </w:tc>
        <w:tc>
          <w:tcPr>
            <w:tcW w:w="5520" w:type="dxa"/>
            <w:vAlign w:val="bottom"/>
            <w:gridSpan w:val="25"/>
            <w:shd w:val="clear" w:color="auto" w:fill="D1D2D4"/>
          </w:tcPr>
          <w:p>
            <w:pPr>
              <w:spacing w:after="0" w:line="189" w:lineRule="exact"/>
              <w:rPr>
                <w:sz w:val="20"/>
                <w:szCs w:val="20"/>
                <w:color w:val="auto"/>
              </w:rPr>
            </w:pPr>
            <w:r>
              <w:rPr>
                <w:rFonts w:ascii="Arial" w:cs="Arial" w:eastAsia="Arial" w:hAnsi="Arial"/>
                <w:sz w:val="18"/>
                <w:szCs w:val="18"/>
                <w:color w:val="auto"/>
              </w:rPr>
              <w:t>Amendment No. 2 to Term Loan Credit Agreement, dated as of</w:t>
            </w:r>
          </w:p>
        </w:tc>
        <w:tc>
          <w:tcPr>
            <w:tcW w:w="168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auto"/>
            </w:tcBorders>
            <w:shd w:val="clear" w:color="auto" w:fill="D1D2D4"/>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D1D2D4"/>
            </w:tcBorders>
            <w:gridSpan w:val="4"/>
            <w:shd w:val="clear" w:color="auto" w:fill="D1D2D4"/>
          </w:tcPr>
          <w:p>
            <w:pPr>
              <w:spacing w:after="0" w:line="20" w:lineRule="exact"/>
              <w:rPr>
                <w:sz w:val="1"/>
                <w:szCs w:val="1"/>
                <w:color w:val="auto"/>
              </w:rPr>
            </w:pPr>
          </w:p>
        </w:tc>
        <w:tc>
          <w:tcPr>
            <w:tcW w:w="80" w:type="dxa"/>
            <w:vAlign w:val="bottom"/>
            <w:gridSpan w:val="2"/>
            <w:shd w:val="clear" w:color="auto" w:fill="D1D2D4"/>
          </w:tcPr>
          <w:p>
            <w:pPr>
              <w:spacing w:after="0" w:line="20" w:lineRule="exact"/>
              <w:rPr>
                <w:sz w:val="1"/>
                <w:szCs w:val="1"/>
                <w:color w:val="auto"/>
              </w:rPr>
            </w:pPr>
          </w:p>
        </w:tc>
        <w:tc>
          <w:tcPr>
            <w:tcW w:w="60" w:type="dxa"/>
            <w:vAlign w:val="bottom"/>
            <w:gridSpan w:val="2"/>
            <w:shd w:val="clear" w:color="auto" w:fill="D1D2D4"/>
          </w:tcPr>
          <w:p>
            <w:pPr>
              <w:spacing w:after="0" w:line="20" w:lineRule="exact"/>
              <w:rPr>
                <w:sz w:val="1"/>
                <w:szCs w:val="1"/>
                <w:color w:val="auto"/>
              </w:rPr>
            </w:pPr>
          </w:p>
        </w:tc>
        <w:tc>
          <w:tcPr>
            <w:tcW w:w="60" w:type="dxa"/>
            <w:vAlign w:val="bottom"/>
            <w:gridSpan w:val="3"/>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1680" w:type="dxa"/>
            <w:vAlign w:val="bottom"/>
            <w:shd w:val="clear" w:color="auto" w:fill="D1D2D4"/>
          </w:tcPr>
          <w:p>
            <w:pPr>
              <w:spacing w:after="0" w:line="20" w:lineRule="exact"/>
              <w:rPr>
                <w:sz w:val="1"/>
                <w:szCs w:val="1"/>
                <w:color w:val="auto"/>
              </w:rPr>
            </w:pPr>
          </w:p>
        </w:tc>
        <w:tc>
          <w:tcPr>
            <w:tcW w:w="940" w:type="dxa"/>
            <w:vAlign w:val="bottom"/>
            <w:shd w:val="clear" w:color="auto" w:fill="D1D2D4"/>
          </w:tcPr>
          <w:p>
            <w:pPr>
              <w:spacing w:after="0" w:line="20" w:lineRule="exact"/>
              <w:rPr>
                <w:sz w:val="1"/>
                <w:szCs w:val="1"/>
                <w:color w:val="auto"/>
              </w:rPr>
            </w:pPr>
          </w:p>
        </w:tc>
        <w:tc>
          <w:tcPr>
            <w:tcW w:w="1080" w:type="dxa"/>
            <w:vAlign w:val="bottom"/>
            <w:shd w:val="clear" w:color="auto" w:fill="D1D2D4"/>
          </w:tcPr>
          <w:p>
            <w:pPr>
              <w:spacing w:after="0" w:line="20" w:lineRule="exact"/>
              <w:rPr>
                <w:sz w:val="1"/>
                <w:szCs w:val="1"/>
                <w:color w:val="auto"/>
              </w:rPr>
            </w:pPr>
          </w:p>
        </w:tc>
        <w:tc>
          <w:tcPr>
            <w:tcW w:w="1020" w:type="dxa"/>
            <w:vAlign w:val="bottom"/>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Borders>
              <w:bottom w:val="single" w:sz="8" w:color="D1D2D4"/>
              <w:right w:val="single" w:sz="8" w:color="D1D2D4"/>
            </w:tcBorders>
            <w:shd w:val="clear" w:color="auto" w:fill="D1D2D4"/>
          </w:tcPr>
          <w:p>
            <w:pPr>
              <w:spacing w:after="0"/>
              <w:rPr>
                <w:sz w:val="14"/>
                <w:szCs w:val="14"/>
                <w:color w:val="auto"/>
              </w:rPr>
            </w:pPr>
          </w:p>
        </w:tc>
        <w:tc>
          <w:tcPr>
            <w:tcW w:w="5520" w:type="dxa"/>
            <w:vAlign w:val="bottom"/>
            <w:tcBorders>
              <w:bottom w:val="single" w:sz="8" w:color="auto"/>
            </w:tcBorders>
            <w:gridSpan w:val="25"/>
            <w:shd w:val="clear" w:color="auto" w:fill="D1D2D4"/>
          </w:tcPr>
          <w:p>
            <w:pPr>
              <w:spacing w:after="0" w:line="169" w:lineRule="exact"/>
              <w:rPr>
                <w:sz w:val="20"/>
                <w:szCs w:val="20"/>
                <w:color w:val="auto"/>
              </w:rPr>
            </w:pPr>
            <w:r>
              <w:rPr>
                <w:rFonts w:ascii="Arial" w:cs="Arial" w:eastAsia="Arial" w:hAnsi="Arial"/>
                <w:sz w:val="18"/>
                <w:szCs w:val="18"/>
                <w:color w:val="auto"/>
                <w:w w:val="99"/>
              </w:rPr>
              <w:t>March 27, 2023, by and among Micron Technology, Inc., as borrower,</w:t>
            </w:r>
          </w:p>
        </w:tc>
        <w:tc>
          <w:tcPr>
            <w:tcW w:w="1680" w:type="dxa"/>
            <w:vAlign w:val="bottom"/>
            <w:tcBorders>
              <w:bottom w:val="single" w:sz="8" w:color="D1D2D4"/>
            </w:tcBorders>
            <w:shd w:val="clear" w:color="auto" w:fill="D1D2D4"/>
          </w:tcPr>
          <w:p>
            <w:pPr>
              <w:spacing w:after="0"/>
              <w:rPr>
                <w:sz w:val="14"/>
                <w:szCs w:val="14"/>
                <w:color w:val="auto"/>
              </w:rPr>
            </w:pPr>
          </w:p>
        </w:tc>
        <w:tc>
          <w:tcPr>
            <w:tcW w:w="940" w:type="dxa"/>
            <w:vAlign w:val="bottom"/>
            <w:tcBorders>
              <w:bottom w:val="single" w:sz="8" w:color="D1D2D4"/>
            </w:tcBorders>
            <w:shd w:val="clear" w:color="auto" w:fill="D1D2D4"/>
          </w:tcPr>
          <w:p>
            <w:pPr>
              <w:spacing w:after="0"/>
              <w:rPr>
                <w:sz w:val="14"/>
                <w:szCs w:val="14"/>
                <w:color w:val="auto"/>
              </w:rPr>
            </w:pPr>
          </w:p>
        </w:tc>
        <w:tc>
          <w:tcPr>
            <w:tcW w:w="1080" w:type="dxa"/>
            <w:vAlign w:val="bottom"/>
            <w:tcBorders>
              <w:bottom w:val="single" w:sz="8" w:color="D1D2D4"/>
            </w:tcBorders>
            <w:shd w:val="clear" w:color="auto" w:fill="D1D2D4"/>
          </w:tcPr>
          <w:p>
            <w:pPr>
              <w:spacing w:after="0"/>
              <w:rPr>
                <w:sz w:val="14"/>
                <w:szCs w:val="14"/>
                <w:color w:val="auto"/>
              </w:rPr>
            </w:pPr>
          </w:p>
        </w:tc>
        <w:tc>
          <w:tcPr>
            <w:tcW w:w="1020" w:type="dxa"/>
            <w:vAlign w:val="bottom"/>
            <w:tcBorders>
              <w:bottom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Borders>
              <w:right w:val="single" w:sz="8" w:color="D1D2D4"/>
            </w:tcBorders>
            <w:shd w:val="clear" w:color="auto" w:fill="D1D2D4"/>
          </w:tcPr>
          <w:p>
            <w:pPr>
              <w:spacing w:after="0"/>
              <w:rPr>
                <w:sz w:val="13"/>
                <w:szCs w:val="13"/>
                <w:color w:val="auto"/>
              </w:rPr>
            </w:pPr>
          </w:p>
        </w:tc>
        <w:tc>
          <w:tcPr>
            <w:tcW w:w="5520" w:type="dxa"/>
            <w:vAlign w:val="bottom"/>
            <w:gridSpan w:val="25"/>
            <w:shd w:val="clear" w:color="auto" w:fill="D1D2D4"/>
          </w:tcPr>
          <w:p>
            <w:pPr>
              <w:spacing w:after="0" w:line="156" w:lineRule="exact"/>
              <w:rPr>
                <w:sz w:val="20"/>
                <w:szCs w:val="20"/>
                <w:color w:val="auto"/>
              </w:rPr>
            </w:pPr>
            <w:r>
              <w:rPr>
                <w:rFonts w:ascii="Arial" w:cs="Arial" w:eastAsia="Arial" w:hAnsi="Arial"/>
                <w:sz w:val="18"/>
                <w:szCs w:val="18"/>
                <w:color w:val="auto"/>
                <w:w w:val="99"/>
              </w:rPr>
              <w:t>Wells Fargo Bank, National Association, as administrative agent, and</w:t>
            </w:r>
          </w:p>
        </w:tc>
        <w:tc>
          <w:tcPr>
            <w:tcW w:w="1680" w:type="dxa"/>
            <w:vAlign w:val="bottom"/>
            <w:shd w:val="clear" w:color="auto" w:fill="D1D2D4"/>
          </w:tcPr>
          <w:p>
            <w:pPr>
              <w:spacing w:after="0"/>
              <w:rPr>
                <w:sz w:val="13"/>
                <w:szCs w:val="13"/>
                <w:color w:val="auto"/>
              </w:rPr>
            </w:pPr>
          </w:p>
        </w:tc>
        <w:tc>
          <w:tcPr>
            <w:tcW w:w="94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102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Borders>
              <w:top w:val="single" w:sz="8" w:color="D1D2D4"/>
              <w:right w:val="single" w:sz="8" w:color="D1D2D4"/>
            </w:tcBorders>
            <w:shd w:val="clear" w:color="auto" w:fill="D1D2D4"/>
          </w:tcPr>
          <w:p>
            <w:pPr>
              <w:spacing w:after="0"/>
              <w:rPr>
                <w:sz w:val="13"/>
                <w:szCs w:val="13"/>
                <w:color w:val="auto"/>
              </w:rPr>
            </w:pPr>
          </w:p>
        </w:tc>
        <w:tc>
          <w:tcPr>
            <w:tcW w:w="5500" w:type="dxa"/>
            <w:vAlign w:val="bottom"/>
            <w:tcBorders>
              <w:top w:val="single" w:sz="8" w:color="auto"/>
            </w:tcBorders>
            <w:gridSpan w:val="24"/>
            <w:shd w:val="clear" w:color="auto" w:fill="D1D2D4"/>
          </w:tcPr>
          <w:p>
            <w:pPr>
              <w:spacing w:after="0" w:line="156" w:lineRule="exact"/>
              <w:rPr>
                <w:sz w:val="20"/>
                <w:szCs w:val="20"/>
                <w:color w:val="auto"/>
              </w:rPr>
            </w:pPr>
            <w:r>
              <w:rPr>
                <w:rFonts w:ascii="Arial" w:cs="Arial" w:eastAsia="Arial" w:hAnsi="Arial"/>
                <w:sz w:val="18"/>
                <w:szCs w:val="18"/>
                <w:color w:val="auto"/>
              </w:rPr>
              <w:t>the lenders party thereto</w:t>
            </w:r>
          </w:p>
        </w:tc>
        <w:tc>
          <w:tcPr>
            <w:tcW w:w="20" w:type="dxa"/>
            <w:vAlign w:val="bottom"/>
            <w:tcBorders>
              <w:top w:val="single" w:sz="8" w:color="D1D2D4"/>
            </w:tcBorders>
            <w:shd w:val="clear" w:color="auto" w:fill="D1D2D4"/>
          </w:tcPr>
          <w:p>
            <w:pPr>
              <w:spacing w:after="0"/>
              <w:rPr>
                <w:sz w:val="13"/>
                <w:szCs w:val="13"/>
                <w:color w:val="auto"/>
              </w:rPr>
            </w:pPr>
          </w:p>
        </w:tc>
        <w:tc>
          <w:tcPr>
            <w:tcW w:w="1680" w:type="dxa"/>
            <w:vAlign w:val="bottom"/>
            <w:tcBorders>
              <w:top w:val="single" w:sz="8" w:color="D1D2D4"/>
            </w:tcBorders>
            <w:shd w:val="clear" w:color="auto" w:fill="D1D2D4"/>
          </w:tcPr>
          <w:p>
            <w:pPr>
              <w:spacing w:after="0"/>
              <w:rPr>
                <w:sz w:val="13"/>
                <w:szCs w:val="13"/>
                <w:color w:val="auto"/>
              </w:rPr>
            </w:pPr>
          </w:p>
        </w:tc>
        <w:tc>
          <w:tcPr>
            <w:tcW w:w="94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102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540" w:type="dxa"/>
            <w:vAlign w:val="bottom"/>
            <w:tcBorders>
              <w:top w:val="single" w:sz="8" w:color="auto"/>
            </w:tcBorders>
            <w:shd w:val="clear" w:color="auto" w:fill="D1D2D4"/>
          </w:tcPr>
          <w:p>
            <w:pPr>
              <w:spacing w:after="0" w:line="20" w:lineRule="exact"/>
              <w:rPr>
                <w:sz w:val="1"/>
                <w:szCs w:val="1"/>
                <w:color w:val="auto"/>
              </w:rPr>
            </w:pPr>
          </w:p>
        </w:tc>
        <w:tc>
          <w:tcPr>
            <w:tcW w:w="40" w:type="dxa"/>
            <w:vAlign w:val="bottom"/>
            <w:tcBorders>
              <w:top w:val="single" w:sz="8" w:color="auto"/>
            </w:tcBorders>
            <w:shd w:val="clear" w:color="auto" w:fill="D1D2D4"/>
          </w:tcPr>
          <w:p>
            <w:pPr>
              <w:spacing w:after="0" w:line="20" w:lineRule="exact"/>
              <w:rPr>
                <w:sz w:val="1"/>
                <w:szCs w:val="1"/>
                <w:color w:val="auto"/>
              </w:rPr>
            </w:pPr>
          </w:p>
        </w:tc>
        <w:tc>
          <w:tcPr>
            <w:tcW w:w="420" w:type="dxa"/>
            <w:vAlign w:val="bottom"/>
            <w:tcBorders>
              <w:top w:val="single" w:sz="8" w:color="auto"/>
            </w:tcBorders>
            <w:shd w:val="clear" w:color="auto" w:fill="D1D2D4"/>
          </w:tcPr>
          <w:p>
            <w:pPr>
              <w:spacing w:after="0" w:line="20" w:lineRule="exact"/>
              <w:rPr>
                <w:sz w:val="1"/>
                <w:szCs w:val="1"/>
                <w:color w:val="auto"/>
              </w:rPr>
            </w:pPr>
          </w:p>
        </w:tc>
        <w:tc>
          <w:tcPr>
            <w:tcW w:w="940" w:type="dxa"/>
            <w:vAlign w:val="bottom"/>
            <w:tcBorders>
              <w:top w:val="single" w:sz="8" w:color="auto"/>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116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4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8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10.3</w:t>
            </w:r>
          </w:p>
        </w:tc>
        <w:tc>
          <w:tcPr>
            <w:tcW w:w="5520" w:type="dxa"/>
            <w:vAlign w:val="bottom"/>
            <w:gridSpan w:val="25"/>
          </w:tcPr>
          <w:p>
            <w:pPr>
              <w:spacing w:after="0" w:line="189" w:lineRule="exact"/>
              <w:rPr>
                <w:sz w:val="20"/>
                <w:szCs w:val="20"/>
                <w:color w:val="auto"/>
              </w:rPr>
            </w:pPr>
            <w:r>
              <w:rPr>
                <w:rFonts w:ascii="Arial" w:cs="Arial" w:eastAsia="Arial" w:hAnsi="Arial"/>
                <w:sz w:val="18"/>
                <w:szCs w:val="18"/>
                <w:color w:val="auto"/>
              </w:rPr>
              <w:t>Amendment No. 1 to Term Loan Credit Agreement, dated as of</w:t>
            </w:r>
          </w:p>
        </w:tc>
        <w:tc>
          <w:tcPr>
            <w:tcW w:w="168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auto"/>
            </w:tcBorders>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8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5520" w:type="dxa"/>
            <w:vAlign w:val="bottom"/>
            <w:tcBorders>
              <w:bottom w:val="single" w:sz="8" w:color="auto"/>
            </w:tcBorders>
            <w:gridSpan w:val="25"/>
          </w:tcPr>
          <w:p>
            <w:pPr>
              <w:spacing w:after="0" w:line="169" w:lineRule="exact"/>
              <w:rPr>
                <w:sz w:val="20"/>
                <w:szCs w:val="20"/>
                <w:color w:val="auto"/>
              </w:rPr>
            </w:pPr>
            <w:r>
              <w:rPr>
                <w:rFonts w:ascii="Arial" w:cs="Arial" w:eastAsia="Arial" w:hAnsi="Arial"/>
                <w:sz w:val="18"/>
                <w:szCs w:val="18"/>
                <w:color w:val="auto"/>
                <w:w w:val="99"/>
              </w:rPr>
              <w:t>March 27, 2023, by and among Micron Technology, Inc., as borrower,</w:t>
            </w: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520" w:type="dxa"/>
            <w:vAlign w:val="bottom"/>
            <w:gridSpan w:val="25"/>
          </w:tcPr>
          <w:p>
            <w:pPr>
              <w:spacing w:after="0" w:line="156" w:lineRule="exact"/>
              <w:rPr>
                <w:sz w:val="20"/>
                <w:szCs w:val="20"/>
                <w:color w:val="auto"/>
              </w:rPr>
            </w:pPr>
            <w:r>
              <w:rPr>
                <w:rFonts w:ascii="Arial" w:cs="Arial" w:eastAsia="Arial" w:hAnsi="Arial"/>
                <w:sz w:val="18"/>
                <w:szCs w:val="18"/>
                <w:color w:val="auto"/>
                <w:w w:val="99"/>
              </w:rPr>
              <w:t>Wells Fargo Bank, National Association, as administrative agent, and</w:t>
            </w:r>
          </w:p>
        </w:tc>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500" w:type="dxa"/>
            <w:vAlign w:val="bottom"/>
            <w:tcBorders>
              <w:top w:val="single" w:sz="8" w:color="auto"/>
            </w:tcBorders>
            <w:gridSpan w:val="24"/>
          </w:tcPr>
          <w:p>
            <w:pPr>
              <w:spacing w:after="0" w:line="156" w:lineRule="exact"/>
              <w:rPr>
                <w:sz w:val="20"/>
                <w:szCs w:val="20"/>
                <w:color w:val="auto"/>
              </w:rPr>
            </w:pPr>
            <w:r>
              <w:rPr>
                <w:rFonts w:ascii="Arial" w:cs="Arial" w:eastAsia="Arial" w:hAnsi="Arial"/>
                <w:sz w:val="18"/>
                <w:szCs w:val="18"/>
                <w:color w:val="auto"/>
              </w:rPr>
              <w:t>the lenders party thereto</w:t>
            </w:r>
          </w:p>
        </w:tc>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Borders>
              <w:right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10.4</w:t>
            </w:r>
          </w:p>
        </w:tc>
        <w:tc>
          <w:tcPr>
            <w:tcW w:w="5520" w:type="dxa"/>
            <w:vAlign w:val="bottom"/>
            <w:gridSpan w:val="25"/>
            <w:shd w:val="clear" w:color="auto" w:fill="D1D2D4"/>
          </w:tcPr>
          <w:p>
            <w:pPr>
              <w:spacing w:after="0" w:line="189" w:lineRule="exact"/>
              <w:rPr>
                <w:sz w:val="20"/>
                <w:szCs w:val="20"/>
                <w:color w:val="auto"/>
              </w:rPr>
            </w:pPr>
            <w:r>
              <w:rPr>
                <w:rFonts w:ascii="Arial" w:cs="Arial" w:eastAsia="Arial" w:hAnsi="Arial"/>
                <w:sz w:val="18"/>
                <w:szCs w:val="18"/>
                <w:color w:val="auto"/>
              </w:rPr>
              <w:t>Amendment No. 1 to Credit Agreement, dated as of March 27, 2023,</w:t>
            </w:r>
          </w:p>
        </w:tc>
        <w:tc>
          <w:tcPr>
            <w:tcW w:w="168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10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000" w:type="dxa"/>
            <w:vAlign w:val="bottom"/>
            <w:tcBorders>
              <w:top w:val="single" w:sz="8" w:color="D1D2D4"/>
              <w:right w:val="single" w:sz="8" w:color="D1D2D4"/>
            </w:tcBorders>
            <w:shd w:val="clear" w:color="auto" w:fill="D1D2D4"/>
          </w:tcPr>
          <w:p>
            <w:pPr>
              <w:spacing w:after="0"/>
              <w:rPr>
                <w:sz w:val="12"/>
                <w:szCs w:val="12"/>
                <w:color w:val="auto"/>
              </w:rPr>
            </w:pPr>
          </w:p>
        </w:tc>
        <w:tc>
          <w:tcPr>
            <w:tcW w:w="4700" w:type="dxa"/>
            <w:vAlign w:val="bottom"/>
            <w:tcBorders>
              <w:top w:val="single" w:sz="8" w:color="auto"/>
            </w:tcBorders>
            <w:gridSpan w:val="11"/>
            <w:shd w:val="clear" w:color="auto" w:fill="D1D2D4"/>
          </w:tcPr>
          <w:p>
            <w:pPr>
              <w:spacing w:after="0" w:line="149" w:lineRule="exact"/>
              <w:rPr>
                <w:sz w:val="20"/>
                <w:szCs w:val="20"/>
                <w:color w:val="auto"/>
              </w:rPr>
            </w:pPr>
            <w:r>
              <w:rPr>
                <w:rFonts w:ascii="Arial" w:cs="Arial" w:eastAsia="Arial" w:hAnsi="Arial"/>
                <w:sz w:val="17"/>
                <w:szCs w:val="17"/>
                <w:color w:val="auto"/>
              </w:rPr>
              <w:t>by and among Micron Technology, Inc., as borrower, HSBC</w:t>
            </w:r>
          </w:p>
        </w:tc>
        <w:tc>
          <w:tcPr>
            <w:tcW w:w="740" w:type="dxa"/>
            <w:vAlign w:val="bottom"/>
            <w:tcBorders>
              <w:top w:val="single" w:sz="8" w:color="auto"/>
            </w:tcBorders>
            <w:gridSpan w:val="10"/>
            <w:shd w:val="clear" w:color="auto" w:fill="D1D2D4"/>
          </w:tcPr>
          <w:p>
            <w:pPr>
              <w:ind w:left="40"/>
              <w:spacing w:after="0" w:line="149" w:lineRule="exact"/>
              <w:rPr>
                <w:sz w:val="20"/>
                <w:szCs w:val="20"/>
                <w:color w:val="auto"/>
              </w:rPr>
            </w:pPr>
            <w:r>
              <w:rPr>
                <w:rFonts w:ascii="Arial" w:cs="Arial" w:eastAsia="Arial" w:hAnsi="Arial"/>
                <w:sz w:val="17"/>
                <w:szCs w:val="17"/>
                <w:color w:val="auto"/>
              </w:rPr>
              <w:t>Bank</w:t>
            </w:r>
          </w:p>
        </w:tc>
        <w:tc>
          <w:tcPr>
            <w:tcW w:w="80" w:type="dxa"/>
            <w:vAlign w:val="bottom"/>
            <w:tcBorders>
              <w:top w:val="single" w:sz="8" w:color="D1D2D4"/>
            </w:tcBorders>
            <w:gridSpan w:val="4"/>
            <w:shd w:val="clear" w:color="auto" w:fill="D1D2D4"/>
          </w:tcPr>
          <w:p>
            <w:pPr>
              <w:spacing w:after="0"/>
              <w:rPr>
                <w:sz w:val="12"/>
                <w:szCs w:val="12"/>
                <w:color w:val="auto"/>
              </w:rPr>
            </w:pPr>
          </w:p>
        </w:tc>
        <w:tc>
          <w:tcPr>
            <w:tcW w:w="1680" w:type="dxa"/>
            <w:vAlign w:val="bottom"/>
            <w:tcBorders>
              <w:top w:val="single" w:sz="8" w:color="D1D2D4"/>
            </w:tcBorders>
            <w:shd w:val="clear" w:color="auto" w:fill="D1D2D4"/>
          </w:tcPr>
          <w:p>
            <w:pPr>
              <w:spacing w:after="0"/>
              <w:rPr>
                <w:sz w:val="12"/>
                <w:szCs w:val="12"/>
                <w:color w:val="auto"/>
              </w:rPr>
            </w:pPr>
          </w:p>
        </w:tc>
        <w:tc>
          <w:tcPr>
            <w:tcW w:w="940" w:type="dxa"/>
            <w:vAlign w:val="bottom"/>
            <w:tcBorders>
              <w:top w:val="single" w:sz="8" w:color="D1D2D4"/>
            </w:tcBorders>
            <w:shd w:val="clear" w:color="auto" w:fill="D1D2D4"/>
          </w:tcPr>
          <w:p>
            <w:pPr>
              <w:spacing w:after="0"/>
              <w:rPr>
                <w:sz w:val="12"/>
                <w:szCs w:val="12"/>
                <w:color w:val="auto"/>
              </w:rPr>
            </w:pPr>
          </w:p>
        </w:tc>
        <w:tc>
          <w:tcPr>
            <w:tcW w:w="1080" w:type="dxa"/>
            <w:vAlign w:val="bottom"/>
            <w:tcBorders>
              <w:top w:val="single" w:sz="8" w:color="D1D2D4"/>
            </w:tcBorders>
            <w:shd w:val="clear" w:color="auto" w:fill="D1D2D4"/>
          </w:tcPr>
          <w:p>
            <w:pPr>
              <w:spacing w:after="0"/>
              <w:rPr>
                <w:sz w:val="12"/>
                <w:szCs w:val="12"/>
                <w:color w:val="auto"/>
              </w:rPr>
            </w:pPr>
          </w:p>
        </w:tc>
        <w:tc>
          <w:tcPr>
            <w:tcW w:w="1020" w:type="dxa"/>
            <w:vAlign w:val="bottom"/>
            <w:tcBorders>
              <w:top w:val="single" w:sz="8" w:color="D1D2D4"/>
            </w:tcBorders>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D1D2D4"/>
            </w:tcBorders>
            <w:shd w:val="clear" w:color="auto" w:fill="D1D2D4"/>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720" w:type="dxa"/>
            <w:vAlign w:val="bottom"/>
            <w:gridSpan w:val="4"/>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tcBorders>
              <w:right w:val="single" w:sz="8" w:color="D1D2D4"/>
            </w:tcBorders>
            <w:gridSpan w:val="8"/>
            <w:shd w:val="clear" w:color="auto" w:fill="000000"/>
          </w:tcPr>
          <w:p>
            <w:pPr>
              <w:spacing w:after="0" w:line="20" w:lineRule="exact"/>
              <w:rPr>
                <w:sz w:val="1"/>
                <w:szCs w:val="1"/>
                <w:color w:val="auto"/>
              </w:rPr>
            </w:pPr>
          </w:p>
        </w:tc>
        <w:tc>
          <w:tcPr>
            <w:tcW w:w="80" w:type="dxa"/>
            <w:vAlign w:val="bottom"/>
            <w:gridSpan w:val="2"/>
            <w:shd w:val="clear" w:color="auto" w:fill="D1D2D4"/>
          </w:tcPr>
          <w:p>
            <w:pPr>
              <w:spacing w:after="0" w:line="20" w:lineRule="exact"/>
              <w:rPr>
                <w:sz w:val="1"/>
                <w:szCs w:val="1"/>
                <w:color w:val="auto"/>
              </w:rPr>
            </w:pPr>
          </w:p>
        </w:tc>
        <w:tc>
          <w:tcPr>
            <w:tcW w:w="140" w:type="dxa"/>
            <w:vAlign w:val="bottom"/>
            <w:gridSpan w:val="6"/>
            <w:shd w:val="clear" w:color="auto" w:fill="D1D2D4"/>
          </w:tcPr>
          <w:p>
            <w:pPr>
              <w:spacing w:after="0" w:line="20" w:lineRule="exact"/>
              <w:rPr>
                <w:sz w:val="1"/>
                <w:szCs w:val="1"/>
                <w:color w:val="auto"/>
              </w:rPr>
            </w:pPr>
          </w:p>
        </w:tc>
        <w:tc>
          <w:tcPr>
            <w:tcW w:w="1680" w:type="dxa"/>
            <w:vAlign w:val="bottom"/>
            <w:shd w:val="clear" w:color="auto" w:fill="D1D2D4"/>
          </w:tcPr>
          <w:p>
            <w:pPr>
              <w:spacing w:after="0" w:line="20" w:lineRule="exact"/>
              <w:rPr>
                <w:sz w:val="1"/>
                <w:szCs w:val="1"/>
                <w:color w:val="auto"/>
              </w:rPr>
            </w:pPr>
          </w:p>
        </w:tc>
        <w:tc>
          <w:tcPr>
            <w:tcW w:w="940" w:type="dxa"/>
            <w:vAlign w:val="bottom"/>
            <w:shd w:val="clear" w:color="auto" w:fill="D1D2D4"/>
          </w:tcPr>
          <w:p>
            <w:pPr>
              <w:spacing w:after="0" w:line="20" w:lineRule="exact"/>
              <w:rPr>
                <w:sz w:val="1"/>
                <w:szCs w:val="1"/>
                <w:color w:val="auto"/>
              </w:rPr>
            </w:pPr>
          </w:p>
        </w:tc>
        <w:tc>
          <w:tcPr>
            <w:tcW w:w="1080" w:type="dxa"/>
            <w:vAlign w:val="bottom"/>
            <w:shd w:val="clear" w:color="auto" w:fill="D1D2D4"/>
          </w:tcPr>
          <w:p>
            <w:pPr>
              <w:spacing w:after="0" w:line="20" w:lineRule="exact"/>
              <w:rPr>
                <w:sz w:val="1"/>
                <w:szCs w:val="1"/>
                <w:color w:val="auto"/>
              </w:rPr>
            </w:pPr>
          </w:p>
        </w:tc>
        <w:tc>
          <w:tcPr>
            <w:tcW w:w="1020" w:type="dxa"/>
            <w:vAlign w:val="bottom"/>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Borders>
              <w:right w:val="single" w:sz="8" w:color="D1D2D4"/>
            </w:tcBorders>
            <w:shd w:val="clear" w:color="auto" w:fill="D1D2D4"/>
          </w:tcPr>
          <w:p>
            <w:pPr>
              <w:spacing w:after="0"/>
              <w:rPr>
                <w:sz w:val="13"/>
                <w:szCs w:val="13"/>
                <w:color w:val="auto"/>
              </w:rPr>
            </w:pPr>
          </w:p>
        </w:tc>
        <w:tc>
          <w:tcPr>
            <w:tcW w:w="5520" w:type="dxa"/>
            <w:vAlign w:val="bottom"/>
            <w:gridSpan w:val="25"/>
            <w:shd w:val="clear" w:color="auto" w:fill="D1D2D4"/>
          </w:tcPr>
          <w:p>
            <w:pPr>
              <w:spacing w:after="0" w:line="156" w:lineRule="exact"/>
              <w:rPr>
                <w:sz w:val="20"/>
                <w:szCs w:val="20"/>
                <w:color w:val="auto"/>
              </w:rPr>
            </w:pPr>
            <w:r>
              <w:rPr>
                <w:rFonts w:ascii="Arial" w:cs="Arial" w:eastAsia="Arial" w:hAnsi="Arial"/>
                <w:sz w:val="18"/>
                <w:szCs w:val="18"/>
                <w:color w:val="auto"/>
              </w:rPr>
              <w:t>USA, National Association, as administrative agent, and the lenders</w:t>
            </w:r>
          </w:p>
        </w:tc>
        <w:tc>
          <w:tcPr>
            <w:tcW w:w="1680" w:type="dxa"/>
            <w:vAlign w:val="bottom"/>
            <w:shd w:val="clear" w:color="auto" w:fill="D1D2D4"/>
          </w:tcPr>
          <w:p>
            <w:pPr>
              <w:spacing w:after="0"/>
              <w:rPr>
                <w:sz w:val="13"/>
                <w:szCs w:val="13"/>
                <w:color w:val="auto"/>
              </w:rPr>
            </w:pPr>
          </w:p>
        </w:tc>
        <w:tc>
          <w:tcPr>
            <w:tcW w:w="94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102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top w:val="single" w:sz="8" w:color="D1D2D4"/>
              <w:right w:val="single" w:sz="8" w:color="D1D2D4"/>
            </w:tcBorders>
            <w:shd w:val="clear" w:color="auto" w:fill="D1D2D4"/>
          </w:tcPr>
          <w:p>
            <w:pPr>
              <w:spacing w:after="0"/>
              <w:rPr>
                <w:sz w:val="13"/>
                <w:szCs w:val="13"/>
                <w:color w:val="auto"/>
              </w:rPr>
            </w:pPr>
          </w:p>
        </w:tc>
        <w:tc>
          <w:tcPr>
            <w:tcW w:w="5380" w:type="dxa"/>
            <w:vAlign w:val="bottom"/>
            <w:tcBorders>
              <w:top w:val="single" w:sz="8" w:color="auto"/>
            </w:tcBorders>
            <w:gridSpan w:val="19"/>
            <w:shd w:val="clear" w:color="auto" w:fill="D1D2D4"/>
          </w:tcPr>
          <w:p>
            <w:pPr>
              <w:spacing w:after="0" w:line="156" w:lineRule="exact"/>
              <w:rPr>
                <w:sz w:val="20"/>
                <w:szCs w:val="20"/>
                <w:color w:val="auto"/>
              </w:rPr>
            </w:pPr>
            <w:r>
              <w:rPr>
                <w:rFonts w:ascii="Arial" w:cs="Arial" w:eastAsia="Arial" w:hAnsi="Arial"/>
                <w:sz w:val="18"/>
                <w:szCs w:val="18"/>
                <w:color w:val="auto"/>
              </w:rPr>
              <w:t>party thereto</w:t>
            </w:r>
          </w:p>
        </w:tc>
        <w:tc>
          <w:tcPr>
            <w:tcW w:w="140" w:type="dxa"/>
            <w:vAlign w:val="bottom"/>
            <w:tcBorders>
              <w:top w:val="single" w:sz="8" w:color="D1D2D4"/>
            </w:tcBorders>
            <w:gridSpan w:val="6"/>
            <w:shd w:val="clear" w:color="auto" w:fill="D1D2D4"/>
          </w:tcPr>
          <w:p>
            <w:pPr>
              <w:spacing w:after="0"/>
              <w:rPr>
                <w:sz w:val="13"/>
                <w:szCs w:val="13"/>
                <w:color w:val="auto"/>
              </w:rPr>
            </w:pPr>
          </w:p>
        </w:tc>
        <w:tc>
          <w:tcPr>
            <w:tcW w:w="1680" w:type="dxa"/>
            <w:vAlign w:val="bottom"/>
            <w:tcBorders>
              <w:top w:val="single" w:sz="8" w:color="D1D2D4"/>
            </w:tcBorders>
            <w:shd w:val="clear" w:color="auto" w:fill="D1D2D4"/>
          </w:tcPr>
          <w:p>
            <w:pPr>
              <w:spacing w:after="0"/>
              <w:rPr>
                <w:sz w:val="13"/>
                <w:szCs w:val="13"/>
                <w:color w:val="auto"/>
              </w:rPr>
            </w:pPr>
          </w:p>
        </w:tc>
        <w:tc>
          <w:tcPr>
            <w:tcW w:w="94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102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540" w:type="dxa"/>
            <w:vAlign w:val="bottom"/>
            <w:tcBorders>
              <w:top w:val="single" w:sz="8" w:color="auto"/>
            </w:tcBorders>
            <w:shd w:val="clear" w:color="auto" w:fill="D1D2D4"/>
          </w:tcPr>
          <w:p>
            <w:pPr>
              <w:spacing w:after="0" w:line="20" w:lineRule="exact"/>
              <w:rPr>
                <w:sz w:val="1"/>
                <w:szCs w:val="1"/>
                <w:color w:val="auto"/>
              </w:rPr>
            </w:pPr>
          </w:p>
        </w:tc>
        <w:tc>
          <w:tcPr>
            <w:tcW w:w="40" w:type="dxa"/>
            <w:vAlign w:val="bottom"/>
            <w:tcBorders>
              <w:top w:val="single" w:sz="8" w:color="auto"/>
            </w:tcBorders>
            <w:shd w:val="clear" w:color="auto" w:fill="D1D2D4"/>
          </w:tcPr>
          <w:p>
            <w:pPr>
              <w:spacing w:after="0" w:line="20" w:lineRule="exact"/>
              <w:rPr>
                <w:sz w:val="1"/>
                <w:szCs w:val="1"/>
                <w:color w:val="auto"/>
              </w:rPr>
            </w:pPr>
          </w:p>
        </w:tc>
        <w:tc>
          <w:tcPr>
            <w:tcW w:w="420" w:type="dxa"/>
            <w:vAlign w:val="bottom"/>
            <w:tcBorders>
              <w:top w:val="single" w:sz="8" w:color="auto"/>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116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4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8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10.5*</w:t>
            </w:r>
          </w:p>
        </w:tc>
        <w:tc>
          <w:tcPr>
            <w:tcW w:w="5520" w:type="dxa"/>
            <w:vAlign w:val="bottom"/>
            <w:gridSpan w:val="25"/>
          </w:tcPr>
          <w:p>
            <w:pPr>
              <w:spacing w:after="0" w:line="189" w:lineRule="exact"/>
              <w:rPr>
                <w:sz w:val="20"/>
                <w:szCs w:val="20"/>
                <w:color w:val="auto"/>
              </w:rPr>
            </w:pPr>
            <w:r>
              <w:rPr>
                <w:rFonts w:ascii="Arial" w:cs="Arial" w:eastAsia="Arial" w:hAnsi="Arial"/>
                <w:sz w:val="18"/>
                <w:szCs w:val="18"/>
                <w:color w:val="auto"/>
              </w:rPr>
              <w:t>Form of Consent for Named Executive Officers</w:t>
            </w:r>
          </w:p>
        </w:tc>
        <w:tc>
          <w:tcPr>
            <w:tcW w:w="168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Borders>
              <w:right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31.1</w:t>
            </w:r>
          </w:p>
        </w:tc>
        <w:tc>
          <w:tcPr>
            <w:tcW w:w="5520" w:type="dxa"/>
            <w:vAlign w:val="bottom"/>
            <w:gridSpan w:val="25"/>
            <w:shd w:val="clear" w:color="auto" w:fill="D1D2D4"/>
          </w:tcPr>
          <w:p>
            <w:pPr>
              <w:spacing w:after="0" w:line="189" w:lineRule="exact"/>
              <w:rPr>
                <w:sz w:val="20"/>
                <w:szCs w:val="20"/>
                <w:color w:val="auto"/>
              </w:rPr>
            </w:pPr>
            <w:r>
              <w:rPr>
                <w:rFonts w:ascii="Arial" w:cs="Arial" w:eastAsia="Arial" w:hAnsi="Arial"/>
                <w:sz w:val="18"/>
                <w:szCs w:val="18"/>
                <w:color w:val="auto"/>
              </w:rPr>
              <w:t>Rule 13a-14(a) Certification of Chief Executive Officer</w:t>
            </w:r>
          </w:p>
        </w:tc>
        <w:tc>
          <w:tcPr>
            <w:tcW w:w="168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540" w:type="dxa"/>
            <w:vAlign w:val="bottom"/>
            <w:tcBorders>
              <w:top w:val="single" w:sz="8" w:color="auto"/>
            </w:tcBorders>
            <w:shd w:val="clear" w:color="auto" w:fill="D1D2D4"/>
          </w:tcPr>
          <w:p>
            <w:pPr>
              <w:spacing w:after="0" w:line="20" w:lineRule="exact"/>
              <w:rPr>
                <w:sz w:val="1"/>
                <w:szCs w:val="1"/>
                <w:color w:val="auto"/>
              </w:rPr>
            </w:pPr>
          </w:p>
        </w:tc>
        <w:tc>
          <w:tcPr>
            <w:tcW w:w="40" w:type="dxa"/>
            <w:vAlign w:val="bottom"/>
            <w:tcBorders>
              <w:top w:val="single" w:sz="8" w:color="auto"/>
            </w:tcBorders>
            <w:shd w:val="clear" w:color="auto" w:fill="D1D2D4"/>
          </w:tcPr>
          <w:p>
            <w:pPr>
              <w:spacing w:after="0" w:line="20" w:lineRule="exact"/>
              <w:rPr>
                <w:sz w:val="1"/>
                <w:szCs w:val="1"/>
                <w:color w:val="auto"/>
              </w:rPr>
            </w:pPr>
          </w:p>
        </w:tc>
        <w:tc>
          <w:tcPr>
            <w:tcW w:w="420" w:type="dxa"/>
            <w:vAlign w:val="bottom"/>
            <w:tcBorders>
              <w:top w:val="single" w:sz="8" w:color="auto"/>
            </w:tcBorders>
            <w:shd w:val="clear" w:color="auto" w:fill="D1D2D4"/>
          </w:tcPr>
          <w:p>
            <w:pPr>
              <w:spacing w:after="0" w:line="20" w:lineRule="exact"/>
              <w:rPr>
                <w:sz w:val="1"/>
                <w:szCs w:val="1"/>
                <w:color w:val="auto"/>
              </w:rPr>
            </w:pPr>
          </w:p>
        </w:tc>
        <w:tc>
          <w:tcPr>
            <w:tcW w:w="940" w:type="dxa"/>
            <w:vAlign w:val="bottom"/>
            <w:tcBorders>
              <w:top w:val="single" w:sz="8" w:color="auto"/>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260" w:type="dxa"/>
            <w:vAlign w:val="bottom"/>
            <w:tcBorders>
              <w:top w:val="single" w:sz="8" w:color="auto"/>
            </w:tcBorders>
            <w:shd w:val="clear" w:color="auto" w:fill="D1D2D4"/>
          </w:tcPr>
          <w:p>
            <w:pPr>
              <w:spacing w:after="0" w:line="20" w:lineRule="exact"/>
              <w:rPr>
                <w:sz w:val="1"/>
                <w:szCs w:val="1"/>
                <w:color w:val="auto"/>
              </w:rPr>
            </w:pPr>
          </w:p>
        </w:tc>
        <w:tc>
          <w:tcPr>
            <w:tcW w:w="1160" w:type="dxa"/>
            <w:vAlign w:val="bottom"/>
            <w:tcBorders>
              <w:top w:val="single" w:sz="8" w:color="auto"/>
            </w:tcBorders>
            <w:shd w:val="clear" w:color="auto" w:fill="D1D2D4"/>
          </w:tcPr>
          <w:p>
            <w:pPr>
              <w:spacing w:after="0" w:line="20" w:lineRule="exact"/>
              <w:rPr>
                <w:sz w:val="1"/>
                <w:szCs w:val="1"/>
                <w:color w:val="auto"/>
              </w:rPr>
            </w:pPr>
          </w:p>
        </w:tc>
        <w:tc>
          <w:tcPr>
            <w:tcW w:w="48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auto"/>
            </w:tcBorders>
            <w:shd w:val="clear" w:color="auto" w:fill="D1D2D4"/>
          </w:tcPr>
          <w:p>
            <w:pPr>
              <w:spacing w:after="0" w:line="20" w:lineRule="exact"/>
              <w:rPr>
                <w:sz w:val="1"/>
                <w:szCs w:val="1"/>
                <w:color w:val="auto"/>
              </w:rPr>
            </w:pPr>
          </w:p>
        </w:tc>
        <w:tc>
          <w:tcPr>
            <w:tcW w:w="4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8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5520" w:type="dxa"/>
            <w:vAlign w:val="bottom"/>
            <w:gridSpan w:val="25"/>
          </w:tcPr>
          <w:p>
            <w:pPr>
              <w:spacing w:after="0" w:line="189" w:lineRule="exact"/>
              <w:rPr>
                <w:sz w:val="20"/>
                <w:szCs w:val="20"/>
                <w:color w:val="auto"/>
              </w:rPr>
            </w:pPr>
            <w:r>
              <w:rPr>
                <w:rFonts w:ascii="Arial" w:cs="Arial" w:eastAsia="Arial" w:hAnsi="Arial"/>
                <w:sz w:val="18"/>
                <w:szCs w:val="18"/>
                <w:color w:val="auto"/>
              </w:rPr>
              <w:t>Rule 13a-14(a) Certification of Chief Financial Officer</w:t>
            </w:r>
          </w:p>
        </w:tc>
        <w:tc>
          <w:tcPr>
            <w:tcW w:w="168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Borders>
              <w:right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32.1</w:t>
            </w:r>
          </w:p>
        </w:tc>
        <w:tc>
          <w:tcPr>
            <w:tcW w:w="5520" w:type="dxa"/>
            <w:vAlign w:val="bottom"/>
            <w:gridSpan w:val="25"/>
            <w:shd w:val="clear" w:color="auto" w:fill="D1D2D4"/>
          </w:tcPr>
          <w:p>
            <w:pPr>
              <w:spacing w:after="0" w:line="189" w:lineRule="exact"/>
              <w:rPr>
                <w:sz w:val="20"/>
                <w:szCs w:val="20"/>
                <w:color w:val="auto"/>
              </w:rPr>
            </w:pPr>
            <w:r>
              <w:rPr>
                <w:rFonts w:ascii="Arial" w:cs="Arial" w:eastAsia="Arial" w:hAnsi="Arial"/>
                <w:sz w:val="18"/>
                <w:szCs w:val="18"/>
                <w:color w:val="auto"/>
              </w:rPr>
              <w:t>Certification of Chief Executive Officer Pursuant to 18 U.S.C. 1350</w:t>
            </w:r>
          </w:p>
        </w:tc>
        <w:tc>
          <w:tcPr>
            <w:tcW w:w="1680" w:type="dxa"/>
            <w:vAlign w:val="bottom"/>
            <w:shd w:val="clear" w:color="auto" w:fill="D1D2D4"/>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D1D2D4"/>
              <w:right w:val="single" w:sz="8" w:color="D1D2D4"/>
            </w:tcBorders>
            <w:shd w:val="clear" w:color="auto" w:fill="D1D2D4"/>
          </w:tcPr>
          <w:p>
            <w:pPr>
              <w:spacing w:after="0" w:line="20" w:lineRule="exact"/>
              <w:rPr>
                <w:sz w:val="1"/>
                <w:szCs w:val="1"/>
                <w:color w:val="auto"/>
              </w:rPr>
            </w:pPr>
          </w:p>
        </w:tc>
        <w:tc>
          <w:tcPr>
            <w:tcW w:w="540" w:type="dxa"/>
            <w:vAlign w:val="bottom"/>
            <w:tcBorders>
              <w:top w:val="single" w:sz="8" w:color="auto"/>
            </w:tcBorders>
            <w:shd w:val="clear" w:color="auto" w:fill="D1D2D4"/>
          </w:tcPr>
          <w:p>
            <w:pPr>
              <w:spacing w:after="0" w:line="20" w:lineRule="exact"/>
              <w:rPr>
                <w:sz w:val="1"/>
                <w:szCs w:val="1"/>
                <w:color w:val="auto"/>
              </w:rPr>
            </w:pPr>
          </w:p>
        </w:tc>
        <w:tc>
          <w:tcPr>
            <w:tcW w:w="40" w:type="dxa"/>
            <w:vAlign w:val="bottom"/>
            <w:tcBorders>
              <w:top w:val="single" w:sz="8" w:color="auto"/>
            </w:tcBorders>
            <w:shd w:val="clear" w:color="auto" w:fill="D1D2D4"/>
          </w:tcPr>
          <w:p>
            <w:pPr>
              <w:spacing w:after="0" w:line="20" w:lineRule="exact"/>
              <w:rPr>
                <w:sz w:val="1"/>
                <w:szCs w:val="1"/>
                <w:color w:val="auto"/>
              </w:rPr>
            </w:pPr>
          </w:p>
        </w:tc>
        <w:tc>
          <w:tcPr>
            <w:tcW w:w="420" w:type="dxa"/>
            <w:vAlign w:val="bottom"/>
            <w:tcBorders>
              <w:top w:val="single" w:sz="8" w:color="auto"/>
            </w:tcBorders>
            <w:shd w:val="clear" w:color="auto" w:fill="D1D2D4"/>
          </w:tcPr>
          <w:p>
            <w:pPr>
              <w:spacing w:after="0" w:line="20" w:lineRule="exact"/>
              <w:rPr>
                <w:sz w:val="1"/>
                <w:szCs w:val="1"/>
                <w:color w:val="auto"/>
              </w:rPr>
            </w:pPr>
          </w:p>
        </w:tc>
        <w:tc>
          <w:tcPr>
            <w:tcW w:w="940" w:type="dxa"/>
            <w:vAlign w:val="bottom"/>
            <w:tcBorders>
              <w:top w:val="single" w:sz="8" w:color="auto"/>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260" w:type="dxa"/>
            <w:vAlign w:val="bottom"/>
            <w:tcBorders>
              <w:top w:val="single" w:sz="8" w:color="auto"/>
            </w:tcBorders>
            <w:shd w:val="clear" w:color="auto" w:fill="D1D2D4"/>
          </w:tcPr>
          <w:p>
            <w:pPr>
              <w:spacing w:after="0" w:line="20" w:lineRule="exact"/>
              <w:rPr>
                <w:sz w:val="1"/>
                <w:szCs w:val="1"/>
                <w:color w:val="auto"/>
              </w:rPr>
            </w:pPr>
          </w:p>
        </w:tc>
        <w:tc>
          <w:tcPr>
            <w:tcW w:w="1160" w:type="dxa"/>
            <w:vAlign w:val="bottom"/>
            <w:tcBorders>
              <w:top w:val="single" w:sz="8" w:color="auto"/>
            </w:tcBorders>
            <w:shd w:val="clear" w:color="auto" w:fill="D1D2D4"/>
          </w:tcPr>
          <w:p>
            <w:pPr>
              <w:spacing w:after="0" w:line="20" w:lineRule="exact"/>
              <w:rPr>
                <w:sz w:val="1"/>
                <w:szCs w:val="1"/>
                <w:color w:val="auto"/>
              </w:rPr>
            </w:pPr>
          </w:p>
        </w:tc>
        <w:tc>
          <w:tcPr>
            <w:tcW w:w="48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auto"/>
            </w:tcBorders>
            <w:shd w:val="clear" w:color="auto" w:fill="D1D2D4"/>
          </w:tcPr>
          <w:p>
            <w:pPr>
              <w:spacing w:after="0" w:line="20" w:lineRule="exact"/>
              <w:rPr>
                <w:sz w:val="1"/>
                <w:szCs w:val="1"/>
                <w:color w:val="auto"/>
              </w:rPr>
            </w:pPr>
          </w:p>
        </w:tc>
        <w:tc>
          <w:tcPr>
            <w:tcW w:w="42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260" w:type="dxa"/>
            <w:vAlign w:val="bottom"/>
            <w:tcBorders>
              <w:top w:val="single" w:sz="8" w:color="auto"/>
            </w:tcBorders>
            <w:shd w:val="clear" w:color="auto" w:fill="D1D2D4"/>
          </w:tcPr>
          <w:p>
            <w:pPr>
              <w:spacing w:after="0" w:line="20" w:lineRule="exact"/>
              <w:rPr>
                <w:sz w:val="1"/>
                <w:szCs w:val="1"/>
                <w:color w:val="auto"/>
              </w:rPr>
            </w:pPr>
          </w:p>
        </w:tc>
        <w:tc>
          <w:tcPr>
            <w:tcW w:w="40" w:type="dxa"/>
            <w:vAlign w:val="bottom"/>
            <w:tcBorders>
              <w:top w:val="single" w:sz="8" w:color="auto"/>
            </w:tcBorders>
            <w:shd w:val="clear" w:color="auto" w:fill="D1D2D4"/>
          </w:tcPr>
          <w:p>
            <w:pPr>
              <w:spacing w:after="0" w:line="20" w:lineRule="exact"/>
              <w:rPr>
                <w:sz w:val="1"/>
                <w:szCs w:val="1"/>
                <w:color w:val="auto"/>
              </w:rPr>
            </w:pPr>
          </w:p>
        </w:tc>
        <w:tc>
          <w:tcPr>
            <w:tcW w:w="4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right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68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32.2</w:t>
            </w:r>
          </w:p>
        </w:tc>
        <w:tc>
          <w:tcPr>
            <w:tcW w:w="5520" w:type="dxa"/>
            <w:vAlign w:val="bottom"/>
            <w:gridSpan w:val="25"/>
          </w:tcPr>
          <w:p>
            <w:pPr>
              <w:spacing w:after="0" w:line="189" w:lineRule="exact"/>
              <w:rPr>
                <w:sz w:val="20"/>
                <w:szCs w:val="20"/>
                <w:color w:val="auto"/>
              </w:rPr>
            </w:pPr>
            <w:r>
              <w:rPr>
                <w:rFonts w:ascii="Arial" w:cs="Arial" w:eastAsia="Arial" w:hAnsi="Arial"/>
                <w:sz w:val="18"/>
                <w:szCs w:val="18"/>
                <w:color w:val="auto"/>
              </w:rPr>
              <w:t>Certification of Chief Financial Officer Pursuant to 18 U.S.C. 1350</w:t>
            </w:r>
          </w:p>
        </w:tc>
        <w:tc>
          <w:tcPr>
            <w:tcW w:w="1680" w:type="dxa"/>
            <w:vAlign w:val="bottom"/>
          </w:tcPr>
          <w:p>
            <w:pPr>
              <w:ind w:left="4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0" w:type="dxa"/>
            <w:vAlign w:val="bottom"/>
            <w:tcBorders>
              <w:right w:val="single" w:sz="8" w:color="D1D2D4"/>
            </w:tcBorders>
            <w:shd w:val="clear" w:color="auto" w:fill="D1D2D4"/>
          </w:tcPr>
          <w:p>
            <w:pPr>
              <w:ind w:left="20"/>
              <w:spacing w:after="0" w:line="183" w:lineRule="exact"/>
              <w:rPr>
                <w:sz w:val="20"/>
                <w:szCs w:val="20"/>
                <w:color w:val="auto"/>
              </w:rPr>
            </w:pPr>
            <w:r>
              <w:rPr>
                <w:rFonts w:ascii="Arial" w:cs="Arial" w:eastAsia="Arial" w:hAnsi="Arial"/>
                <w:sz w:val="18"/>
                <w:szCs w:val="18"/>
                <w:color w:val="auto"/>
              </w:rPr>
              <w:t>101.INS</w:t>
            </w:r>
          </w:p>
        </w:tc>
        <w:tc>
          <w:tcPr>
            <w:tcW w:w="5520" w:type="dxa"/>
            <w:vAlign w:val="bottom"/>
            <w:gridSpan w:val="25"/>
            <w:shd w:val="clear" w:color="auto" w:fill="D1D2D4"/>
          </w:tcPr>
          <w:p>
            <w:pPr>
              <w:spacing w:after="0" w:line="183" w:lineRule="exact"/>
              <w:rPr>
                <w:sz w:val="20"/>
                <w:szCs w:val="20"/>
                <w:color w:val="auto"/>
              </w:rPr>
            </w:pPr>
            <w:r>
              <w:rPr>
                <w:rFonts w:ascii="Arial" w:cs="Arial" w:eastAsia="Arial" w:hAnsi="Arial"/>
                <w:sz w:val="18"/>
                <w:szCs w:val="18"/>
                <w:color w:val="auto"/>
              </w:rPr>
              <w:t>Inline XBRL Instance Document - the instance document does not</w:t>
            </w:r>
          </w:p>
        </w:tc>
        <w:tc>
          <w:tcPr>
            <w:tcW w:w="1680" w:type="dxa"/>
            <w:vAlign w:val="bottom"/>
            <w:shd w:val="clear" w:color="auto" w:fill="D1D2D4"/>
          </w:tcPr>
          <w:p>
            <w:pPr>
              <w:ind w:left="40"/>
              <w:spacing w:after="0" w:line="183"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0" w:type="dxa"/>
            <w:vAlign w:val="bottom"/>
            <w:tcBorders>
              <w:right w:val="single" w:sz="8" w:color="D1D2D4"/>
            </w:tcBorders>
            <w:shd w:val="clear" w:color="auto" w:fill="D1D2D4"/>
          </w:tcPr>
          <w:p>
            <w:pPr>
              <w:spacing w:after="0"/>
              <w:rPr>
                <w:sz w:val="15"/>
                <w:szCs w:val="15"/>
                <w:color w:val="auto"/>
              </w:rPr>
            </w:pPr>
          </w:p>
        </w:tc>
        <w:tc>
          <w:tcPr>
            <w:tcW w:w="5520" w:type="dxa"/>
            <w:vAlign w:val="bottom"/>
            <w:gridSpan w:val="25"/>
            <w:shd w:val="clear" w:color="auto" w:fill="D1D2D4"/>
          </w:tcPr>
          <w:p>
            <w:pPr>
              <w:spacing w:after="0" w:line="181" w:lineRule="exact"/>
              <w:rPr>
                <w:sz w:val="20"/>
                <w:szCs w:val="20"/>
                <w:color w:val="auto"/>
              </w:rPr>
            </w:pPr>
            <w:r>
              <w:rPr>
                <w:rFonts w:ascii="Arial" w:cs="Arial" w:eastAsia="Arial" w:hAnsi="Arial"/>
                <w:sz w:val="18"/>
                <w:szCs w:val="18"/>
                <w:color w:val="auto"/>
              </w:rPr>
              <w:t>appear in the Interactive Data File because its XBRL tags are</w:t>
            </w:r>
          </w:p>
        </w:tc>
        <w:tc>
          <w:tcPr>
            <w:tcW w:w="1680" w:type="dxa"/>
            <w:vAlign w:val="bottom"/>
            <w:shd w:val="clear" w:color="auto" w:fill="D1D2D4"/>
          </w:tcPr>
          <w:p>
            <w:pPr>
              <w:spacing w:after="0"/>
              <w:rPr>
                <w:sz w:val="15"/>
                <w:szCs w:val="15"/>
                <w:color w:val="auto"/>
              </w:rPr>
            </w:pP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0" w:type="dxa"/>
            <w:vAlign w:val="bottom"/>
            <w:tcBorders>
              <w:right w:val="single" w:sz="8" w:color="D1D2D4"/>
            </w:tcBorders>
            <w:shd w:val="clear" w:color="auto" w:fill="D1D2D4"/>
          </w:tcPr>
          <w:p>
            <w:pPr>
              <w:spacing w:after="0"/>
              <w:rPr>
                <w:sz w:val="19"/>
                <w:szCs w:val="19"/>
                <w:color w:val="auto"/>
              </w:rPr>
            </w:pPr>
          </w:p>
        </w:tc>
        <w:tc>
          <w:tcPr>
            <w:tcW w:w="5520" w:type="dxa"/>
            <w:vAlign w:val="bottom"/>
            <w:gridSpan w:val="25"/>
            <w:shd w:val="clear" w:color="auto" w:fill="D1D2D4"/>
          </w:tcPr>
          <w:p>
            <w:pPr>
              <w:spacing w:after="0"/>
              <w:rPr>
                <w:sz w:val="20"/>
                <w:szCs w:val="20"/>
                <w:color w:val="auto"/>
              </w:rPr>
            </w:pPr>
            <w:r>
              <w:rPr>
                <w:rFonts w:ascii="Arial" w:cs="Arial" w:eastAsia="Arial" w:hAnsi="Arial"/>
                <w:sz w:val="18"/>
                <w:szCs w:val="18"/>
                <w:color w:val="auto"/>
              </w:rPr>
              <w:t>embedded within the Inline XBRL document</w:t>
            </w:r>
          </w:p>
        </w:tc>
        <w:tc>
          <w:tcPr>
            <w:tcW w:w="168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552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c>
          <w:tcPr>
            <w:tcW w:w="1680" w:type="dxa"/>
            <w:vAlign w:val="bottom"/>
          </w:tcPr>
          <w:p>
            <w:pPr>
              <w:ind w:left="4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Borders>
              <w:right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520" w:type="dxa"/>
            <w:vAlign w:val="bottom"/>
            <w:gridSpan w:val="25"/>
            <w:shd w:val="clear" w:color="auto" w:fill="D1D2D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5520" w:type="dxa"/>
            <w:vAlign w:val="bottom"/>
            <w:gridSpan w:val="2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680" w:type="dxa"/>
            <w:vAlign w:val="bottom"/>
          </w:tcPr>
          <w:p>
            <w:pPr>
              <w:ind w:left="4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Borders>
              <w:right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520" w:type="dxa"/>
            <w:vAlign w:val="bottom"/>
            <w:gridSpan w:val="25"/>
            <w:shd w:val="clear" w:color="auto" w:fill="D1D2D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5520" w:type="dxa"/>
            <w:vAlign w:val="bottom"/>
            <w:gridSpan w:val="2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680" w:type="dxa"/>
            <w:vAlign w:val="bottom"/>
          </w:tcPr>
          <w:p>
            <w:pPr>
              <w:ind w:left="4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00" w:type="dxa"/>
            <w:vAlign w:val="bottom"/>
            <w:tcBorders>
              <w:right w:val="single" w:sz="8" w:color="D1D2D4"/>
            </w:tcBorders>
            <w:shd w:val="clear" w:color="auto" w:fill="D1D2D4"/>
          </w:tcPr>
          <w:p>
            <w:pPr>
              <w:ind w:left="20"/>
              <w:spacing w:after="0" w:line="183" w:lineRule="exact"/>
              <w:rPr>
                <w:sz w:val="20"/>
                <w:szCs w:val="20"/>
                <w:color w:val="auto"/>
              </w:rPr>
            </w:pPr>
            <w:r>
              <w:rPr>
                <w:rFonts w:ascii="Arial" w:cs="Arial" w:eastAsia="Arial" w:hAnsi="Arial"/>
                <w:sz w:val="18"/>
                <w:szCs w:val="18"/>
                <w:color w:val="auto"/>
              </w:rPr>
              <w:t>104</w:t>
            </w:r>
          </w:p>
        </w:tc>
        <w:tc>
          <w:tcPr>
            <w:tcW w:w="5520" w:type="dxa"/>
            <w:vAlign w:val="bottom"/>
            <w:gridSpan w:val="25"/>
            <w:shd w:val="clear" w:color="auto" w:fill="D1D2D4"/>
          </w:tcPr>
          <w:p>
            <w:pPr>
              <w:spacing w:after="0" w:line="183" w:lineRule="exact"/>
              <w:rPr>
                <w:sz w:val="20"/>
                <w:szCs w:val="20"/>
                <w:color w:val="auto"/>
              </w:rPr>
            </w:pPr>
            <w:r>
              <w:rPr>
                <w:rFonts w:ascii="Arial" w:cs="Arial" w:eastAsia="Arial" w:hAnsi="Arial"/>
                <w:sz w:val="18"/>
                <w:szCs w:val="18"/>
                <w:color w:val="auto"/>
              </w:rPr>
              <w:t>Cover Page Interactive Data File (formatted as Inline XBRL and</w:t>
            </w:r>
          </w:p>
        </w:tc>
        <w:tc>
          <w:tcPr>
            <w:tcW w:w="1680" w:type="dxa"/>
            <w:vAlign w:val="bottom"/>
            <w:shd w:val="clear" w:color="auto" w:fill="D1D2D4"/>
          </w:tcPr>
          <w:p>
            <w:pPr>
              <w:ind w:left="40"/>
              <w:spacing w:after="0" w:line="183"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000" w:type="dxa"/>
            <w:vAlign w:val="bottom"/>
            <w:tcBorders>
              <w:right w:val="single" w:sz="8" w:color="D1D2D4"/>
            </w:tcBorders>
            <w:shd w:val="clear" w:color="auto" w:fill="D1D2D4"/>
          </w:tcPr>
          <w:p>
            <w:pPr>
              <w:spacing w:after="0"/>
              <w:rPr>
                <w:sz w:val="20"/>
                <w:szCs w:val="20"/>
                <w:color w:val="auto"/>
              </w:rPr>
            </w:pPr>
          </w:p>
        </w:tc>
        <w:tc>
          <w:tcPr>
            <w:tcW w:w="5520" w:type="dxa"/>
            <w:vAlign w:val="bottom"/>
            <w:gridSpan w:val="25"/>
            <w:shd w:val="clear" w:color="auto" w:fill="D1D2D4"/>
          </w:tcPr>
          <w:p>
            <w:pPr>
              <w:spacing w:after="0"/>
              <w:rPr>
                <w:sz w:val="20"/>
                <w:szCs w:val="20"/>
                <w:color w:val="auto"/>
              </w:rPr>
            </w:pPr>
            <w:r>
              <w:rPr>
                <w:rFonts w:ascii="Arial" w:cs="Arial" w:eastAsia="Arial" w:hAnsi="Arial"/>
                <w:sz w:val="18"/>
                <w:szCs w:val="18"/>
                <w:color w:val="auto"/>
              </w:rPr>
              <w:t>contained in Exhibit 101)</w:t>
            </w:r>
          </w:p>
        </w:tc>
        <w:tc>
          <w:tcPr>
            <w:tcW w:w="1680" w:type="dxa"/>
            <w:vAlign w:val="bottom"/>
            <w:shd w:val="clear" w:color="auto" w:fill="D1D2D4"/>
          </w:tcPr>
          <w:p>
            <w:pPr>
              <w:spacing w:after="0"/>
              <w:rPr>
                <w:sz w:val="20"/>
                <w:szCs w:val="20"/>
                <w:color w:val="auto"/>
              </w:rPr>
            </w:pPr>
          </w:p>
        </w:tc>
        <w:tc>
          <w:tcPr>
            <w:tcW w:w="940" w:type="dxa"/>
            <w:vAlign w:val="bottom"/>
            <w:shd w:val="clear" w:color="auto" w:fill="D1D2D4"/>
          </w:tcPr>
          <w:p>
            <w:pPr>
              <w:spacing w:after="0"/>
              <w:rPr>
                <w:sz w:val="20"/>
                <w:szCs w:val="20"/>
                <w:color w:val="auto"/>
              </w:rPr>
            </w:pPr>
          </w:p>
        </w:tc>
        <w:tc>
          <w:tcPr>
            <w:tcW w:w="1080" w:type="dxa"/>
            <w:vAlign w:val="bottom"/>
            <w:shd w:val="clear" w:color="auto" w:fill="D1D2D4"/>
          </w:tcPr>
          <w:p>
            <w:pPr>
              <w:spacing w:after="0"/>
              <w:rPr>
                <w:sz w:val="20"/>
                <w:szCs w:val="20"/>
                <w:color w:val="auto"/>
              </w:rPr>
            </w:pPr>
          </w:p>
        </w:tc>
        <w:tc>
          <w:tcPr>
            <w:tcW w:w="10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780" w:val="left"/>
          <w:tab w:leader="none" w:pos="5120" w:val="left"/>
          <w:tab w:leader="none" w:pos="5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Mark Murphy</w:t>
      </w:r>
    </w:p>
    <w:p>
      <w:pPr>
        <w:spacing w:after="0" w:line="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Financial Officer)</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16510</wp:posOffset>
            </wp:positionV>
            <wp:extent cx="35915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Scott Allen</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Corporate Vice President and Chief Accounting Officer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63</w:t>
      </w:r>
    </w:p>
    <w:p>
      <w:pPr>
        <w:sectPr>
          <w:pgSz w:w="11900" w:h="16838" w:orient="portrait"/>
          <w:cols w:equalWidth="0" w:num="1">
            <w:col w:w="11240"/>
          </w:cols>
          <w:pgMar w:left="320" w:top="125" w:right="339" w:bottom="1440" w:gutter="0" w:footer="0" w:header="0"/>
        </w:sectPr>
      </w:pPr>
    </w:p>
    <w:bookmarkStart w:id="63" w:name="page64"/>
    <w:bookmarkEnd w:id="63"/>
    <w:p>
      <w:pPr>
        <w:ind w:left="8920"/>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INCREMENTAL AMENDMENT NO. 1,</w:t>
      </w:r>
    </w:p>
    <w:p>
      <w:pPr>
        <w:spacing w:after="0" w:line="18"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dated as of January 5, 2023</w:t>
      </w:r>
    </w:p>
    <w:p>
      <w:pPr>
        <w:spacing w:after="0" w:line="211"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to the</w:t>
      </w:r>
    </w:p>
    <w:p>
      <w:pPr>
        <w:spacing w:after="0" w:line="243"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TERM LOAN CREDIT AGREEMENT,</w:t>
      </w:r>
    </w:p>
    <w:p>
      <w:pPr>
        <w:spacing w:after="0" w:line="4"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dated as of November 3, 2022</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among</w:t>
      </w:r>
    </w:p>
    <w:p>
      <w:pPr>
        <w:spacing w:after="0" w:line="229"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MICRON TECHNOLOGY, INC.,</w:t>
      </w:r>
    </w:p>
    <w:p>
      <w:pPr>
        <w:spacing w:after="0" w:line="4"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as Borrower,</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THE LENDERS PARTY HERETO,</w:t>
      </w:r>
    </w:p>
    <w:p>
      <w:pPr>
        <w:spacing w:after="0" w:line="229"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WELLS FARGO BANK, NATIONAL ASSOCIATION,</w:t>
      </w:r>
    </w:p>
    <w:p>
      <w:pPr>
        <w:spacing w:after="0" w:line="4" w:lineRule="exact"/>
        <w:rPr>
          <w:sz w:val="20"/>
          <w:szCs w:val="20"/>
          <w:color w:val="auto"/>
        </w:rPr>
      </w:pPr>
    </w:p>
    <w:p>
      <w:pPr>
        <w:jc w:val="center"/>
        <w:ind w:right="78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________________________________________________________________________________________</w:t>
      </w:r>
    </w:p>
    <w:p>
      <w:pPr>
        <w:sectPr>
          <w:pgSz w:w="11900" w:h="16838" w:orient="portrait"/>
          <w:cols w:equalWidth="0" w:num="1">
            <w:col w:w="10460"/>
          </w:cols>
          <w:pgMar w:left="1100" w:top="1412" w:right="339" w:bottom="1440" w:gutter="0" w:footer="0" w:header="0"/>
        </w:sectPr>
      </w:pPr>
    </w:p>
    <w:bookmarkStart w:id="64" w:name="page65"/>
    <w:bookmarkEnd w:id="64"/>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INCREMENTAL AMENDMENT NO. 1</w:t>
      </w:r>
    </w:p>
    <w:p>
      <w:pPr>
        <w:spacing w:after="0" w:line="256" w:lineRule="exact"/>
        <w:rPr>
          <w:sz w:val="20"/>
          <w:szCs w:val="20"/>
          <w:color w:val="auto"/>
        </w:rPr>
      </w:pPr>
    </w:p>
    <w:p>
      <w:pPr>
        <w:ind w:firstLine="1296"/>
        <w:spacing w:after="0"/>
        <w:rPr>
          <w:sz w:val="20"/>
          <w:szCs w:val="20"/>
          <w:color w:val="auto"/>
        </w:rPr>
      </w:pPr>
      <w:r>
        <w:rPr>
          <w:rFonts w:ascii="Arial" w:cs="Arial" w:eastAsia="Arial" w:hAnsi="Arial"/>
          <w:sz w:val="20"/>
          <w:szCs w:val="20"/>
          <w:color w:val="auto"/>
        </w:rPr>
        <w:t>INCREMENTAL AMENDMENT NO. 1 TO THE TERM LOAN CREDIT AGREEMENT, dated as of January 5, 2023 (this “</w:t>
      </w:r>
      <w:r>
        <w:rPr>
          <w:rFonts w:ascii="Arial" w:cs="Arial" w:eastAsia="Arial" w:hAnsi="Arial"/>
          <w:sz w:val="20"/>
          <w:szCs w:val="20"/>
          <w:u w:val="single" w:color="auto"/>
          <w:color w:val="auto"/>
        </w:rPr>
        <w:t>Amendment</w:t>
      </w:r>
      <w:r>
        <w:rPr>
          <w:rFonts w:ascii="Arial" w:cs="Arial" w:eastAsia="Arial" w:hAnsi="Arial"/>
          <w:sz w:val="20"/>
          <w:szCs w:val="20"/>
          <w:color w:val="auto"/>
        </w:rPr>
        <w:t>”), among Micron Technology,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2023 Incremental 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(as defined below), Wells Fargo Bank, National Association, as administrative agent under the Existing Credit Agreement (in such capacity and including any successors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 xml:space="preserve"> :</w:t>
      </w:r>
    </w:p>
    <w:p>
      <w:pPr>
        <w:spacing w:after="0" w:line="24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WHEREAS, reference is hereby made to the Term Loan Credit Agreement, dated as of November 3, 2022 (as amended, restated, supplemented or otherwise modified from time to time heretofore,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and as amended by this Amendment,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w:t>
      </w:r>
    </w:p>
    <w:p>
      <w:pPr>
        <w:spacing w:after="0" w:line="19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0"/>
          <w:szCs w:val="20"/>
          <w:color w:val="auto"/>
        </w:rPr>
        <w:t>WHEREAS, pursuant to Section 2.21 of the Existing Credit Agreement, the Borrower desires to establish Incremental Term Loan Commitments and incur Incremental Term Loans thereunder (such term loans, collectively, the “</w:t>
      </w:r>
      <w:r>
        <w:rPr>
          <w:rFonts w:ascii="Arial" w:cs="Arial" w:eastAsia="Arial" w:hAnsi="Arial"/>
          <w:sz w:val="20"/>
          <w:szCs w:val="20"/>
          <w:u w:val="single" w:color="auto"/>
          <w:color w:val="auto"/>
        </w:rPr>
        <w:t>2023</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Incremental Term Loans</w:t>
      </w:r>
      <w:r>
        <w:rPr>
          <w:rFonts w:ascii="Arial" w:cs="Arial" w:eastAsia="Arial" w:hAnsi="Arial"/>
          <w:sz w:val="20"/>
          <w:szCs w:val="20"/>
          <w:color w:val="auto"/>
        </w:rPr>
        <w:t>” and the commitments in respect of such 2023 Incremental Term Loans, the “</w:t>
      </w:r>
      <w:r>
        <w:rPr>
          <w:rFonts w:ascii="Arial" w:cs="Arial" w:eastAsia="Arial" w:hAnsi="Arial"/>
          <w:sz w:val="20"/>
          <w:szCs w:val="20"/>
          <w:u w:val="single" w:color="auto"/>
          <w:color w:val="auto"/>
        </w:rPr>
        <w:t>2023 Incremental 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 Commitments</w:t>
      </w:r>
      <w:r>
        <w:rPr>
          <w:rFonts w:ascii="Arial" w:cs="Arial" w:eastAsia="Arial" w:hAnsi="Arial"/>
          <w:sz w:val="20"/>
          <w:szCs w:val="20"/>
          <w:color w:val="auto"/>
        </w:rPr>
        <w:t>”; individually, such term loans are referred to herein as (a) the “</w:t>
      </w:r>
      <w:r>
        <w:rPr>
          <w:rFonts w:ascii="Arial" w:cs="Arial" w:eastAsia="Arial" w:hAnsi="Arial"/>
          <w:sz w:val="20"/>
          <w:szCs w:val="20"/>
          <w:u w:val="single" w:color="auto"/>
          <w:color w:val="auto"/>
        </w:rPr>
        <w:t>2023 Incremental Term A-1 Loans</w:t>
      </w:r>
      <w:r>
        <w:rPr>
          <w:rFonts w:ascii="Arial" w:cs="Arial" w:eastAsia="Arial" w:hAnsi="Arial"/>
          <w:sz w:val="20"/>
          <w:szCs w:val="20"/>
          <w:color w:val="auto"/>
        </w:rPr>
        <w:t>” and the commitments in respect of such 2023 Incremental Term A-1 Loans, the “</w:t>
      </w:r>
      <w:r>
        <w:rPr>
          <w:rFonts w:ascii="Arial" w:cs="Arial" w:eastAsia="Arial" w:hAnsi="Arial"/>
          <w:sz w:val="20"/>
          <w:szCs w:val="20"/>
          <w:u w:val="single" w:color="auto"/>
          <w:color w:val="auto"/>
        </w:rPr>
        <w:t>2023 Incremental Term A-1 Loan Commitments</w:t>
      </w:r>
      <w:r>
        <w:rPr>
          <w:rFonts w:ascii="Arial" w:cs="Arial" w:eastAsia="Arial" w:hAnsi="Arial"/>
          <w:sz w:val="20"/>
          <w:szCs w:val="20"/>
          <w:color w:val="auto"/>
        </w:rPr>
        <w:t>”, (b) the “</w:t>
      </w:r>
      <w:r>
        <w:rPr>
          <w:rFonts w:ascii="Arial" w:cs="Arial" w:eastAsia="Arial" w:hAnsi="Arial"/>
          <w:sz w:val="20"/>
          <w:szCs w:val="20"/>
          <w:u w:val="single" w:color="auto"/>
          <w:color w:val="auto"/>
        </w:rPr>
        <w:t>2023 Incremental Term A-2 Loans</w:t>
      </w:r>
      <w:r>
        <w:rPr>
          <w:rFonts w:ascii="Arial" w:cs="Arial" w:eastAsia="Arial" w:hAnsi="Arial"/>
          <w:sz w:val="20"/>
          <w:szCs w:val="20"/>
          <w:color w:val="auto"/>
        </w:rPr>
        <w:t>” and the commitments in respect of such 2023 Incremental Term A-2 Loans, the “</w:t>
      </w:r>
      <w:r>
        <w:rPr>
          <w:rFonts w:ascii="Arial" w:cs="Arial" w:eastAsia="Arial" w:hAnsi="Arial"/>
          <w:sz w:val="20"/>
          <w:szCs w:val="20"/>
          <w:u w:val="single" w:color="auto"/>
          <w:color w:val="auto"/>
        </w:rPr>
        <w:t>2023</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Incremental Term A-2 Loan Commitments</w:t>
      </w:r>
      <w:r>
        <w:rPr>
          <w:rFonts w:ascii="Arial" w:cs="Arial" w:eastAsia="Arial" w:hAnsi="Arial"/>
          <w:sz w:val="20"/>
          <w:szCs w:val="20"/>
          <w:color w:val="auto"/>
        </w:rPr>
        <w:t>” or (c) the “</w:t>
      </w:r>
      <w:r>
        <w:rPr>
          <w:rFonts w:ascii="Arial" w:cs="Arial" w:eastAsia="Arial" w:hAnsi="Arial"/>
          <w:sz w:val="20"/>
          <w:szCs w:val="20"/>
          <w:u w:val="single" w:color="auto"/>
          <w:color w:val="auto"/>
        </w:rPr>
        <w:t>2023 Incremental Term A-3 Loans</w:t>
      </w:r>
      <w:r>
        <w:rPr>
          <w:rFonts w:ascii="Arial" w:cs="Arial" w:eastAsia="Arial" w:hAnsi="Arial"/>
          <w:sz w:val="20"/>
          <w:szCs w:val="20"/>
          <w:color w:val="auto"/>
        </w:rPr>
        <w:t>” and the commitments in respect of such 2023 Incremental Term A-3 Loans, the “</w:t>
      </w:r>
      <w:r>
        <w:rPr>
          <w:rFonts w:ascii="Arial" w:cs="Arial" w:eastAsia="Arial" w:hAnsi="Arial"/>
          <w:sz w:val="20"/>
          <w:szCs w:val="20"/>
          <w:u w:val="single" w:color="auto"/>
          <w:color w:val="auto"/>
        </w:rPr>
        <w:t>2023 Incremental Term A-3 Loan Commitments</w:t>
      </w:r>
      <w:r>
        <w:rPr>
          <w:rFonts w:ascii="Arial" w:cs="Arial" w:eastAsia="Arial" w:hAnsi="Arial"/>
          <w:sz w:val="20"/>
          <w:szCs w:val="20"/>
          <w:color w:val="auto"/>
        </w:rPr>
        <w:t>”, as applicable), which (i) such 2023 Incremental Term A-1 Loans will be the same class as the Term A-1 Loans made prior to the Amendment Effective Date (the “</w:t>
      </w:r>
      <w:r>
        <w:rPr>
          <w:rFonts w:ascii="Arial" w:cs="Arial" w:eastAsia="Arial" w:hAnsi="Arial"/>
          <w:sz w:val="20"/>
          <w:szCs w:val="20"/>
          <w:u w:val="single" w:color="auto"/>
          <w:color w:val="auto"/>
        </w:rPr>
        <w:t>Existing Term A-1 Loans</w:t>
      </w:r>
      <w:r>
        <w:rPr>
          <w:rFonts w:ascii="Arial" w:cs="Arial" w:eastAsia="Arial" w:hAnsi="Arial"/>
          <w:sz w:val="20"/>
          <w:szCs w:val="20"/>
          <w:color w:val="auto"/>
        </w:rPr>
        <w:t>”), (ii) such 2023 Incremental Term A-2 Loans will be the same class as the Term A-2 Loans made prior to the Amendment Effective Date (the “</w:t>
      </w:r>
      <w:r>
        <w:rPr>
          <w:rFonts w:ascii="Arial" w:cs="Arial" w:eastAsia="Arial" w:hAnsi="Arial"/>
          <w:sz w:val="20"/>
          <w:szCs w:val="20"/>
          <w:u w:val="single" w:color="auto"/>
          <w:color w:val="auto"/>
        </w:rPr>
        <w:t>Existing Term A-2 Loans</w:t>
      </w:r>
      <w:r>
        <w:rPr>
          <w:rFonts w:ascii="Arial" w:cs="Arial" w:eastAsia="Arial" w:hAnsi="Arial"/>
          <w:sz w:val="20"/>
          <w:szCs w:val="20"/>
          <w:color w:val="auto"/>
        </w:rPr>
        <w:t>”) and (iii) such 2023 Incremental Term A-3 Loans will be the same class as the Term A-3 Loans made prior to the Amendment Effective Date (the “</w:t>
      </w:r>
      <w:r>
        <w:rPr>
          <w:rFonts w:ascii="Arial" w:cs="Arial" w:eastAsia="Arial" w:hAnsi="Arial"/>
          <w:sz w:val="20"/>
          <w:szCs w:val="20"/>
          <w:u w:val="single" w:color="auto"/>
          <w:color w:val="auto"/>
        </w:rPr>
        <w:t>Existing Term A-3 Loans</w:t>
      </w:r>
      <w:r>
        <w:rPr>
          <w:rFonts w:ascii="Arial" w:cs="Arial" w:eastAsia="Arial" w:hAnsi="Arial"/>
          <w:sz w:val="20"/>
          <w:szCs w:val="20"/>
          <w:color w:val="auto"/>
        </w:rPr>
        <w:t>”);</w:t>
      </w:r>
    </w:p>
    <w:p>
      <w:pPr>
        <w:spacing w:after="0" w:line="20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 xml:space="preserve">WHEREAS, the Persons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under the caption “2023 Incremental Term Lender” (each, a “</w:t>
      </w:r>
      <w:r>
        <w:rPr>
          <w:rFonts w:ascii="Arial" w:cs="Arial" w:eastAsia="Arial" w:hAnsi="Arial"/>
          <w:sz w:val="20"/>
          <w:szCs w:val="20"/>
          <w:u w:val="single" w:color="auto"/>
          <w:color w:val="auto"/>
        </w:rPr>
        <w:t>2023 Incremental Term Lender</w:t>
      </w:r>
      <w:r>
        <w:rPr>
          <w:rFonts w:ascii="Arial" w:cs="Arial" w:eastAsia="Arial" w:hAnsi="Arial"/>
          <w:sz w:val="20"/>
          <w:szCs w:val="20"/>
          <w:color w:val="auto"/>
        </w:rPr>
        <w:t>”) have agreed, as applicable, to provide such 2023 Incremental Term Loan Commitments and 2023 Incremental Term Loans;</w:t>
      </w:r>
    </w:p>
    <w:p>
      <w:pPr>
        <w:spacing w:after="0" w:line="19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WHEREAS, Wells Fargo Securities, LLC has agreed to act as Sole Bookrunner and Sole Lead Arranger and each of Bank of America, N.A., BNP Paribas, and HSBC Bank USA, N.A. has agreed to act as a Documentation Agent, in each case, for the Amendment; and</w:t>
      </w:r>
    </w:p>
    <w:p>
      <w:pPr>
        <w:spacing w:after="0" w:line="205"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WHEREAS, subject to the terms and conditions set forth herein and with the consent of the 2023 Incremental Term Lenders, the 2023 Incremental Term Lenders have agreed to provide 2023 Incremental Term Commitments in the amounts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NOW, THEREFORE, the parties hereto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65" w:name="page66"/>
    <w:bookmarkEnd w:id="65"/>
    <w:p>
      <w:pPr>
        <w:ind w:right="40" w:firstLine="1296"/>
        <w:spacing w:after="0" w:line="257"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terms defined in the Amended Credit Agreement and used herein shall have the meanings given to them in the Amended Credit Agreement.</w:t>
      </w:r>
    </w:p>
    <w:p>
      <w:pPr>
        <w:spacing w:after="0" w:line="196"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9"/>
          <w:szCs w:val="19"/>
          <w:u w:val="single" w:color="auto"/>
          <w:color w:val="auto"/>
        </w:rPr>
        <w:t>Incremental Term Facility</w:t>
      </w:r>
      <w:r>
        <w:rPr>
          <w:rFonts w:ascii="Arial" w:cs="Arial" w:eastAsia="Arial" w:hAnsi="Arial"/>
          <w:sz w:val="19"/>
          <w:szCs w:val="19"/>
          <w:color w:val="auto"/>
        </w:rPr>
        <w:t>.</w:t>
      </w:r>
    </w:p>
    <w:p>
      <w:pPr>
        <w:spacing w:after="0" w:line="229" w:lineRule="exact"/>
        <w:rPr>
          <w:sz w:val="20"/>
          <w:szCs w:val="20"/>
          <w:color w:val="auto"/>
        </w:rPr>
      </w:pPr>
    </w:p>
    <w:p>
      <w:pPr>
        <w:ind w:left="1760" w:hanging="456"/>
        <w:spacing w:after="0"/>
        <w:tabs>
          <w:tab w:leader="none" w:pos="17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2023 Incremental Term A-1 Loans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300" w:right="60" w:firstLine="652"/>
        <w:spacing w:after="0"/>
        <w:tabs>
          <w:tab w:leader="none" w:pos="2344" w:val="left"/>
        </w:tabs>
        <w:numPr>
          <w:ilvl w:val="1"/>
          <w:numId w:val="36"/>
        </w:numPr>
        <w:rPr>
          <w:rFonts w:ascii="Arial" w:cs="Arial" w:eastAsia="Arial" w:hAnsi="Arial"/>
          <w:sz w:val="20"/>
          <w:szCs w:val="20"/>
          <w:color w:val="auto"/>
        </w:rPr>
      </w:pPr>
      <w:r>
        <w:rPr>
          <w:rFonts w:ascii="Arial" w:cs="Arial" w:eastAsia="Arial" w:hAnsi="Arial"/>
          <w:sz w:val="20"/>
          <w:szCs w:val="20"/>
          <w:color w:val="auto"/>
        </w:rPr>
        <w:t xml:space="preserve">Each 2023 Incremental Term Lender, as applicable, agrees to provide the Incremental Term A-1 Commitments and to fund the 2023 Incremental Term A-1 Loans thereunder on the Amendment Effective Date in an amount set forth next to such 2023 Incremental Term Lender’s name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under the caption “2023 Incremental Term A-1 Commitment”.</w:t>
      </w:r>
    </w:p>
    <w:p>
      <w:pPr>
        <w:spacing w:after="0" w:line="200" w:lineRule="exact"/>
        <w:rPr>
          <w:rFonts w:ascii="Arial" w:cs="Arial" w:eastAsia="Arial" w:hAnsi="Arial"/>
          <w:sz w:val="20"/>
          <w:szCs w:val="20"/>
          <w:color w:val="auto"/>
        </w:rPr>
      </w:pPr>
    </w:p>
    <w:p>
      <w:pPr>
        <w:ind w:left="1300" w:right="20" w:firstLine="652"/>
        <w:spacing w:after="0" w:line="235" w:lineRule="auto"/>
        <w:tabs>
          <w:tab w:leader="none" w:pos="2388" w:val="left"/>
        </w:tabs>
        <w:numPr>
          <w:ilvl w:val="1"/>
          <w:numId w:val="36"/>
        </w:numPr>
        <w:rPr>
          <w:rFonts w:ascii="Arial" w:cs="Arial" w:eastAsia="Arial" w:hAnsi="Arial"/>
          <w:sz w:val="20"/>
          <w:szCs w:val="20"/>
          <w:color w:val="auto"/>
        </w:rPr>
      </w:pPr>
      <w:r>
        <w:rPr>
          <w:rFonts w:ascii="Arial" w:cs="Arial" w:eastAsia="Arial" w:hAnsi="Arial"/>
          <w:sz w:val="20"/>
          <w:szCs w:val="20"/>
          <w:color w:val="auto"/>
        </w:rPr>
        <w:t>Except as otherwise expressly set forth herein and in the Amended Credit Agreement, the 2023 Incremental Term A-1 Loans shall have terms that are identical to those of the Existing Term A-1 Loans and shall be “Term A-1 Loans” for all purposes under the Amended Credit Agreement and the other Loan Documents. Effective as of the Amendment Effective Date, the 2023 Incremental Term A-1 Loans shall constitute the same class of Term Loans as the Existing Term A-1 Loans and shall be fungible with the Existing Term A-1 Loans. Except as necessary to give effect to the provisions of Section (a)(iii) through (v) below, (a) the 2023 Incremental Term A-1 Loans shall be “Term Loans”, “Term A-1 Loans” and “Incremental Term Loans” and (b) the 2023 Incremental Term A-1 Loan Commitments shall be “Term Commitments”, “Term A-1 Loan Commitments” and “Incremental Term Loan Commitments”, in each case, for all purposes of the Amended Credit Agreement and the other Loan Documents. The 2023 Incremental Term Loans may be repaid or prepaid in the same manner as the Existing Term A-1 Loans in accordance with the provisions of the Amended Credit Agreement and this Amendment, but once repaid or prepaid may not be reborrowed.</w:t>
      </w:r>
    </w:p>
    <w:p>
      <w:pPr>
        <w:spacing w:after="0" w:line="200" w:lineRule="exact"/>
        <w:rPr>
          <w:rFonts w:ascii="Arial" w:cs="Arial" w:eastAsia="Arial" w:hAnsi="Arial"/>
          <w:sz w:val="20"/>
          <w:szCs w:val="20"/>
          <w:color w:val="auto"/>
        </w:rPr>
      </w:pPr>
    </w:p>
    <w:p>
      <w:pPr>
        <w:ind w:left="1300" w:right="140" w:firstLine="652"/>
        <w:spacing w:after="0" w:line="271" w:lineRule="auto"/>
        <w:tabs>
          <w:tab w:leader="none" w:pos="2428"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aggregate principal amount of the 2023 Incremental Term A-1 Loans made on the Amendment Effective Date shall be $125,000,000.00.</w:t>
      </w:r>
    </w:p>
    <w:p>
      <w:pPr>
        <w:spacing w:after="0" w:line="169" w:lineRule="exact"/>
        <w:rPr>
          <w:rFonts w:ascii="Arial" w:cs="Arial" w:eastAsia="Arial" w:hAnsi="Arial"/>
          <w:sz w:val="20"/>
          <w:szCs w:val="20"/>
          <w:color w:val="auto"/>
        </w:rPr>
      </w:pPr>
    </w:p>
    <w:p>
      <w:pPr>
        <w:ind w:left="1300" w:firstLine="652"/>
        <w:spacing w:after="0" w:line="248" w:lineRule="auto"/>
        <w:tabs>
          <w:tab w:leader="none" w:pos="2439"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Stated Maturity in respect of the 2023 Incremental Term A-1 Loans shall be the Term A-1 Stated Maturity in respect of the Existing Term A-1 Loans as set forth in the definition “Term A-1 Stated Maturity” in the Existing Credit Agreement.</w:t>
      </w:r>
    </w:p>
    <w:p>
      <w:pPr>
        <w:spacing w:after="0" w:line="205" w:lineRule="exact"/>
        <w:rPr>
          <w:rFonts w:ascii="Arial" w:cs="Arial" w:eastAsia="Arial" w:hAnsi="Arial"/>
          <w:sz w:val="20"/>
          <w:szCs w:val="20"/>
          <w:color w:val="auto"/>
        </w:rPr>
      </w:pPr>
    </w:p>
    <w:p>
      <w:pPr>
        <w:ind w:left="1300" w:right="20" w:firstLine="652"/>
        <w:spacing w:after="0" w:line="237" w:lineRule="auto"/>
        <w:tabs>
          <w:tab w:leader="none" w:pos="2395"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2023 Incremental Term A-1 Loans shall accrue interest on the same basis, and with the same Applicable Margin as the Existing Term A-1 Loans (it being understood that, as of the Amendment Effective Date, the 2023 Incremental Term A-1 Loans shall constitute the same Type of Term A-1 Loans as the Existing Term A-1 Loans and, to the extent the Existing Term A-1 Loans are SOFR Loans, have an initial Interest Period ending on the last day of the Interest Period applicable to the Existing Term A-1 Loans).</w:t>
      </w:r>
    </w:p>
    <w:p>
      <w:pPr>
        <w:spacing w:after="0" w:line="214" w:lineRule="exact"/>
        <w:rPr>
          <w:rFonts w:ascii="Arial" w:cs="Arial" w:eastAsia="Arial" w:hAnsi="Arial"/>
          <w:sz w:val="20"/>
          <w:szCs w:val="20"/>
          <w:color w:val="auto"/>
        </w:rPr>
      </w:pPr>
    </w:p>
    <w:p>
      <w:pPr>
        <w:ind w:left="1760" w:hanging="456"/>
        <w:spacing w:after="0"/>
        <w:tabs>
          <w:tab w:leader="none" w:pos="17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2023 Incremental Term A-2 Loans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300" w:right="500" w:firstLine="652"/>
        <w:spacing w:after="0" w:line="271" w:lineRule="auto"/>
        <w:tabs>
          <w:tab w:leader="none" w:pos="2344" w:val="left"/>
        </w:tabs>
        <w:numPr>
          <w:ilvl w:val="1"/>
          <w:numId w:val="36"/>
        </w:numPr>
        <w:rPr>
          <w:rFonts w:ascii="Arial" w:cs="Arial" w:eastAsia="Arial" w:hAnsi="Arial"/>
          <w:sz w:val="20"/>
          <w:szCs w:val="20"/>
          <w:color w:val="auto"/>
        </w:rPr>
      </w:pPr>
      <w:r>
        <w:rPr>
          <w:rFonts w:ascii="Arial" w:cs="Arial" w:eastAsia="Arial" w:hAnsi="Arial"/>
          <w:sz w:val="20"/>
          <w:szCs w:val="20"/>
          <w:color w:val="auto"/>
        </w:rPr>
        <w:t>Each 2023 Incremental Term Lender, as applicable, agrees to provide the Incremental Term A-2 Commitments and to fund the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14" w:right="359" w:bottom="1440" w:gutter="0" w:footer="0" w:header="0"/>
        </w:sectPr>
      </w:pPr>
    </w:p>
    <w:bookmarkStart w:id="66" w:name="page67"/>
    <w:bookmarkEnd w:id="66"/>
    <w:p>
      <w:pPr>
        <w:ind w:left="180" w:right="300"/>
        <w:spacing w:after="0" w:line="248" w:lineRule="auto"/>
        <w:rPr>
          <w:sz w:val="20"/>
          <w:szCs w:val="20"/>
          <w:color w:val="auto"/>
        </w:rPr>
      </w:pPr>
      <w:r>
        <w:rPr>
          <w:rFonts w:ascii="Arial" w:cs="Arial" w:eastAsia="Arial" w:hAnsi="Arial"/>
          <w:sz w:val="20"/>
          <w:szCs w:val="20"/>
          <w:color w:val="auto"/>
        </w:rPr>
        <w:t xml:space="preserve">Incremental Term A-2 Loans thereunder on the Amendment Effective Date in an amount set forth next to such 2023 Incremental Term Lender’s name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under the caption “2023 Incremental Term A-2 Commitment”.</w:t>
      </w:r>
    </w:p>
    <w:p>
      <w:pPr>
        <w:spacing w:after="0" w:line="192" w:lineRule="exact"/>
        <w:rPr>
          <w:sz w:val="20"/>
          <w:szCs w:val="20"/>
          <w:color w:val="auto"/>
        </w:rPr>
      </w:pPr>
    </w:p>
    <w:p>
      <w:pPr>
        <w:ind w:left="180" w:firstLine="652"/>
        <w:spacing w:after="0" w:line="235" w:lineRule="auto"/>
        <w:tabs>
          <w:tab w:leader="none" w:pos="1268" w:val="left"/>
        </w:tabs>
        <w:numPr>
          <w:ilvl w:val="1"/>
          <w:numId w:val="37"/>
        </w:numPr>
        <w:rPr>
          <w:rFonts w:ascii="Arial" w:cs="Arial" w:eastAsia="Arial" w:hAnsi="Arial"/>
          <w:sz w:val="20"/>
          <w:szCs w:val="20"/>
          <w:color w:val="auto"/>
        </w:rPr>
      </w:pPr>
      <w:r>
        <w:rPr>
          <w:rFonts w:ascii="Arial" w:cs="Arial" w:eastAsia="Arial" w:hAnsi="Arial"/>
          <w:sz w:val="20"/>
          <w:szCs w:val="20"/>
          <w:color w:val="auto"/>
        </w:rPr>
        <w:t>Except as otherwise expressly set forth herein and in the Amended Credit Agreement, the 2023 Incremental Term A-2 Loans shall have terms that are identical to those of the Existing Term A-2 Loans and shall be “Term A-2 Loans” for all purposes under the Amended Credit Agreement and the other Loan Documents. Effective as of the Amendment Effective Date, the 2023 Incremental Term A-2 Loans shall constitute the same class of Term Loans as the Existing Term A-2 Loans and shall be fungible with the Existing Term A-2 Loans. Except as necessary to give effect to the provisions of Section (b)(iii) through (vi) below, (a) the 2023 Incremental Term A-2 Loans shall be “Term Loans”, “Term A-2 Loans” and “Incremental Term Loans” and (b) the 2023 Incremental Term A-2 Loan Commitments shall be “Term Commitments”, “Term A-2 Loan Commitments” and “Incremental Term Loan Commitments”, in each case, for all purposes of the Amended Credit Agreement and the other Loan Documents. The 2023 Incremental Term Loans may be repaid or prepaid in the same manner as the Existing Term A-2 Loans in accordance with the provisions of the Amended Credit Agreement and this Amendment, but once repaid or prepaid may not be reborrowed.</w:t>
      </w:r>
    </w:p>
    <w:p>
      <w:pPr>
        <w:spacing w:after="0" w:line="200" w:lineRule="exact"/>
        <w:rPr>
          <w:rFonts w:ascii="Arial" w:cs="Arial" w:eastAsia="Arial" w:hAnsi="Arial"/>
          <w:sz w:val="20"/>
          <w:szCs w:val="20"/>
          <w:color w:val="auto"/>
        </w:rPr>
      </w:pPr>
    </w:p>
    <w:p>
      <w:pPr>
        <w:ind w:left="180" w:right="120" w:firstLine="652"/>
        <w:spacing w:after="0" w:line="271" w:lineRule="auto"/>
        <w:tabs>
          <w:tab w:leader="none" w:pos="1308"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aggregate principal amount of the 2023 Incremental Term A-2 Loans made on the Amendment Effective Date shall be $250,000,000.00.</w:t>
      </w:r>
    </w:p>
    <w:p>
      <w:pPr>
        <w:spacing w:after="0" w:line="169" w:lineRule="exact"/>
        <w:rPr>
          <w:rFonts w:ascii="Arial" w:cs="Arial" w:eastAsia="Arial" w:hAnsi="Arial"/>
          <w:sz w:val="20"/>
          <w:szCs w:val="20"/>
          <w:color w:val="auto"/>
        </w:rPr>
      </w:pPr>
    </w:p>
    <w:p>
      <w:pPr>
        <w:jc w:val="both"/>
        <w:ind w:left="180" w:firstLine="652"/>
        <w:spacing w:after="0" w:line="248" w:lineRule="auto"/>
        <w:tabs>
          <w:tab w:leader="none" w:pos="1319"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Stated Maturity in respect of the 2023 Incremental Term A-2 Loans (the “</w:t>
      </w:r>
      <w:r>
        <w:rPr>
          <w:rFonts w:ascii="Arial" w:cs="Arial" w:eastAsia="Arial" w:hAnsi="Arial"/>
          <w:sz w:val="20"/>
          <w:szCs w:val="20"/>
          <w:u w:val="single" w:color="auto"/>
          <w:color w:val="auto"/>
        </w:rPr>
        <w:t>2023 Incremental 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A-2 Loan Stated Maturity</w:t>
      </w:r>
      <w:r>
        <w:rPr>
          <w:rFonts w:ascii="Arial" w:cs="Arial" w:eastAsia="Arial" w:hAnsi="Arial"/>
          <w:sz w:val="20"/>
          <w:szCs w:val="20"/>
          <w:color w:val="auto"/>
        </w:rPr>
        <w:t>”) shall be the Term A-2 Stated Maturity in respect of the Existing Term A-2 Loans as set forth in the definition “Term A-2 Stated Maturity” in the Existing Credit Agreement.</w:t>
      </w:r>
    </w:p>
    <w:p>
      <w:pPr>
        <w:spacing w:after="0" w:line="191" w:lineRule="exact"/>
        <w:rPr>
          <w:rFonts w:ascii="Arial" w:cs="Arial" w:eastAsia="Arial" w:hAnsi="Arial"/>
          <w:sz w:val="20"/>
          <w:szCs w:val="20"/>
          <w:color w:val="auto"/>
        </w:rPr>
      </w:pPr>
    </w:p>
    <w:p>
      <w:pPr>
        <w:ind w:left="180" w:firstLine="652"/>
        <w:spacing w:after="0"/>
        <w:tabs>
          <w:tab w:leader="none" w:pos="1275"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2023 Incremental Term A-2 Loans shall accrue interest on the same basis, and with the same Applicable Margin as the Existing Term A-2 Loans (it being understood that, as of the Amendment Effective Date, the 2023 Incremental Term A-2 Loans shall constitute the same Type of Term A-2 Loans as the Existing Term A-2 Loans and, to the extent the Existing Term A-2 Loans are SOFR Loans, have an initial Interest Period ending on the last day of the Interest Period applicable to the Existing Term A-2 Loans).</w:t>
      </w:r>
    </w:p>
    <w:p>
      <w:pPr>
        <w:spacing w:after="0" w:line="213" w:lineRule="exact"/>
        <w:rPr>
          <w:rFonts w:ascii="Arial" w:cs="Arial" w:eastAsia="Arial" w:hAnsi="Arial"/>
          <w:sz w:val="20"/>
          <w:szCs w:val="20"/>
          <w:color w:val="auto"/>
        </w:rPr>
      </w:pPr>
    </w:p>
    <w:p>
      <w:pPr>
        <w:ind w:left="180" w:right="60" w:firstLine="652"/>
        <w:spacing w:after="0" w:line="237" w:lineRule="auto"/>
        <w:tabs>
          <w:tab w:leader="none" w:pos="1319"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original aggregate principal amount of the 2023 Incremental Term A-2 Loans (as such amounts may be reduced pursuant to Section 2.11 of the Amended Credit Agreement) shall be repayable in equal quarterly installments on the same dates and in the same percentage as for the Existing Term A-2 Loans as set forth in Section 2.7 of the Amended Credit Agreement. The balance of the 2023 Incremental Term A-2 Loans will be repayable on the Term Loan Maturity Date.</w:t>
      </w:r>
    </w:p>
    <w:p>
      <w:pPr>
        <w:spacing w:after="0" w:line="214" w:lineRule="exact"/>
        <w:rPr>
          <w:rFonts w:ascii="Arial" w:cs="Arial" w:eastAsia="Arial" w:hAnsi="Arial"/>
          <w:sz w:val="20"/>
          <w:szCs w:val="20"/>
          <w:color w:val="auto"/>
        </w:rPr>
      </w:pPr>
    </w:p>
    <w:p>
      <w:pPr>
        <w:ind w:left="640" w:hanging="456"/>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2023 Incremental Term A-3 Loans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80" w:right="40" w:firstLine="652"/>
        <w:spacing w:after="0" w:line="248" w:lineRule="auto"/>
        <w:tabs>
          <w:tab w:leader="none" w:pos="1224" w:val="left"/>
        </w:tabs>
        <w:numPr>
          <w:ilvl w:val="1"/>
          <w:numId w:val="38"/>
        </w:numPr>
        <w:rPr>
          <w:rFonts w:ascii="Arial" w:cs="Arial" w:eastAsia="Arial" w:hAnsi="Arial"/>
          <w:sz w:val="20"/>
          <w:szCs w:val="20"/>
          <w:color w:val="auto"/>
        </w:rPr>
      </w:pPr>
      <w:r>
        <w:rPr>
          <w:rFonts w:ascii="Arial" w:cs="Arial" w:eastAsia="Arial" w:hAnsi="Arial"/>
          <w:sz w:val="20"/>
          <w:szCs w:val="20"/>
          <w:color w:val="auto"/>
        </w:rPr>
        <w:t>Each 2023 Incremental Term Lender, as applicable, agrees to provide the Incremental Term A-3 Commitments and to fund the 2023 Incremental Term A-3 Loans thereunder on the Amendment Effective Date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080"/>
          </w:cols>
          <w:pgMar w:left="1440" w:top="1414" w:right="379" w:bottom="1440" w:gutter="0" w:footer="0" w:header="0"/>
        </w:sectPr>
      </w:pPr>
    </w:p>
    <w:bookmarkStart w:id="67" w:name="page68"/>
    <w:bookmarkEnd w:id="67"/>
    <w:p>
      <w:pPr>
        <w:ind w:left="1260" w:right="20"/>
        <w:spacing w:after="0" w:line="257" w:lineRule="auto"/>
        <w:rPr>
          <w:sz w:val="20"/>
          <w:szCs w:val="20"/>
          <w:color w:val="auto"/>
        </w:rPr>
      </w:pPr>
      <w:r>
        <w:rPr>
          <w:rFonts w:ascii="Arial" w:cs="Arial" w:eastAsia="Arial" w:hAnsi="Arial"/>
          <w:sz w:val="20"/>
          <w:szCs w:val="20"/>
          <w:color w:val="auto"/>
        </w:rPr>
        <w:t xml:space="preserve">amount set forth next to such 2023 Incremental Term Lender’s name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under the caption “2023 Incremental Term A-3 Commitment”.</w:t>
      </w:r>
    </w:p>
    <w:p>
      <w:pPr>
        <w:spacing w:after="0" w:line="196" w:lineRule="exact"/>
        <w:rPr>
          <w:sz w:val="20"/>
          <w:szCs w:val="20"/>
          <w:color w:val="auto"/>
        </w:rPr>
      </w:pPr>
    </w:p>
    <w:p>
      <w:pPr>
        <w:ind w:left="1260" w:firstLine="652"/>
        <w:spacing w:after="0" w:line="234" w:lineRule="auto"/>
        <w:tabs>
          <w:tab w:leader="none" w:pos="2348" w:val="left"/>
        </w:tabs>
        <w:numPr>
          <w:ilvl w:val="1"/>
          <w:numId w:val="39"/>
        </w:numPr>
        <w:rPr>
          <w:rFonts w:ascii="Arial" w:cs="Arial" w:eastAsia="Arial" w:hAnsi="Arial"/>
          <w:sz w:val="20"/>
          <w:szCs w:val="20"/>
          <w:color w:val="auto"/>
        </w:rPr>
      </w:pPr>
      <w:r>
        <w:rPr>
          <w:rFonts w:ascii="Arial" w:cs="Arial" w:eastAsia="Arial" w:hAnsi="Arial"/>
          <w:sz w:val="20"/>
          <w:szCs w:val="20"/>
          <w:color w:val="auto"/>
        </w:rPr>
        <w:t>Except as otherwise expressly set forth herein and in the Amended Credit Agreement, the 2023 Incremental Term A-3 Loans shall have terms that are identical to those of the Existing Term A-3 Loans and shall be “Term A-3 Loans” for all purposes under the Amended Credit Agreement and the other Loan Documents. Effective as of the Amendment Effective Date, the 2023 Incremental Term A-3 Loans shall constitute the same class of Term Loans as the Existing Term A-3 Loans and shall be fungible with the Existing Term A-3 Loans. Except as necessary to give effect to the provisions of Section (c)(iii) through (vi) below, (a) the 2023 Incremental Term A-3 Loans shall be “Term Loans”, “Term A-3 Loans” and “Incremental Term Loans” and (b) the 2023 Incremental Term A-3 Loan Commitments shall be “Term Commitments”, “Term A-3 Loan Commitments” and “Incremental Term Loan Commitments”, in each case, for all purposes of the Amended Credit Agreement and the other Loan Documents. The 2023 Incremental Term Loans may be repaid or prepaid in the same manner as the Existing Term A-3 Loans in accordance with the provisions of the Amended Credit Agreement and this Amendment, but once repaid or prepaid may not be reborrowed.</w:t>
      </w:r>
    </w:p>
    <w:p>
      <w:pPr>
        <w:spacing w:after="0" w:line="211" w:lineRule="exact"/>
        <w:rPr>
          <w:rFonts w:ascii="Arial" w:cs="Arial" w:eastAsia="Arial" w:hAnsi="Arial"/>
          <w:sz w:val="20"/>
          <w:szCs w:val="20"/>
          <w:color w:val="auto"/>
        </w:rPr>
      </w:pPr>
    </w:p>
    <w:p>
      <w:pPr>
        <w:ind w:left="1260" w:right="120" w:firstLine="652"/>
        <w:spacing w:after="0" w:line="257" w:lineRule="auto"/>
        <w:tabs>
          <w:tab w:leader="none" w:pos="2388"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aggregate principal amount of the 2023 Incremental Term A-3 Loans made on the Amendment Effective Date shall be $225,000,000.00.</w:t>
      </w:r>
    </w:p>
    <w:p>
      <w:pPr>
        <w:spacing w:after="0" w:line="195" w:lineRule="exact"/>
        <w:rPr>
          <w:rFonts w:ascii="Arial" w:cs="Arial" w:eastAsia="Arial" w:hAnsi="Arial"/>
          <w:sz w:val="20"/>
          <w:szCs w:val="20"/>
          <w:color w:val="auto"/>
        </w:rPr>
      </w:pPr>
    </w:p>
    <w:p>
      <w:pPr>
        <w:jc w:val="both"/>
        <w:ind w:left="1260" w:firstLine="652"/>
        <w:spacing w:after="0" w:line="248" w:lineRule="auto"/>
        <w:tabs>
          <w:tab w:leader="none" w:pos="2399"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Stated Maturity in respect of the 2023 Incremental Term A-3 Loans (the “</w:t>
      </w:r>
      <w:r>
        <w:rPr>
          <w:rFonts w:ascii="Arial" w:cs="Arial" w:eastAsia="Arial" w:hAnsi="Arial"/>
          <w:sz w:val="20"/>
          <w:szCs w:val="20"/>
          <w:u w:val="single" w:color="auto"/>
          <w:color w:val="auto"/>
        </w:rPr>
        <w:t>2023 Incremental 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A-3 Loan Stated Maturity</w:t>
      </w:r>
      <w:r>
        <w:rPr>
          <w:rFonts w:ascii="Arial" w:cs="Arial" w:eastAsia="Arial" w:hAnsi="Arial"/>
          <w:sz w:val="20"/>
          <w:szCs w:val="20"/>
          <w:color w:val="auto"/>
        </w:rPr>
        <w:t>”) shall be the Term A-3 Stated Maturity in respect of the Existing Term A-3 Loans as set forth in the definition “Term A-3 Stated Maturity” in the Existing Credit Agreement.</w:t>
      </w:r>
    </w:p>
    <w:p>
      <w:pPr>
        <w:spacing w:after="0" w:line="191" w:lineRule="exact"/>
        <w:rPr>
          <w:rFonts w:ascii="Arial" w:cs="Arial" w:eastAsia="Arial" w:hAnsi="Arial"/>
          <w:sz w:val="20"/>
          <w:szCs w:val="20"/>
          <w:color w:val="auto"/>
        </w:rPr>
      </w:pPr>
    </w:p>
    <w:p>
      <w:pPr>
        <w:ind w:left="1260" w:firstLine="652"/>
        <w:spacing w:after="0"/>
        <w:tabs>
          <w:tab w:leader="none" w:pos="2355"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2023 Incremental Term A-3 Loans shall accrue interest on the same basis, and with the same Applicable Margin as the Existing Term A-3 Loans (it being understood that, as of the Amendment Effective Date, the 2023 Incremental Term A-3 Loans shall constitute the same Type of Term A-3 Loans as the Existing Term A-3 Loans and, to the extent the Existing Term A-3 Loans are SOFR Loans, have an initial Interest Period ending on the last day of the Interest Period applicable to the Existing Term A-3 Loans).</w:t>
      </w:r>
    </w:p>
    <w:p>
      <w:pPr>
        <w:spacing w:after="0" w:line="200" w:lineRule="exact"/>
        <w:rPr>
          <w:rFonts w:ascii="Arial" w:cs="Arial" w:eastAsia="Arial" w:hAnsi="Arial"/>
          <w:sz w:val="20"/>
          <w:szCs w:val="20"/>
          <w:color w:val="auto"/>
        </w:rPr>
      </w:pPr>
    </w:p>
    <w:p>
      <w:pPr>
        <w:ind w:left="1260" w:right="60" w:firstLine="652"/>
        <w:spacing w:after="0"/>
        <w:tabs>
          <w:tab w:leader="none" w:pos="2399"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original aggregate principal amount of the 2023 Incremental Term A-3 Loans (as such amounts may be reduced pursuant to Section 2.11 of the Amended Credit Agreement) shall be repayable in equal quarterly installments on the same dates and in the same percentage as for the Existing Term A-3 Loans as set forth in Section 2.7 of the Amended Credit Agreement. The balance of the 2023 Incremental Term A-3 Loans will be repayable on the Term Loan Maturity Date.</w:t>
      </w:r>
    </w:p>
    <w:p>
      <w:pPr>
        <w:spacing w:after="0" w:line="200" w:lineRule="exact"/>
        <w:rPr>
          <w:rFonts w:ascii="Arial" w:cs="Arial" w:eastAsia="Arial" w:hAnsi="Arial"/>
          <w:sz w:val="20"/>
          <w:szCs w:val="20"/>
          <w:color w:val="auto"/>
        </w:rPr>
      </w:pPr>
    </w:p>
    <w:p>
      <w:pPr>
        <w:ind w:left="-40" w:right="140" w:firstLine="1304"/>
        <w:spacing w:after="0" w:line="248" w:lineRule="auto"/>
        <w:tabs>
          <w:tab w:leader="none" w:pos="1718" w:val="left"/>
        </w:tabs>
        <w:numPr>
          <w:ilvl w:val="0"/>
          <w:numId w:val="40"/>
        </w:numPr>
        <w:rPr>
          <w:rFonts w:ascii="Arial" w:cs="Arial" w:eastAsia="Arial" w:hAnsi="Arial"/>
          <w:sz w:val="20"/>
          <w:szCs w:val="20"/>
          <w:color w:val="auto"/>
        </w:rPr>
      </w:pPr>
      <w:r>
        <w:rPr>
          <w:rFonts w:ascii="Arial" w:cs="Arial" w:eastAsia="Arial" w:hAnsi="Arial"/>
          <w:sz w:val="20"/>
          <w:szCs w:val="20"/>
          <w:color w:val="auto"/>
        </w:rPr>
        <w:t>With respect to the 2023 Incremental Term Loans, this Amendment is an Incremental Assumption Amendment referred to in Section 2.21 of the Existing Credit Agreement. The parties hereto agree to waive the notice required pursuant to Section 2.21 of the Existing Credit Agreement.</w:t>
      </w:r>
    </w:p>
    <w:p>
      <w:pPr>
        <w:spacing w:after="0" w:line="205" w:lineRule="exact"/>
        <w:rPr>
          <w:sz w:val="20"/>
          <w:szCs w:val="20"/>
          <w:color w:val="auto"/>
        </w:rPr>
      </w:pPr>
    </w:p>
    <w:p>
      <w:pPr>
        <w:ind w:left="1260"/>
        <w:spacing w:after="0"/>
        <w:tabs>
          <w:tab w:leader="none" w:pos="25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9"/>
          <w:szCs w:val="19"/>
          <w:u w:val="single" w:color="auto"/>
          <w:color w:val="auto"/>
        </w:rPr>
        <w:t>Amendments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60"/>
          </w:cols>
          <w:pgMar w:left="360" w:top="1414" w:right="379" w:bottom="1440" w:gutter="0" w:footer="0" w:header="0"/>
        </w:sectPr>
      </w:pPr>
    </w:p>
    <w:bookmarkStart w:id="68" w:name="page69"/>
    <w:bookmarkEnd w:id="68"/>
    <w:p>
      <w:pPr>
        <w:spacing w:after="0" w:line="217" w:lineRule="exact"/>
        <w:rPr>
          <w:sz w:val="20"/>
          <w:szCs w:val="20"/>
          <w:color w:val="auto"/>
        </w:rPr>
      </w:pPr>
    </w:p>
    <w:p>
      <w:pPr>
        <w:ind w:right="580" w:firstLine="1304"/>
        <w:spacing w:after="0" w:line="257" w:lineRule="auto"/>
        <w:tabs>
          <w:tab w:leader="none" w:pos="1758" w:val="left"/>
        </w:tabs>
        <w:numPr>
          <w:ilvl w:val="0"/>
          <w:numId w:val="41"/>
        </w:numPr>
        <w:rPr>
          <w:rFonts w:ascii="Arial" w:cs="Arial" w:eastAsia="Arial" w:hAnsi="Arial"/>
          <w:sz w:val="20"/>
          <w:szCs w:val="20"/>
          <w:color w:val="auto"/>
        </w:rPr>
      </w:pPr>
      <w:r>
        <w:rPr>
          <w:rFonts w:ascii="Arial" w:cs="Arial" w:eastAsia="Arial" w:hAnsi="Arial"/>
          <w:sz w:val="20"/>
          <w:szCs w:val="20"/>
          <w:color w:val="auto"/>
        </w:rPr>
        <w:t>Section 1.1 of the Existing Credit Agreement is hereby amended by adding the following definitions in proper alphabetical order:</w:t>
      </w:r>
    </w:p>
    <w:p>
      <w:pPr>
        <w:spacing w:after="0" w:line="196" w:lineRule="exact"/>
        <w:rPr>
          <w:sz w:val="20"/>
          <w:szCs w:val="20"/>
          <w:color w:val="auto"/>
        </w:rPr>
      </w:pPr>
    </w:p>
    <w:p>
      <w:pPr>
        <w:ind w:right="300" w:firstLine="44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2023 Incremental Amendment</w:t>
      </w:r>
      <w:r>
        <w:rPr>
          <w:rFonts w:ascii="Arial" w:cs="Arial" w:eastAsia="Arial" w:hAnsi="Arial"/>
          <w:sz w:val="20"/>
          <w:szCs w:val="20"/>
          <w:color w:val="auto"/>
        </w:rPr>
        <w:t>”: means that certain Incremental Amendment No. 1 to the Term Loan Credit Agreement, dated as of January 5, 2023, among the Borrower, the Lenders party thereto and the Administrative Agent.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as defined in the 2023 Incremental Amendment.</w:t>
      </w:r>
    </w:p>
    <w:p>
      <w:pPr>
        <w:spacing w:after="0" w:line="229" w:lineRule="exact"/>
        <w:rPr>
          <w:sz w:val="20"/>
          <w:szCs w:val="20"/>
          <w:color w:val="auto"/>
        </w:rPr>
      </w:pPr>
    </w:p>
    <w:p>
      <w:pPr>
        <w:ind w:right="320" w:firstLine="1304"/>
        <w:spacing w:after="0" w:line="271" w:lineRule="auto"/>
        <w:tabs>
          <w:tab w:leader="none" w:pos="1758" w:val="left"/>
        </w:tabs>
        <w:numPr>
          <w:ilvl w:val="0"/>
          <w:numId w:val="42"/>
        </w:numPr>
        <w:rPr>
          <w:rFonts w:ascii="Arial" w:cs="Arial" w:eastAsia="Arial" w:hAnsi="Arial"/>
          <w:sz w:val="20"/>
          <w:szCs w:val="20"/>
          <w:color w:val="auto"/>
        </w:rPr>
      </w:pPr>
      <w:r>
        <w:rPr>
          <w:rFonts w:ascii="Arial" w:cs="Arial" w:eastAsia="Arial" w:hAnsi="Arial"/>
          <w:sz w:val="20"/>
          <w:szCs w:val="20"/>
          <w:color w:val="auto"/>
        </w:rPr>
        <w:t>Section 1.1 of the Existing Credit Agreement is hereby amended by adding the following sentence to the end of the definition of “Term A-1 Commitments”: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 of the Amendment Effective Date, the Term A-1 Loan Commitments shall be increased by $125,000,000.00.”</w:t>
      </w:r>
    </w:p>
    <w:p>
      <w:pPr>
        <w:spacing w:after="0" w:line="268" w:lineRule="exact"/>
        <w:rPr>
          <w:sz w:val="20"/>
          <w:szCs w:val="20"/>
          <w:color w:val="auto"/>
        </w:rPr>
      </w:pPr>
    </w:p>
    <w:p>
      <w:pPr>
        <w:ind w:right="340" w:firstLine="1304"/>
        <w:spacing w:after="0" w:line="257" w:lineRule="auto"/>
        <w:tabs>
          <w:tab w:leader="none" w:pos="1747" w:val="left"/>
        </w:tabs>
        <w:numPr>
          <w:ilvl w:val="0"/>
          <w:numId w:val="43"/>
        </w:numPr>
        <w:rPr>
          <w:rFonts w:ascii="Arial" w:cs="Arial" w:eastAsia="Arial" w:hAnsi="Arial"/>
          <w:sz w:val="20"/>
          <w:szCs w:val="20"/>
          <w:color w:val="auto"/>
        </w:rPr>
      </w:pPr>
      <w:r>
        <w:rPr>
          <w:rFonts w:ascii="Arial" w:cs="Arial" w:eastAsia="Arial" w:hAnsi="Arial"/>
          <w:sz w:val="20"/>
          <w:szCs w:val="20"/>
          <w:color w:val="auto"/>
        </w:rPr>
        <w:t>Section 1.1 of the Existing Credit Agreement is hereby amended by adding the following sentence to the end of the definition of “Term A-2 Commitments”: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 of the Amendment Effective Date, the Term A-2 Loan Commitments shall be increased by $250,000,000.00.”</w:t>
      </w:r>
    </w:p>
    <w:p>
      <w:pPr>
        <w:spacing w:after="0" w:line="241" w:lineRule="exact"/>
        <w:rPr>
          <w:sz w:val="20"/>
          <w:szCs w:val="20"/>
          <w:color w:val="auto"/>
        </w:rPr>
      </w:pPr>
    </w:p>
    <w:p>
      <w:pPr>
        <w:ind w:right="320" w:firstLine="1304"/>
        <w:spacing w:after="0" w:line="271" w:lineRule="auto"/>
        <w:tabs>
          <w:tab w:leader="none" w:pos="1758"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Section 1.1 of the Existing Credit Agreement is hereby amended by adding the following sentence to the end of the definition of “Term A-2 Commitments”: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 of the Amendment Effective Date, the Term A-3 Loan Commitments shall be increased by $225,000,000.00.”</w:t>
      </w:r>
    </w:p>
    <w:p>
      <w:pPr>
        <w:spacing w:after="0" w:line="26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9"/>
          <w:szCs w:val="19"/>
          <w:u w:val="single" w:color="auto"/>
          <w:color w:val="auto"/>
        </w:rPr>
        <w:t>Conditions to Effectiveness</w:t>
      </w:r>
      <w:r>
        <w:rPr>
          <w:rFonts w:ascii="Arial" w:cs="Arial" w:eastAsia="Arial" w:hAnsi="Arial"/>
          <w:sz w:val="19"/>
          <w:szCs w:val="19"/>
          <w:color w:val="auto"/>
        </w:rPr>
        <w:t>.</w:t>
      </w:r>
    </w:p>
    <w:p>
      <w:pPr>
        <w:spacing w:after="0" w:line="243" w:lineRule="exact"/>
        <w:rPr>
          <w:sz w:val="20"/>
          <w:szCs w:val="20"/>
          <w:color w:val="auto"/>
        </w:rPr>
      </w:pPr>
    </w:p>
    <w:p>
      <w:pPr>
        <w:ind w:firstLine="1304"/>
        <w:spacing w:after="0" w:line="248" w:lineRule="auto"/>
        <w:tabs>
          <w:tab w:leader="none" w:pos="1758"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and the obligation of each 2023 Incremental Term Lender to make the 2023 Incremental Term Loans shall become effective on the date that the following conditions shall have been satisfied (or waived in accordance with Section 9.1 of the Existing Credit Agreement )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300" w:right="620" w:firstLine="652"/>
        <w:spacing w:after="0" w:line="271" w:lineRule="auto"/>
        <w:tabs>
          <w:tab w:leader="none" w:pos="23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This Amendment shall have been executed and delivered by (i) a duly authorized officer of the Borrower, (ii) the 2023 Incremental Term Lenders and (iii) the Administrative Agent.</w:t>
      </w:r>
    </w:p>
    <w:p>
      <w:pPr>
        <w:spacing w:after="0" w:line="169" w:lineRule="exact"/>
        <w:rPr>
          <w:rFonts w:ascii="Arial" w:cs="Arial" w:eastAsia="Arial" w:hAnsi="Arial"/>
          <w:sz w:val="20"/>
          <w:szCs w:val="20"/>
          <w:color w:val="auto"/>
        </w:rPr>
      </w:pPr>
    </w:p>
    <w:p>
      <w:pPr>
        <w:ind w:left="1300" w:right="260" w:firstLine="652"/>
        <w:spacing w:after="0" w:line="248" w:lineRule="auto"/>
        <w:tabs>
          <w:tab w:leader="none" w:pos="2384"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Administrative Agent shall have received executed legal opinions from (i) Wilson Sonsini Goodrich &amp; Rosati P.C., counsel to the Borrower and (ii) the general counsel of the Borrower, each in form and substance satisfactory to the Administrative Agent</w:t>
      </w:r>
    </w:p>
    <w:p>
      <w:pPr>
        <w:spacing w:after="0" w:line="205" w:lineRule="exact"/>
        <w:rPr>
          <w:rFonts w:ascii="Arial" w:cs="Arial" w:eastAsia="Arial" w:hAnsi="Arial"/>
          <w:sz w:val="20"/>
          <w:szCs w:val="20"/>
          <w:color w:val="auto"/>
        </w:rPr>
      </w:pPr>
    </w:p>
    <w:p>
      <w:pPr>
        <w:ind w:left="1300" w:right="380" w:firstLine="652"/>
        <w:spacing w:after="0" w:line="260" w:lineRule="auto"/>
        <w:tabs>
          <w:tab w:leader="none" w:pos="2428"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Administrative Agent shall have received (i) a certificate of Borrower, dated the Amendment Effective Date with appropriate insertions and attachments, including the certificate of incorporation of the Borrower, and (ii) a long form good standing certificate for Borrower from its jurisdiction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00"/>
          </w:cols>
          <w:pgMar w:left="320" w:top="1440" w:right="379" w:bottom="1440" w:gutter="0" w:footer="0" w:header="0"/>
        </w:sectPr>
      </w:pPr>
    </w:p>
    <w:bookmarkStart w:id="69" w:name="page70"/>
    <w:bookmarkEnd w:id="69"/>
    <w:p>
      <w:pPr>
        <w:ind w:left="1300" w:right="60" w:firstLine="652"/>
        <w:spacing w:after="0" w:line="234" w:lineRule="auto"/>
        <w:tabs>
          <w:tab w:leader="none" w:pos="2443" w:val="left"/>
        </w:tabs>
        <w:numPr>
          <w:ilvl w:val="0"/>
          <w:numId w:val="46"/>
        </w:numPr>
        <w:rPr>
          <w:rFonts w:ascii="Arial" w:cs="Arial" w:eastAsia="Arial" w:hAnsi="Arial"/>
          <w:sz w:val="20"/>
          <w:szCs w:val="20"/>
          <w:color w:val="auto"/>
        </w:rPr>
      </w:pPr>
      <w:r>
        <w:rPr>
          <w:rFonts w:ascii="Arial" w:cs="Arial" w:eastAsia="Arial" w:hAnsi="Arial"/>
          <w:sz w:val="20"/>
          <w:szCs w:val="20"/>
          <w:color w:val="auto"/>
        </w:rPr>
        <w:t>(i) The Administrative Agent shall have received, at least three (3) Business Days prior to the Amendment Effective Date, all documentation and information as is reasonably requested in writing by any 2023 Incremental Term Lender at least 10 days prior to the Amendment Effective Date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Amendment Effective Date, any Lender that has requested, in a written notice to the Borrower at least 10 days prior to the Amendment Effective Date, a Beneficial Ownership Certification in relation to the Borrower shall have received such Beneficial Ownership Certification (provided that, upon the execution and delivery by such 2023 Incremental Term Lender of its signature page to this Amendment, the condition set forth in this clause (ii) shall be deemed to be satisfied).</w:t>
      </w:r>
    </w:p>
    <w:p>
      <w:pPr>
        <w:spacing w:after="0" w:line="219" w:lineRule="exact"/>
        <w:rPr>
          <w:rFonts w:ascii="Arial" w:cs="Arial" w:eastAsia="Arial" w:hAnsi="Arial"/>
          <w:sz w:val="20"/>
          <w:szCs w:val="20"/>
          <w:color w:val="auto"/>
        </w:rPr>
      </w:pPr>
    </w:p>
    <w:p>
      <w:pPr>
        <w:ind w:left="1300" w:right="380" w:firstLine="652"/>
        <w:spacing w:after="0" w:line="257" w:lineRule="auto"/>
        <w:tabs>
          <w:tab w:leader="none" w:pos="2399"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or would result after giving effect to this Amendment, including the 2023 Incremental Term Loans and use of proceeds thereof.</w:t>
      </w:r>
    </w:p>
    <w:p>
      <w:pPr>
        <w:spacing w:after="0" w:line="182" w:lineRule="exact"/>
        <w:rPr>
          <w:rFonts w:ascii="Arial" w:cs="Arial" w:eastAsia="Arial" w:hAnsi="Arial"/>
          <w:sz w:val="20"/>
          <w:szCs w:val="20"/>
          <w:color w:val="auto"/>
        </w:rPr>
      </w:pPr>
    </w:p>
    <w:p>
      <w:pPr>
        <w:ind w:left="1300" w:firstLine="652"/>
        <w:spacing w:after="0" w:line="256" w:lineRule="auto"/>
        <w:tabs>
          <w:tab w:leader="none" w:pos="2432" w:val="left"/>
        </w:tabs>
        <w:numPr>
          <w:ilvl w:val="0"/>
          <w:numId w:val="46"/>
        </w:numPr>
        <w:rPr>
          <w:rFonts w:ascii="Arial" w:cs="Arial" w:eastAsia="Arial" w:hAnsi="Arial"/>
          <w:sz w:val="19"/>
          <w:szCs w:val="19"/>
          <w:color w:val="auto"/>
        </w:rPr>
      </w:pPr>
      <w:r>
        <w:rPr>
          <w:rFonts w:ascii="Arial" w:cs="Arial" w:eastAsia="Arial" w:hAnsi="Arial"/>
          <w:sz w:val="19"/>
          <w:szCs w:val="19"/>
          <w:color w:val="auto"/>
        </w:rPr>
        <w:t>All representations and warranties contained in the Loan Documents shall be true and correct in all material respects on and as of the Amendment Effective Date,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198" w:lineRule="exact"/>
        <w:rPr>
          <w:rFonts w:ascii="Arial" w:cs="Arial" w:eastAsia="Arial" w:hAnsi="Arial"/>
          <w:sz w:val="19"/>
          <w:szCs w:val="19"/>
          <w:color w:val="auto"/>
        </w:rPr>
      </w:pPr>
    </w:p>
    <w:p>
      <w:pPr>
        <w:ind w:left="1300" w:right="40" w:firstLine="652"/>
        <w:spacing w:after="0"/>
        <w:tabs>
          <w:tab w:leader="none" w:pos="2483"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the Borrower payment of all fees and expenses required to be paid to the Administrative Agent and 2023 Incremental Term Lenders on or before the Amendment Effective Date for which written invoices in reasonable detail have been submitted at least two Business Days prior to the Amendment Effective Date.</w:t>
      </w:r>
    </w:p>
    <w:p>
      <w:pPr>
        <w:spacing w:after="0" w:line="200" w:lineRule="exact"/>
        <w:rPr>
          <w:rFonts w:ascii="Arial" w:cs="Arial" w:eastAsia="Arial" w:hAnsi="Arial"/>
          <w:sz w:val="20"/>
          <w:szCs w:val="20"/>
          <w:color w:val="auto"/>
        </w:rPr>
      </w:pPr>
    </w:p>
    <w:p>
      <w:pPr>
        <w:ind w:left="2540" w:hanging="588"/>
        <w:spacing w:after="0"/>
        <w:tabs>
          <w:tab w:leader="none" w:pos="25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Amendment Effective Date shall be on or prior to March 31, 2023.</w:t>
      </w:r>
    </w:p>
    <w:p>
      <w:pPr>
        <w:spacing w:after="0" w:line="242" w:lineRule="exact"/>
        <w:rPr>
          <w:rFonts w:ascii="Arial" w:cs="Arial" w:eastAsia="Arial" w:hAnsi="Arial"/>
          <w:sz w:val="20"/>
          <w:szCs w:val="20"/>
          <w:color w:val="auto"/>
        </w:rPr>
      </w:pPr>
    </w:p>
    <w:p>
      <w:pPr>
        <w:ind w:left="1300" w:right="280" w:firstLine="652"/>
        <w:spacing w:after="0" w:line="284" w:lineRule="auto"/>
        <w:tabs>
          <w:tab w:leader="none" w:pos="2439"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Administrative Agent shall have received a Borrowing Request delivered in accordance with Section 2.3 of the Existing Credit Agreement specifying the Amendment Effective Date as the 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-3923030</wp:posOffset>
            </wp:positionV>
            <wp:extent cx="349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51"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2023 Incremental Term Lenders</w:t>
      </w:r>
      <w:r>
        <w:rPr>
          <w:rFonts w:ascii="Arial" w:cs="Arial" w:eastAsia="Arial" w:hAnsi="Arial"/>
          <w:sz w:val="20"/>
          <w:szCs w:val="20"/>
          <w:color w:val="auto"/>
        </w:rPr>
        <w:t>. Each 2023 Incremental Term Lender (a) represents and warrants that it is legally authorized to enter into this Amendment; (b) confirms that it has received a copy of the Amended Credit Agreement, together with copies of the financial statements delivered pursuant to Section 5.1 thereof and such other documents and information as it has deemed appropriate to make its own credit analysis and decision to enter into this Amendment; (c) agrees that it will, independently and without reliance upon the Administrative Agent or any Lender and based on such documents and information as it shall deem appropriate at the time, continue to make its own credit decisions in taking or not taking action under the Amended Credit Agreement, the other Loan Documents or any other instrument or document furnished pursuant hereto or thereto; (d) appoints and authorizes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20"/>
          </w:cols>
          <w:pgMar w:left="320" w:top="1414" w:right="359" w:bottom="1440" w:gutter="0" w:footer="0" w:header="0"/>
        </w:sectPr>
      </w:pPr>
    </w:p>
    <w:bookmarkStart w:id="70" w:name="page71"/>
    <w:bookmarkEnd w:id="70"/>
    <w:p>
      <w:pPr>
        <w:spacing w:after="0" w:line="238" w:lineRule="auto"/>
        <w:rPr>
          <w:sz w:val="20"/>
          <w:szCs w:val="20"/>
          <w:color w:val="auto"/>
        </w:rPr>
      </w:pPr>
      <w:r>
        <w:rPr>
          <w:rFonts w:ascii="Arial" w:cs="Arial" w:eastAsia="Arial" w:hAnsi="Arial"/>
          <w:sz w:val="20"/>
          <w:szCs w:val="20"/>
          <w:color w:val="auto"/>
        </w:rPr>
        <w:t>Administrative Agent to take such action as agent on its behalf and to exercise such powers and discretion under the Amended Credit Agreement, the other Loan Documents or any other instrument or document furnished pursuant hereto or thereto as are delegated to the Administrative Agent by the terms thereof, together with such powers as are incidental thereto; and (e) agrees that it will be bound by the provisions of the Amended Credit Agreement and will perform in accordance with its terms all the obligations which by the terms of the Amended Credit Agreement are required to be performed by it as a Lender including, if it is organized under the laws of a jurisdiction outside the United States, its obligation pursuant to Section 2.16(e) of the Amended Credit Agreement.</w:t>
      </w:r>
    </w:p>
    <w:p>
      <w:pPr>
        <w:spacing w:after="0" w:line="19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Representations of the Borrower</w:t>
      </w:r>
      <w:r>
        <w:rPr>
          <w:rFonts w:ascii="Arial" w:cs="Arial" w:eastAsia="Arial" w:hAnsi="Arial"/>
          <w:sz w:val="20"/>
          <w:szCs w:val="20"/>
          <w:color w:val="auto"/>
        </w:rPr>
        <w:t>. On and as of the Amendment Effective Date, after giving effect to this Amendment, the Borrower hereby represents and warrants to the Administrative Agent and each Lender that this Amendment has been duly authorized by all necessary corporate or other organizational action. This Amendment has been duly executed and delivered by Borrower hereto and constitutes a legal, valid and binding obligation of the Borrower, enforceable against such Person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12"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9"/>
          <w:szCs w:val="19"/>
          <w:u w:val="single" w:color="auto"/>
          <w:color w:val="auto"/>
        </w:rPr>
        <w:t>No Other Amendment or Waivers; Confirmation; Reaffirmation</w:t>
      </w:r>
      <w:r>
        <w:rPr>
          <w:rFonts w:ascii="Arial" w:cs="Arial" w:eastAsia="Arial" w:hAnsi="Arial"/>
          <w:sz w:val="19"/>
          <w:szCs w:val="19"/>
          <w:color w:val="auto"/>
        </w:rPr>
        <w:t>.</w:t>
      </w:r>
    </w:p>
    <w:p>
      <w:pPr>
        <w:spacing w:after="0" w:line="229" w:lineRule="exact"/>
        <w:rPr>
          <w:sz w:val="20"/>
          <w:szCs w:val="20"/>
          <w:color w:val="auto"/>
        </w:rPr>
      </w:pPr>
    </w:p>
    <w:p>
      <w:pPr>
        <w:ind w:firstLine="1304"/>
        <w:spacing w:after="0" w:line="236" w:lineRule="auto"/>
        <w:tabs>
          <w:tab w:leader="none" w:pos="1758" w:val="left"/>
        </w:tabs>
        <w:numPr>
          <w:ilvl w:val="0"/>
          <w:numId w:val="47"/>
        </w:numPr>
        <w:rPr>
          <w:rFonts w:ascii="Arial" w:cs="Arial" w:eastAsia="Arial" w:hAnsi="Arial"/>
          <w:sz w:val="20"/>
          <w:szCs w:val="20"/>
          <w:color w:val="auto"/>
        </w:rPr>
      </w:pPr>
      <w:r>
        <w:rPr>
          <w:rFonts w:ascii="Arial" w:cs="Arial" w:eastAsia="Arial" w:hAnsi="Arial"/>
          <w:sz w:val="20"/>
          <w:szCs w:val="20"/>
          <w:color w:val="auto"/>
        </w:rPr>
        <w:t>Except as expressly provided hereby, all of the terms and provisions of the Existing Credit Agreement and the other Loan Documents are and shall remain in full force and effect. The amendments contained herein shall not be construed as an amendment of any other provision of the Existing Credit Agreement or the other Loan Documents or for any purpose except as expressly set forth herein or a consent to any further or future action on the part of any Loan Party that would require the waiver or consent of the Administrative Agent or the Lenders. This Amendment shall constitute a Loan Document for purposes of the Amended Credit Agreement and from and after the Amendment Effective Date, all references to the Credit Agreement in any Loan Document and all references to “this Agreement”, “hereunder”, “hereof” or words of like import referring to the Credit Agreement in the Amended Credit Agreement shall, unless expressly provided otherwise, refer to the Amended Credit Agreement.</w:t>
      </w:r>
    </w:p>
    <w:p>
      <w:pPr>
        <w:spacing w:after="0" w:line="205" w:lineRule="exact"/>
        <w:rPr>
          <w:rFonts w:ascii="Arial" w:cs="Arial" w:eastAsia="Arial" w:hAnsi="Arial"/>
          <w:sz w:val="20"/>
          <w:szCs w:val="20"/>
          <w:color w:val="auto"/>
        </w:rPr>
      </w:pPr>
    </w:p>
    <w:p>
      <w:pPr>
        <w:ind w:right="20" w:firstLine="1304"/>
        <w:spacing w:after="0"/>
        <w:tabs>
          <w:tab w:leader="none" w:pos="1754"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Borrower hereby (i) expressly acknowledges the terms of the Amended Credit Agreement, (ii) ratifies and affirms its obligations under the Loan Documents to which it is a party, (iii) acknowledges, renews and extends its continued liability under all such Loan Documents and agrees such Loan Documents remain in full force and effect and (iv) further confirms that each Loan Document to which it is a party is and shall continue to be in full force and effect and the same are hereby ratified and confirmed in all respects.</w:t>
      </w:r>
    </w:p>
    <w:p>
      <w:pPr>
        <w:spacing w:after="0" w:line="200" w:lineRule="exact"/>
        <w:rPr>
          <w:rFonts w:ascii="Arial" w:cs="Arial" w:eastAsia="Arial" w:hAnsi="Arial"/>
          <w:sz w:val="20"/>
          <w:szCs w:val="20"/>
          <w:color w:val="auto"/>
        </w:rPr>
      </w:pPr>
    </w:p>
    <w:p>
      <w:pPr>
        <w:ind w:right="320" w:firstLine="1304"/>
        <w:spacing w:after="0" w:line="248" w:lineRule="auto"/>
        <w:tabs>
          <w:tab w:leader="none" w:pos="1743"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Borrower hereby reaffirms, as of the Amendment Effective Date, the covenants and agreements contained in each Loan Document to which it is a party, including, in each case, such covenants and agreements as in effect immediately after giving effect to this Amendment and the transactions contemplated thereby.</w:t>
      </w:r>
    </w:p>
    <w:p>
      <w:pPr>
        <w:spacing w:after="0" w:line="205" w:lineRule="exact"/>
        <w:rPr>
          <w:sz w:val="20"/>
          <w:szCs w:val="20"/>
          <w:color w:val="auto"/>
        </w:rPr>
      </w:pPr>
    </w:p>
    <w:p>
      <w:pPr>
        <w:ind w:right="200" w:firstLine="1296"/>
        <w:spacing w:after="0"/>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APPLICABLE LAW; WAIVER OF JURY TRIAL.</w:t>
      </w:r>
      <w:r>
        <w:rPr>
          <w:rFonts w:ascii="Arial" w:cs="Arial" w:eastAsia="Arial" w:hAnsi="Arial"/>
          <w:sz w:val="20"/>
          <w:szCs w:val="20"/>
          <w:color w:val="auto"/>
        </w:rPr>
        <w:t xml:space="preserve"> THIS AMENDMENT SHALL BE GOVERNED BY, AND CONSTRUED IN ACCORDANCE WITH, THE LAW OF THE STATE OF NEW YORK. EACH PARTY HERETO HEREBY AGREES AS SET FORTH IN SECTION 9.12 AND SECTION 9.16 OF THE EXISTING CREDIT AGREEMENT AS IF SUCH SECTION WERE SET FORTH IN FULL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00"/>
          </w:cols>
          <w:pgMar w:left="320" w:top="1414" w:right="379" w:bottom="1440" w:gutter="0" w:footer="0" w:header="0"/>
        </w:sectPr>
      </w:pPr>
    </w:p>
    <w:bookmarkStart w:id="71" w:name="page72"/>
    <w:bookmarkEnd w:id="71"/>
    <w:p>
      <w:pPr>
        <w:ind w:firstLine="1296"/>
        <w:spacing w:after="0"/>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Miscellaneous</w:t>
      </w:r>
      <w:r>
        <w:rPr>
          <w:rFonts w:ascii="Arial" w:cs="Arial" w:eastAsia="Arial" w:hAnsi="Arial"/>
          <w:sz w:val="20"/>
          <w:szCs w:val="20"/>
          <w:color w:val="auto"/>
        </w:rPr>
        <w:t>. (a)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214" w:lineRule="exact"/>
        <w:rPr>
          <w:sz w:val="20"/>
          <w:szCs w:val="20"/>
          <w:color w:val="auto"/>
        </w:rPr>
      </w:pPr>
    </w:p>
    <w:p>
      <w:pPr>
        <w:jc w:val="both"/>
        <w:ind w:right="260" w:firstLine="1304"/>
        <w:spacing w:after="0" w:line="248" w:lineRule="auto"/>
        <w:tabs>
          <w:tab w:leader="none" w:pos="1754"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provisions of this Amendment shall be binding upon and inure to the benefit of the parties hereto and their respective successors and assigns permitted hereby (including permitted assignees of its Term Loans in whole or in part prior to effectiveness hereof).</w:t>
      </w:r>
    </w:p>
    <w:p>
      <w:pPr>
        <w:spacing w:after="0" w:line="192" w:lineRule="exact"/>
        <w:rPr>
          <w:sz w:val="20"/>
          <w:szCs w:val="20"/>
          <w:color w:val="auto"/>
        </w:rPr>
      </w:pPr>
    </w:p>
    <w:p>
      <w:pPr>
        <w:ind w:right="260" w:firstLine="1296"/>
        <w:spacing w:after="0" w:line="257"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herein are included herein for convenience of reference only and shall not constitute a part hereof for any other purpose or be given any substantive effect.</w:t>
      </w:r>
    </w:p>
    <w:p>
      <w:pPr>
        <w:spacing w:after="0" w:line="200" w:lineRule="exact"/>
        <w:rPr>
          <w:sz w:val="20"/>
          <w:szCs w:val="20"/>
          <w:color w:val="auto"/>
        </w:rPr>
      </w:pPr>
    </w:p>
    <w:p>
      <w:pPr>
        <w:spacing w:after="0" w:line="23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1414" w:right="359" w:bottom="1440" w:gutter="0" w:footer="0" w:header="0"/>
        </w:sectPr>
      </w:pPr>
    </w:p>
    <w:bookmarkStart w:id="72" w:name="page73"/>
    <w:bookmarkEnd w:id="72"/>
    <w:p>
      <w:pPr>
        <w:spacing w:after="0" w:line="217" w:lineRule="exact"/>
        <w:rPr>
          <w:sz w:val="20"/>
          <w:szCs w:val="20"/>
          <w:color w:val="auto"/>
        </w:rPr>
      </w:pPr>
    </w:p>
    <w:p>
      <w:pPr>
        <w:jc w:val="both"/>
        <w:ind w:left="180" w:right="459" w:firstLine="1377"/>
        <w:spacing w:after="0" w:line="248"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proper and duly authorized officers as of the day and year first above written.</w:t>
      </w:r>
    </w:p>
    <w:p>
      <w:pPr>
        <w:spacing w:after="0" w:line="190"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MICRON TECHNOLOGY, INC.</w:t>
      </w:r>
    </w:p>
    <w:p>
      <w:pPr>
        <w:spacing w:after="0" w:line="200" w:lineRule="exact"/>
        <w:rPr>
          <w:sz w:val="20"/>
          <w:szCs w:val="20"/>
          <w:color w:val="auto"/>
        </w:rPr>
      </w:pPr>
    </w:p>
    <w:p>
      <w:pPr>
        <w:spacing w:after="0" w:line="28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Gregory Routin</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Gregory Routin</w:t>
      </w:r>
    </w:p>
    <w:p>
      <w:pPr>
        <w:ind w:left="408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9019"/>
          </w:cols>
          <w:pgMar w:left="1440" w:top="1440" w:right="1440" w:bottom="10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Micron – Incremental Amendment No. 1</w:t>
      </w:r>
    </w:p>
    <w:p>
      <w:pPr>
        <w:sectPr>
          <w:pgSz w:w="11900" w:h="16838" w:orient="portrait"/>
          <w:cols w:equalWidth="0" w:num="1">
            <w:col w:w="9019"/>
          </w:cols>
          <w:pgMar w:left="1440" w:top="1440" w:right="1440" w:bottom="1073" w:gutter="0" w:footer="0" w:header="0"/>
          <w:type w:val="continuous"/>
        </w:sectPr>
      </w:pPr>
    </w:p>
    <w:bookmarkStart w:id="73" w:name="page74"/>
    <w:bookmarkEnd w:id="73"/>
    <w:p>
      <w:pPr>
        <w:spacing w:after="0" w:line="215" w:lineRule="exact"/>
        <w:rPr>
          <w:sz w:val="20"/>
          <w:szCs w:val="20"/>
          <w:color w:val="auto"/>
        </w:rPr>
      </w:pPr>
    </w:p>
    <w:p>
      <w:pPr>
        <w:ind w:left="4080" w:right="279"/>
        <w:spacing w:after="0" w:line="259" w:lineRule="auto"/>
        <w:rPr>
          <w:sz w:val="20"/>
          <w:szCs w:val="20"/>
          <w:color w:val="auto"/>
        </w:rPr>
      </w:pPr>
      <w:r>
        <w:rPr>
          <w:rFonts w:ascii="Arial" w:cs="Arial" w:eastAsia="Arial" w:hAnsi="Arial"/>
          <w:sz w:val="20"/>
          <w:szCs w:val="20"/>
          <w:b w:val="1"/>
          <w:bCs w:val="1"/>
          <w:color w:val="auto"/>
        </w:rPr>
        <w:t xml:space="preserve">WELLS FARGO BANK, NATIONAL ASSOCIATION, </w:t>
      </w: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3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Sid Khanolkar</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Sid Khanolkar</w:t>
      </w:r>
    </w:p>
    <w:p>
      <w:pPr>
        <w:ind w:left="408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1440" w:right="1440" w:bottom="10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Micron – Incremental Amendment No. 1</w:t>
      </w:r>
    </w:p>
    <w:p>
      <w:pPr>
        <w:sectPr>
          <w:pgSz w:w="11900" w:h="16838" w:orient="portrait"/>
          <w:cols w:equalWidth="0" w:num="1">
            <w:col w:w="9019"/>
          </w:cols>
          <w:pgMar w:left="1440" w:top="1440" w:right="1440" w:bottom="1033" w:gutter="0" w:footer="0" w:header="0"/>
          <w:type w:val="continuous"/>
        </w:sectPr>
      </w:pPr>
    </w:p>
    <w:bookmarkStart w:id="74" w:name="page75"/>
    <w:bookmarkEnd w:id="74"/>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as a 2023 Incremental Term Lender</w:t>
      </w:r>
    </w:p>
    <w:p>
      <w:pPr>
        <w:spacing w:after="0" w:line="200" w:lineRule="exact"/>
        <w:rPr>
          <w:sz w:val="20"/>
          <w:szCs w:val="20"/>
          <w:color w:val="auto"/>
        </w:rPr>
      </w:pPr>
    </w:p>
    <w:p>
      <w:pPr>
        <w:spacing w:after="0" w:line="27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Ladi Oluwole</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Ladi Oluwole</w:t>
      </w:r>
    </w:p>
    <w:p>
      <w:pPr>
        <w:ind w:left="40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40" w:right="1440" w:bottom="10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Micron – Incremental Amendment No. 1</w:t>
      </w:r>
    </w:p>
    <w:p>
      <w:pPr>
        <w:sectPr>
          <w:pgSz w:w="11900" w:h="16838" w:orient="portrait"/>
          <w:cols w:equalWidth="0" w:num="1">
            <w:col w:w="9019"/>
          </w:cols>
          <w:pgMar w:left="1440" w:top="1440" w:right="1440" w:bottom="1033" w:gutter="0" w:footer="0" w:header="0"/>
          <w:type w:val="continuous"/>
        </w:sectPr>
      </w:pPr>
    </w:p>
    <w:bookmarkStart w:id="75" w:name="page76"/>
    <w:bookmarkEnd w:id="75"/>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Arial" w:cs="Arial" w:eastAsia="Arial" w:hAnsi="Arial"/>
          <w:sz w:val="19"/>
          <w:szCs w:val="19"/>
          <w:b w:val="1"/>
          <w:bCs w:val="1"/>
          <w:color w:val="auto"/>
        </w:rPr>
        <w:t>BNP PARIBAS</w:t>
      </w:r>
      <w:r>
        <w:rPr>
          <w:rFonts w:ascii="Arial" w:cs="Arial" w:eastAsia="Arial" w:hAnsi="Arial"/>
          <w:sz w:val="19"/>
          <w:szCs w:val="19"/>
          <w:color w:val="auto"/>
        </w:rPr>
        <w:t>, as a 2023 Incremental Term Lender</w:t>
      </w:r>
    </w:p>
    <w:p>
      <w:pPr>
        <w:sectPr>
          <w:pgSz w:w="11900" w:h="16838" w:orient="portrait"/>
          <w:cols w:equalWidth="0" w:num="1">
            <w:col w:w="9019"/>
          </w:cols>
          <w:pgMar w:left="1440" w:top="1440" w:right="1440" w:bottom="1073" w:gutter="0" w:footer="0" w:header="0"/>
        </w:sectPr>
      </w:pPr>
    </w:p>
    <w:p>
      <w:pPr>
        <w:spacing w:after="0" w:line="200" w:lineRule="exact"/>
        <w:rPr>
          <w:sz w:val="20"/>
          <w:szCs w:val="20"/>
          <w:color w:val="auto"/>
        </w:rPr>
      </w:pPr>
    </w:p>
    <w:p>
      <w:pPr>
        <w:spacing w:after="0" w:line="28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Brendan Heneghan</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Name: Brendan Heneghan</w:t>
      </w:r>
    </w:p>
    <w:p>
      <w:pPr>
        <w:jc w:val="center"/>
        <w:ind w:right="-32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27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Nicolas Doche</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Nicolas Doche</w:t>
      </w:r>
    </w:p>
    <w:p>
      <w:pPr>
        <w:ind w:left="40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40" w:right="1440" w:bottom="107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Micron – Incremental Amendment No. 1</w:t>
      </w:r>
    </w:p>
    <w:p>
      <w:pPr>
        <w:sectPr>
          <w:pgSz w:w="11900" w:h="16838" w:orient="portrait"/>
          <w:cols w:equalWidth="0" w:num="1">
            <w:col w:w="9019"/>
          </w:cols>
          <w:pgMar w:left="1440" w:top="1440" w:right="1440" w:bottom="1073" w:gutter="0" w:footer="0" w:header="0"/>
          <w:type w:val="continuous"/>
        </w:sectPr>
      </w:pPr>
    </w:p>
    <w:bookmarkStart w:id="76" w:name="page77"/>
    <w:bookmarkEnd w:id="76"/>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HSBC BANK USA, N.A.</w:t>
      </w:r>
      <w:r>
        <w:rPr>
          <w:rFonts w:ascii="Arial" w:cs="Arial" w:eastAsia="Arial" w:hAnsi="Arial"/>
          <w:sz w:val="20"/>
          <w:szCs w:val="20"/>
          <w:color w:val="auto"/>
        </w:rPr>
        <w:t>, as a 2023 Incremental Term Lender</w:t>
      </w:r>
    </w:p>
    <w:p>
      <w:pPr>
        <w:spacing w:after="0" w:line="200" w:lineRule="exact"/>
        <w:rPr>
          <w:sz w:val="20"/>
          <w:szCs w:val="20"/>
          <w:color w:val="auto"/>
        </w:rPr>
      </w:pPr>
    </w:p>
    <w:p>
      <w:pPr>
        <w:spacing w:after="0" w:line="27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Ilene Hernandez</w:t>
      </w:r>
    </w:p>
    <w:p>
      <w:pPr>
        <w:spacing w:after="0" w:line="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Ilene Hernandez</w:t>
      </w:r>
    </w:p>
    <w:p>
      <w:pPr>
        <w:ind w:left="40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Micron – Incremental Amendment No. 1</w:t>
      </w:r>
    </w:p>
    <w:p>
      <w:pPr>
        <w:sectPr>
          <w:pgSz w:w="11900" w:h="16838" w:orient="portrait"/>
          <w:cols w:equalWidth="0" w:num="1">
            <w:col w:w="9480"/>
          </w:cols>
          <w:pgMar w:left="1440" w:top="1440" w:right="979" w:bottom="1440" w:gutter="0" w:footer="0" w:header="0"/>
        </w:sectPr>
      </w:pPr>
    </w:p>
    <w:bookmarkStart w:id="77" w:name="page78"/>
    <w:bookmarkEnd w:id="77"/>
    <w:p>
      <w:pPr>
        <w:spacing w:after="0" w:line="217" w:lineRule="exact"/>
        <w:rPr>
          <w:sz w:val="20"/>
          <w:szCs w:val="20"/>
          <w:color w:val="auto"/>
        </w:rPr>
      </w:pPr>
    </w:p>
    <w:p>
      <w:pPr>
        <w:jc w:val="right"/>
        <w:ind w:right="199"/>
        <w:spacing w:after="0"/>
        <w:rPr>
          <w:sz w:val="20"/>
          <w:szCs w:val="20"/>
          <w:color w:val="auto"/>
        </w:rPr>
      </w:pPr>
      <w:r>
        <w:rPr>
          <w:rFonts w:ascii="Arial" w:cs="Arial" w:eastAsia="Arial" w:hAnsi="Arial"/>
          <w:sz w:val="20"/>
          <w:szCs w:val="20"/>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2023 Incremental Term Commitments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[Omitted]</w:t>
      </w:r>
    </w:p>
    <w:p>
      <w:pPr>
        <w:sectPr>
          <w:pgSz w:w="11900" w:h="16838" w:orient="portrait"/>
          <w:cols w:equalWidth="0" w:num="1">
            <w:col w:w="9019"/>
          </w:cols>
          <w:pgMar w:left="1440" w:top="1440"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Arial" w:cs="Arial" w:eastAsia="Arial" w:hAnsi="Arial"/>
          <w:sz w:val="20"/>
          <w:szCs w:val="20"/>
          <w:color w:val="auto"/>
        </w:rPr>
        <w:t>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AMENDMENT NO. 2 TO TERM LOAN CREDIT AGREEMENT,</w:t>
      </w: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March 27, 2023</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by and among</w:t>
      </w: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MICRON TECHNOLOGY,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Borrower,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THE LENDERS PARTY HERETO,</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WELLS FARGO BANK, NATIONAL ASSOCIATION,</w:t>
      </w:r>
    </w:p>
    <w:p>
      <w:pPr>
        <w:spacing w:after="0" w:line="1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20"/>
          <w:szCs w:val="20"/>
          <w:color w:val="auto"/>
        </w:rPr>
        <w:t>____________________________________________________________________________</w:t>
      </w:r>
    </w:p>
    <w:p>
      <w:pPr>
        <w:sectPr>
          <w:pgSz w:w="11900" w:h="16838" w:orient="portrait"/>
          <w:cols w:equalWidth="0" w:num="1">
            <w:col w:w="10120"/>
          </w:cols>
          <w:pgMar w:left="1440" w:top="1412"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0"/>
          <w:szCs w:val="20"/>
          <w:color w:val="auto"/>
        </w:rPr>
        <w:t>AMENDMENT NO. 2 TO TERM LOAN CREDIT AGREEMENT</w:t>
      </w:r>
    </w:p>
    <w:p>
      <w:pPr>
        <w:spacing w:after="0" w:line="229" w:lineRule="exact"/>
        <w:rPr>
          <w:sz w:val="20"/>
          <w:szCs w:val="20"/>
          <w:color w:val="auto"/>
        </w:rPr>
      </w:pPr>
    </w:p>
    <w:p>
      <w:pPr>
        <w:ind w:right="160" w:firstLine="1296"/>
        <w:spacing w:after="0" w:line="245" w:lineRule="auto"/>
        <w:rPr>
          <w:sz w:val="20"/>
          <w:szCs w:val="20"/>
          <w:color w:val="auto"/>
        </w:rPr>
      </w:pPr>
      <w:r>
        <w:rPr>
          <w:rFonts w:ascii="Arial" w:cs="Arial" w:eastAsia="Arial" w:hAnsi="Arial"/>
          <w:sz w:val="20"/>
          <w:szCs w:val="20"/>
          <w:color w:val="auto"/>
        </w:rPr>
        <w:t>AMENDMENT NO. 2 TO TERM LOAN CREDIT AGREEMENT, dated as of March 27, 2023 (this “</w:t>
      </w:r>
      <w:r>
        <w:rPr>
          <w:rFonts w:ascii="Arial" w:cs="Arial" w:eastAsia="Arial" w:hAnsi="Arial"/>
          <w:sz w:val="20"/>
          <w:szCs w:val="20"/>
          <w:u w:val="single" w:color="auto"/>
          <w:color w:val="auto"/>
        </w:rPr>
        <w:t>Amendment</w:t>
      </w:r>
      <w:r>
        <w:rPr>
          <w:rFonts w:ascii="Arial" w:cs="Arial" w:eastAsia="Arial" w:hAnsi="Arial"/>
          <w:sz w:val="20"/>
          <w:szCs w:val="20"/>
          <w:color w:val="auto"/>
        </w:rPr>
        <w:t>”), by and among Micron Technology,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hereto, and Wells Fargo Bank, National Association, as administrative agent under the Existing Credit Agreement (as defined below) (in such capacity and including any successors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 xml:space="preserve"> :</w:t>
      </w:r>
    </w:p>
    <w:p>
      <w:pPr>
        <w:spacing w:after="0" w:line="243"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WHEREAS, reference is hereby made to the Term Loan Credit Agreement, dated as of November 3, 2022 (as amended by that certain Incremental Amendment No. 1, dated as of January 5, 2023, and as further amended, restated, amended and restated, supplemented or otherwise modified from time to time prior to the date hereof, the “</w:t>
      </w:r>
      <w:r>
        <w:rPr>
          <w:rFonts w:ascii="Arial" w:cs="Arial" w:eastAsia="Arial" w:hAnsi="Arial"/>
          <w:sz w:val="20"/>
          <w:szCs w:val="20"/>
          <w:u w:val="single" w:color="auto"/>
          <w:color w:val="auto"/>
        </w:rPr>
        <w:t>Existing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 as further amended by this Amendment,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w:t>
      </w:r>
    </w:p>
    <w:p>
      <w:pPr>
        <w:spacing w:after="0" w:line="20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0"/>
          <w:szCs w:val="20"/>
          <w:color w:val="auto"/>
        </w:rPr>
        <w:t>WHEREAS, the Borrower has requested that certain provisions of the Existing Credit Agreement be amended as set forth herein; and</w:t>
      </w:r>
    </w:p>
    <w:p>
      <w:pPr>
        <w:spacing w:after="0" w:line="169" w:lineRule="exact"/>
        <w:rPr>
          <w:sz w:val="20"/>
          <w:szCs w:val="20"/>
          <w:color w:val="auto"/>
        </w:rPr>
      </w:pPr>
    </w:p>
    <w:p>
      <w:pPr>
        <w:jc w:val="both"/>
        <w:ind w:right="20" w:firstLine="1296"/>
        <w:spacing w:after="0" w:line="257" w:lineRule="auto"/>
        <w:rPr>
          <w:sz w:val="20"/>
          <w:szCs w:val="20"/>
          <w:color w:val="auto"/>
        </w:rPr>
      </w:pPr>
      <w:r>
        <w:rPr>
          <w:rFonts w:ascii="Arial" w:cs="Arial" w:eastAsia="Arial" w:hAnsi="Arial"/>
          <w:sz w:val="20"/>
          <w:szCs w:val="20"/>
          <w:color w:val="auto"/>
        </w:rPr>
        <w:t>WHEREAS, subject to the terms and conditions set forth herein, the Administrative Agent and the Lenders party hereto are willing to amend the Existing Credit Agreement on the terms set forth herein;</w:t>
      </w:r>
    </w:p>
    <w:p>
      <w:pPr>
        <w:spacing w:after="0" w:line="196" w:lineRule="exact"/>
        <w:rPr>
          <w:sz w:val="20"/>
          <w:szCs w:val="20"/>
          <w:color w:val="auto"/>
        </w:rPr>
      </w:pPr>
    </w:p>
    <w:p>
      <w:pPr>
        <w:ind w:right="40" w:firstLine="1296"/>
        <w:spacing w:after="0" w:line="257"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adequacy and sufficiency of which are hereby acknowledged, the parties hereto hereby agree as follows:</w:t>
      </w:r>
    </w:p>
    <w:p>
      <w:pPr>
        <w:spacing w:after="0" w:line="196" w:lineRule="exact"/>
        <w:rPr>
          <w:sz w:val="20"/>
          <w:szCs w:val="20"/>
          <w:color w:val="auto"/>
        </w:rPr>
      </w:pPr>
    </w:p>
    <w:p>
      <w:pPr>
        <w:ind w:right="380" w:firstLine="1296"/>
        <w:spacing w:after="0" w:line="257"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terms defined in the Existing Credit Agreement and used herein shall have the respective meanings given to them in the Existing Credit Agreement.</w:t>
      </w:r>
    </w:p>
    <w:p>
      <w:pPr>
        <w:spacing w:after="0" w:line="196" w:lineRule="exact"/>
        <w:rPr>
          <w:sz w:val="20"/>
          <w:szCs w:val="20"/>
          <w:color w:val="auto"/>
        </w:rPr>
      </w:pPr>
    </w:p>
    <w:p>
      <w:pPr>
        <w:jc w:val="both"/>
        <w:ind w:right="220" w:firstLine="1296"/>
        <w:spacing w:after="0" w:line="241"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Amendments</w:t>
      </w:r>
      <w:r>
        <w:rPr>
          <w:rFonts w:ascii="Arial" w:cs="Arial" w:eastAsia="Arial" w:hAnsi="Arial"/>
          <w:sz w:val="20"/>
          <w:szCs w:val="20"/>
          <w:color w:val="auto"/>
        </w:rPr>
        <w:t xml:space="preserve">. Subject to the satisfaction of the conditions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below, the parties hereto agree that the Existing Credit Agreement shall be amended as of the Amendment Effective Date (as defined below), as follows:</w:t>
      </w:r>
    </w:p>
    <w:p>
      <w:pPr>
        <w:spacing w:after="0" w:line="212" w:lineRule="exact"/>
        <w:rPr>
          <w:sz w:val="20"/>
          <w:szCs w:val="20"/>
          <w:color w:val="auto"/>
        </w:rPr>
      </w:pPr>
    </w:p>
    <w:p>
      <w:pPr>
        <w:ind w:right="160" w:firstLine="1304"/>
        <w:spacing w:after="0" w:line="257" w:lineRule="auto"/>
        <w:tabs>
          <w:tab w:leader="none" w:pos="1593" w:val="left"/>
        </w:tabs>
        <w:numPr>
          <w:ilvl w:val="0"/>
          <w:numId w:val="49"/>
        </w:numPr>
        <w:rPr>
          <w:rFonts w:ascii="Arial" w:cs="Arial" w:eastAsia="Arial" w:hAnsi="Arial"/>
          <w:sz w:val="20"/>
          <w:szCs w:val="20"/>
          <w:color w:val="auto"/>
        </w:rPr>
      </w:pPr>
      <w:r>
        <w:rPr>
          <w:rFonts w:ascii="Arial" w:cs="Arial" w:eastAsia="Arial" w:hAnsi="Arial"/>
          <w:sz w:val="20"/>
          <w:szCs w:val="20"/>
          <w:color w:val="auto"/>
        </w:rPr>
        <w:t>Section 1.1 of the Existing Credit Agreement is hereby amended by adding the following definitions in proper alphabetical order:</w:t>
      </w:r>
    </w:p>
    <w:p>
      <w:pPr>
        <w:spacing w:after="0" w:line="196" w:lineRule="exact"/>
        <w:rPr>
          <w:sz w:val="20"/>
          <w:szCs w:val="20"/>
          <w:color w:val="auto"/>
        </w:rPr>
      </w:pPr>
    </w:p>
    <w:p>
      <w:pPr>
        <w:ind w:right="40" w:firstLine="1296"/>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Unused Commitments</w:t>
      </w:r>
      <w:r>
        <w:rPr>
          <w:rFonts w:ascii="Arial" w:cs="Arial" w:eastAsia="Arial" w:hAnsi="Arial"/>
          <w:sz w:val="20"/>
          <w:szCs w:val="20"/>
          <w:color w:val="auto"/>
        </w:rPr>
        <w:t>”: as of the date of determination thereof, the aggregate amount by which (a) the aggregate amount of commitments under revolving credit facilities and revolving lines of credit of the Borrower and its Consolidated Subsidiaries exceeds (b) the aggregate principal amount of outstanding loans and advances under such revolving credit facilities and revolving lines of credit.</w:t>
      </w:r>
    </w:p>
    <w:p>
      <w:pPr>
        <w:spacing w:after="0" w:line="201" w:lineRule="exact"/>
        <w:rPr>
          <w:sz w:val="20"/>
          <w:szCs w:val="20"/>
          <w:color w:val="auto"/>
        </w:rPr>
      </w:pPr>
    </w:p>
    <w:p>
      <w:pPr>
        <w:ind w:right="720" w:firstLine="1296"/>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Debt</w:t>
      </w:r>
      <w:r>
        <w:rPr>
          <w:rFonts w:ascii="Arial" w:cs="Arial" w:eastAsia="Arial" w:hAnsi="Arial"/>
          <w:sz w:val="20"/>
          <w:szCs w:val="20"/>
          <w:color w:val="auto"/>
        </w:rPr>
        <w:t>”: long-term and short-term bonds, bills, notes and other debt obligations with any “investment grade” rating from any of Moody’s, S&amp;P or Fitch.</w:t>
      </w:r>
    </w:p>
    <w:p>
      <w:pPr>
        <w:spacing w:after="0" w:line="169" w:lineRule="exact"/>
        <w:rPr>
          <w:sz w:val="20"/>
          <w:szCs w:val="20"/>
          <w:color w:val="auto"/>
        </w:rPr>
      </w:pPr>
    </w:p>
    <w:p>
      <w:pPr>
        <w:ind w:right="380" w:firstLine="1296"/>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Liquidity</w:t>
      </w:r>
      <w:r>
        <w:rPr>
          <w:rFonts w:ascii="Arial" w:cs="Arial" w:eastAsia="Arial" w:hAnsi="Arial"/>
          <w:sz w:val="20"/>
          <w:szCs w:val="20"/>
          <w:color w:val="auto"/>
        </w:rPr>
        <w:t xml:space="preserve">”: as of the date of determination thereof, the sum of (a) the Unrestricted Cash, Cash Equivalent and Marketable Securities Amount on such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Available Unused Commitments on such date.</w:t>
      </w:r>
    </w:p>
    <w:p>
      <w:pPr>
        <w:sectPr>
          <w:pgSz w:w="11900" w:h="16838" w:orient="portrait"/>
          <w:cols w:equalWidth="0" w:num="1">
            <w:col w:w="11240"/>
          </w:cols>
          <w:pgMar w:left="320" w:top="1414" w:right="339" w:bottom="1440" w:gutter="0" w:footer="0" w:header="0"/>
        </w:sectPr>
      </w:pPr>
    </w:p>
    <w:bookmarkStart w:id="80" w:name="page81"/>
    <w:bookmarkEnd w:id="80"/>
    <w:p>
      <w:pPr>
        <w:ind w:right="420" w:firstLine="1296"/>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Fiscal Quarters</w:t>
      </w:r>
      <w:r>
        <w:rPr>
          <w:rFonts w:ascii="Arial" w:cs="Arial" w:eastAsia="Arial" w:hAnsi="Arial"/>
          <w:sz w:val="20"/>
          <w:szCs w:val="20"/>
          <w:color w:val="auto"/>
        </w:rPr>
        <w:t>”: the fiscal quarters of the Borrower ending August 31, 2023, November 30, 2023, February 29, 2024, May 30, 2024, and August 29, 2024.</w:t>
      </w:r>
    </w:p>
    <w:p>
      <w:pPr>
        <w:spacing w:after="0" w:line="196" w:lineRule="exact"/>
        <w:rPr>
          <w:sz w:val="20"/>
          <w:szCs w:val="20"/>
          <w:color w:val="auto"/>
        </w:rPr>
      </w:pPr>
    </w:p>
    <w:p>
      <w:pPr>
        <w:ind w:right="140"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Net Leverage Ratio</w:t>
      </w:r>
      <w:r>
        <w:rPr>
          <w:rFonts w:ascii="Arial" w:cs="Arial" w:eastAsia="Arial" w:hAnsi="Arial"/>
          <w:sz w:val="20"/>
          <w:szCs w:val="20"/>
          <w:color w:val="auto"/>
        </w:rPr>
        <w:t xml:space="preserve">”: as of the date of determination thereof, the ratio of (a) Indebtedness of the Borrower and its Consolidated Subsidiaries as of such date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Unrestricted Cash, Cash Equivalent and Marketable Securities Amount as of such date, to (b) Consolidated EBITDA of the Borrower for such Measurement Period.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Cash, Cash Equivalent and Marketable Securities Amount</w:t>
      </w:r>
      <w:r>
        <w:rPr>
          <w:rFonts w:ascii="Arial" w:cs="Arial" w:eastAsia="Arial" w:hAnsi="Arial"/>
          <w:sz w:val="19"/>
          <w:szCs w:val="19"/>
          <w:color w:val="auto"/>
        </w:rPr>
        <w:t>”: as of the date of determination thereof,</w:t>
      </w:r>
    </w:p>
    <w:p>
      <w:pPr>
        <w:spacing w:after="0" w:line="29" w:lineRule="exact"/>
        <w:rPr>
          <w:sz w:val="20"/>
          <w:szCs w:val="20"/>
          <w:color w:val="auto"/>
        </w:rPr>
      </w:pPr>
    </w:p>
    <w:p>
      <w:pPr>
        <w:jc w:val="both"/>
        <w:ind w:right="240"/>
        <w:spacing w:after="0" w:line="234" w:lineRule="auto"/>
        <w:rPr>
          <w:sz w:val="20"/>
          <w:szCs w:val="20"/>
          <w:color w:val="auto"/>
        </w:rPr>
      </w:pPr>
      <w:r>
        <w:rPr>
          <w:rFonts w:ascii="Arial" w:cs="Arial" w:eastAsia="Arial" w:hAnsi="Arial"/>
          <w:sz w:val="20"/>
          <w:szCs w:val="20"/>
          <w:color w:val="auto"/>
        </w:rPr>
        <w:t>the aggregate amount of unrestricted cash, cash equivalents and Investment Grade Debt, as determined in accordance with GAAP and reported on the consolidated balance sheet of the Borrower and its Consolidated Subsidiaries as of the last day of the most recently ended fiscal quarter of the Borrower for which financial statements are available.</w:t>
      </w:r>
    </w:p>
    <w:p>
      <w:pPr>
        <w:spacing w:after="0" w:line="214" w:lineRule="exact"/>
        <w:rPr>
          <w:sz w:val="20"/>
          <w:szCs w:val="20"/>
          <w:color w:val="auto"/>
        </w:rPr>
      </w:pPr>
    </w:p>
    <w:p>
      <w:pPr>
        <w:ind w:right="40" w:firstLine="1304"/>
        <w:spacing w:after="0" w:line="257" w:lineRule="auto"/>
        <w:tabs>
          <w:tab w:leader="none" w:pos="1593" w:val="left"/>
        </w:tabs>
        <w:numPr>
          <w:ilvl w:val="0"/>
          <w:numId w:val="50"/>
        </w:numPr>
        <w:rPr>
          <w:rFonts w:ascii="Arial" w:cs="Arial" w:eastAsia="Arial" w:hAnsi="Arial"/>
          <w:sz w:val="20"/>
          <w:szCs w:val="20"/>
          <w:color w:val="auto"/>
        </w:rPr>
      </w:pPr>
      <w:r>
        <w:rPr>
          <w:rFonts w:ascii="Arial" w:cs="Arial" w:eastAsia="Arial" w:hAnsi="Arial"/>
          <w:sz w:val="20"/>
          <w:szCs w:val="20"/>
          <w:color w:val="auto"/>
        </w:rPr>
        <w:t>Section 6 of the Existing Credit Agreement is hereby amended by amending and restating Section 6.6 thereof in its entirety as follows:</w:t>
      </w:r>
    </w:p>
    <w:p>
      <w:pPr>
        <w:spacing w:after="0" w:line="196" w:lineRule="exact"/>
        <w:rPr>
          <w:sz w:val="20"/>
          <w:szCs w:val="20"/>
          <w:color w:val="auto"/>
        </w:rPr>
      </w:pPr>
    </w:p>
    <w:p>
      <w:pPr>
        <w:ind w:firstLine="648"/>
        <w:spacing w:after="0" w:line="250"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Financial Covenant</w:t>
      </w:r>
      <w:r>
        <w:rPr>
          <w:rFonts w:ascii="Arial" w:cs="Arial" w:eastAsia="Arial" w:hAnsi="Arial"/>
          <w:sz w:val="19"/>
          <w:szCs w:val="19"/>
          <w:color w:val="auto"/>
        </w:rPr>
        <w:t>. The Borrower will not permit, (a) as of the last day of any fiscal quarter of the Borrower other than a Specified Fiscal Quarter, the Total Leverage Ratio to exceed 3.25 to 1.00 and (b) as of the last day of any Specified Fiscal Quarter, either of the following (i) or (ii) (at the Borrower’s sole election as to the applicability of (i) or (ii) for such Specified Fiscal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(ii) shall not be elected in more than three (3) of such Specified Fiscal Quarters)): (i) the Total Net Leverage Ratio to exceed 3.25 to 1.00 or (ii) Liquidity to be less than $5,000,000,000;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following the consummation of a Qualified Acquisition for the four fiscal quarters of the Borrower then ended as set forth in the last Compliance Certificate delivered pursuant to </w:t>
      </w:r>
      <w:r>
        <w:rPr>
          <w:rFonts w:ascii="Arial" w:cs="Arial" w:eastAsia="Arial" w:hAnsi="Arial"/>
          <w:sz w:val="19"/>
          <w:szCs w:val="19"/>
          <w:u w:val="single" w:color="auto"/>
          <w:color w:val="auto"/>
        </w:rPr>
        <w:t>Section 5.2</w:t>
      </w:r>
      <w:r>
        <w:rPr>
          <w:rFonts w:ascii="Arial" w:cs="Arial" w:eastAsia="Arial" w:hAnsi="Arial"/>
          <w:sz w:val="19"/>
          <w:szCs w:val="19"/>
          <w:color w:val="auto"/>
        </w:rPr>
        <w:t>, the Total Leverage Ratio and Total Net Leverage Ratio set forth above shall increase for each of the four fiscal quarters of the Borrower ending following the consummation of a Qualified Acquisition to 3.75 to 1.00.”</w:t>
      </w:r>
    </w:p>
    <w:p>
      <w:pPr>
        <w:spacing w:after="0" w:line="191" w:lineRule="exact"/>
        <w:rPr>
          <w:sz w:val="20"/>
          <w:szCs w:val="20"/>
          <w:color w:val="auto"/>
        </w:rPr>
      </w:pPr>
    </w:p>
    <w:p>
      <w:pPr>
        <w:ind w:right="160" w:firstLine="1304"/>
        <w:spacing w:after="0" w:line="257" w:lineRule="auto"/>
        <w:tabs>
          <w:tab w:leader="none" w:pos="1582" w:val="left"/>
        </w:tabs>
        <w:numPr>
          <w:ilvl w:val="0"/>
          <w:numId w:val="51"/>
        </w:numPr>
        <w:rPr>
          <w:rFonts w:ascii="Arial" w:cs="Arial" w:eastAsia="Arial" w:hAnsi="Arial"/>
          <w:sz w:val="20"/>
          <w:szCs w:val="20"/>
          <w:color w:val="auto"/>
        </w:rPr>
      </w:pPr>
      <w:r>
        <w:rPr>
          <w:rFonts w:ascii="Arial" w:cs="Arial" w:eastAsia="Arial" w:hAnsi="Arial"/>
          <w:sz w:val="20"/>
          <w:szCs w:val="20"/>
          <w:color w:val="auto"/>
        </w:rPr>
        <w:t>Exhibit C to the Existing Credit Agreement is hereby amended and restated in its entirety to read as set forth on Annex I attached hereto.</w:t>
      </w:r>
    </w:p>
    <w:p>
      <w:pPr>
        <w:spacing w:after="0" w:line="196" w:lineRule="exact"/>
        <w:rPr>
          <w:sz w:val="20"/>
          <w:szCs w:val="20"/>
          <w:color w:val="auto"/>
        </w:rPr>
      </w:pPr>
    </w:p>
    <w:p>
      <w:pPr>
        <w:ind w:right="160" w:firstLine="1296"/>
        <w:spacing w:after="0" w:line="241"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xml:space="preserve"> This Amendment shall become effective on the date that the following conditions shall have been satisfied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2" w:lineRule="exact"/>
        <w:rPr>
          <w:sz w:val="20"/>
          <w:szCs w:val="20"/>
          <w:color w:val="auto"/>
        </w:rPr>
      </w:pPr>
    </w:p>
    <w:p>
      <w:pPr>
        <w:ind w:right="180" w:firstLine="1304"/>
        <w:spacing w:after="0" w:line="239" w:lineRule="auto"/>
        <w:tabs>
          <w:tab w:leader="none" w:pos="1593"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This Amendment shall have been executed and delivered by (i) a duly authorized officer of the Borrower, (ii) the Required Lenders and (iii) the Administrative Agent.</w:t>
      </w:r>
    </w:p>
    <w:p>
      <w:pPr>
        <w:spacing w:after="0" w:line="212" w:lineRule="exact"/>
        <w:rPr>
          <w:rFonts w:ascii="Arial" w:cs="Arial" w:eastAsia="Arial" w:hAnsi="Arial"/>
          <w:sz w:val="20"/>
          <w:szCs w:val="20"/>
          <w:color w:val="auto"/>
        </w:rPr>
      </w:pPr>
    </w:p>
    <w:p>
      <w:pPr>
        <w:ind w:right="180" w:firstLine="1304"/>
        <w:spacing w:after="0" w:line="257" w:lineRule="auto"/>
        <w:tabs>
          <w:tab w:leader="none" w:pos="1593" w:val="left"/>
        </w:tabs>
        <w:numPr>
          <w:ilvl w:val="0"/>
          <w:numId w:val="52"/>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or would result immediately prior to or after giving effect to this Amendment.</w:t>
      </w:r>
    </w:p>
    <w:p>
      <w:pPr>
        <w:spacing w:after="0" w:line="182" w:lineRule="exact"/>
        <w:rPr>
          <w:rFonts w:ascii="Arial" w:cs="Arial" w:eastAsia="Arial" w:hAnsi="Arial"/>
          <w:sz w:val="20"/>
          <w:szCs w:val="20"/>
          <w:color w:val="auto"/>
        </w:rPr>
      </w:pPr>
    </w:p>
    <w:p>
      <w:pPr>
        <w:ind w:right="160" w:firstLine="1304"/>
        <w:spacing w:after="0"/>
        <w:tabs>
          <w:tab w:leader="none" w:pos="1582" w:val="left"/>
        </w:tabs>
        <w:numPr>
          <w:ilvl w:val="0"/>
          <w:numId w:val="52"/>
        </w:numPr>
        <w:rPr>
          <w:rFonts w:ascii="Arial" w:cs="Arial" w:eastAsia="Arial" w:hAnsi="Arial"/>
          <w:sz w:val="20"/>
          <w:szCs w:val="20"/>
          <w:color w:val="auto"/>
        </w:rPr>
      </w:pPr>
      <w:r>
        <w:rPr>
          <w:rFonts w:ascii="Arial" w:cs="Arial" w:eastAsia="Arial" w:hAnsi="Arial"/>
          <w:sz w:val="20"/>
          <w:szCs w:val="20"/>
          <w:color w:val="auto"/>
        </w:rPr>
        <w:t>All representations and warranties contained in the Loan Documents shall be true and correct in all material respects on and as of the Amendment Effective Date,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true and correct in all respects).</w:t>
      </w:r>
    </w:p>
    <w:p>
      <w:pPr>
        <w:spacing w:after="0" w:line="213" w:lineRule="exact"/>
        <w:rPr>
          <w:rFonts w:ascii="Arial" w:cs="Arial" w:eastAsia="Arial" w:hAnsi="Arial"/>
          <w:sz w:val="20"/>
          <w:szCs w:val="20"/>
          <w:color w:val="auto"/>
        </w:rPr>
      </w:pPr>
    </w:p>
    <w:p>
      <w:pPr>
        <w:ind w:firstLine="1304"/>
        <w:spacing w:after="0" w:line="257" w:lineRule="auto"/>
        <w:tabs>
          <w:tab w:leader="none" w:pos="1593"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the Borrower payment of all fees and expenses required to be paid to the Administrative Agent on or before</w:t>
      </w:r>
    </w:p>
    <w:p>
      <w:pPr>
        <w:sectPr>
          <w:pgSz w:w="11900" w:h="16838" w:orient="portrait"/>
          <w:cols w:equalWidth="0" w:num="1">
            <w:col w:w="11200"/>
          </w:cols>
          <w:pgMar w:left="320" w:top="1414" w:right="379" w:bottom="1440" w:gutter="0" w:footer="0" w:header="0"/>
        </w:sectPr>
      </w:pPr>
    </w:p>
    <w:bookmarkStart w:id="81" w:name="page82"/>
    <w:bookmarkEnd w:id="81"/>
    <w:p>
      <w:pPr>
        <w:ind w:right="260" w:firstLine="1296"/>
        <w:spacing w:after="0" w:line="257" w:lineRule="auto"/>
        <w:rPr>
          <w:sz w:val="20"/>
          <w:szCs w:val="20"/>
          <w:color w:val="auto"/>
        </w:rPr>
      </w:pPr>
      <w:r>
        <w:rPr>
          <w:rFonts w:ascii="Arial" w:cs="Arial" w:eastAsia="Arial" w:hAnsi="Arial"/>
          <w:sz w:val="20"/>
          <w:szCs w:val="20"/>
          <w:color w:val="auto"/>
        </w:rPr>
        <w:t>the Amendment Effective Date for which written invoices in reasonable detail have been submitted at least two Business Days prior to the Amendment Effective Date.</w:t>
      </w:r>
    </w:p>
    <w:p>
      <w:pPr>
        <w:spacing w:after="0" w:line="196" w:lineRule="exact"/>
        <w:rPr>
          <w:sz w:val="20"/>
          <w:szCs w:val="20"/>
          <w:color w:val="auto"/>
        </w:rPr>
      </w:pPr>
    </w:p>
    <w:p>
      <w:pPr>
        <w:ind w:right="20" w:firstLine="1296"/>
        <w:spacing w:after="0" w:line="234"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Representations of the Borrower</w:t>
      </w:r>
      <w:r>
        <w:rPr>
          <w:rFonts w:ascii="Arial" w:cs="Arial" w:eastAsia="Arial" w:hAnsi="Arial"/>
          <w:sz w:val="20"/>
          <w:szCs w:val="20"/>
          <w:color w:val="auto"/>
        </w:rPr>
        <w:t>. On and as of the Amendment Effective Date, after giving effect to this Amendment, the Borrower hereby represents and warrants to the Administrative Agent and each Lender that this Amendment has been duly authorized by all necessary corporate or other organizational action. This Amendment has been duly executed and delivered by Borrower hereto and constitutes a legal, valid and binding obligation of the Borrower, enforceable against such Person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No Other Amendment or Waivers; Confirmation; Reaffirmation</w:t>
      </w:r>
      <w:r>
        <w:rPr>
          <w:rFonts w:ascii="Arial" w:cs="Arial" w:eastAsia="Arial" w:hAnsi="Arial"/>
          <w:sz w:val="20"/>
          <w:szCs w:val="20"/>
          <w:color w:val="auto"/>
        </w:rPr>
        <w:t>.</w:t>
      </w:r>
    </w:p>
    <w:p>
      <w:pPr>
        <w:spacing w:after="0" w:line="211" w:lineRule="exact"/>
        <w:rPr>
          <w:sz w:val="20"/>
          <w:szCs w:val="20"/>
          <w:color w:val="auto"/>
        </w:rPr>
      </w:pPr>
    </w:p>
    <w:p>
      <w:pPr>
        <w:ind w:firstLine="1304"/>
        <w:spacing w:after="0" w:line="236" w:lineRule="auto"/>
        <w:tabs>
          <w:tab w:leader="none" w:pos="1593" w:val="left"/>
        </w:tabs>
        <w:numPr>
          <w:ilvl w:val="0"/>
          <w:numId w:val="53"/>
        </w:numPr>
        <w:rPr>
          <w:rFonts w:ascii="Arial" w:cs="Arial" w:eastAsia="Arial" w:hAnsi="Arial"/>
          <w:sz w:val="20"/>
          <w:szCs w:val="20"/>
          <w:color w:val="auto"/>
        </w:rPr>
      </w:pPr>
      <w:r>
        <w:rPr>
          <w:rFonts w:ascii="Arial" w:cs="Arial" w:eastAsia="Arial" w:hAnsi="Arial"/>
          <w:sz w:val="20"/>
          <w:szCs w:val="20"/>
          <w:color w:val="auto"/>
        </w:rPr>
        <w:t>Except as expressly provided hereby, all of the terms and provisions of the Existing Credit Agreement and the other Loan Documents are and shall remain in full force and effect. The amendments contained herein shall not be construed as an amendment of any other provision of the Existing Credit Agreement or the other Loan Documents or for any purpose except as expressly set forth herein or a consent to any further or future action on the part of any Loan Party that would require the waiver or consent of the Administrative Agent or the Lenders. This Amendment shall constitute a Loan Document for purposes of the Amended Credit Agreement and from and after the Amendment Effective Date, all references to the Credit Agreement in any Loan Document and all references to “this Agreement”, “hereunder”, “hereof” or words of like import referring to the “Credit Agreement” in the Amended Credit Agreement shall, unless expressly provided otherwise, refer to the Amended Credit Agreement.</w:t>
      </w:r>
    </w:p>
    <w:p>
      <w:pPr>
        <w:spacing w:after="0" w:line="205" w:lineRule="exact"/>
        <w:rPr>
          <w:rFonts w:ascii="Arial" w:cs="Arial" w:eastAsia="Arial" w:hAnsi="Arial"/>
          <w:sz w:val="20"/>
          <w:szCs w:val="20"/>
          <w:color w:val="auto"/>
        </w:rPr>
      </w:pPr>
    </w:p>
    <w:p>
      <w:pPr>
        <w:ind w:right="40" w:firstLine="1304"/>
        <w:spacing w:after="0"/>
        <w:tabs>
          <w:tab w:leader="none" w:pos="1593"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Borrower hereby (i) expressly acknowledges the terms of the Amended Credit Agreement, (ii) ratifies and affirms its obligations under the Loan Documents to which it is a party, (iii) acknowledges, renews and extends its continued liability under all such Loan Documents and agrees such Loan Documents remain in full force and effect and (iv) further confirms that each Loan Document to which it is a party is and shall continue to be in full force and effect and the same are hereby ratified and confirmed in all respects.</w:t>
      </w:r>
    </w:p>
    <w:p>
      <w:pPr>
        <w:spacing w:after="0" w:line="200" w:lineRule="exact"/>
        <w:rPr>
          <w:rFonts w:ascii="Arial" w:cs="Arial" w:eastAsia="Arial" w:hAnsi="Arial"/>
          <w:sz w:val="20"/>
          <w:szCs w:val="20"/>
          <w:color w:val="auto"/>
        </w:rPr>
      </w:pPr>
    </w:p>
    <w:p>
      <w:pPr>
        <w:ind w:right="720" w:firstLine="1304"/>
        <w:spacing w:after="0" w:line="268" w:lineRule="auto"/>
        <w:tabs>
          <w:tab w:leader="none" w:pos="1582"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Borrower hereby reaffirms, as of the Amendment Effective Date, the covenants and agreements contained in each Loan Document to which it is a party as modified hereby, including, in each case, such covenants and agreements as in effect immediately after giving effect to this Amendment and the transactions contemplated thereby.</w:t>
      </w:r>
    </w:p>
    <w:p>
      <w:pPr>
        <w:spacing w:after="0" w:line="173" w:lineRule="exact"/>
        <w:rPr>
          <w:sz w:val="20"/>
          <w:szCs w:val="20"/>
          <w:color w:val="auto"/>
        </w:rPr>
      </w:pPr>
    </w:p>
    <w:p>
      <w:pPr>
        <w:ind w:right="220" w:firstLine="1296"/>
        <w:spacing w:after="0" w:line="245"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APPLICABLE LAW; WAIVER OF JURY TRIAL</w:t>
      </w:r>
      <w:r>
        <w:rPr>
          <w:rFonts w:ascii="Arial" w:cs="Arial" w:eastAsia="Arial" w:hAnsi="Arial"/>
          <w:sz w:val="20"/>
          <w:szCs w:val="20"/>
          <w:color w:val="auto"/>
        </w:rPr>
        <w:t>. THIS AMENDMENT SHALL BE GOVERNED BY, AND CONSTRUED IN ACCORDANCE WITH, THE LAW OF THE STATE OF NEW YORK. EACH PARTY HERETO HEREBY AGREES AS SET FORTH IN SECTION 9.12 AND SECTION 9.16 OF THE EXISTING CREDIT AGREEMENT AS IF SUCH SECTIONS WERE SET FORTH IN FULL HEREIN.</w:t>
      </w:r>
    </w:p>
    <w:p>
      <w:pPr>
        <w:spacing w:after="0" w:line="195" w:lineRule="exact"/>
        <w:rPr>
          <w:sz w:val="20"/>
          <w:szCs w:val="20"/>
          <w:color w:val="auto"/>
        </w:rPr>
      </w:pPr>
    </w:p>
    <w:p>
      <w:pPr>
        <w:ind w:firstLine="1296"/>
        <w:spacing w:after="0"/>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Miscellaneous</w:t>
      </w:r>
      <w:r>
        <w:rPr>
          <w:rFonts w:ascii="Arial" w:cs="Arial" w:eastAsia="Arial" w:hAnsi="Arial"/>
          <w:sz w:val="20"/>
          <w:szCs w:val="20"/>
          <w:color w:val="auto"/>
        </w:rPr>
        <w:t>. (a)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ectPr>
          <w:pgSz w:w="11900" w:h="16838" w:orient="portrait"/>
          <w:cols w:equalWidth="0" w:num="1">
            <w:col w:w="11220"/>
          </w:cols>
          <w:pgMar w:left="320" w:top="1414" w:right="359" w:bottom="1440" w:gutter="0" w:footer="0" w:header="0"/>
        </w:sectPr>
      </w:pPr>
    </w:p>
    <w:bookmarkStart w:id="82" w:name="page83"/>
    <w:bookmarkEnd w:id="82"/>
    <w:p>
      <w:pPr>
        <w:ind w:firstLine="1304"/>
        <w:spacing w:after="0" w:line="257" w:lineRule="auto"/>
        <w:tabs>
          <w:tab w:leader="none" w:pos="1593"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provisions of this Amendment shall be binding upon and inure to the benefit of the parties hereto and their respective successors and assigns permitted hereby.</w:t>
      </w:r>
    </w:p>
    <w:p>
      <w:pPr>
        <w:spacing w:after="0" w:line="196" w:lineRule="exact"/>
        <w:rPr>
          <w:sz w:val="20"/>
          <w:szCs w:val="20"/>
          <w:color w:val="auto"/>
        </w:rPr>
      </w:pPr>
    </w:p>
    <w:p>
      <w:pPr>
        <w:ind w:right="140" w:firstLine="1296"/>
        <w:spacing w:after="0" w:line="257"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herein are included herein for convenience of reference only and shall not constitute a part hereof for any other purpose or be given any substantive effect.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ectPr>
          <w:pgSz w:w="11900" w:h="16838" w:orient="portrait"/>
          <w:cols w:equalWidth="0" w:num="1">
            <w:col w:w="11240"/>
          </w:cols>
          <w:pgMar w:left="320" w:top="1414" w:right="339" w:bottom="1440" w:gutter="0" w:footer="0" w:header="0"/>
        </w:sectPr>
      </w:pPr>
    </w:p>
    <w:bookmarkStart w:id="83" w:name="page84"/>
    <w:bookmarkEnd w:id="83"/>
    <w:p>
      <w:pPr>
        <w:spacing w:after="0" w:line="217" w:lineRule="exact"/>
        <w:rPr>
          <w:sz w:val="20"/>
          <w:szCs w:val="20"/>
          <w:color w:val="auto"/>
        </w:rPr>
      </w:pPr>
    </w:p>
    <w:p>
      <w:pPr>
        <w:ind w:firstLine="1296"/>
        <w:spacing w:after="0" w:line="257"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proper and duly authorized officers as of the day and year first above written.</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MICRON TECHNOLOGY, INC.</w:t>
      </w:r>
    </w:p>
    <w:p>
      <w:pPr>
        <w:spacing w:after="0" w:line="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Gregory Routin</w:t>
      </w:r>
    </w:p>
    <w:p>
      <w:pPr>
        <w:ind w:left="3900"/>
        <w:spacing w:after="0" w:line="225" w:lineRule="auto"/>
        <w:rPr>
          <w:sz w:val="20"/>
          <w:szCs w:val="20"/>
          <w:color w:val="auto"/>
        </w:rPr>
      </w:pPr>
      <w:r>
        <w:rPr>
          <w:rFonts w:ascii="Arial" w:cs="Arial" w:eastAsia="Arial" w:hAnsi="Arial"/>
          <w:sz w:val="20"/>
          <w:szCs w:val="20"/>
          <w:color w:val="auto"/>
        </w:rPr>
        <w:t>Name: Gregory Routin</w:t>
      </w:r>
    </w:p>
    <w:p>
      <w:pPr>
        <w:ind w:left="390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11100"/>
          </w:cols>
          <w:pgMar w:left="320" w:top="1440" w:right="479" w:bottom="1440" w:gutter="0" w:footer="0" w:header="0"/>
        </w:sectPr>
      </w:pPr>
    </w:p>
    <w:bookmarkStart w:id="84" w:name="page85"/>
    <w:bookmarkEnd w:id="84"/>
    <w:p>
      <w:pPr>
        <w:ind w:left="2760"/>
        <w:spacing w:after="0" w:line="242"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Administrative Agent and a</w:t>
      </w:r>
      <w:r>
        <w:rPr>
          <w:rFonts w:ascii="Arial" w:cs="Arial" w:eastAsia="Arial" w:hAnsi="Arial"/>
          <w:sz w:val="20"/>
          <w:szCs w:val="20"/>
          <w:b w:val="1"/>
          <w:bCs w:val="1"/>
          <w:color w:val="auto"/>
        </w:rPr>
        <w:t xml:space="preserve"> </w:t>
      </w:r>
      <w:r>
        <w:rPr>
          <w:rFonts w:ascii="Arial" w:cs="Arial" w:eastAsia="Arial" w:hAnsi="Arial"/>
          <w:sz w:val="20"/>
          <w:szCs w:val="20"/>
          <w:color w:val="auto"/>
        </w:rPr>
        <w:t>Lender</w:t>
      </w:r>
    </w:p>
    <w:p>
      <w:pPr>
        <w:ind w:left="2760"/>
        <w:spacing w:after="0" w:line="227" w:lineRule="auto"/>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Sid Khanolkar</w:t>
      </w:r>
      <w:r>
        <w:rPr>
          <w:rFonts w:ascii="Arial" w:cs="Arial" w:eastAsia="Arial" w:hAnsi="Arial"/>
          <w:sz w:val="20"/>
          <w:szCs w:val="20"/>
          <w:color w:val="auto"/>
        </w:rPr>
        <w:t xml:space="preserve"> Name: Sid Khanolkar</w:t>
      </w:r>
    </w:p>
    <w:p>
      <w:pPr>
        <w:ind w:left="276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10120"/>
          </w:cols>
          <w:pgMar w:left="1440" w:top="1412" w:right="339" w:bottom="1440" w:gutter="0" w:footer="0" w:header="0"/>
        </w:sectPr>
      </w:pPr>
    </w:p>
    <w:bookmarkStart w:id="85" w:name="page86"/>
    <w:bookmarkEnd w:id="85"/>
    <w:p>
      <w:pPr>
        <w:ind w:left="2780"/>
        <w:spacing w:after="0"/>
        <w:rPr>
          <w:sz w:val="20"/>
          <w:szCs w:val="20"/>
          <w:color w:val="auto"/>
        </w:rPr>
      </w:pPr>
      <w:r>
        <w:rPr>
          <w:rFonts w:ascii="Arial" w:cs="Arial" w:eastAsia="Arial" w:hAnsi="Arial"/>
          <w:sz w:val="20"/>
          <w:szCs w:val="20"/>
          <w:b w:val="1"/>
          <w:bCs w:val="1"/>
          <w:color w:val="auto"/>
        </w:rPr>
        <w:t>Mizuho Bank, Ltd.</w:t>
      </w:r>
      <w:r>
        <w:rPr>
          <w:rFonts w:ascii="Arial" w:cs="Arial" w:eastAsia="Arial" w:hAnsi="Arial"/>
          <w:sz w:val="20"/>
          <w:szCs w:val="20"/>
          <w:color w:val="auto"/>
        </w:rPr>
        <w:t>, as a Lender</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Tracy Rahn</w:t>
      </w:r>
      <w:r>
        <w:rPr>
          <w:rFonts w:ascii="Arial" w:cs="Arial" w:eastAsia="Arial" w:hAnsi="Arial"/>
          <w:sz w:val="19"/>
          <w:szCs w:val="19"/>
          <w:color w:val="auto"/>
        </w:rPr>
        <w:t xml:space="preserve"> Name: Tracy Rahn</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9019"/>
          </w:cols>
          <w:pgMar w:left="1440" w:top="1412" w:right="1440" w:bottom="1440" w:gutter="0" w:footer="0" w:header="0"/>
        </w:sectPr>
      </w:pPr>
    </w:p>
    <w:bookmarkStart w:id="86" w:name="page87"/>
    <w:bookmarkEnd w:id="86"/>
    <w:p>
      <w:pPr>
        <w:ind w:left="2780"/>
        <w:spacing w:after="0"/>
        <w:rPr>
          <w:sz w:val="20"/>
          <w:szCs w:val="20"/>
          <w:color w:val="auto"/>
        </w:rPr>
      </w:pPr>
      <w:r>
        <w:rPr>
          <w:rFonts w:ascii="Arial" w:cs="Arial" w:eastAsia="Arial" w:hAnsi="Arial"/>
          <w:sz w:val="20"/>
          <w:szCs w:val="20"/>
          <w:b w:val="1"/>
          <w:bCs w:val="1"/>
          <w:color w:val="auto"/>
        </w:rPr>
        <w:t>TRUIST BANK</w:t>
      </w:r>
      <w:r>
        <w:rPr>
          <w:rFonts w:ascii="Arial" w:cs="Arial" w:eastAsia="Arial" w:hAnsi="Arial"/>
          <w:sz w:val="20"/>
          <w:szCs w:val="20"/>
          <w:color w:val="auto"/>
        </w:rPr>
        <w:t>, as a Lender</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Paige Scheper</w:t>
      </w:r>
      <w:r>
        <w:rPr>
          <w:rFonts w:ascii="Arial" w:cs="Arial" w:eastAsia="Arial" w:hAnsi="Arial"/>
          <w:sz w:val="19"/>
          <w:szCs w:val="19"/>
          <w:color w:val="auto"/>
        </w:rPr>
        <w:t xml:space="preserve"> Name: Paige Scheper</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412" w:right="1440" w:bottom="1440" w:gutter="0" w:footer="0" w:header="0"/>
        </w:sectPr>
      </w:pPr>
    </w:p>
    <w:bookmarkStart w:id="87" w:name="page88"/>
    <w:bookmarkEnd w:id="87"/>
    <w:p>
      <w:pPr>
        <w:ind w:left="2780"/>
        <w:spacing w:after="0"/>
        <w:rPr>
          <w:sz w:val="20"/>
          <w:szCs w:val="20"/>
          <w:color w:val="auto"/>
        </w:rPr>
      </w:pPr>
      <w:r>
        <w:rPr>
          <w:rFonts w:ascii="Arial" w:cs="Arial" w:eastAsia="Arial" w:hAnsi="Arial"/>
          <w:sz w:val="20"/>
          <w:szCs w:val="20"/>
          <w:b w:val="1"/>
          <w:bCs w:val="1"/>
          <w:color w:val="auto"/>
        </w:rPr>
        <w:t>DBS BANK LTD.</w:t>
      </w:r>
      <w:r>
        <w:rPr>
          <w:rFonts w:ascii="Arial" w:cs="Arial" w:eastAsia="Arial" w:hAnsi="Arial"/>
          <w:sz w:val="20"/>
          <w:szCs w:val="20"/>
          <w:color w:val="auto"/>
        </w:rPr>
        <w:t>, as a Lender</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Erny Ismail</w:t>
      </w:r>
      <w:r>
        <w:rPr>
          <w:rFonts w:ascii="Arial" w:cs="Arial" w:eastAsia="Arial" w:hAnsi="Arial"/>
          <w:sz w:val="19"/>
          <w:szCs w:val="19"/>
          <w:color w:val="auto"/>
        </w:rPr>
        <w:t xml:space="preserve"> Name: Erny Ismail</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1412" w:right="1440" w:bottom="1440" w:gutter="0" w:footer="0" w:header="0"/>
        </w:sectPr>
      </w:pPr>
    </w:p>
    <w:bookmarkStart w:id="88" w:name="page89"/>
    <w:bookmarkEnd w:id="88"/>
    <w:p>
      <w:pPr>
        <w:ind w:left="2780"/>
        <w:spacing w:after="0"/>
        <w:rPr>
          <w:sz w:val="20"/>
          <w:szCs w:val="20"/>
          <w:color w:val="auto"/>
        </w:rPr>
      </w:pPr>
      <w:r>
        <w:rPr>
          <w:rFonts w:ascii="Arial" w:cs="Arial" w:eastAsia="Arial" w:hAnsi="Arial"/>
          <w:sz w:val="19"/>
          <w:szCs w:val="19"/>
          <w:b w:val="1"/>
          <w:bCs w:val="1"/>
          <w:color w:val="auto"/>
        </w:rPr>
        <w:t>JPMORGAN CHASE BANK, N.A.</w:t>
      </w:r>
      <w:r>
        <w:rPr>
          <w:rFonts w:ascii="Arial" w:cs="Arial" w:eastAsia="Arial" w:hAnsi="Arial"/>
          <w:sz w:val="19"/>
          <w:szCs w:val="19"/>
          <w:color w:val="auto"/>
        </w:rPr>
        <w:t>, as a Lender</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Zachary Quan</w:t>
      </w:r>
      <w:r>
        <w:rPr>
          <w:rFonts w:ascii="Arial" w:cs="Arial" w:eastAsia="Arial" w:hAnsi="Arial"/>
          <w:sz w:val="20"/>
          <w:szCs w:val="20"/>
          <w:color w:val="auto"/>
        </w:rPr>
        <w:t xml:space="preserve"> Name: Zachary Quan</w:t>
      </w: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12" w:right="1440" w:bottom="1440" w:gutter="0" w:footer="0" w:header="0"/>
        </w:sectPr>
      </w:pPr>
    </w:p>
    <w:bookmarkStart w:id="89" w:name="page90"/>
    <w:bookmarkEnd w:id="89"/>
    <w:p>
      <w:pPr>
        <w:ind w:left="2780"/>
        <w:spacing w:after="0"/>
        <w:rPr>
          <w:sz w:val="20"/>
          <w:szCs w:val="20"/>
          <w:color w:val="auto"/>
        </w:rPr>
      </w:pPr>
      <w:r>
        <w:rPr>
          <w:rFonts w:ascii="Arial" w:cs="Arial" w:eastAsia="Arial" w:hAnsi="Arial"/>
          <w:sz w:val="19"/>
          <w:szCs w:val="19"/>
          <w:b w:val="1"/>
          <w:bCs w:val="1"/>
          <w:color w:val="auto"/>
        </w:rPr>
        <w:t>PNC Bank, National Association</w:t>
      </w:r>
      <w:r>
        <w:rPr>
          <w:rFonts w:ascii="Arial" w:cs="Arial" w:eastAsia="Arial" w:hAnsi="Arial"/>
          <w:sz w:val="19"/>
          <w:szCs w:val="19"/>
          <w:color w:val="auto"/>
        </w:rPr>
        <w:t>, as a Lender</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Skyler Zweifel</w:t>
      </w:r>
    </w:p>
    <w:p>
      <w:pPr>
        <w:ind w:left="2760"/>
        <w:spacing w:after="0" w:line="225" w:lineRule="auto"/>
        <w:rPr>
          <w:sz w:val="20"/>
          <w:szCs w:val="20"/>
          <w:color w:val="auto"/>
        </w:rPr>
      </w:pPr>
      <w:r>
        <w:rPr>
          <w:rFonts w:ascii="Arial" w:cs="Arial" w:eastAsia="Arial" w:hAnsi="Arial"/>
          <w:sz w:val="20"/>
          <w:szCs w:val="20"/>
          <w:color w:val="auto"/>
        </w:rPr>
        <w:t>Name: Skyler Zweifel</w:t>
      </w: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12" w:right="1440" w:bottom="1440" w:gutter="0" w:footer="0" w:header="0"/>
        </w:sectPr>
      </w:pPr>
    </w:p>
    <w:bookmarkStart w:id="90" w:name="page91"/>
    <w:bookmarkEnd w:id="90"/>
    <w:p>
      <w:pPr>
        <w:ind w:left="2780"/>
        <w:spacing w:after="0"/>
        <w:rPr>
          <w:sz w:val="20"/>
          <w:szCs w:val="20"/>
          <w:color w:val="auto"/>
        </w:rPr>
      </w:pPr>
      <w:r>
        <w:rPr>
          <w:rFonts w:ascii="Arial" w:cs="Arial" w:eastAsia="Arial" w:hAnsi="Arial"/>
          <w:sz w:val="19"/>
          <w:szCs w:val="19"/>
          <w:b w:val="1"/>
          <w:bCs w:val="1"/>
          <w:color w:val="auto"/>
        </w:rPr>
        <w:t>The Bank of Nova Scotia</w:t>
      </w:r>
      <w:r>
        <w:rPr>
          <w:rFonts w:ascii="Arial" w:cs="Arial" w:eastAsia="Arial" w:hAnsi="Arial"/>
          <w:sz w:val="19"/>
          <w:szCs w:val="19"/>
          <w:color w:val="auto"/>
        </w:rPr>
        <w:t>, as a Lender</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Luke Copley</w:t>
      </w:r>
      <w:r>
        <w:rPr>
          <w:rFonts w:ascii="Arial" w:cs="Arial" w:eastAsia="Arial" w:hAnsi="Arial"/>
          <w:sz w:val="19"/>
          <w:szCs w:val="19"/>
          <w:color w:val="auto"/>
        </w:rPr>
        <w:t xml:space="preserve"> Name: Luke Copley</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412" w:right="1440" w:bottom="1440" w:gutter="0" w:footer="0" w:header="0"/>
        </w:sectPr>
      </w:pPr>
    </w:p>
    <w:bookmarkStart w:id="91" w:name="page92"/>
    <w:bookmarkEnd w:id="91"/>
    <w:p>
      <w:pPr>
        <w:ind w:left="2760" w:right="339"/>
        <w:spacing w:after="0" w:line="242" w:lineRule="auto"/>
        <w:rPr>
          <w:sz w:val="20"/>
          <w:szCs w:val="20"/>
          <w:color w:val="auto"/>
        </w:rPr>
      </w:pPr>
      <w:r>
        <w:rPr>
          <w:rFonts w:ascii="Arial" w:cs="Arial" w:eastAsia="Arial" w:hAnsi="Arial"/>
          <w:sz w:val="20"/>
          <w:szCs w:val="20"/>
          <w:b w:val="1"/>
          <w:bCs w:val="1"/>
          <w:color w:val="auto"/>
        </w:rPr>
        <w:t>Australia and New Zealand Banking Group Limited</w:t>
      </w:r>
      <w:r>
        <w:rPr>
          <w:rFonts w:ascii="Arial" w:cs="Arial" w:eastAsia="Arial" w:hAnsi="Arial"/>
          <w:sz w:val="20"/>
          <w:szCs w:val="20"/>
          <w:color w:val="auto"/>
        </w:rPr>
        <w:t>, as a Lender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Grillo</w:t>
      </w:r>
      <w:r>
        <w:rPr>
          <w:rFonts w:ascii="Arial" w:cs="Arial" w:eastAsia="Arial" w:hAnsi="Arial"/>
          <w:sz w:val="20"/>
          <w:szCs w:val="20"/>
          <w:color w:val="auto"/>
        </w:rPr>
        <w:t xml:space="preserve"> Name: Robert Grillo</w:t>
      </w:r>
    </w:p>
    <w:p>
      <w:pPr>
        <w:spacing w:after="0" w:line="2"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9019"/>
          </w:cols>
          <w:pgMar w:left="1440" w:top="1412" w:right="1440" w:bottom="1440" w:gutter="0" w:footer="0" w:header="0"/>
        </w:sectPr>
      </w:pPr>
    </w:p>
    <w:bookmarkStart w:id="92" w:name="page93"/>
    <w:bookmarkEnd w:id="92"/>
    <w:p>
      <w:pPr>
        <w:ind w:left="2760" w:right="719"/>
        <w:spacing w:after="0" w:line="242" w:lineRule="auto"/>
        <w:rPr>
          <w:sz w:val="20"/>
          <w:szCs w:val="20"/>
          <w:color w:val="auto"/>
        </w:rPr>
      </w:pPr>
      <w:r>
        <w:rPr>
          <w:rFonts w:ascii="Arial" w:cs="Arial" w:eastAsia="Arial" w:hAnsi="Arial"/>
          <w:sz w:val="20"/>
          <w:szCs w:val="20"/>
          <w:b w:val="1"/>
          <w:bCs w:val="1"/>
          <w:color w:val="auto"/>
        </w:rPr>
        <w:t>The Toronto-Dominion Bank, New York Branch</w:t>
      </w:r>
      <w:r>
        <w:rPr>
          <w:rFonts w:ascii="Arial" w:cs="Arial" w:eastAsia="Arial" w:hAnsi="Arial"/>
          <w:sz w:val="20"/>
          <w:szCs w:val="20"/>
          <w:color w:val="auto"/>
        </w:rPr>
        <w:t>, as a Lender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Perlman</w:t>
      </w:r>
      <w:r>
        <w:rPr>
          <w:rFonts w:ascii="Arial" w:cs="Arial" w:eastAsia="Arial" w:hAnsi="Arial"/>
          <w:sz w:val="20"/>
          <w:szCs w:val="20"/>
          <w:color w:val="auto"/>
        </w:rPr>
        <w:t xml:space="preserve"> Name: David Perlman</w:t>
      </w:r>
    </w:p>
    <w:p>
      <w:pPr>
        <w:spacing w:after="0" w:line="2"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1412" w:right="1440" w:bottom="1440" w:gutter="0" w:footer="0" w:header="0"/>
        </w:sectPr>
      </w:pPr>
    </w:p>
    <w:bookmarkStart w:id="93" w:name="page94"/>
    <w:bookmarkEnd w:id="93"/>
    <w:p>
      <w:pPr>
        <w:ind w:left="2780" w:hanging="10"/>
        <w:spacing w:after="0" w:line="242" w:lineRule="auto"/>
        <w:rPr>
          <w:sz w:val="20"/>
          <w:szCs w:val="20"/>
          <w:color w:val="auto"/>
        </w:rPr>
      </w:pPr>
      <w:r>
        <w:rPr>
          <w:rFonts w:ascii="Arial" w:cs="Arial" w:eastAsia="Arial" w:hAnsi="Arial"/>
          <w:sz w:val="20"/>
          <w:szCs w:val="20"/>
          <w:b w:val="1"/>
          <w:bCs w:val="1"/>
          <w:color w:val="auto"/>
        </w:rPr>
        <w:t>Canadian Imperial Bank of Commerce, New York Branch</w:t>
      </w:r>
      <w:r>
        <w:rPr>
          <w:rFonts w:ascii="Arial" w:cs="Arial" w:eastAsia="Arial" w:hAnsi="Arial"/>
          <w:sz w:val="20"/>
          <w:szCs w:val="20"/>
          <w:color w:val="auto"/>
        </w:rPr>
        <w:t>, as a Lender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w:t>
      </w:r>
      <w:r>
        <w:rPr>
          <w:rFonts w:ascii="Arial" w:cs="Arial" w:eastAsia="Arial" w:hAnsi="Arial"/>
          <w:sz w:val="20"/>
          <w:szCs w:val="20"/>
          <w:u w:val="single" w:color="auto"/>
          <w:color w:val="auto"/>
        </w:rPr>
        <w:t>/s/ Bernadette Murphy</w:t>
      </w:r>
      <w:r>
        <w:rPr>
          <w:rFonts w:ascii="Arial" w:cs="Arial" w:eastAsia="Arial" w:hAnsi="Arial"/>
          <w:sz w:val="20"/>
          <w:szCs w:val="20"/>
          <w:color w:val="auto"/>
        </w:rPr>
        <w:t xml:space="preserve"> Name: Bernadette Murphy</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 and Authorized Signatory</w:t>
      </w:r>
    </w:p>
    <w:p>
      <w:pPr>
        <w:sectPr>
          <w:pgSz w:w="11900" w:h="16838" w:orient="portrait"/>
          <w:cols w:equalWidth="0" w:num="1">
            <w:col w:w="9220"/>
          </w:cols>
          <w:pgMar w:left="1440" w:top="1412" w:right="1239" w:bottom="1440" w:gutter="0" w:footer="0" w:header="0"/>
        </w:sectPr>
      </w:pPr>
    </w:p>
    <w:bookmarkStart w:id="94" w:name="page95"/>
    <w:bookmarkEnd w:id="94"/>
    <w:p>
      <w:pPr>
        <w:ind w:left="2760"/>
        <w:spacing w:after="0" w:line="242" w:lineRule="auto"/>
        <w:rPr>
          <w:sz w:val="20"/>
          <w:szCs w:val="20"/>
          <w:color w:val="auto"/>
        </w:rPr>
      </w:pPr>
      <w:r>
        <w:rPr>
          <w:rFonts w:ascii="Arial" w:cs="Arial" w:eastAsia="Arial" w:hAnsi="Arial"/>
          <w:sz w:val="20"/>
          <w:szCs w:val="20"/>
          <w:b w:val="1"/>
          <w:bCs w:val="1"/>
          <w:color w:val="auto"/>
        </w:rPr>
        <w:t>CREDIT AGRICOLE CORPORATE AND INVESTMENT BANK</w:t>
      </w:r>
      <w:r>
        <w:rPr>
          <w:rFonts w:ascii="Arial" w:cs="Arial" w:eastAsia="Arial" w:hAnsi="Arial"/>
          <w:sz w:val="20"/>
          <w:szCs w:val="20"/>
          <w:color w:val="auto"/>
        </w:rPr>
        <w:t>, as a Lender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w:t>
      </w:r>
      <w:r>
        <w:rPr>
          <w:rFonts w:ascii="Arial" w:cs="Arial" w:eastAsia="Arial" w:hAnsi="Arial"/>
          <w:sz w:val="20"/>
          <w:szCs w:val="20"/>
          <w:u w:val="single" w:color="auto"/>
          <w:color w:val="auto"/>
        </w:rPr>
        <w:t>/s/ Fanny Charrier</w:t>
      </w:r>
      <w:r>
        <w:rPr>
          <w:rFonts w:ascii="Arial" w:cs="Arial" w:eastAsia="Arial" w:hAnsi="Arial"/>
          <w:sz w:val="20"/>
          <w:szCs w:val="20"/>
          <w:color w:val="auto"/>
        </w:rPr>
        <w:t xml:space="preserve"> Name: Fanny Charrier</w:t>
      </w:r>
    </w:p>
    <w:p>
      <w:pPr>
        <w:spacing w:after="0" w:line="2"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Paul Arens</w:t>
      </w:r>
      <w:r>
        <w:rPr>
          <w:rFonts w:ascii="Arial" w:cs="Arial" w:eastAsia="Arial" w:hAnsi="Arial"/>
          <w:sz w:val="20"/>
          <w:szCs w:val="20"/>
          <w:color w:val="auto"/>
        </w:rPr>
        <w:t xml:space="preserve"> Name: Paul Arens</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500"/>
          </w:cols>
          <w:pgMar w:left="1440" w:top="1412" w:right="959" w:bottom="1440" w:gutter="0" w:footer="0" w:header="0"/>
        </w:sectPr>
      </w:pPr>
    </w:p>
    <w:bookmarkStart w:id="95" w:name="page96"/>
    <w:bookmarkEnd w:id="95"/>
    <w:p>
      <w:pPr>
        <w:ind w:left="2780"/>
        <w:spacing w:after="0"/>
        <w:rPr>
          <w:sz w:val="20"/>
          <w:szCs w:val="20"/>
          <w:color w:val="auto"/>
        </w:rPr>
      </w:pPr>
      <w:r>
        <w:rPr>
          <w:rFonts w:ascii="Arial" w:cs="Arial" w:eastAsia="Arial" w:hAnsi="Arial"/>
          <w:sz w:val="19"/>
          <w:szCs w:val="19"/>
          <w:b w:val="1"/>
          <w:bCs w:val="1"/>
          <w:color w:val="auto"/>
        </w:rPr>
        <w:t>MUFG Bank, Ltd.</w:t>
      </w:r>
      <w:r>
        <w:rPr>
          <w:rFonts w:ascii="Arial" w:cs="Arial" w:eastAsia="Arial" w:hAnsi="Arial"/>
          <w:sz w:val="19"/>
          <w:szCs w:val="19"/>
          <w:color w:val="auto"/>
        </w:rPr>
        <w:t>, as a Lender</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20"/>
          <w:szCs w:val="20"/>
          <w:u w:val="single" w:color="auto"/>
          <w:color w:val="auto"/>
        </w:rPr>
        <w:t>By: /s/ Lillian Kim</w:t>
      </w:r>
    </w:p>
    <w:p>
      <w:pPr>
        <w:ind w:left="2760"/>
        <w:spacing w:after="0" w:line="225" w:lineRule="auto"/>
        <w:rPr>
          <w:sz w:val="20"/>
          <w:szCs w:val="20"/>
          <w:color w:val="auto"/>
        </w:rPr>
      </w:pPr>
      <w:r>
        <w:rPr>
          <w:rFonts w:ascii="Arial" w:cs="Arial" w:eastAsia="Arial" w:hAnsi="Arial"/>
          <w:sz w:val="20"/>
          <w:szCs w:val="20"/>
          <w:color w:val="auto"/>
        </w:rPr>
        <w:t>Name: Lillian Kim</w:t>
      </w:r>
    </w:p>
    <w:p>
      <w:pPr>
        <w:ind w:left="27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412" w:right="1440" w:bottom="1440" w:gutter="0" w:footer="0" w:header="0"/>
        </w:sectPr>
      </w:pPr>
    </w:p>
    <w:bookmarkStart w:id="96" w:name="page97"/>
    <w:bookmarkEnd w:id="96"/>
    <w:p>
      <w:pPr>
        <w:ind w:left="278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 Lender</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Ladi Oluwole</w:t>
      </w:r>
    </w:p>
    <w:p>
      <w:pPr>
        <w:ind w:left="2760"/>
        <w:spacing w:after="0" w:line="225" w:lineRule="auto"/>
        <w:rPr>
          <w:sz w:val="20"/>
          <w:szCs w:val="20"/>
          <w:color w:val="auto"/>
        </w:rPr>
      </w:pPr>
      <w:r>
        <w:rPr>
          <w:rFonts w:ascii="Arial" w:cs="Arial" w:eastAsia="Arial" w:hAnsi="Arial"/>
          <w:sz w:val="20"/>
          <w:szCs w:val="20"/>
          <w:color w:val="auto"/>
        </w:rPr>
        <w:t>Name: Ladi Oluwole</w:t>
      </w: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12" w:right="1440" w:bottom="1440" w:gutter="0" w:footer="0" w:header="0"/>
        </w:sectPr>
      </w:pPr>
    </w:p>
    <w:bookmarkStart w:id="97" w:name="page98"/>
    <w:bookmarkEnd w:id="97"/>
    <w:p>
      <w:pPr>
        <w:ind w:left="2780"/>
        <w:spacing w:after="0"/>
        <w:rPr>
          <w:sz w:val="20"/>
          <w:szCs w:val="20"/>
          <w:color w:val="auto"/>
        </w:rPr>
      </w:pPr>
      <w:r>
        <w:rPr>
          <w:rFonts w:ascii="Arial" w:cs="Arial" w:eastAsia="Arial" w:hAnsi="Arial"/>
          <w:sz w:val="20"/>
          <w:szCs w:val="20"/>
          <w:b w:val="1"/>
          <w:bCs w:val="1"/>
          <w:color w:val="auto"/>
        </w:rPr>
        <w:t>BNP Paribas</w:t>
      </w:r>
      <w:r>
        <w:rPr>
          <w:rFonts w:ascii="Arial" w:cs="Arial" w:eastAsia="Arial" w:hAnsi="Arial"/>
          <w:sz w:val="20"/>
          <w:szCs w:val="20"/>
          <w:color w:val="auto"/>
        </w:rPr>
        <w:t>, as a Lender</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Gregory R. Paul</w:t>
      </w:r>
      <w:r>
        <w:rPr>
          <w:rFonts w:ascii="Arial" w:cs="Arial" w:eastAsia="Arial" w:hAnsi="Arial"/>
          <w:sz w:val="19"/>
          <w:szCs w:val="19"/>
          <w:color w:val="auto"/>
        </w:rPr>
        <w:t xml:space="preserve"> Name: Gregory R. Paul</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1412" w:right="1440" w:bottom="1440" w:gutter="0" w:footer="0" w:header="0"/>
        </w:sectPr>
      </w:pPr>
    </w:p>
    <w:bookmarkStart w:id="98" w:name="page99"/>
    <w:bookmarkEnd w:id="98"/>
    <w:p>
      <w:pPr>
        <w:ind w:left="2780"/>
        <w:spacing w:after="0"/>
        <w:rPr>
          <w:sz w:val="20"/>
          <w:szCs w:val="20"/>
          <w:color w:val="auto"/>
        </w:rPr>
      </w:pPr>
      <w:r>
        <w:rPr>
          <w:rFonts w:ascii="Arial" w:cs="Arial" w:eastAsia="Arial" w:hAnsi="Arial"/>
          <w:sz w:val="19"/>
          <w:szCs w:val="19"/>
          <w:b w:val="1"/>
          <w:bCs w:val="1"/>
          <w:color w:val="auto"/>
        </w:rPr>
        <w:t>BNP Paribas</w:t>
      </w:r>
      <w:r>
        <w:rPr>
          <w:rFonts w:ascii="Arial" w:cs="Arial" w:eastAsia="Arial" w:hAnsi="Arial"/>
          <w:sz w:val="19"/>
          <w:szCs w:val="19"/>
          <w:color w:val="auto"/>
        </w:rPr>
        <w:t>, as a Lender</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My-Linh Yoshiike</w:t>
      </w:r>
    </w:p>
    <w:p>
      <w:pPr>
        <w:ind w:left="2760"/>
        <w:spacing w:after="0" w:line="225" w:lineRule="auto"/>
        <w:rPr>
          <w:sz w:val="20"/>
          <w:szCs w:val="20"/>
          <w:color w:val="auto"/>
        </w:rPr>
      </w:pPr>
      <w:r>
        <w:rPr>
          <w:rFonts w:ascii="Arial" w:cs="Arial" w:eastAsia="Arial" w:hAnsi="Arial"/>
          <w:sz w:val="20"/>
          <w:szCs w:val="20"/>
          <w:color w:val="auto"/>
        </w:rPr>
        <w:t>Name: My-Linh Yoshiike</w:t>
      </w: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12" w:right="1440" w:bottom="1440" w:gutter="0" w:footer="0" w:header="0"/>
        </w:sectPr>
      </w:pPr>
    </w:p>
    <w:bookmarkStart w:id="99" w:name="page100"/>
    <w:bookmarkEnd w:id="99"/>
    <w:p>
      <w:pPr>
        <w:ind w:left="2760" w:right="1459"/>
        <w:spacing w:after="0" w:line="249" w:lineRule="auto"/>
        <w:rPr>
          <w:sz w:val="20"/>
          <w:szCs w:val="20"/>
          <w:color w:val="auto"/>
        </w:rPr>
      </w:pPr>
      <w:r>
        <w:rPr>
          <w:rFonts w:ascii="Arial" w:cs="Arial" w:eastAsia="Arial" w:hAnsi="Arial"/>
          <w:sz w:val="20"/>
          <w:szCs w:val="20"/>
          <w:b w:val="1"/>
          <w:bCs w:val="1"/>
          <w:color w:val="auto"/>
        </w:rPr>
        <w:t>HSBC Bank USA, National Association</w:t>
      </w:r>
      <w:r>
        <w:rPr>
          <w:rFonts w:ascii="Arial" w:cs="Arial" w:eastAsia="Arial" w:hAnsi="Arial"/>
          <w:sz w:val="20"/>
          <w:szCs w:val="20"/>
          <w:color w:val="auto"/>
        </w:rPr>
        <w:t>, as a Lender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w:t>
      </w:r>
      <w:r>
        <w:rPr>
          <w:rFonts w:ascii="Arial" w:cs="Arial" w:eastAsia="Arial" w:hAnsi="Arial"/>
          <w:sz w:val="20"/>
          <w:szCs w:val="20"/>
          <w:u w:val="single" w:color="auto"/>
          <w:color w:val="auto"/>
        </w:rPr>
        <w:t>/s/ Ilene Hernandez</w:t>
      </w:r>
      <w:r>
        <w:rPr>
          <w:rFonts w:ascii="Arial" w:cs="Arial" w:eastAsia="Arial" w:hAnsi="Arial"/>
          <w:sz w:val="20"/>
          <w:szCs w:val="20"/>
          <w:color w:val="auto"/>
        </w:rPr>
        <w:t xml:space="preserve"> Name: Ilene Hernandez Title: Vice President</w:t>
      </w:r>
    </w:p>
    <w:p>
      <w:pPr>
        <w:sectPr>
          <w:pgSz w:w="11900" w:h="16838" w:orient="portrait"/>
          <w:cols w:equalWidth="0" w:num="1">
            <w:col w:w="9019"/>
          </w:cols>
          <w:pgMar w:left="1440" w:top="1412" w:right="1440"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20"/>
          <w:szCs w:val="20"/>
          <w:u w:val="single" w:color="auto"/>
          <w:color w:val="auto"/>
        </w:rPr>
        <w:t>Annex 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Form of Compliance Certificate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[Omitted]</w:t>
      </w:r>
    </w:p>
    <w:p>
      <w:pPr>
        <w:sectPr>
          <w:pgSz w:w="11900" w:h="16838" w:orient="portrait"/>
          <w:cols w:equalWidth="0" w:num="1">
            <w:col w:w="9019"/>
          </w:cols>
          <w:pgMar w:left="1440" w:top="1414"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AMENDMENT NO. 1 TO TERM LOAN CREDIT AGREEMENT,</w:t>
      </w: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 March 27, 2023</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by and among</w:t>
      </w: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MICRON TECHNOLOGY,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Borrower,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THE LENDERS PARTY HERETO,</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WELLS FARGO BANK, NATIONAL ASSOCIATION,</w:t>
      </w:r>
    </w:p>
    <w:p>
      <w:pPr>
        <w:spacing w:after="0" w:line="1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_________________________________________________________________________</w:t>
      </w:r>
    </w:p>
    <w:p>
      <w:pPr>
        <w:sectPr>
          <w:pgSz w:w="11900" w:h="16838" w:orient="portrait"/>
          <w:cols w:equalWidth="0" w:num="1">
            <w:col w:w="10120"/>
          </w:cols>
          <w:pgMar w:left="1440" w:top="1412"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color w:val="auto"/>
        </w:rPr>
        <w:t>AMENDMENT NO. 1 TO TERM LOAN CREDIT AGREEMENT</w:t>
      </w:r>
    </w:p>
    <w:p>
      <w:pPr>
        <w:spacing w:after="0" w:line="229" w:lineRule="exact"/>
        <w:rPr>
          <w:sz w:val="20"/>
          <w:szCs w:val="20"/>
          <w:color w:val="auto"/>
        </w:rPr>
      </w:pPr>
    </w:p>
    <w:p>
      <w:pPr>
        <w:ind w:right="160" w:firstLine="1296"/>
        <w:spacing w:after="0" w:line="245" w:lineRule="auto"/>
        <w:rPr>
          <w:sz w:val="20"/>
          <w:szCs w:val="20"/>
          <w:color w:val="auto"/>
        </w:rPr>
      </w:pPr>
      <w:r>
        <w:rPr>
          <w:rFonts w:ascii="Arial" w:cs="Arial" w:eastAsia="Arial" w:hAnsi="Arial"/>
          <w:sz w:val="20"/>
          <w:szCs w:val="20"/>
          <w:color w:val="auto"/>
        </w:rPr>
        <w:t>AMENDMENT NO. 1 TO TERM LOAN CREDIT AGREEMENT, dated as of March 27, 2023 (this “</w:t>
      </w:r>
      <w:r>
        <w:rPr>
          <w:rFonts w:ascii="Arial" w:cs="Arial" w:eastAsia="Arial" w:hAnsi="Arial"/>
          <w:sz w:val="20"/>
          <w:szCs w:val="20"/>
          <w:u w:val="single" w:color="auto"/>
          <w:color w:val="auto"/>
        </w:rPr>
        <w:t>Amendment</w:t>
      </w:r>
      <w:r>
        <w:rPr>
          <w:rFonts w:ascii="Arial" w:cs="Arial" w:eastAsia="Arial" w:hAnsi="Arial"/>
          <w:sz w:val="20"/>
          <w:szCs w:val="20"/>
          <w:color w:val="auto"/>
        </w:rPr>
        <w:t>”), by and among Micron Technology,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hereto, and Wells Fargo Bank, National Association, as administrative agent under the Existing Credit Agreement (as defined below) (in such capacity and including any successors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 xml:space="preserve"> :</w:t>
      </w:r>
    </w:p>
    <w:p>
      <w:pPr>
        <w:spacing w:after="0" w:line="243"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WHEREAS, reference is hereby made to the Term Loan Credit Agreement, dated as of May 14, 2021 (as amended, restated, amended and restated, supplemented or otherwise modified from time to time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and as further amended by this Amendment,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w:t>
      </w:r>
    </w:p>
    <w:p>
      <w:pPr>
        <w:spacing w:after="0" w:line="21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WHEREAS, the Borrower has requested that certain provisions of the Existing Credit Agreement be amended as set forth herein; and</w:t>
      </w:r>
    </w:p>
    <w:p>
      <w:pPr>
        <w:spacing w:after="0" w:line="196" w:lineRule="exact"/>
        <w:rPr>
          <w:sz w:val="20"/>
          <w:szCs w:val="20"/>
          <w:color w:val="auto"/>
        </w:rPr>
      </w:pPr>
    </w:p>
    <w:p>
      <w:pPr>
        <w:jc w:val="both"/>
        <w:ind w:right="20" w:firstLine="1296"/>
        <w:spacing w:after="0" w:line="257" w:lineRule="auto"/>
        <w:rPr>
          <w:sz w:val="20"/>
          <w:szCs w:val="20"/>
          <w:color w:val="auto"/>
        </w:rPr>
      </w:pPr>
      <w:r>
        <w:rPr>
          <w:rFonts w:ascii="Arial" w:cs="Arial" w:eastAsia="Arial" w:hAnsi="Arial"/>
          <w:sz w:val="20"/>
          <w:szCs w:val="20"/>
          <w:color w:val="auto"/>
        </w:rPr>
        <w:t>WHEREAS, subject to the terms and conditions set forth herein, the Administrative Agent and the Lenders party hereto are willing to amend the Existing Credit Agreement on the terms set forth herein;</w:t>
      </w:r>
    </w:p>
    <w:p>
      <w:pPr>
        <w:spacing w:after="0" w:line="182" w:lineRule="exact"/>
        <w:rPr>
          <w:sz w:val="20"/>
          <w:szCs w:val="20"/>
          <w:color w:val="auto"/>
        </w:rPr>
      </w:pPr>
    </w:p>
    <w:p>
      <w:pPr>
        <w:ind w:right="40" w:firstLine="1296"/>
        <w:spacing w:after="0" w:line="271"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adequacy and sufficiency of which are hereby acknowledged, the parties hereto hereby agree as follows:</w:t>
      </w:r>
    </w:p>
    <w:p>
      <w:pPr>
        <w:spacing w:after="0" w:line="169" w:lineRule="exact"/>
        <w:rPr>
          <w:sz w:val="20"/>
          <w:szCs w:val="20"/>
          <w:color w:val="auto"/>
        </w:rPr>
      </w:pPr>
    </w:p>
    <w:p>
      <w:pPr>
        <w:ind w:right="380" w:firstLine="1296"/>
        <w:spacing w:after="0" w:line="271"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terms defined in the Existing Credit Agreement and used herein shall have the respective meanings given to them in the Existing Credit Agreement.</w:t>
      </w:r>
    </w:p>
    <w:p>
      <w:pPr>
        <w:spacing w:after="0" w:line="169" w:lineRule="exact"/>
        <w:rPr>
          <w:sz w:val="20"/>
          <w:szCs w:val="20"/>
          <w:color w:val="auto"/>
        </w:rPr>
      </w:pPr>
    </w:p>
    <w:p>
      <w:pPr>
        <w:jc w:val="both"/>
        <w:ind w:right="220" w:firstLine="1296"/>
        <w:spacing w:after="0" w:line="24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Amendments</w:t>
      </w:r>
      <w:r>
        <w:rPr>
          <w:rFonts w:ascii="Arial" w:cs="Arial" w:eastAsia="Arial" w:hAnsi="Arial"/>
          <w:sz w:val="20"/>
          <w:szCs w:val="20"/>
          <w:color w:val="auto"/>
        </w:rPr>
        <w:t xml:space="preserve">. Subject to the satisfaction of the conditions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below, the parties hereto agree that the Existing Credit Agreement shall be amended as of the Amendment Effective Date (as defined below), as follows:</w:t>
      </w:r>
    </w:p>
    <w:p>
      <w:pPr>
        <w:spacing w:after="0" w:line="192" w:lineRule="exact"/>
        <w:rPr>
          <w:sz w:val="20"/>
          <w:szCs w:val="20"/>
          <w:color w:val="auto"/>
        </w:rPr>
      </w:pPr>
    </w:p>
    <w:p>
      <w:pPr>
        <w:ind w:right="160" w:firstLine="1304"/>
        <w:spacing w:after="0" w:line="271" w:lineRule="auto"/>
        <w:tabs>
          <w:tab w:leader="none" w:pos="1593" w:val="left"/>
        </w:tabs>
        <w:numPr>
          <w:ilvl w:val="0"/>
          <w:numId w:val="55"/>
        </w:numPr>
        <w:rPr>
          <w:rFonts w:ascii="Arial" w:cs="Arial" w:eastAsia="Arial" w:hAnsi="Arial"/>
          <w:sz w:val="20"/>
          <w:szCs w:val="20"/>
          <w:color w:val="auto"/>
        </w:rPr>
      </w:pPr>
      <w:r>
        <w:rPr>
          <w:rFonts w:ascii="Arial" w:cs="Arial" w:eastAsia="Arial" w:hAnsi="Arial"/>
          <w:sz w:val="20"/>
          <w:szCs w:val="20"/>
          <w:color w:val="auto"/>
        </w:rPr>
        <w:t>Section 1.1 of the Existing Credit Agreement is hereby amended by adding the following definitions in proper alphabetical order:</w:t>
      </w:r>
    </w:p>
    <w:p>
      <w:pPr>
        <w:spacing w:after="0" w:line="169" w:lineRule="exact"/>
        <w:rPr>
          <w:sz w:val="20"/>
          <w:szCs w:val="20"/>
          <w:color w:val="auto"/>
        </w:rPr>
      </w:pPr>
    </w:p>
    <w:p>
      <w:pPr>
        <w:ind w:right="40" w:firstLine="1296"/>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Unused Commitments</w:t>
      </w:r>
      <w:r>
        <w:rPr>
          <w:rFonts w:ascii="Arial" w:cs="Arial" w:eastAsia="Arial" w:hAnsi="Arial"/>
          <w:sz w:val="20"/>
          <w:szCs w:val="20"/>
          <w:color w:val="auto"/>
        </w:rPr>
        <w:t>”: as of the date of determination thereof, the aggregate amount by which (a) the aggregate amount of commitments under revolving credit facilities and revolving lines of credit of the Borrower and its Consolidated Subsidiaries exceeds (b) the aggregate principal amount of outstanding loans and advances under such revolving credit facilities and revolving lines of credit.</w:t>
      </w:r>
    </w:p>
    <w:p>
      <w:pPr>
        <w:spacing w:after="0" w:line="195" w:lineRule="exact"/>
        <w:rPr>
          <w:sz w:val="20"/>
          <w:szCs w:val="20"/>
          <w:color w:val="auto"/>
        </w:rPr>
      </w:pPr>
    </w:p>
    <w:p>
      <w:pPr>
        <w:ind w:right="720" w:firstLine="1296"/>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Debt</w:t>
      </w:r>
      <w:r>
        <w:rPr>
          <w:rFonts w:ascii="Arial" w:cs="Arial" w:eastAsia="Arial" w:hAnsi="Arial"/>
          <w:sz w:val="20"/>
          <w:szCs w:val="20"/>
          <w:color w:val="auto"/>
        </w:rPr>
        <w:t>”: long-term and short-term bonds, bills, notes and other debt obligations with any “investment grade” rating from any of Moody’s, S&amp;P or Fitch.</w:t>
      </w:r>
    </w:p>
    <w:p>
      <w:pPr>
        <w:spacing w:after="0" w:line="196" w:lineRule="exact"/>
        <w:rPr>
          <w:sz w:val="20"/>
          <w:szCs w:val="20"/>
          <w:color w:val="auto"/>
        </w:rPr>
      </w:pPr>
    </w:p>
    <w:p>
      <w:pPr>
        <w:ind w:right="380" w:firstLine="1296"/>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Liquidity</w:t>
      </w:r>
      <w:r>
        <w:rPr>
          <w:rFonts w:ascii="Arial" w:cs="Arial" w:eastAsia="Arial" w:hAnsi="Arial"/>
          <w:sz w:val="20"/>
          <w:szCs w:val="20"/>
          <w:color w:val="auto"/>
        </w:rPr>
        <w:t xml:space="preserve">”: as of the date of determination thereof, the sum of (a) the Unrestricted Cash, Cash Equivalent and Marketable Securities Amount on such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Available Unused Commitments on such date.</w:t>
      </w:r>
    </w:p>
    <w:p>
      <w:pPr>
        <w:sectPr>
          <w:pgSz w:w="11900" w:h="16838" w:orient="portrait"/>
          <w:cols w:equalWidth="0" w:num="1">
            <w:col w:w="11240"/>
          </w:cols>
          <w:pgMar w:left="320" w:top="1414" w:right="339" w:bottom="1440" w:gutter="0" w:footer="0" w:header="0"/>
        </w:sectPr>
      </w:pPr>
    </w:p>
    <w:bookmarkStart w:id="103" w:name="page104"/>
    <w:bookmarkEnd w:id="103"/>
    <w:p>
      <w:pPr>
        <w:ind w:right="440" w:firstLine="1296"/>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Fiscal Quarters</w:t>
      </w:r>
      <w:r>
        <w:rPr>
          <w:rFonts w:ascii="Arial" w:cs="Arial" w:eastAsia="Arial" w:hAnsi="Arial"/>
          <w:sz w:val="20"/>
          <w:szCs w:val="20"/>
          <w:color w:val="auto"/>
        </w:rPr>
        <w:t>”: the fiscal quarters of the Borrower ending August 31, 2023, November 30, 2023, February 29, 2024, May 30, 2024, and August 29, 2024.</w:t>
      </w:r>
    </w:p>
    <w:p>
      <w:pPr>
        <w:spacing w:after="0" w:line="196" w:lineRule="exact"/>
        <w:rPr>
          <w:sz w:val="20"/>
          <w:szCs w:val="20"/>
          <w:color w:val="auto"/>
        </w:rPr>
      </w:pPr>
    </w:p>
    <w:p>
      <w:pPr>
        <w:ind w:right="160"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Net Leverage Ratio</w:t>
      </w:r>
      <w:r>
        <w:rPr>
          <w:rFonts w:ascii="Arial" w:cs="Arial" w:eastAsia="Arial" w:hAnsi="Arial"/>
          <w:sz w:val="20"/>
          <w:szCs w:val="20"/>
          <w:color w:val="auto"/>
        </w:rPr>
        <w:t xml:space="preserve">”: as of the date of determination thereof, the ratio of (a) Indebtedness of the Borrower and its Consolidated Subsidiaries as of such date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Unrestricted Cash, Cash Equivalent and Marketable Securities Amount as of such date, to (b) Consolidated EBITDA of the Borrower for such Measurement Period.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Cash, Cash Equivalent and Marketable Securities Amount</w:t>
      </w:r>
      <w:r>
        <w:rPr>
          <w:rFonts w:ascii="Arial" w:cs="Arial" w:eastAsia="Arial" w:hAnsi="Arial"/>
          <w:sz w:val="19"/>
          <w:szCs w:val="19"/>
          <w:color w:val="auto"/>
        </w:rPr>
        <w:t>”: as of the date of determination thereof,</w:t>
      </w:r>
    </w:p>
    <w:p>
      <w:pPr>
        <w:spacing w:after="0" w:line="29" w:lineRule="exact"/>
        <w:rPr>
          <w:sz w:val="20"/>
          <w:szCs w:val="20"/>
          <w:color w:val="auto"/>
        </w:rPr>
      </w:pPr>
    </w:p>
    <w:p>
      <w:pPr>
        <w:jc w:val="both"/>
        <w:ind w:right="260"/>
        <w:spacing w:after="0" w:line="234" w:lineRule="auto"/>
        <w:rPr>
          <w:sz w:val="20"/>
          <w:szCs w:val="20"/>
          <w:color w:val="auto"/>
        </w:rPr>
      </w:pPr>
      <w:r>
        <w:rPr>
          <w:rFonts w:ascii="Arial" w:cs="Arial" w:eastAsia="Arial" w:hAnsi="Arial"/>
          <w:sz w:val="20"/>
          <w:szCs w:val="20"/>
          <w:color w:val="auto"/>
        </w:rPr>
        <w:t>the aggregate amount of unrestricted cash, cash equivalents and Investment Grade Debt, as determined in accordance with GAAP and reported on the consolidated balance sheet of the Borrower and its Consolidated Subsidiaries as of the last day of the most recently ended fiscal quarter of the Borrower for which financial statements are available.</w:t>
      </w:r>
    </w:p>
    <w:p>
      <w:pPr>
        <w:spacing w:after="0" w:line="214" w:lineRule="exact"/>
        <w:rPr>
          <w:sz w:val="20"/>
          <w:szCs w:val="20"/>
          <w:color w:val="auto"/>
        </w:rPr>
      </w:pPr>
    </w:p>
    <w:p>
      <w:pPr>
        <w:ind w:right="60" w:firstLine="1304"/>
        <w:spacing w:after="0" w:line="257" w:lineRule="auto"/>
        <w:tabs>
          <w:tab w:leader="none" w:pos="1593" w:val="left"/>
        </w:tabs>
        <w:numPr>
          <w:ilvl w:val="0"/>
          <w:numId w:val="56"/>
        </w:numPr>
        <w:rPr>
          <w:rFonts w:ascii="Arial" w:cs="Arial" w:eastAsia="Arial" w:hAnsi="Arial"/>
          <w:sz w:val="20"/>
          <w:szCs w:val="20"/>
          <w:color w:val="auto"/>
        </w:rPr>
      </w:pPr>
      <w:r>
        <w:rPr>
          <w:rFonts w:ascii="Arial" w:cs="Arial" w:eastAsia="Arial" w:hAnsi="Arial"/>
          <w:sz w:val="20"/>
          <w:szCs w:val="20"/>
          <w:color w:val="auto"/>
        </w:rPr>
        <w:t>Section 6 of the Existing Credit Agreement is hereby amended by amending and restating Section 6.6 thereof in its entirety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Financial Covenant</w:t>
      </w:r>
      <w:r>
        <w:rPr>
          <w:rFonts w:ascii="Arial" w:cs="Arial" w:eastAsia="Arial" w:hAnsi="Arial"/>
          <w:sz w:val="20"/>
          <w:szCs w:val="20"/>
          <w:color w:val="auto"/>
        </w:rPr>
        <w:t>.</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The Borrower will not permit, (a) as of the last day of any fiscal quarter of the Borrower other than a Specified Fiscal Quarter, the Total Leverage Ratio to exceed 3.25 to 1.00 and (b) as of the last day of any Specified Fiscal Quarter, either of the following (i) or (ii) (at the Borrower’s sole election as to the applicability of (i) or (ii) for such Specified Fiscal Quarter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(ii) shall not be elected in more than three (3) of such Specified Fiscal Quarters)): (i) the Total Net Leverage Ratio to exceed 3.25 to 1.00 or (ii) Liquidity to be less than $5,000,000,000;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following the consummation of a Qualified Acquisition for the four fiscal quarters of the Borrower then ended as set forth in the last Compliance Certificate delivered pursuant to </w:t>
      </w:r>
      <w:r>
        <w:rPr>
          <w:rFonts w:ascii="Arial" w:cs="Arial" w:eastAsia="Arial" w:hAnsi="Arial"/>
          <w:sz w:val="20"/>
          <w:szCs w:val="20"/>
          <w:u w:val="single" w:color="auto"/>
          <w:color w:val="auto"/>
        </w:rPr>
        <w:t>Section 5.2</w:t>
      </w:r>
      <w:r>
        <w:rPr>
          <w:rFonts w:ascii="Arial" w:cs="Arial" w:eastAsia="Arial" w:hAnsi="Arial"/>
          <w:sz w:val="20"/>
          <w:szCs w:val="20"/>
          <w:color w:val="auto"/>
        </w:rPr>
        <w:t>, the Total Leverage Ratio and Total Net Leverage Ratio set forth above shall increase for each of the four fiscal quarters of the Borrower ending following the consummation of a Qualified Acquisition to 3.75 to 1.00.”</w:t>
      </w:r>
    </w:p>
    <w:p>
      <w:pPr>
        <w:spacing w:after="0" w:line="200" w:lineRule="exact"/>
        <w:rPr>
          <w:sz w:val="20"/>
          <w:szCs w:val="20"/>
          <w:color w:val="auto"/>
        </w:rPr>
      </w:pPr>
    </w:p>
    <w:p>
      <w:pPr>
        <w:ind w:right="180" w:firstLine="1304"/>
        <w:spacing w:after="0" w:line="271" w:lineRule="auto"/>
        <w:tabs>
          <w:tab w:leader="none" w:pos="1582" w:val="left"/>
        </w:tabs>
        <w:numPr>
          <w:ilvl w:val="0"/>
          <w:numId w:val="57"/>
        </w:numPr>
        <w:rPr>
          <w:rFonts w:ascii="Arial" w:cs="Arial" w:eastAsia="Arial" w:hAnsi="Arial"/>
          <w:sz w:val="20"/>
          <w:szCs w:val="20"/>
          <w:color w:val="auto"/>
        </w:rPr>
      </w:pPr>
      <w:r>
        <w:rPr>
          <w:rFonts w:ascii="Arial" w:cs="Arial" w:eastAsia="Arial" w:hAnsi="Arial"/>
          <w:sz w:val="20"/>
          <w:szCs w:val="20"/>
          <w:color w:val="auto"/>
        </w:rPr>
        <w:t>Exhibit C to the Existing Credit Agreement is hereby amended and restated in its entirety to read as set forth on Annex I attached hereto.</w:t>
      </w:r>
    </w:p>
    <w:p>
      <w:pPr>
        <w:spacing w:after="0" w:line="169" w:lineRule="exact"/>
        <w:rPr>
          <w:sz w:val="20"/>
          <w:szCs w:val="20"/>
          <w:color w:val="auto"/>
        </w:rPr>
      </w:pPr>
    </w:p>
    <w:p>
      <w:pPr>
        <w:ind w:right="180" w:firstLine="1296"/>
        <w:spacing w:after="0" w:line="241"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xml:space="preserve"> This Amendment shall become effective on the date that the following conditions shall have been satisfied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2" w:lineRule="exact"/>
        <w:rPr>
          <w:sz w:val="20"/>
          <w:szCs w:val="20"/>
          <w:color w:val="auto"/>
        </w:rPr>
      </w:pPr>
    </w:p>
    <w:p>
      <w:pPr>
        <w:ind w:right="200" w:firstLine="1304"/>
        <w:spacing w:after="0" w:line="253" w:lineRule="auto"/>
        <w:tabs>
          <w:tab w:leader="none" w:pos="1593"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This Amendment shall have been executed and delivered by (i) a duly authorized officer of the Borrower, (ii) the Required Lenders and (iii) the Administrative Agent.</w:t>
      </w:r>
    </w:p>
    <w:p>
      <w:pPr>
        <w:spacing w:after="0" w:line="185" w:lineRule="exact"/>
        <w:rPr>
          <w:rFonts w:ascii="Arial" w:cs="Arial" w:eastAsia="Arial" w:hAnsi="Arial"/>
          <w:sz w:val="20"/>
          <w:szCs w:val="20"/>
          <w:color w:val="auto"/>
        </w:rPr>
      </w:pPr>
    </w:p>
    <w:p>
      <w:pPr>
        <w:ind w:right="200" w:firstLine="1304"/>
        <w:spacing w:after="0" w:line="257" w:lineRule="auto"/>
        <w:tabs>
          <w:tab w:leader="none" w:pos="1593" w:val="left"/>
        </w:tabs>
        <w:numPr>
          <w:ilvl w:val="0"/>
          <w:numId w:val="58"/>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or would result immediately prior to or after giving effect to this Amendment.</w:t>
      </w:r>
    </w:p>
    <w:p>
      <w:pPr>
        <w:spacing w:after="0" w:line="195" w:lineRule="exact"/>
        <w:rPr>
          <w:rFonts w:ascii="Arial" w:cs="Arial" w:eastAsia="Arial" w:hAnsi="Arial"/>
          <w:sz w:val="20"/>
          <w:szCs w:val="20"/>
          <w:color w:val="auto"/>
        </w:rPr>
      </w:pPr>
    </w:p>
    <w:p>
      <w:pPr>
        <w:ind w:right="180" w:firstLine="1304"/>
        <w:spacing w:after="0"/>
        <w:tabs>
          <w:tab w:leader="none" w:pos="1582" w:val="left"/>
        </w:tabs>
        <w:numPr>
          <w:ilvl w:val="0"/>
          <w:numId w:val="58"/>
        </w:numPr>
        <w:rPr>
          <w:rFonts w:ascii="Arial" w:cs="Arial" w:eastAsia="Arial" w:hAnsi="Arial"/>
          <w:sz w:val="20"/>
          <w:szCs w:val="20"/>
          <w:color w:val="auto"/>
        </w:rPr>
      </w:pPr>
      <w:r>
        <w:rPr>
          <w:rFonts w:ascii="Arial" w:cs="Arial" w:eastAsia="Arial" w:hAnsi="Arial"/>
          <w:sz w:val="20"/>
          <w:szCs w:val="20"/>
          <w:color w:val="auto"/>
        </w:rPr>
        <w:t>All representations and warranties contained in the Loan Documents shall be true and correct in all material respects on and as of the Amendment Effective Date,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true and correct in all respects).</w:t>
      </w:r>
    </w:p>
    <w:p>
      <w:pPr>
        <w:spacing w:after="0" w:line="200" w:lineRule="exact"/>
        <w:rPr>
          <w:rFonts w:ascii="Arial" w:cs="Arial" w:eastAsia="Arial" w:hAnsi="Arial"/>
          <w:sz w:val="20"/>
          <w:szCs w:val="20"/>
          <w:color w:val="auto"/>
        </w:rPr>
      </w:pPr>
    </w:p>
    <w:p>
      <w:pPr>
        <w:ind w:right="20" w:firstLine="1304"/>
        <w:spacing w:after="0" w:line="257" w:lineRule="auto"/>
        <w:tabs>
          <w:tab w:leader="none" w:pos="1593"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the Borrower payment of all fees and expenses required to be paid to the Administrative Agent on or before</w:t>
      </w:r>
    </w:p>
    <w:p>
      <w:pPr>
        <w:sectPr>
          <w:pgSz w:w="11900" w:h="16838" w:orient="portrait"/>
          <w:cols w:equalWidth="0" w:num="1">
            <w:col w:w="11220"/>
          </w:cols>
          <w:pgMar w:left="320" w:top="1414" w:right="359" w:bottom="1440" w:gutter="0" w:footer="0" w:header="0"/>
        </w:sectPr>
      </w:pPr>
    </w:p>
    <w:bookmarkStart w:id="104" w:name="page105"/>
    <w:bookmarkEnd w:id="104"/>
    <w:p>
      <w:pPr>
        <w:ind w:right="260" w:firstLine="1296"/>
        <w:spacing w:after="0" w:line="257" w:lineRule="auto"/>
        <w:rPr>
          <w:sz w:val="20"/>
          <w:szCs w:val="20"/>
          <w:color w:val="auto"/>
        </w:rPr>
      </w:pPr>
      <w:r>
        <w:rPr>
          <w:rFonts w:ascii="Arial" w:cs="Arial" w:eastAsia="Arial" w:hAnsi="Arial"/>
          <w:sz w:val="20"/>
          <w:szCs w:val="20"/>
          <w:color w:val="auto"/>
        </w:rPr>
        <w:t>the Amendment Effective Date for which written invoices in reasonable detail have been submitted at least two Business Days prior to the Amendment Effective Date.</w:t>
      </w:r>
    </w:p>
    <w:p>
      <w:pPr>
        <w:spacing w:after="0" w:line="196" w:lineRule="exact"/>
        <w:rPr>
          <w:sz w:val="20"/>
          <w:szCs w:val="20"/>
          <w:color w:val="auto"/>
        </w:rPr>
      </w:pPr>
    </w:p>
    <w:p>
      <w:pPr>
        <w:ind w:right="20" w:firstLine="1296"/>
        <w:spacing w:after="0" w:line="234"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Representations of the Borrower</w:t>
      </w:r>
      <w:r>
        <w:rPr>
          <w:rFonts w:ascii="Arial" w:cs="Arial" w:eastAsia="Arial" w:hAnsi="Arial"/>
          <w:sz w:val="20"/>
          <w:szCs w:val="20"/>
          <w:color w:val="auto"/>
        </w:rPr>
        <w:t>. On and as of the Amendment Effective Date, after giving effect to this Amendment, the Borrower hereby represents and warrants to the Administrative Agent and each Lender that this Amendment has been duly authorized by all necessary corporate or other organizational action. This Amendment has been duly executed and delivered by Borrower hereto and constitutes a legal, valid and binding obligation of the Borrower, enforceable against such Person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No Other Amendment or Waivers; Confirmation; Reaffirmation</w:t>
      </w:r>
      <w:r>
        <w:rPr>
          <w:rFonts w:ascii="Arial" w:cs="Arial" w:eastAsia="Arial" w:hAnsi="Arial"/>
          <w:sz w:val="20"/>
          <w:szCs w:val="20"/>
          <w:color w:val="auto"/>
        </w:rPr>
        <w:t>.</w:t>
      </w:r>
    </w:p>
    <w:p>
      <w:pPr>
        <w:spacing w:after="0" w:line="211" w:lineRule="exact"/>
        <w:rPr>
          <w:sz w:val="20"/>
          <w:szCs w:val="20"/>
          <w:color w:val="auto"/>
        </w:rPr>
      </w:pPr>
    </w:p>
    <w:p>
      <w:pPr>
        <w:ind w:firstLine="1304"/>
        <w:spacing w:after="0" w:line="236" w:lineRule="auto"/>
        <w:tabs>
          <w:tab w:leader="none" w:pos="15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Except as expressly provided hereby, all of the terms and provisions of the Existing Credit Agreement and the other Loan Documents are and shall remain in full force and effect. The amendments contained herein shall not be construed as an amendment of any other provision of the Existing Credit Agreement or the other Loan Documents or for any purpose except as expressly set forth herein or a consent to any further or future action on the part of any Loan Party that would require the waiver or consent of the Administrative Agent or the Lenders. This Amendment shall constitute a Loan Document for purposes of the Amended Credit Agreement and from and after the Amendment Effective Date, all references to the Credit Agreement in any Loan Document and all references to “this Agreement”, “hereunder”, “hereof” or words of like import referring to the “Credit Agreement” in the Amended Credit Agreement shall, unless expressly provided otherwise, refer to the Amended Credit Agreement.</w:t>
      </w:r>
    </w:p>
    <w:p>
      <w:pPr>
        <w:spacing w:after="0" w:line="205" w:lineRule="exact"/>
        <w:rPr>
          <w:rFonts w:ascii="Arial" w:cs="Arial" w:eastAsia="Arial" w:hAnsi="Arial"/>
          <w:sz w:val="20"/>
          <w:szCs w:val="20"/>
          <w:color w:val="auto"/>
        </w:rPr>
      </w:pPr>
    </w:p>
    <w:p>
      <w:pPr>
        <w:ind w:right="40" w:firstLine="1304"/>
        <w:spacing w:after="0"/>
        <w:tabs>
          <w:tab w:leader="none" w:pos="15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Borrower hereby (i) expressly acknowledges the terms of the Amended Credit Agreement, (ii) ratifies and affirms its obligations under the Loan Documents to which it is a party, (iii) acknowledges, renews and extends its continued liability under all such Loan Documents and agrees such Loan Documents remain in full force and effect and (iv) further confirms that each Loan Document to which it is a party is and shall continue to be in full force and effect and the same are hereby ratified and confirmed in all respects.</w:t>
      </w:r>
    </w:p>
    <w:p>
      <w:pPr>
        <w:spacing w:after="0" w:line="200" w:lineRule="exact"/>
        <w:rPr>
          <w:rFonts w:ascii="Arial" w:cs="Arial" w:eastAsia="Arial" w:hAnsi="Arial"/>
          <w:sz w:val="20"/>
          <w:szCs w:val="20"/>
          <w:color w:val="auto"/>
        </w:rPr>
      </w:pPr>
    </w:p>
    <w:p>
      <w:pPr>
        <w:ind w:right="720" w:firstLine="1304"/>
        <w:spacing w:after="0" w:line="268" w:lineRule="auto"/>
        <w:tabs>
          <w:tab w:leader="none" w:pos="1582"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Borrower hereby reaffirms, as of the Amendment Effective Date, the covenants and agreements contained in each Loan Document to which it is a party as modified hereby, including, in each case, such covenants and agreements as in effect immediately after giving effect to this Amendment and the transactions contemplated thereby.</w:t>
      </w:r>
    </w:p>
    <w:p>
      <w:pPr>
        <w:spacing w:after="0" w:line="173" w:lineRule="exact"/>
        <w:rPr>
          <w:sz w:val="20"/>
          <w:szCs w:val="20"/>
          <w:color w:val="auto"/>
        </w:rPr>
      </w:pPr>
    </w:p>
    <w:p>
      <w:pPr>
        <w:ind w:right="220" w:firstLine="1296"/>
        <w:spacing w:after="0" w:line="245"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APPLICABLE LAW; WAIVER OF JURY TRIAL</w:t>
      </w:r>
      <w:r>
        <w:rPr>
          <w:rFonts w:ascii="Arial" w:cs="Arial" w:eastAsia="Arial" w:hAnsi="Arial"/>
          <w:sz w:val="20"/>
          <w:szCs w:val="20"/>
          <w:color w:val="auto"/>
        </w:rPr>
        <w:t>. THIS AMENDMENT SHALL BE GOVERNED BY, AND CONSTRUED IN ACCORDANCE WITH, THE LAW OF THE STATE OF NEW YORK. EACH PARTY HERETO HEREBY AGREES AS SET FORTH IN SECTION 9.12 AND SECTION 9.16 OF THE EXISTING CREDIT AGREEMENT AS IF SUCH SECTIONS WERE SET FORTH IN FULL HEREIN.</w:t>
      </w:r>
    </w:p>
    <w:p>
      <w:pPr>
        <w:spacing w:after="0" w:line="195" w:lineRule="exact"/>
        <w:rPr>
          <w:sz w:val="20"/>
          <w:szCs w:val="20"/>
          <w:color w:val="auto"/>
        </w:rPr>
      </w:pPr>
    </w:p>
    <w:p>
      <w:pPr>
        <w:ind w:firstLine="1296"/>
        <w:spacing w:after="0"/>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Miscellaneous</w:t>
      </w:r>
      <w:r>
        <w:rPr>
          <w:rFonts w:ascii="Arial" w:cs="Arial" w:eastAsia="Arial" w:hAnsi="Arial"/>
          <w:sz w:val="20"/>
          <w:szCs w:val="20"/>
          <w:color w:val="auto"/>
        </w:rPr>
        <w:t>. (a)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ectPr>
          <w:pgSz w:w="11900" w:h="16838" w:orient="portrait"/>
          <w:cols w:equalWidth="0" w:num="1">
            <w:col w:w="11220"/>
          </w:cols>
          <w:pgMar w:left="320" w:top="1414" w:right="359" w:bottom="1440" w:gutter="0" w:footer="0" w:header="0"/>
        </w:sectPr>
      </w:pPr>
    </w:p>
    <w:bookmarkStart w:id="105" w:name="page106"/>
    <w:bookmarkEnd w:id="105"/>
    <w:p>
      <w:pPr>
        <w:ind w:firstLine="1304"/>
        <w:spacing w:after="0" w:line="257" w:lineRule="auto"/>
        <w:tabs>
          <w:tab w:leader="none" w:pos="1593"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provisions of this Amendment shall be binding upon and inure to the benefit of the parties hereto and their respective successors and assigns permitted hereby.</w:t>
      </w:r>
    </w:p>
    <w:p>
      <w:pPr>
        <w:spacing w:after="0" w:line="196" w:lineRule="exact"/>
        <w:rPr>
          <w:sz w:val="20"/>
          <w:szCs w:val="20"/>
          <w:color w:val="auto"/>
        </w:rPr>
      </w:pPr>
    </w:p>
    <w:p>
      <w:pPr>
        <w:ind w:right="140" w:firstLine="1296"/>
        <w:spacing w:after="0" w:line="257"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herein are included herein for convenience of reference only and shall not constitute a part hereof for any other purpose or be given any substantive effect.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ectPr>
          <w:pgSz w:w="11900" w:h="16838" w:orient="portrait"/>
          <w:cols w:equalWidth="0" w:num="1">
            <w:col w:w="11240"/>
          </w:cols>
          <w:pgMar w:left="320" w:top="1414" w:right="339" w:bottom="1440" w:gutter="0" w:footer="0" w:header="0"/>
        </w:sectPr>
      </w:pPr>
    </w:p>
    <w:bookmarkStart w:id="106" w:name="page107"/>
    <w:bookmarkEnd w:id="106"/>
    <w:p>
      <w:pPr>
        <w:spacing w:after="0" w:line="217" w:lineRule="exact"/>
        <w:rPr>
          <w:sz w:val="20"/>
          <w:szCs w:val="20"/>
          <w:color w:val="auto"/>
        </w:rPr>
      </w:pPr>
    </w:p>
    <w:p>
      <w:pPr>
        <w:ind w:firstLine="1296"/>
        <w:spacing w:after="0" w:line="257"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proper and duly authorized officers as of the day and year first above written.</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MICRON TECHNOLOGY, INC.</w:t>
      </w:r>
    </w:p>
    <w:p>
      <w:pPr>
        <w:spacing w:after="0" w:line="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Gregory Routin</w:t>
      </w:r>
    </w:p>
    <w:p>
      <w:pPr>
        <w:ind w:left="3900"/>
        <w:spacing w:after="0" w:line="225" w:lineRule="auto"/>
        <w:rPr>
          <w:sz w:val="20"/>
          <w:szCs w:val="20"/>
          <w:color w:val="auto"/>
        </w:rPr>
      </w:pPr>
      <w:r>
        <w:rPr>
          <w:rFonts w:ascii="Arial" w:cs="Arial" w:eastAsia="Arial" w:hAnsi="Arial"/>
          <w:sz w:val="20"/>
          <w:szCs w:val="20"/>
          <w:color w:val="auto"/>
        </w:rPr>
        <w:t>Name: Gregory Routin</w:t>
      </w:r>
    </w:p>
    <w:p>
      <w:pPr>
        <w:ind w:left="390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11100"/>
          </w:cols>
          <w:pgMar w:left="320" w:top="1440" w:right="479" w:bottom="1440" w:gutter="0" w:footer="0" w:header="0"/>
        </w:sectPr>
      </w:pPr>
    </w:p>
    <w:bookmarkStart w:id="107" w:name="page108"/>
    <w:bookmarkEnd w:id="107"/>
    <w:p>
      <w:pPr>
        <w:ind w:left="2760"/>
        <w:spacing w:after="0" w:line="242"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Administrative Agent and a</w:t>
      </w:r>
      <w:r>
        <w:rPr>
          <w:rFonts w:ascii="Arial" w:cs="Arial" w:eastAsia="Arial" w:hAnsi="Arial"/>
          <w:sz w:val="20"/>
          <w:szCs w:val="20"/>
          <w:b w:val="1"/>
          <w:bCs w:val="1"/>
          <w:color w:val="auto"/>
        </w:rPr>
        <w:t xml:space="preserve"> </w:t>
      </w:r>
      <w:r>
        <w:rPr>
          <w:rFonts w:ascii="Arial" w:cs="Arial" w:eastAsia="Arial" w:hAnsi="Arial"/>
          <w:sz w:val="20"/>
          <w:szCs w:val="20"/>
          <w:color w:val="auto"/>
        </w:rPr>
        <w:t>Lender</w:t>
      </w:r>
    </w:p>
    <w:p>
      <w:pPr>
        <w:ind w:left="2760"/>
        <w:spacing w:after="0" w:line="227" w:lineRule="auto"/>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Sid Khanolkar</w:t>
      </w:r>
      <w:r>
        <w:rPr>
          <w:rFonts w:ascii="Arial" w:cs="Arial" w:eastAsia="Arial" w:hAnsi="Arial"/>
          <w:sz w:val="20"/>
          <w:szCs w:val="20"/>
          <w:color w:val="auto"/>
        </w:rPr>
        <w:t xml:space="preserve"> Name: Sid Khanolkar</w:t>
      </w:r>
    </w:p>
    <w:p>
      <w:pPr>
        <w:ind w:left="276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10120"/>
          </w:cols>
          <w:pgMar w:left="1440" w:top="1412" w:right="339" w:bottom="1440" w:gutter="0" w:footer="0" w:header="0"/>
        </w:sectPr>
      </w:pPr>
    </w:p>
    <w:bookmarkStart w:id="108" w:name="page109"/>
    <w:bookmarkEnd w:id="108"/>
    <w:p>
      <w:pPr>
        <w:ind w:left="2780"/>
        <w:spacing w:after="0"/>
        <w:rPr>
          <w:sz w:val="20"/>
          <w:szCs w:val="20"/>
          <w:color w:val="auto"/>
        </w:rPr>
      </w:pPr>
      <w:r>
        <w:rPr>
          <w:rFonts w:ascii="Arial" w:cs="Arial" w:eastAsia="Arial" w:hAnsi="Arial"/>
          <w:sz w:val="19"/>
          <w:szCs w:val="19"/>
          <w:b w:val="1"/>
          <w:bCs w:val="1"/>
          <w:color w:val="auto"/>
        </w:rPr>
        <w:t>The Bank of Nova Scotia</w:t>
      </w:r>
      <w:r>
        <w:rPr>
          <w:rFonts w:ascii="Arial" w:cs="Arial" w:eastAsia="Arial" w:hAnsi="Arial"/>
          <w:sz w:val="19"/>
          <w:szCs w:val="19"/>
          <w:color w:val="auto"/>
        </w:rPr>
        <w:t>, as a Lender</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Luke Copley</w:t>
      </w:r>
      <w:r>
        <w:rPr>
          <w:rFonts w:ascii="Arial" w:cs="Arial" w:eastAsia="Arial" w:hAnsi="Arial"/>
          <w:sz w:val="19"/>
          <w:szCs w:val="19"/>
          <w:color w:val="auto"/>
        </w:rPr>
        <w:t xml:space="preserve"> Name: Luke Copley</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412" w:right="1440" w:bottom="1440" w:gutter="0" w:footer="0" w:header="0"/>
        </w:sectPr>
      </w:pPr>
    </w:p>
    <w:bookmarkStart w:id="109" w:name="page110"/>
    <w:bookmarkEnd w:id="109"/>
    <w:p>
      <w:pPr>
        <w:ind w:left="2760" w:right="719"/>
        <w:spacing w:after="0" w:line="242" w:lineRule="auto"/>
        <w:rPr>
          <w:sz w:val="20"/>
          <w:szCs w:val="20"/>
          <w:color w:val="auto"/>
        </w:rPr>
      </w:pPr>
      <w:r>
        <w:rPr>
          <w:rFonts w:ascii="Arial" w:cs="Arial" w:eastAsia="Arial" w:hAnsi="Arial"/>
          <w:sz w:val="20"/>
          <w:szCs w:val="20"/>
          <w:b w:val="1"/>
          <w:bCs w:val="1"/>
          <w:color w:val="auto"/>
        </w:rPr>
        <w:t>The Toronto-Dominion Bank, New York Branch</w:t>
      </w:r>
      <w:r>
        <w:rPr>
          <w:rFonts w:ascii="Arial" w:cs="Arial" w:eastAsia="Arial" w:hAnsi="Arial"/>
          <w:sz w:val="20"/>
          <w:szCs w:val="20"/>
          <w:color w:val="auto"/>
        </w:rPr>
        <w:t>, as a Lender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Perlman</w:t>
      </w:r>
      <w:r>
        <w:rPr>
          <w:rFonts w:ascii="Arial" w:cs="Arial" w:eastAsia="Arial" w:hAnsi="Arial"/>
          <w:sz w:val="20"/>
          <w:szCs w:val="20"/>
          <w:color w:val="auto"/>
        </w:rPr>
        <w:t xml:space="preserve"> Name: David Perlman</w:t>
      </w:r>
    </w:p>
    <w:p>
      <w:pPr>
        <w:spacing w:after="0" w:line="2"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1412" w:right="1440" w:bottom="1440" w:gutter="0" w:footer="0" w:header="0"/>
        </w:sectPr>
      </w:pPr>
    </w:p>
    <w:bookmarkStart w:id="110" w:name="page111"/>
    <w:bookmarkEnd w:id="110"/>
    <w:p>
      <w:pPr>
        <w:spacing w:after="0" w:line="215"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Bank of America, N.A.</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Ladi Oluwole</w:t>
      </w:r>
    </w:p>
    <w:p>
      <w:pPr>
        <w:ind w:left="2760"/>
        <w:spacing w:after="0" w:line="225" w:lineRule="auto"/>
        <w:rPr>
          <w:sz w:val="20"/>
          <w:szCs w:val="20"/>
          <w:color w:val="auto"/>
        </w:rPr>
      </w:pPr>
      <w:r>
        <w:rPr>
          <w:rFonts w:ascii="Arial" w:cs="Arial" w:eastAsia="Arial" w:hAnsi="Arial"/>
          <w:sz w:val="20"/>
          <w:szCs w:val="20"/>
          <w:color w:val="auto"/>
        </w:rPr>
        <w:t>Name: Ladi Oluwole</w:t>
      </w: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40" w:right="1440" w:bottom="1440" w:gutter="0" w:footer="0" w:header="0"/>
        </w:sectPr>
      </w:pPr>
    </w:p>
    <w:bookmarkStart w:id="111" w:name="page112"/>
    <w:bookmarkEnd w:id="111"/>
    <w:p>
      <w:pPr>
        <w:ind w:left="2780"/>
        <w:spacing w:after="0"/>
        <w:rPr>
          <w:sz w:val="20"/>
          <w:szCs w:val="20"/>
          <w:color w:val="auto"/>
        </w:rPr>
      </w:pPr>
      <w:r>
        <w:rPr>
          <w:rFonts w:ascii="Arial" w:cs="Arial" w:eastAsia="Arial" w:hAnsi="Arial"/>
          <w:sz w:val="20"/>
          <w:szCs w:val="20"/>
          <w:b w:val="1"/>
          <w:bCs w:val="1"/>
          <w:color w:val="auto"/>
        </w:rPr>
        <w:t>DBS BANK LTD.</w:t>
      </w:r>
      <w:r>
        <w:rPr>
          <w:rFonts w:ascii="Arial" w:cs="Arial" w:eastAsia="Arial" w:hAnsi="Arial"/>
          <w:sz w:val="20"/>
          <w:szCs w:val="20"/>
          <w:color w:val="auto"/>
        </w:rPr>
        <w:t>, as a Lender</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Erny Ismail</w:t>
      </w:r>
      <w:r>
        <w:rPr>
          <w:rFonts w:ascii="Arial" w:cs="Arial" w:eastAsia="Arial" w:hAnsi="Arial"/>
          <w:sz w:val="19"/>
          <w:szCs w:val="19"/>
          <w:color w:val="auto"/>
        </w:rPr>
        <w:t xml:space="preserve"> Name: Erny Ismail</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1412" w:right="1440" w:bottom="1440" w:gutter="0" w:footer="0" w:header="0"/>
        </w:sectPr>
      </w:pPr>
    </w:p>
    <w:bookmarkStart w:id="112" w:name="page113"/>
    <w:bookmarkEnd w:id="112"/>
    <w:p>
      <w:pPr>
        <w:ind w:left="2780"/>
        <w:spacing w:after="0"/>
        <w:rPr>
          <w:sz w:val="20"/>
          <w:szCs w:val="20"/>
          <w:color w:val="auto"/>
        </w:rPr>
      </w:pPr>
      <w:r>
        <w:rPr>
          <w:rFonts w:ascii="Arial" w:cs="Arial" w:eastAsia="Arial" w:hAnsi="Arial"/>
          <w:sz w:val="19"/>
          <w:szCs w:val="19"/>
          <w:b w:val="1"/>
          <w:bCs w:val="1"/>
          <w:color w:val="auto"/>
        </w:rPr>
        <w:t>U.S. Bank National Association</w:t>
      </w:r>
      <w:r>
        <w:rPr>
          <w:rFonts w:ascii="Arial" w:cs="Arial" w:eastAsia="Arial" w:hAnsi="Arial"/>
          <w:sz w:val="19"/>
          <w:szCs w:val="19"/>
          <w:color w:val="auto"/>
        </w:rPr>
        <w:t>, as a Lender</w:t>
      </w:r>
    </w:p>
    <w:p>
      <w:pPr>
        <w:spacing w:after="0" w:line="1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Lukas Coleman</w:t>
      </w:r>
      <w:r>
        <w:rPr>
          <w:rFonts w:ascii="Arial" w:cs="Arial" w:eastAsia="Arial" w:hAnsi="Arial"/>
          <w:sz w:val="20"/>
          <w:szCs w:val="20"/>
          <w:color w:val="auto"/>
        </w:rPr>
        <w:t xml:space="preserve"> Name: Lukas Coleman</w:t>
      </w: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12" w:right="1440" w:bottom="1440" w:gutter="0" w:footer="0" w:header="0"/>
        </w:sectPr>
      </w:pPr>
    </w:p>
    <w:bookmarkStart w:id="113" w:name="page114"/>
    <w:bookmarkEnd w:id="113"/>
    <w:p>
      <w:pPr>
        <w:ind w:left="2760" w:right="479"/>
        <w:spacing w:after="0" w:line="242" w:lineRule="auto"/>
        <w:rPr>
          <w:sz w:val="20"/>
          <w:szCs w:val="20"/>
          <w:color w:val="auto"/>
        </w:rPr>
      </w:pPr>
      <w:r>
        <w:rPr>
          <w:rFonts w:ascii="Arial" w:cs="Arial" w:eastAsia="Arial" w:hAnsi="Arial"/>
          <w:sz w:val="20"/>
          <w:szCs w:val="20"/>
          <w:b w:val="1"/>
          <w:bCs w:val="1"/>
          <w:color w:val="auto"/>
        </w:rPr>
        <w:t>United Overseas Bank Limited, New York Agency</w:t>
      </w:r>
      <w:r>
        <w:rPr>
          <w:rFonts w:ascii="Arial" w:cs="Arial" w:eastAsia="Arial" w:hAnsi="Arial"/>
          <w:sz w:val="20"/>
          <w:szCs w:val="20"/>
          <w:color w:val="auto"/>
        </w:rPr>
        <w:t>, as a Lender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w:t>
      </w:r>
      <w:r>
        <w:rPr>
          <w:rFonts w:ascii="Arial" w:cs="Arial" w:eastAsia="Arial" w:hAnsi="Arial"/>
          <w:sz w:val="20"/>
          <w:szCs w:val="20"/>
          <w:u w:val="single" w:color="auto"/>
          <w:color w:val="auto"/>
        </w:rPr>
        <w:t>/s/ Eriberto de Guzman</w:t>
      </w:r>
    </w:p>
    <w:p>
      <w:pPr>
        <w:ind w:left="2760"/>
        <w:spacing w:after="0" w:line="227" w:lineRule="auto"/>
        <w:rPr>
          <w:sz w:val="20"/>
          <w:szCs w:val="20"/>
          <w:color w:val="auto"/>
        </w:rPr>
      </w:pPr>
      <w:r>
        <w:rPr>
          <w:rFonts w:ascii="Arial" w:cs="Arial" w:eastAsia="Arial" w:hAnsi="Arial"/>
          <w:sz w:val="20"/>
          <w:szCs w:val="20"/>
          <w:color w:val="auto"/>
        </w:rPr>
        <w:t>Name: Eriberto de Guzman</w:t>
      </w:r>
    </w:p>
    <w:p>
      <w:pPr>
        <w:ind w:left="27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Brian Ike</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Brian Ike</w:t>
      </w:r>
    </w:p>
    <w:p>
      <w:pPr>
        <w:ind w:left="2760"/>
        <w:spacing w:after="0"/>
        <w:rPr>
          <w:sz w:val="20"/>
          <w:szCs w:val="20"/>
          <w:color w:val="auto"/>
        </w:rPr>
      </w:pPr>
      <w:r>
        <w:rPr>
          <w:rFonts w:ascii="Arial" w:cs="Arial" w:eastAsia="Arial" w:hAnsi="Arial"/>
          <w:sz w:val="20"/>
          <w:szCs w:val="20"/>
          <w:color w:val="auto"/>
        </w:rPr>
        <w:t>Title: First Vice President</w:t>
      </w:r>
    </w:p>
    <w:p>
      <w:pPr>
        <w:sectPr>
          <w:pgSz w:w="11900" w:h="16838" w:orient="portrait"/>
          <w:cols w:equalWidth="0" w:num="1">
            <w:col w:w="9019"/>
          </w:cols>
          <w:pgMar w:left="1440" w:top="1412" w:right="1440" w:bottom="1440" w:gutter="0" w:footer="0" w:header="0"/>
        </w:sectPr>
      </w:pPr>
    </w:p>
    <w:bookmarkStart w:id="114" w:name="page115"/>
    <w:bookmarkEnd w:id="114"/>
    <w:p>
      <w:pPr>
        <w:ind w:left="2760"/>
        <w:spacing w:after="0" w:line="242" w:lineRule="auto"/>
        <w:rPr>
          <w:sz w:val="20"/>
          <w:szCs w:val="20"/>
          <w:color w:val="auto"/>
        </w:rPr>
      </w:pPr>
      <w:r>
        <w:rPr>
          <w:rFonts w:ascii="Arial" w:cs="Arial" w:eastAsia="Arial" w:hAnsi="Arial"/>
          <w:sz w:val="20"/>
          <w:szCs w:val="20"/>
          <w:b w:val="1"/>
          <w:bCs w:val="1"/>
          <w:color w:val="auto"/>
        </w:rPr>
        <w:t>CREDIT AGRICOLE CORPORATE AND INVESTMENT BANK</w:t>
      </w:r>
      <w:r>
        <w:rPr>
          <w:rFonts w:ascii="Arial" w:cs="Arial" w:eastAsia="Arial" w:hAnsi="Arial"/>
          <w:sz w:val="20"/>
          <w:szCs w:val="20"/>
          <w:color w:val="auto"/>
        </w:rPr>
        <w:t>, as a Lender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w:t>
      </w:r>
      <w:r>
        <w:rPr>
          <w:rFonts w:ascii="Arial" w:cs="Arial" w:eastAsia="Arial" w:hAnsi="Arial"/>
          <w:sz w:val="20"/>
          <w:szCs w:val="20"/>
          <w:u w:val="single" w:color="auto"/>
          <w:color w:val="auto"/>
        </w:rPr>
        <w:t>/s/ Fanny Charrier</w:t>
      </w:r>
      <w:r>
        <w:rPr>
          <w:rFonts w:ascii="Arial" w:cs="Arial" w:eastAsia="Arial" w:hAnsi="Arial"/>
          <w:sz w:val="20"/>
          <w:szCs w:val="20"/>
          <w:color w:val="auto"/>
        </w:rPr>
        <w:t xml:space="preserve"> Name: Fanny Charrier</w:t>
      </w:r>
    </w:p>
    <w:p>
      <w:pPr>
        <w:spacing w:after="0" w:line="2"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Paul Arens</w:t>
      </w:r>
      <w:r>
        <w:rPr>
          <w:rFonts w:ascii="Arial" w:cs="Arial" w:eastAsia="Arial" w:hAnsi="Arial"/>
          <w:sz w:val="20"/>
          <w:szCs w:val="20"/>
          <w:color w:val="auto"/>
        </w:rPr>
        <w:t xml:space="preserve"> Name: Paul Arens</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500"/>
          </w:cols>
          <w:pgMar w:left="1440" w:top="1412" w:right="959" w:bottom="1440" w:gutter="0" w:footer="0" w:header="0"/>
        </w:sectPr>
      </w:pPr>
    </w:p>
    <w:bookmarkStart w:id="115" w:name="page116"/>
    <w:bookmarkEnd w:id="115"/>
    <w:p>
      <w:pPr>
        <w:jc w:val="right"/>
        <w:ind w:right="2319"/>
        <w:spacing w:after="0"/>
        <w:rPr>
          <w:sz w:val="20"/>
          <w:szCs w:val="20"/>
          <w:color w:val="auto"/>
        </w:rPr>
      </w:pPr>
      <w:r>
        <w:rPr>
          <w:rFonts w:ascii="Arial" w:cs="Arial" w:eastAsia="Arial" w:hAnsi="Arial"/>
          <w:sz w:val="20"/>
          <w:szCs w:val="20"/>
          <w:u w:val="single" w:color="auto"/>
          <w:color w:val="auto"/>
        </w:rPr>
        <w:t>Annex 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Form of Compliance Certificate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[Omitted]</w:t>
      </w:r>
    </w:p>
    <w:p>
      <w:pPr>
        <w:sectPr>
          <w:pgSz w:w="11900" w:h="16838" w:orient="portrait"/>
          <w:cols w:equalWidth="0" w:num="1">
            <w:col w:w="9019"/>
          </w:cols>
          <w:pgMar w:left="1440" w:top="1414"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10.4</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AMENDMENT NO. 1 TO CREDIT AGREEMENT,</w:t>
      </w:r>
    </w:p>
    <w:p>
      <w:pPr>
        <w:spacing w:after="0" w:line="24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dated as of March 27, 2023</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by and among</w:t>
      </w:r>
    </w:p>
    <w:p>
      <w:pPr>
        <w:spacing w:after="0" w:line="24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MICRON TECHNOLOGY, INC.,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Borrower,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THE LENDERS PARTY HERETO,</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HSBC BANK USA, NATIONAL ASSOCIATION,</w:t>
      </w:r>
    </w:p>
    <w:p>
      <w:pPr>
        <w:spacing w:after="0" w:line="1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___________________________________________________________________________</w:t>
      </w:r>
    </w:p>
    <w:p>
      <w:pPr>
        <w:sectPr>
          <w:pgSz w:w="11900" w:h="16838" w:orient="portrait"/>
          <w:cols w:equalWidth="0" w:num="1">
            <w:col w:w="10120"/>
          </w:cols>
          <w:pgMar w:left="1440" w:top="1412"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0"/>
          <w:szCs w:val="20"/>
          <w:color w:val="auto"/>
        </w:rPr>
        <w:t>AMENDMENT NO. 1 TO CREDIT AGREEMENT</w:t>
      </w:r>
    </w:p>
    <w:p>
      <w:pPr>
        <w:spacing w:after="0" w:line="229" w:lineRule="exact"/>
        <w:rPr>
          <w:sz w:val="20"/>
          <w:szCs w:val="20"/>
          <w:color w:val="auto"/>
        </w:rPr>
      </w:pPr>
    </w:p>
    <w:p>
      <w:pPr>
        <w:ind w:right="40" w:firstLine="1296"/>
        <w:spacing w:after="0" w:line="245" w:lineRule="auto"/>
        <w:rPr>
          <w:sz w:val="20"/>
          <w:szCs w:val="20"/>
          <w:color w:val="auto"/>
        </w:rPr>
      </w:pPr>
      <w:r>
        <w:rPr>
          <w:rFonts w:ascii="Arial" w:cs="Arial" w:eastAsia="Arial" w:hAnsi="Arial"/>
          <w:sz w:val="20"/>
          <w:szCs w:val="20"/>
          <w:color w:val="auto"/>
        </w:rPr>
        <w:t>AMENDMENT NO. 1 TO CREDIT AGREEMENT, dated as of March 27, 2023 (this “</w:t>
      </w:r>
      <w:r>
        <w:rPr>
          <w:rFonts w:ascii="Arial" w:cs="Arial" w:eastAsia="Arial" w:hAnsi="Arial"/>
          <w:sz w:val="20"/>
          <w:szCs w:val="20"/>
          <w:u w:val="single" w:color="auto"/>
          <w:color w:val="auto"/>
        </w:rPr>
        <w:t>Amendment</w:t>
      </w:r>
      <w:r>
        <w:rPr>
          <w:rFonts w:ascii="Arial" w:cs="Arial" w:eastAsia="Arial" w:hAnsi="Arial"/>
          <w:sz w:val="20"/>
          <w:szCs w:val="20"/>
          <w:color w:val="auto"/>
        </w:rPr>
        <w:t>”), by and among Micron Technology,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hereto, and HSBC Bank USA, National Association, as administrative agent under the Existing Credit Agreement (as defined below) (in such capacity and including any successors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 xml:space="preserve"> :</w:t>
      </w:r>
    </w:p>
    <w:p>
      <w:pPr>
        <w:spacing w:after="0" w:line="243"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WHEREAS, reference is hereby made to the Credit Agreement, dated as of May 14, 2021 (as amended, restated, amended and restated, supplemented or otherwise modified from time to time prior to the date hereof, the “</w:t>
      </w:r>
      <w:r>
        <w:rPr>
          <w:rFonts w:ascii="Arial" w:cs="Arial" w:eastAsia="Arial" w:hAnsi="Arial"/>
          <w:sz w:val="20"/>
          <w:szCs w:val="20"/>
          <w:u w:val="single" w:color="auto"/>
          <w:color w:val="auto"/>
        </w:rPr>
        <w:t>Existing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 as further amended by this Amendment,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w:t>
      </w:r>
    </w:p>
    <w:p>
      <w:pPr>
        <w:spacing w:after="0" w:line="21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WHEREAS, the Borrower has requested that certain provisions of the Existing Credit Agreement be amended as set forth herein; and</w:t>
      </w:r>
    </w:p>
    <w:p>
      <w:pPr>
        <w:spacing w:after="0" w:line="196" w:lineRule="exact"/>
        <w:rPr>
          <w:sz w:val="20"/>
          <w:szCs w:val="20"/>
          <w:color w:val="auto"/>
        </w:rPr>
      </w:pPr>
    </w:p>
    <w:p>
      <w:pPr>
        <w:jc w:val="both"/>
        <w:ind w:right="20" w:firstLine="1296"/>
        <w:spacing w:after="0" w:line="257" w:lineRule="auto"/>
        <w:rPr>
          <w:sz w:val="20"/>
          <w:szCs w:val="20"/>
          <w:color w:val="auto"/>
        </w:rPr>
      </w:pPr>
      <w:r>
        <w:rPr>
          <w:rFonts w:ascii="Arial" w:cs="Arial" w:eastAsia="Arial" w:hAnsi="Arial"/>
          <w:sz w:val="20"/>
          <w:szCs w:val="20"/>
          <w:color w:val="auto"/>
        </w:rPr>
        <w:t>WHEREAS, subject to the terms and conditions set forth herein, the Administrative Agent and the Lenders party hereto are willing to amend the Existing Credit Agreement on the terms set forth herein;</w:t>
      </w:r>
    </w:p>
    <w:p>
      <w:pPr>
        <w:spacing w:after="0" w:line="182" w:lineRule="exact"/>
        <w:rPr>
          <w:sz w:val="20"/>
          <w:szCs w:val="20"/>
          <w:color w:val="auto"/>
        </w:rPr>
      </w:pPr>
    </w:p>
    <w:p>
      <w:pPr>
        <w:ind w:right="40" w:firstLine="1296"/>
        <w:spacing w:after="0" w:line="271"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adequacy and sufficiency of which are hereby acknowledged, the parties hereto hereby agree as follows:</w:t>
      </w:r>
    </w:p>
    <w:p>
      <w:pPr>
        <w:spacing w:after="0" w:line="169" w:lineRule="exact"/>
        <w:rPr>
          <w:sz w:val="20"/>
          <w:szCs w:val="20"/>
          <w:color w:val="auto"/>
        </w:rPr>
      </w:pPr>
    </w:p>
    <w:p>
      <w:pPr>
        <w:ind w:right="380" w:firstLine="1296"/>
        <w:spacing w:after="0" w:line="271"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terms defined in the Existing Credit Agreement and used herein shall have the respective meanings given to them in the Existing Credit Agreement.</w:t>
      </w:r>
    </w:p>
    <w:p>
      <w:pPr>
        <w:spacing w:after="0" w:line="169" w:lineRule="exact"/>
        <w:rPr>
          <w:sz w:val="20"/>
          <w:szCs w:val="20"/>
          <w:color w:val="auto"/>
        </w:rPr>
      </w:pPr>
    </w:p>
    <w:p>
      <w:pPr>
        <w:jc w:val="both"/>
        <w:ind w:right="220" w:firstLine="1296"/>
        <w:spacing w:after="0" w:line="24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Amendments</w:t>
      </w:r>
      <w:r>
        <w:rPr>
          <w:rFonts w:ascii="Arial" w:cs="Arial" w:eastAsia="Arial" w:hAnsi="Arial"/>
          <w:sz w:val="20"/>
          <w:szCs w:val="20"/>
          <w:color w:val="auto"/>
        </w:rPr>
        <w:t xml:space="preserve">. Subject to the satisfaction of the conditions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below, the parties hereto agree that the Existing Credit Agreement shall be amended as of the Amendment Effective Date (as defined below), as follows:</w:t>
      </w:r>
    </w:p>
    <w:p>
      <w:pPr>
        <w:spacing w:after="0" w:line="192" w:lineRule="exact"/>
        <w:rPr>
          <w:sz w:val="20"/>
          <w:szCs w:val="20"/>
          <w:color w:val="auto"/>
        </w:rPr>
      </w:pPr>
    </w:p>
    <w:p>
      <w:pPr>
        <w:ind w:right="160" w:firstLine="1304"/>
        <w:spacing w:after="0" w:line="271" w:lineRule="auto"/>
        <w:tabs>
          <w:tab w:leader="none" w:pos="1593" w:val="left"/>
        </w:tabs>
        <w:numPr>
          <w:ilvl w:val="0"/>
          <w:numId w:val="61"/>
        </w:numPr>
        <w:rPr>
          <w:rFonts w:ascii="Arial" w:cs="Arial" w:eastAsia="Arial" w:hAnsi="Arial"/>
          <w:sz w:val="20"/>
          <w:szCs w:val="20"/>
          <w:color w:val="auto"/>
        </w:rPr>
      </w:pPr>
      <w:r>
        <w:rPr>
          <w:rFonts w:ascii="Arial" w:cs="Arial" w:eastAsia="Arial" w:hAnsi="Arial"/>
          <w:sz w:val="20"/>
          <w:szCs w:val="20"/>
          <w:color w:val="auto"/>
        </w:rPr>
        <w:t>Section 1.1 of the Existing Credit Agreement is hereby amended by adding the following definitions in proper alphabetical order:</w:t>
      </w:r>
    </w:p>
    <w:p>
      <w:pPr>
        <w:spacing w:after="0" w:line="169" w:lineRule="exact"/>
        <w:rPr>
          <w:sz w:val="20"/>
          <w:szCs w:val="20"/>
          <w:color w:val="auto"/>
        </w:rPr>
      </w:pPr>
    </w:p>
    <w:p>
      <w:pPr>
        <w:ind w:right="40" w:firstLine="1296"/>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Unused Commitments</w:t>
      </w:r>
      <w:r>
        <w:rPr>
          <w:rFonts w:ascii="Arial" w:cs="Arial" w:eastAsia="Arial" w:hAnsi="Arial"/>
          <w:sz w:val="20"/>
          <w:szCs w:val="20"/>
          <w:color w:val="auto"/>
        </w:rPr>
        <w:t>”: as of the date of determination thereof, the aggregate amount by which (a) the aggregate amount of commitments under revolving credit facilities and revolving lines of credit of the Borrower and its Consolidated Subsidiaries exceeds (b) the aggregate principal amount of outstanding loans and advances under such revolving credit facilities and revolving lines of credit.</w:t>
      </w:r>
    </w:p>
    <w:p>
      <w:pPr>
        <w:spacing w:after="0" w:line="195" w:lineRule="exact"/>
        <w:rPr>
          <w:sz w:val="20"/>
          <w:szCs w:val="20"/>
          <w:color w:val="auto"/>
        </w:rPr>
      </w:pPr>
    </w:p>
    <w:p>
      <w:pPr>
        <w:ind w:right="720" w:firstLine="1296"/>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Debt</w:t>
      </w:r>
      <w:r>
        <w:rPr>
          <w:rFonts w:ascii="Arial" w:cs="Arial" w:eastAsia="Arial" w:hAnsi="Arial"/>
          <w:sz w:val="20"/>
          <w:szCs w:val="20"/>
          <w:color w:val="auto"/>
        </w:rPr>
        <w:t>”: long-term and short-term bonds, bills, notes and other debt obligations with any “investment grade” rating from any of Moody’s, S&amp;P or Fitch.</w:t>
      </w:r>
    </w:p>
    <w:p>
      <w:pPr>
        <w:spacing w:after="0" w:line="196" w:lineRule="exact"/>
        <w:rPr>
          <w:sz w:val="20"/>
          <w:szCs w:val="20"/>
          <w:color w:val="auto"/>
        </w:rPr>
      </w:pPr>
    </w:p>
    <w:p>
      <w:pPr>
        <w:ind w:right="380" w:firstLine="1296"/>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Liquidity</w:t>
      </w:r>
      <w:r>
        <w:rPr>
          <w:rFonts w:ascii="Arial" w:cs="Arial" w:eastAsia="Arial" w:hAnsi="Arial"/>
          <w:sz w:val="20"/>
          <w:szCs w:val="20"/>
          <w:color w:val="auto"/>
        </w:rPr>
        <w:t xml:space="preserve">”: as of the date of determination thereof, the sum of (a) the Unrestricted Cash, Cash Equivalent and Marketable Securities Amount on such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Available Unused Commitments on such date.</w:t>
      </w:r>
    </w:p>
    <w:p>
      <w:pPr>
        <w:sectPr>
          <w:pgSz w:w="11900" w:h="16838" w:orient="portrait"/>
          <w:cols w:equalWidth="0" w:num="1">
            <w:col w:w="11240"/>
          </w:cols>
          <w:pgMar w:left="320" w:top="1414" w:right="339" w:bottom="1440" w:gutter="0" w:footer="0" w:header="0"/>
        </w:sectPr>
      </w:pPr>
    </w:p>
    <w:bookmarkStart w:id="118" w:name="page119"/>
    <w:bookmarkEnd w:id="118"/>
    <w:p>
      <w:pPr>
        <w:ind w:right="440" w:firstLine="1296"/>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Fiscal Quarters</w:t>
      </w:r>
      <w:r>
        <w:rPr>
          <w:rFonts w:ascii="Arial" w:cs="Arial" w:eastAsia="Arial" w:hAnsi="Arial"/>
          <w:sz w:val="20"/>
          <w:szCs w:val="20"/>
          <w:color w:val="auto"/>
        </w:rPr>
        <w:t>”: the fiscal quarters of the Borrower ending August 31, 2023, November 30, 2023, February 29, 2024, May 30, 2024, and August 29, 2024.</w:t>
      </w:r>
    </w:p>
    <w:p>
      <w:pPr>
        <w:spacing w:after="0" w:line="196" w:lineRule="exact"/>
        <w:rPr>
          <w:sz w:val="20"/>
          <w:szCs w:val="20"/>
          <w:color w:val="auto"/>
        </w:rPr>
      </w:pPr>
    </w:p>
    <w:p>
      <w:pPr>
        <w:ind w:right="160" w:firstLine="1296"/>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Net Leverage Ratio</w:t>
      </w:r>
      <w:r>
        <w:rPr>
          <w:rFonts w:ascii="Arial" w:cs="Arial" w:eastAsia="Arial" w:hAnsi="Arial"/>
          <w:sz w:val="20"/>
          <w:szCs w:val="20"/>
          <w:color w:val="auto"/>
        </w:rPr>
        <w:t xml:space="preserve">”: as of the date of determination thereof, the ratio of (a) Indebtedness of the Borrower and its Consolidated Subsidiaries as of such date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Unrestricted Cash, Cash Equivalent and Marketable Securities Amount as of such date, to (b) Consolidated EBITDA of the Borrower for such Measurement Period.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Cash, Cash Equivalent and Marketable Securities Amount</w:t>
      </w:r>
      <w:r>
        <w:rPr>
          <w:rFonts w:ascii="Arial" w:cs="Arial" w:eastAsia="Arial" w:hAnsi="Arial"/>
          <w:sz w:val="19"/>
          <w:szCs w:val="19"/>
          <w:color w:val="auto"/>
        </w:rPr>
        <w:t>”: as of the date of determination thereof,</w:t>
      </w:r>
    </w:p>
    <w:p>
      <w:pPr>
        <w:spacing w:after="0" w:line="29" w:lineRule="exact"/>
        <w:rPr>
          <w:sz w:val="20"/>
          <w:szCs w:val="20"/>
          <w:color w:val="auto"/>
        </w:rPr>
      </w:pPr>
    </w:p>
    <w:p>
      <w:pPr>
        <w:jc w:val="both"/>
        <w:ind w:right="260"/>
        <w:spacing w:after="0" w:line="234" w:lineRule="auto"/>
        <w:rPr>
          <w:sz w:val="20"/>
          <w:szCs w:val="20"/>
          <w:color w:val="auto"/>
        </w:rPr>
      </w:pPr>
      <w:r>
        <w:rPr>
          <w:rFonts w:ascii="Arial" w:cs="Arial" w:eastAsia="Arial" w:hAnsi="Arial"/>
          <w:sz w:val="20"/>
          <w:szCs w:val="20"/>
          <w:color w:val="auto"/>
        </w:rPr>
        <w:t>the aggregate amount of unrestricted cash, cash equivalents and Investment Grade Debt, as determined in accordance with GAAP and reported on the consolidated balance sheet of the Borrower and its Consolidated Subsidiaries as of the last day of the most recently ended fiscal quarter of the Borrower for which financial statements are available.</w:t>
      </w:r>
    </w:p>
    <w:p>
      <w:pPr>
        <w:spacing w:after="0" w:line="214" w:lineRule="exact"/>
        <w:rPr>
          <w:sz w:val="20"/>
          <w:szCs w:val="20"/>
          <w:color w:val="auto"/>
        </w:rPr>
      </w:pPr>
    </w:p>
    <w:p>
      <w:pPr>
        <w:ind w:right="60" w:firstLine="1304"/>
        <w:spacing w:after="0" w:line="257" w:lineRule="auto"/>
        <w:tabs>
          <w:tab w:leader="none" w:pos="1593" w:val="left"/>
        </w:tabs>
        <w:numPr>
          <w:ilvl w:val="0"/>
          <w:numId w:val="62"/>
        </w:numPr>
        <w:rPr>
          <w:rFonts w:ascii="Arial" w:cs="Arial" w:eastAsia="Arial" w:hAnsi="Arial"/>
          <w:sz w:val="20"/>
          <w:szCs w:val="20"/>
          <w:color w:val="auto"/>
        </w:rPr>
      </w:pPr>
      <w:r>
        <w:rPr>
          <w:rFonts w:ascii="Arial" w:cs="Arial" w:eastAsia="Arial" w:hAnsi="Arial"/>
          <w:sz w:val="20"/>
          <w:szCs w:val="20"/>
          <w:color w:val="auto"/>
        </w:rPr>
        <w:t>Section 6 of the Existing Credit Agreement is hereby amended by amending and restating Section 6.6 thereof in its entirety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Financial Covenant</w:t>
      </w:r>
      <w:r>
        <w:rPr>
          <w:rFonts w:ascii="Arial" w:cs="Arial" w:eastAsia="Arial" w:hAnsi="Arial"/>
          <w:sz w:val="20"/>
          <w:szCs w:val="20"/>
          <w:color w:val="auto"/>
        </w:rPr>
        <w:t>.</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The Borrower will not permit, (a) as of the last day of any fiscal quarter of the Borrower other than a Specified Fiscal Quarter, the Total Leverage Ratio to exceed 3.25 to 1.00 and (b) as of the last day of any Specified Fiscal Quarter, either of the following (i) or (ii) (at the Borrower’s sole election as to the applicability of (i) or (ii) for such Specified Fiscal Quarter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(ii) shall not be elected in more than three (3) of such Specified Fiscal Quarters)): (i) the Total Net Leverage Ratio to exceed 3.25 to 1.00 or (ii) Liquidity to be less than $5,000,000,000;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following the consummation of a Qualified Acquisition for the four fiscal quarters of the Borrower then ended as set forth in the last Compliance Certificate delivered pursuant to </w:t>
      </w:r>
      <w:r>
        <w:rPr>
          <w:rFonts w:ascii="Arial" w:cs="Arial" w:eastAsia="Arial" w:hAnsi="Arial"/>
          <w:sz w:val="20"/>
          <w:szCs w:val="20"/>
          <w:u w:val="single" w:color="auto"/>
          <w:color w:val="auto"/>
        </w:rPr>
        <w:t>Section 5.2</w:t>
      </w:r>
      <w:r>
        <w:rPr>
          <w:rFonts w:ascii="Arial" w:cs="Arial" w:eastAsia="Arial" w:hAnsi="Arial"/>
          <w:sz w:val="20"/>
          <w:szCs w:val="20"/>
          <w:color w:val="auto"/>
        </w:rPr>
        <w:t>, the Total Leverage Ratio and Total Net Leverage Ratio set forth above shall increase for each of the four fiscal quarters of the Borrower ending following the consummation of a Qualified Acquisition to 3.75 to 1.00.”</w:t>
      </w:r>
    </w:p>
    <w:p>
      <w:pPr>
        <w:spacing w:after="0" w:line="200" w:lineRule="exact"/>
        <w:rPr>
          <w:sz w:val="20"/>
          <w:szCs w:val="20"/>
          <w:color w:val="auto"/>
        </w:rPr>
      </w:pPr>
    </w:p>
    <w:p>
      <w:pPr>
        <w:ind w:right="180" w:firstLine="1304"/>
        <w:spacing w:after="0" w:line="271" w:lineRule="auto"/>
        <w:tabs>
          <w:tab w:leader="none" w:pos="1582" w:val="left"/>
        </w:tabs>
        <w:numPr>
          <w:ilvl w:val="0"/>
          <w:numId w:val="63"/>
        </w:numPr>
        <w:rPr>
          <w:rFonts w:ascii="Arial" w:cs="Arial" w:eastAsia="Arial" w:hAnsi="Arial"/>
          <w:sz w:val="20"/>
          <w:szCs w:val="20"/>
          <w:color w:val="auto"/>
        </w:rPr>
      </w:pPr>
      <w:r>
        <w:rPr>
          <w:rFonts w:ascii="Arial" w:cs="Arial" w:eastAsia="Arial" w:hAnsi="Arial"/>
          <w:sz w:val="20"/>
          <w:szCs w:val="20"/>
          <w:color w:val="auto"/>
        </w:rPr>
        <w:t>Exhibit C to the Existing Credit Agreement is hereby amended and restated in its entirety to read as set forth on Annex I attached hereto.</w:t>
      </w:r>
    </w:p>
    <w:p>
      <w:pPr>
        <w:spacing w:after="0" w:line="169" w:lineRule="exact"/>
        <w:rPr>
          <w:sz w:val="20"/>
          <w:szCs w:val="20"/>
          <w:color w:val="auto"/>
        </w:rPr>
      </w:pPr>
    </w:p>
    <w:p>
      <w:pPr>
        <w:ind w:right="180" w:firstLine="1296"/>
        <w:spacing w:after="0" w:line="241"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xml:space="preserve"> This Amendment shall become effective on the date that the following conditions shall have been satisfied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2" w:lineRule="exact"/>
        <w:rPr>
          <w:sz w:val="20"/>
          <w:szCs w:val="20"/>
          <w:color w:val="auto"/>
        </w:rPr>
      </w:pPr>
    </w:p>
    <w:p>
      <w:pPr>
        <w:ind w:right="200" w:firstLine="1304"/>
        <w:spacing w:after="0" w:line="253" w:lineRule="auto"/>
        <w:tabs>
          <w:tab w:leader="none" w:pos="1593"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This Amendment shall have been executed and delivered by (i) a duly authorized officer of the Borrower, (ii) the Required Lenders and (iii) the Administrative Agent.</w:t>
      </w:r>
    </w:p>
    <w:p>
      <w:pPr>
        <w:spacing w:after="0" w:line="185" w:lineRule="exact"/>
        <w:rPr>
          <w:rFonts w:ascii="Arial" w:cs="Arial" w:eastAsia="Arial" w:hAnsi="Arial"/>
          <w:sz w:val="20"/>
          <w:szCs w:val="20"/>
          <w:color w:val="auto"/>
        </w:rPr>
      </w:pPr>
    </w:p>
    <w:p>
      <w:pPr>
        <w:ind w:right="200" w:firstLine="1304"/>
        <w:spacing w:after="0" w:line="257" w:lineRule="auto"/>
        <w:tabs>
          <w:tab w:leader="none" w:pos="1593" w:val="left"/>
        </w:tabs>
        <w:numPr>
          <w:ilvl w:val="0"/>
          <w:numId w:val="64"/>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or would result immediately prior to or after giving effect to this Amendment.</w:t>
      </w:r>
    </w:p>
    <w:p>
      <w:pPr>
        <w:spacing w:after="0" w:line="195" w:lineRule="exact"/>
        <w:rPr>
          <w:rFonts w:ascii="Arial" w:cs="Arial" w:eastAsia="Arial" w:hAnsi="Arial"/>
          <w:sz w:val="20"/>
          <w:szCs w:val="20"/>
          <w:color w:val="auto"/>
        </w:rPr>
      </w:pPr>
    </w:p>
    <w:p>
      <w:pPr>
        <w:ind w:right="180" w:firstLine="1304"/>
        <w:spacing w:after="0"/>
        <w:tabs>
          <w:tab w:leader="none" w:pos="1582" w:val="left"/>
        </w:tabs>
        <w:numPr>
          <w:ilvl w:val="0"/>
          <w:numId w:val="64"/>
        </w:numPr>
        <w:rPr>
          <w:rFonts w:ascii="Arial" w:cs="Arial" w:eastAsia="Arial" w:hAnsi="Arial"/>
          <w:sz w:val="20"/>
          <w:szCs w:val="20"/>
          <w:color w:val="auto"/>
        </w:rPr>
      </w:pPr>
      <w:r>
        <w:rPr>
          <w:rFonts w:ascii="Arial" w:cs="Arial" w:eastAsia="Arial" w:hAnsi="Arial"/>
          <w:sz w:val="20"/>
          <w:szCs w:val="20"/>
          <w:color w:val="auto"/>
        </w:rPr>
        <w:t>All representations and warranties contained in the Loan Documents shall be true and correct in all material respects on and as of the Amendment Effective Date,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true and correct in all respects).</w:t>
      </w:r>
    </w:p>
    <w:p>
      <w:pPr>
        <w:spacing w:after="0" w:line="200" w:lineRule="exact"/>
        <w:rPr>
          <w:rFonts w:ascii="Arial" w:cs="Arial" w:eastAsia="Arial" w:hAnsi="Arial"/>
          <w:sz w:val="20"/>
          <w:szCs w:val="20"/>
          <w:color w:val="auto"/>
        </w:rPr>
      </w:pPr>
    </w:p>
    <w:p>
      <w:pPr>
        <w:ind w:right="20" w:firstLine="1304"/>
        <w:spacing w:after="0" w:line="257" w:lineRule="auto"/>
        <w:tabs>
          <w:tab w:leader="none" w:pos="1593"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the Borrower payment of all fees and expenses required to be paid to the Administrative Agent on or before</w:t>
      </w:r>
    </w:p>
    <w:p>
      <w:pPr>
        <w:sectPr>
          <w:pgSz w:w="11900" w:h="16838" w:orient="portrait"/>
          <w:cols w:equalWidth="0" w:num="1">
            <w:col w:w="11220"/>
          </w:cols>
          <w:pgMar w:left="320" w:top="1414" w:right="359" w:bottom="1440" w:gutter="0" w:footer="0" w:header="0"/>
        </w:sectPr>
      </w:pPr>
    </w:p>
    <w:bookmarkStart w:id="119" w:name="page120"/>
    <w:bookmarkEnd w:id="119"/>
    <w:p>
      <w:pPr>
        <w:ind w:right="260" w:firstLine="1296"/>
        <w:spacing w:after="0" w:line="257" w:lineRule="auto"/>
        <w:rPr>
          <w:sz w:val="20"/>
          <w:szCs w:val="20"/>
          <w:color w:val="auto"/>
        </w:rPr>
      </w:pPr>
      <w:r>
        <w:rPr>
          <w:rFonts w:ascii="Arial" w:cs="Arial" w:eastAsia="Arial" w:hAnsi="Arial"/>
          <w:sz w:val="20"/>
          <w:szCs w:val="20"/>
          <w:color w:val="auto"/>
        </w:rPr>
        <w:t>the Amendment Effective Date for which written invoices in reasonable detail have been submitted at least two Business Days prior to the Amendment Effective Date.</w:t>
      </w:r>
    </w:p>
    <w:p>
      <w:pPr>
        <w:spacing w:after="0" w:line="196" w:lineRule="exact"/>
        <w:rPr>
          <w:sz w:val="20"/>
          <w:szCs w:val="20"/>
          <w:color w:val="auto"/>
        </w:rPr>
      </w:pPr>
    </w:p>
    <w:p>
      <w:pPr>
        <w:ind w:right="20" w:firstLine="1296"/>
        <w:spacing w:after="0" w:line="234"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Representations of the Borrower</w:t>
      </w:r>
      <w:r>
        <w:rPr>
          <w:rFonts w:ascii="Arial" w:cs="Arial" w:eastAsia="Arial" w:hAnsi="Arial"/>
          <w:sz w:val="20"/>
          <w:szCs w:val="20"/>
          <w:color w:val="auto"/>
        </w:rPr>
        <w:t>. On and as of the Amendment Effective Date, after giving effect to this Amendment, the Borrower hereby represents and warrants to the Administrative Agent and each Lender that this Amendment has been duly authorized by all necessary corporate or other organizational action. This Amendment has been duly executed and delivered by Borrower hereto and constitutes a legal, valid and binding obligation of the Borrower, enforceable against such Person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No Other Amendment or Waivers; Confirmation; Reaffirmation</w:t>
      </w:r>
      <w:r>
        <w:rPr>
          <w:rFonts w:ascii="Arial" w:cs="Arial" w:eastAsia="Arial" w:hAnsi="Arial"/>
          <w:sz w:val="20"/>
          <w:szCs w:val="20"/>
          <w:color w:val="auto"/>
        </w:rPr>
        <w:t>.</w:t>
      </w:r>
    </w:p>
    <w:p>
      <w:pPr>
        <w:spacing w:after="0" w:line="211" w:lineRule="exact"/>
        <w:rPr>
          <w:sz w:val="20"/>
          <w:szCs w:val="20"/>
          <w:color w:val="auto"/>
        </w:rPr>
      </w:pPr>
    </w:p>
    <w:p>
      <w:pPr>
        <w:ind w:firstLine="1304"/>
        <w:spacing w:after="0" w:line="236" w:lineRule="auto"/>
        <w:tabs>
          <w:tab w:leader="none" w:pos="1593" w:val="left"/>
        </w:tabs>
        <w:numPr>
          <w:ilvl w:val="0"/>
          <w:numId w:val="65"/>
        </w:numPr>
        <w:rPr>
          <w:rFonts w:ascii="Arial" w:cs="Arial" w:eastAsia="Arial" w:hAnsi="Arial"/>
          <w:sz w:val="20"/>
          <w:szCs w:val="20"/>
          <w:color w:val="auto"/>
        </w:rPr>
      </w:pPr>
      <w:r>
        <w:rPr>
          <w:rFonts w:ascii="Arial" w:cs="Arial" w:eastAsia="Arial" w:hAnsi="Arial"/>
          <w:sz w:val="20"/>
          <w:szCs w:val="20"/>
          <w:color w:val="auto"/>
        </w:rPr>
        <w:t>Except as expressly provided hereby, all of the terms and provisions of the Existing Credit Agreement and the other Loan Documents are and shall remain in full force and effect. The amendments contained herein shall not be construed as an amendment of any other provision of the Existing Credit Agreement or the other Loan Documents or for any purpose except as expressly set forth herein or a consent to any further or future action on the part of any Loan Party that would require the waiver or consent of the Administrative Agent or the Lenders. This Amendment shall constitute a Loan Document for purposes of the Amended Credit Agreement and from and after the Amendment Effective Date, all references to the Credit Agreement in any Loan Document and all references to “this Agreement”, “hereunder”, “hereof” or words of like import referring to the “Credit Agreement” in the Amended Credit Agreement shall, unless expressly provided otherwise, refer to the Amended Credit Agreement.</w:t>
      </w:r>
    </w:p>
    <w:p>
      <w:pPr>
        <w:spacing w:after="0" w:line="205" w:lineRule="exact"/>
        <w:rPr>
          <w:rFonts w:ascii="Arial" w:cs="Arial" w:eastAsia="Arial" w:hAnsi="Arial"/>
          <w:sz w:val="20"/>
          <w:szCs w:val="20"/>
          <w:color w:val="auto"/>
        </w:rPr>
      </w:pPr>
    </w:p>
    <w:p>
      <w:pPr>
        <w:ind w:right="40" w:firstLine="1304"/>
        <w:spacing w:after="0"/>
        <w:tabs>
          <w:tab w:leader="none" w:pos="1593"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Borrower hereby (i) expressly acknowledges the terms of the Amended Credit Agreement, (ii) ratifies and affirms its obligations under the Loan Documents to which it is a party, (iii) acknowledges, renews and extends its continued liability under all such Loan Documents and agrees such Loan Documents remain in full force and effect and (iv) further confirms that each Loan Document to which it is a party is and shall continue to be in full force and effect and the same are hereby ratified and confirmed in all respects.</w:t>
      </w:r>
    </w:p>
    <w:p>
      <w:pPr>
        <w:spacing w:after="0" w:line="200" w:lineRule="exact"/>
        <w:rPr>
          <w:rFonts w:ascii="Arial" w:cs="Arial" w:eastAsia="Arial" w:hAnsi="Arial"/>
          <w:sz w:val="20"/>
          <w:szCs w:val="20"/>
          <w:color w:val="auto"/>
        </w:rPr>
      </w:pPr>
    </w:p>
    <w:p>
      <w:pPr>
        <w:ind w:right="720" w:firstLine="1304"/>
        <w:spacing w:after="0" w:line="268" w:lineRule="auto"/>
        <w:tabs>
          <w:tab w:leader="none" w:pos="1582"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Borrower hereby reaffirms, as of the Amendment Effective Date, the covenants and agreements contained in each Loan Document to which it is a party as modified hereby, including, in each case, such covenants and agreements as in effect immediately after giving effect to this Amendment and the transactions contemplated thereby.</w:t>
      </w:r>
    </w:p>
    <w:p>
      <w:pPr>
        <w:spacing w:after="0" w:line="173" w:lineRule="exact"/>
        <w:rPr>
          <w:sz w:val="20"/>
          <w:szCs w:val="20"/>
          <w:color w:val="auto"/>
        </w:rPr>
      </w:pPr>
    </w:p>
    <w:p>
      <w:pPr>
        <w:ind w:right="220" w:firstLine="1296"/>
        <w:spacing w:after="0" w:line="245"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APPLICABLE LAW; WAIVER OF JURY TRIAL</w:t>
      </w:r>
      <w:r>
        <w:rPr>
          <w:rFonts w:ascii="Arial" w:cs="Arial" w:eastAsia="Arial" w:hAnsi="Arial"/>
          <w:sz w:val="20"/>
          <w:szCs w:val="20"/>
          <w:color w:val="auto"/>
        </w:rPr>
        <w:t>. THIS AMENDMENT SHALL BE GOVERNED BY, AND CONSTRUED IN ACCORDANCE WITH, THE LAW OF THE STATE OF NEW YORK. EACH PARTY HERETO HEREBY AGREES AS SET FORTH IN SECTION 9.12 AND SECTION 9.16 OF THE EXISTING CREDIT AGREEMENT AS IF SUCH SECTIONS WERE SET FORTH IN FULL HEREIN.</w:t>
      </w:r>
    </w:p>
    <w:p>
      <w:pPr>
        <w:spacing w:after="0" w:line="195" w:lineRule="exact"/>
        <w:rPr>
          <w:sz w:val="20"/>
          <w:szCs w:val="20"/>
          <w:color w:val="auto"/>
        </w:rPr>
      </w:pPr>
    </w:p>
    <w:p>
      <w:pPr>
        <w:ind w:firstLine="1296"/>
        <w:spacing w:after="0"/>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Miscellaneous</w:t>
      </w:r>
      <w:r>
        <w:rPr>
          <w:rFonts w:ascii="Arial" w:cs="Arial" w:eastAsia="Arial" w:hAnsi="Arial"/>
          <w:sz w:val="20"/>
          <w:szCs w:val="20"/>
          <w:color w:val="auto"/>
        </w:rPr>
        <w:t>. (a)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ectPr>
          <w:pgSz w:w="11900" w:h="16838" w:orient="portrait"/>
          <w:cols w:equalWidth="0" w:num="1">
            <w:col w:w="11220"/>
          </w:cols>
          <w:pgMar w:left="320" w:top="1414" w:right="359" w:bottom="1440" w:gutter="0" w:footer="0" w:header="0"/>
        </w:sectPr>
      </w:pPr>
    </w:p>
    <w:bookmarkStart w:id="120" w:name="page121"/>
    <w:bookmarkEnd w:id="120"/>
    <w:p>
      <w:pPr>
        <w:ind w:firstLine="1304"/>
        <w:spacing w:after="0" w:line="257" w:lineRule="auto"/>
        <w:tabs>
          <w:tab w:leader="none" w:pos="1593"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provisions of this Amendment shall be binding upon and inure to the benefit of the parties hereto and their respective successors and assigns permitted hereby.</w:t>
      </w:r>
    </w:p>
    <w:p>
      <w:pPr>
        <w:spacing w:after="0" w:line="196" w:lineRule="exact"/>
        <w:rPr>
          <w:sz w:val="20"/>
          <w:szCs w:val="20"/>
          <w:color w:val="auto"/>
        </w:rPr>
      </w:pPr>
    </w:p>
    <w:p>
      <w:pPr>
        <w:ind w:right="140" w:firstLine="1296"/>
        <w:spacing w:after="0" w:line="257"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herein are included herein for convenience of reference only and shall not constitute a part hereof for any other purpose or be given any substantive effect.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ectPr>
          <w:pgSz w:w="11900" w:h="16838" w:orient="portrait"/>
          <w:cols w:equalWidth="0" w:num="1">
            <w:col w:w="11240"/>
          </w:cols>
          <w:pgMar w:left="320" w:top="1414" w:right="339" w:bottom="1440" w:gutter="0" w:footer="0" w:header="0"/>
        </w:sectPr>
      </w:pPr>
    </w:p>
    <w:bookmarkStart w:id="121" w:name="page122"/>
    <w:bookmarkEnd w:id="121"/>
    <w:p>
      <w:pPr>
        <w:ind w:firstLine="1296"/>
        <w:spacing w:after="0" w:line="257"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proper and duly authorized officers as of the day and year first above written.</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MICRON TECHNOLOGY, INC.</w:t>
      </w: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Gregory Routin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Gregory Routin</w:t>
      </w:r>
    </w:p>
    <w:p>
      <w:pPr>
        <w:jc w:val="center"/>
        <w:ind w:right="28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11100"/>
          </w:cols>
          <w:pgMar w:left="320" w:top="1414" w:right="479" w:bottom="1440" w:gutter="0" w:footer="0" w:header="0"/>
        </w:sectPr>
      </w:pPr>
    </w:p>
    <w:bookmarkStart w:id="122" w:name="page123"/>
    <w:bookmarkEnd w:id="122"/>
    <w:p>
      <w:pPr>
        <w:ind w:left="2760"/>
        <w:spacing w:after="0"/>
        <w:rPr>
          <w:sz w:val="20"/>
          <w:szCs w:val="20"/>
          <w:color w:val="auto"/>
        </w:rPr>
      </w:pPr>
      <w:r>
        <w:rPr>
          <w:rFonts w:ascii="Arial" w:cs="Arial" w:eastAsia="Arial" w:hAnsi="Arial"/>
          <w:sz w:val="19"/>
          <w:szCs w:val="19"/>
          <w:b w:val="1"/>
          <w:bCs w:val="1"/>
          <w:color w:val="auto"/>
        </w:rPr>
        <w:t>HSBC BANK USA, NATIONAL ASSOCIATION</w:t>
      </w:r>
      <w:r>
        <w:rPr>
          <w:rFonts w:ascii="Arial" w:cs="Arial" w:eastAsia="Arial" w:hAnsi="Arial"/>
          <w:sz w:val="19"/>
          <w:szCs w:val="19"/>
          <w:color w:val="auto"/>
        </w:rPr>
        <w:t>, as Administrative Agent</w:t>
      </w:r>
    </w:p>
    <w:p>
      <w:pPr>
        <w:spacing w:after="0" w:line="243"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Daniel Gonzalez</w:t>
      </w:r>
      <w:r>
        <w:rPr>
          <w:rFonts w:ascii="Arial" w:cs="Arial" w:eastAsia="Arial" w:hAnsi="Arial"/>
          <w:sz w:val="20"/>
          <w:szCs w:val="20"/>
          <w:color w:val="auto"/>
        </w:rPr>
        <w:t xml:space="preserve"> Name: Daniel Gonzalez</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140"/>
          </w:cols>
          <w:pgMar w:left="1440" w:top="1412" w:right="1319" w:bottom="1440" w:gutter="0" w:footer="0" w:header="0"/>
        </w:sectPr>
      </w:pPr>
    </w:p>
    <w:bookmarkStart w:id="123" w:name="page124"/>
    <w:bookmarkEnd w:id="123"/>
    <w:p>
      <w:pPr>
        <w:ind w:left="2760"/>
        <w:spacing w:after="0"/>
        <w:rPr>
          <w:sz w:val="20"/>
          <w:szCs w:val="20"/>
          <w:color w:val="auto"/>
        </w:rPr>
      </w:pPr>
      <w:r>
        <w:rPr>
          <w:rFonts w:ascii="Arial" w:cs="Arial" w:eastAsia="Arial" w:hAnsi="Arial"/>
          <w:sz w:val="19"/>
          <w:szCs w:val="19"/>
          <w:b w:val="1"/>
          <w:bCs w:val="1"/>
          <w:color w:val="auto"/>
        </w:rPr>
        <w:t>HSBC BANK USA, NATIONAL ASSOCIATION</w:t>
      </w:r>
      <w:r>
        <w:rPr>
          <w:rFonts w:ascii="Arial" w:cs="Arial" w:eastAsia="Arial" w:hAnsi="Arial"/>
          <w:sz w:val="19"/>
          <w:szCs w:val="19"/>
          <w:color w:val="auto"/>
        </w:rPr>
        <w:t>, as Issuing Bank and a Lender</w:t>
      </w:r>
    </w:p>
    <w:p>
      <w:pPr>
        <w:spacing w:after="0" w:line="243"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Ilene Hernandez</w:t>
      </w:r>
      <w:r>
        <w:rPr>
          <w:rFonts w:ascii="Arial" w:cs="Arial" w:eastAsia="Arial" w:hAnsi="Arial"/>
          <w:sz w:val="20"/>
          <w:szCs w:val="20"/>
          <w:color w:val="auto"/>
        </w:rPr>
        <w:t xml:space="preserve"> Name: Ilene Hernandez</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680"/>
          </w:cols>
          <w:pgMar w:left="1440" w:top="1412" w:right="779" w:bottom="1440" w:gutter="0" w:footer="0" w:header="0"/>
        </w:sectPr>
      </w:pPr>
    </w:p>
    <w:bookmarkStart w:id="124" w:name="page125"/>
    <w:bookmarkEnd w:id="124"/>
    <w:p>
      <w:pPr>
        <w:ind w:left="2760"/>
        <w:spacing w:after="0"/>
        <w:rPr>
          <w:sz w:val="20"/>
          <w:szCs w:val="20"/>
          <w:color w:val="auto"/>
        </w:rPr>
      </w:pPr>
      <w:r>
        <w:rPr>
          <w:rFonts w:ascii="Arial" w:cs="Arial" w:eastAsia="Arial" w:hAnsi="Arial"/>
          <w:sz w:val="20"/>
          <w:szCs w:val="20"/>
          <w:b w:val="1"/>
          <w:bCs w:val="1"/>
          <w:color w:val="auto"/>
        </w:rPr>
        <w:t>BNP Paribas</w:t>
      </w:r>
      <w:r>
        <w:rPr>
          <w:rFonts w:ascii="Arial" w:cs="Arial" w:eastAsia="Arial" w:hAnsi="Arial"/>
          <w:sz w:val="20"/>
          <w:szCs w:val="20"/>
          <w:color w:val="auto"/>
        </w:rPr>
        <w:t>,</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Gregory R. Paul</w:t>
      </w:r>
      <w:r>
        <w:rPr>
          <w:rFonts w:ascii="Arial" w:cs="Arial" w:eastAsia="Arial" w:hAnsi="Arial"/>
          <w:sz w:val="20"/>
          <w:szCs w:val="20"/>
          <w:color w:val="auto"/>
        </w:rPr>
        <w:t xml:space="preserve"> Name: Gregory R. Paul</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66" w:lineRule="exact"/>
        <w:rPr>
          <w:sz w:val="20"/>
          <w:szCs w:val="20"/>
          <w:color w:val="auto"/>
        </w:rPr>
      </w:pPr>
    </w:p>
    <w:p>
      <w:pPr>
        <w:ind w:left="2760"/>
        <w:spacing w:after="0"/>
        <w:rPr>
          <w:sz w:val="20"/>
          <w:szCs w:val="20"/>
          <w:color w:val="auto"/>
        </w:rPr>
      </w:pPr>
      <w:r>
        <w:rPr>
          <w:rFonts w:ascii="Arial" w:cs="Arial" w:eastAsia="Arial" w:hAnsi="Arial"/>
          <w:sz w:val="20"/>
          <w:szCs w:val="20"/>
          <w:b w:val="1"/>
          <w:bCs w:val="1"/>
          <w:color w:val="auto"/>
        </w:rPr>
        <w:t>BNP Paribas</w:t>
      </w:r>
      <w:r>
        <w:rPr>
          <w:rFonts w:ascii="Arial" w:cs="Arial" w:eastAsia="Arial" w:hAnsi="Arial"/>
          <w:sz w:val="20"/>
          <w:szCs w:val="20"/>
          <w:color w:val="auto"/>
        </w:rPr>
        <w:t>,</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My-Linh Yoshiike</w:t>
      </w:r>
      <w:r>
        <w:rPr>
          <w:rFonts w:ascii="Arial" w:cs="Arial" w:eastAsia="Arial" w:hAnsi="Arial"/>
          <w:sz w:val="19"/>
          <w:szCs w:val="19"/>
          <w:color w:val="auto"/>
        </w:rPr>
        <w:t xml:space="preserve"> Name: My-Linh Yoshiike</w:t>
      </w:r>
    </w:p>
    <w:p>
      <w:pPr>
        <w:spacing w:after="0" w:line="16"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12" w:right="1440" w:bottom="1440" w:gutter="0" w:footer="0" w:header="0"/>
        </w:sectPr>
      </w:pPr>
    </w:p>
    <w:bookmarkStart w:id="125" w:name="page126"/>
    <w:bookmarkEnd w:id="125"/>
    <w:p>
      <w:pPr>
        <w:ind w:left="2760"/>
        <w:spacing w:after="0"/>
        <w:rPr>
          <w:sz w:val="20"/>
          <w:szCs w:val="20"/>
          <w:color w:val="auto"/>
        </w:rPr>
      </w:pPr>
      <w:r>
        <w:rPr>
          <w:rFonts w:ascii="Arial" w:cs="Arial" w:eastAsia="Arial" w:hAnsi="Arial"/>
          <w:sz w:val="19"/>
          <w:szCs w:val="19"/>
          <w:b w:val="1"/>
          <w:bCs w:val="1"/>
          <w:color w:val="auto"/>
        </w:rPr>
        <w:t>CREDIT AGRICOLE CORPORATE AND INVESTMENT BANK</w:t>
      </w:r>
      <w:r>
        <w:rPr>
          <w:rFonts w:ascii="Arial" w:cs="Arial" w:eastAsia="Arial" w:hAnsi="Arial"/>
          <w:sz w:val="19"/>
          <w:szCs w:val="19"/>
          <w:color w:val="auto"/>
        </w:rPr>
        <w:t>, as a Lender</w:t>
      </w:r>
    </w:p>
    <w:p>
      <w:pPr>
        <w:spacing w:after="0" w:line="243"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Fanny Charrier</w:t>
      </w:r>
      <w:r>
        <w:rPr>
          <w:rFonts w:ascii="Arial" w:cs="Arial" w:eastAsia="Arial" w:hAnsi="Arial"/>
          <w:sz w:val="20"/>
          <w:szCs w:val="20"/>
          <w:color w:val="auto"/>
        </w:rPr>
        <w:t xml:space="preserve"> Name: Fanny Charrier</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Paul Arens</w:t>
      </w:r>
      <w:r>
        <w:rPr>
          <w:rFonts w:ascii="Arial" w:cs="Arial" w:eastAsia="Arial" w:hAnsi="Arial"/>
          <w:sz w:val="20"/>
          <w:szCs w:val="20"/>
          <w:color w:val="auto"/>
        </w:rPr>
        <w:t xml:space="preserve"> Name: Paul Arens</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500"/>
          </w:cols>
          <w:pgMar w:left="1440" w:top="1412" w:right="959" w:bottom="1440" w:gutter="0" w:footer="0" w:header="0"/>
        </w:sectPr>
      </w:pPr>
    </w:p>
    <w:bookmarkStart w:id="126" w:name="page127"/>
    <w:bookmarkEnd w:id="126"/>
    <w:p>
      <w:pPr>
        <w:ind w:left="2760"/>
        <w:spacing w:after="0"/>
        <w:rPr>
          <w:sz w:val="20"/>
          <w:szCs w:val="20"/>
          <w:color w:val="auto"/>
        </w:rPr>
      </w:pPr>
      <w:r>
        <w:rPr>
          <w:rFonts w:ascii="Arial" w:cs="Arial" w:eastAsia="Arial" w:hAnsi="Arial"/>
          <w:sz w:val="20"/>
          <w:szCs w:val="20"/>
          <w:b w:val="1"/>
          <w:bCs w:val="1"/>
          <w:color w:val="auto"/>
        </w:rPr>
        <w:t>DBS BANK LTD.</w:t>
      </w:r>
      <w:r>
        <w:rPr>
          <w:rFonts w:ascii="Arial" w:cs="Arial" w:eastAsia="Arial" w:hAnsi="Arial"/>
          <w:sz w:val="20"/>
          <w:szCs w:val="20"/>
          <w:color w:val="auto"/>
        </w:rPr>
        <w:t>,</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Erny Ismail</w:t>
      </w:r>
      <w:r>
        <w:rPr>
          <w:rFonts w:ascii="Arial" w:cs="Arial" w:eastAsia="Arial" w:hAnsi="Arial"/>
          <w:sz w:val="19"/>
          <w:szCs w:val="19"/>
          <w:color w:val="auto"/>
        </w:rPr>
        <w:t xml:space="preserve"> Name: Erny Ismail</w:t>
      </w:r>
    </w:p>
    <w:p>
      <w:pPr>
        <w:spacing w:after="0" w:line="16"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1412" w:right="1440" w:bottom="1440" w:gutter="0" w:footer="0" w:header="0"/>
        </w:sectPr>
      </w:pPr>
    </w:p>
    <w:bookmarkStart w:id="127" w:name="page128"/>
    <w:bookmarkEnd w:id="127"/>
    <w:p>
      <w:pPr>
        <w:ind w:left="2760" w:right="179"/>
        <w:spacing w:after="0" w:line="259" w:lineRule="auto"/>
        <w:rPr>
          <w:sz w:val="20"/>
          <w:szCs w:val="20"/>
          <w:color w:val="auto"/>
        </w:rPr>
      </w:pPr>
      <w:r>
        <w:rPr>
          <w:rFonts w:ascii="Arial" w:cs="Arial" w:eastAsia="Arial" w:hAnsi="Arial"/>
          <w:sz w:val="20"/>
          <w:szCs w:val="20"/>
          <w:b w:val="1"/>
          <w:bCs w:val="1"/>
          <w:color w:val="auto"/>
        </w:rPr>
        <w:t>Industrial and Commercial Bank of China Ltd.</w:t>
      </w:r>
      <w:r>
        <w:rPr>
          <w:rFonts w:ascii="Arial" w:cs="Arial" w:eastAsia="Arial" w:hAnsi="Arial"/>
          <w:sz w:val="20"/>
          <w:szCs w:val="20"/>
          <w:color w:val="auto"/>
        </w:rPr>
        <w:t>,</w:t>
      </w:r>
      <w:r>
        <w:rPr>
          <w:rFonts w:ascii="Arial" w:cs="Arial" w:eastAsia="Arial" w:hAnsi="Arial"/>
          <w:sz w:val="20"/>
          <w:szCs w:val="20"/>
          <w:b w:val="1"/>
          <w:bCs w:val="1"/>
          <w:color w:val="auto"/>
        </w:rPr>
        <w:t xml:space="preserve"> New York Branch</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Lender</w:t>
      </w:r>
    </w:p>
    <w:p>
      <w:pPr>
        <w:spacing w:after="0" w:line="19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Tony Huang</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Tony Huang</w:t>
      </w:r>
    </w:p>
    <w:p>
      <w:pPr>
        <w:ind w:left="27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Yuanyuan Peng</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Yuanyuan Peng</w:t>
      </w:r>
    </w:p>
    <w:p>
      <w:pPr>
        <w:ind w:left="276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9019"/>
          </w:cols>
          <w:pgMar w:left="1440" w:top="1412" w:right="1440" w:bottom="1440" w:gutter="0" w:footer="0" w:header="0"/>
        </w:sectPr>
      </w:pPr>
    </w:p>
    <w:bookmarkStart w:id="128" w:name="page129"/>
    <w:bookmarkEnd w:id="128"/>
    <w:p>
      <w:pPr>
        <w:ind w:left="2760"/>
        <w:spacing w:after="0"/>
        <w:rPr>
          <w:sz w:val="20"/>
          <w:szCs w:val="20"/>
          <w:color w:val="auto"/>
        </w:rPr>
      </w:pPr>
      <w:r>
        <w:rPr>
          <w:rFonts w:ascii="Arial" w:cs="Arial" w:eastAsia="Arial" w:hAnsi="Arial"/>
          <w:sz w:val="20"/>
          <w:szCs w:val="20"/>
          <w:b w:val="1"/>
          <w:bCs w:val="1"/>
          <w:color w:val="auto"/>
        </w:rPr>
        <w:t>Mizuho Bank, Ltd.</w:t>
      </w:r>
      <w:r>
        <w:rPr>
          <w:rFonts w:ascii="Arial" w:cs="Arial" w:eastAsia="Arial" w:hAnsi="Arial"/>
          <w:sz w:val="20"/>
          <w:szCs w:val="20"/>
          <w:color w:val="auto"/>
        </w:rPr>
        <w:t>,</w:t>
      </w:r>
    </w:p>
    <w:p>
      <w:pPr>
        <w:spacing w:after="0" w:line="6"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Tracy Rahn</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Tracy Rahn</w:t>
      </w:r>
    </w:p>
    <w:p>
      <w:pPr>
        <w:ind w:left="2760"/>
        <w:spacing w:after="0"/>
        <w:rPr>
          <w:sz w:val="20"/>
          <w:szCs w:val="20"/>
          <w:color w:val="auto"/>
        </w:rPr>
      </w:pPr>
      <w:r>
        <w:rPr>
          <w:rFonts w:ascii="Arial" w:cs="Arial" w:eastAsia="Arial" w:hAnsi="Arial"/>
          <w:sz w:val="19"/>
          <w:szCs w:val="19"/>
          <w:color w:val="auto"/>
        </w:rPr>
        <w:t>Title: Executive Director</w:t>
      </w:r>
    </w:p>
    <w:p>
      <w:pPr>
        <w:sectPr>
          <w:pgSz w:w="11900" w:h="16838" w:orient="portrait"/>
          <w:cols w:equalWidth="0" w:num="1">
            <w:col w:w="9019"/>
          </w:cols>
          <w:pgMar w:left="1440" w:top="1412" w:right="1440" w:bottom="1440" w:gutter="0" w:footer="0" w:header="0"/>
        </w:sectPr>
      </w:pPr>
    </w:p>
    <w:bookmarkStart w:id="129" w:name="page130"/>
    <w:bookmarkEnd w:id="129"/>
    <w:p>
      <w:pPr>
        <w:ind w:left="2760"/>
        <w:spacing w:after="0"/>
        <w:rPr>
          <w:sz w:val="20"/>
          <w:szCs w:val="20"/>
          <w:color w:val="auto"/>
        </w:rPr>
      </w:pPr>
      <w:r>
        <w:rPr>
          <w:rFonts w:ascii="Arial" w:cs="Arial" w:eastAsia="Arial" w:hAnsi="Arial"/>
          <w:sz w:val="19"/>
          <w:szCs w:val="19"/>
          <w:b w:val="1"/>
          <w:bCs w:val="1"/>
          <w:color w:val="auto"/>
        </w:rPr>
        <w:t>MUFG Bank, Ltd.</w:t>
      </w:r>
      <w:r>
        <w:rPr>
          <w:rFonts w:ascii="Arial" w:cs="Arial" w:eastAsia="Arial" w:hAnsi="Arial"/>
          <w:sz w:val="19"/>
          <w:szCs w:val="19"/>
          <w:color w:val="auto"/>
        </w:rPr>
        <w:t>,</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u w:val="single" w:color="auto"/>
          <w:color w:val="auto"/>
        </w:rPr>
        <w:t>By: /s/ Lillian Kim</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Lillian Kim</w:t>
      </w:r>
    </w:p>
    <w:p>
      <w:pPr>
        <w:ind w:left="27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412" w:right="1440" w:bottom="1440" w:gutter="0" w:footer="0" w:header="0"/>
        </w:sectPr>
      </w:pPr>
    </w:p>
    <w:bookmarkStart w:id="130" w:name="page131"/>
    <w:bookmarkEnd w:id="130"/>
    <w:p>
      <w:pPr>
        <w:ind w:left="2760"/>
        <w:spacing w:after="0" w:line="259"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 Lender and as Issuing</w:t>
      </w:r>
      <w:r>
        <w:rPr>
          <w:rFonts w:ascii="Arial" w:cs="Arial" w:eastAsia="Arial" w:hAnsi="Arial"/>
          <w:sz w:val="20"/>
          <w:szCs w:val="20"/>
          <w:b w:val="1"/>
          <w:bCs w:val="1"/>
          <w:color w:val="auto"/>
        </w:rPr>
        <w:t xml:space="preserve"> </w:t>
      </w:r>
      <w:r>
        <w:rPr>
          <w:rFonts w:ascii="Arial" w:cs="Arial" w:eastAsia="Arial" w:hAnsi="Arial"/>
          <w:sz w:val="20"/>
          <w:szCs w:val="20"/>
          <w:color w:val="auto"/>
        </w:rPr>
        <w:t>Bank</w:t>
      </w:r>
    </w:p>
    <w:p>
      <w:pPr>
        <w:spacing w:after="0" w:line="19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Gambo Audu</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Gambo Audu</w:t>
      </w: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860"/>
          </w:cols>
          <w:pgMar w:left="1440" w:top="1412" w:right="599" w:bottom="1440" w:gutter="0" w:footer="0" w:header="0"/>
        </w:sectPr>
      </w:pPr>
    </w:p>
    <w:bookmarkStart w:id="131" w:name="page132"/>
    <w:bookmarkEnd w:id="131"/>
    <w:p>
      <w:pPr>
        <w:ind w:left="2760"/>
        <w:spacing w:after="0"/>
        <w:rPr>
          <w:sz w:val="20"/>
          <w:szCs w:val="20"/>
          <w:color w:val="auto"/>
        </w:rPr>
      </w:pPr>
      <w:r>
        <w:rPr>
          <w:rFonts w:ascii="Arial" w:cs="Arial" w:eastAsia="Arial" w:hAnsi="Arial"/>
          <w:sz w:val="19"/>
          <w:szCs w:val="19"/>
          <w:b w:val="1"/>
          <w:bCs w:val="1"/>
          <w:color w:val="auto"/>
        </w:rPr>
        <w:t>Australia and New Zealand Banking Group Limited</w:t>
      </w:r>
      <w:r>
        <w:rPr>
          <w:rFonts w:ascii="Arial" w:cs="Arial" w:eastAsia="Arial" w:hAnsi="Arial"/>
          <w:sz w:val="19"/>
          <w:szCs w:val="19"/>
          <w:color w:val="auto"/>
        </w:rPr>
        <w:t>, as a Lender</w:t>
      </w:r>
    </w:p>
    <w:p>
      <w:pPr>
        <w:spacing w:after="0" w:line="243"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Grillo</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Robert Grillo</w:t>
      </w:r>
    </w:p>
    <w:p>
      <w:pPr>
        <w:ind w:left="276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9019"/>
          </w:cols>
          <w:pgMar w:left="1440" w:top="1412" w:right="1440" w:bottom="1440" w:gutter="0" w:footer="0" w:header="0"/>
        </w:sectPr>
      </w:pPr>
    </w:p>
    <w:bookmarkStart w:id="132" w:name="page133"/>
    <w:bookmarkEnd w:id="132"/>
    <w:p>
      <w:pPr>
        <w:spacing w:after="0" w:line="215"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w:t>
      </w:r>
    </w:p>
    <w:p>
      <w:pPr>
        <w:spacing w:after="0" w:line="1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Ladi Oluwole</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Ladi Oluwole</w:t>
      </w: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40" w:right="1440" w:bottom="1440" w:gutter="0" w:footer="0" w:header="0"/>
        </w:sectPr>
      </w:pPr>
    </w:p>
    <w:bookmarkStart w:id="133" w:name="page134"/>
    <w:bookmarkEnd w:id="133"/>
    <w:p>
      <w:pPr>
        <w:ind w:left="2780"/>
        <w:spacing w:after="0"/>
        <w:rPr>
          <w:sz w:val="20"/>
          <w:szCs w:val="20"/>
          <w:color w:val="auto"/>
        </w:rPr>
      </w:pPr>
      <w:r>
        <w:rPr>
          <w:rFonts w:ascii="Arial" w:cs="Arial" w:eastAsia="Arial" w:hAnsi="Arial"/>
          <w:sz w:val="19"/>
          <w:szCs w:val="19"/>
          <w:b w:val="1"/>
          <w:bCs w:val="1"/>
          <w:color w:val="auto"/>
        </w:rPr>
        <w:t>The Bank of Nova Scotia</w:t>
      </w:r>
      <w:r>
        <w:rPr>
          <w:rFonts w:ascii="Arial" w:cs="Arial" w:eastAsia="Arial" w:hAnsi="Arial"/>
          <w:sz w:val="19"/>
          <w:szCs w:val="19"/>
          <w:color w:val="auto"/>
        </w:rPr>
        <w:t>,</w:t>
      </w:r>
    </w:p>
    <w:p>
      <w:pPr>
        <w:spacing w:after="0" w:line="1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Luke Copley</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Luke Copley</w:t>
      </w:r>
    </w:p>
    <w:p>
      <w:pPr>
        <w:ind w:left="27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412" w:right="1440" w:bottom="1440" w:gutter="0" w:footer="0" w:header="0"/>
        </w:sectPr>
      </w:pPr>
    </w:p>
    <w:bookmarkStart w:id="134" w:name="page135"/>
    <w:bookmarkEnd w:id="134"/>
    <w:p>
      <w:pPr>
        <w:ind w:left="2780"/>
        <w:spacing w:after="0"/>
        <w:rPr>
          <w:sz w:val="20"/>
          <w:szCs w:val="20"/>
          <w:color w:val="auto"/>
        </w:rPr>
      </w:pPr>
      <w:r>
        <w:rPr>
          <w:rFonts w:ascii="Arial" w:cs="Arial" w:eastAsia="Arial" w:hAnsi="Arial"/>
          <w:sz w:val="20"/>
          <w:szCs w:val="20"/>
          <w:b w:val="1"/>
          <w:bCs w:val="1"/>
          <w:color w:val="auto"/>
        </w:rPr>
        <w:t>BARCLAYS BANK PLC</w:t>
      </w:r>
      <w:r>
        <w:rPr>
          <w:rFonts w:ascii="Arial" w:cs="Arial" w:eastAsia="Arial" w:hAnsi="Arial"/>
          <w:sz w:val="20"/>
          <w:szCs w:val="20"/>
          <w:color w:val="auto"/>
        </w:rPr>
        <w:t>,</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Pallavi Batra</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Pallavi Batra</w:t>
      </w:r>
    </w:p>
    <w:p>
      <w:pPr>
        <w:ind w:left="2760"/>
        <w:spacing w:after="0"/>
        <w:rPr>
          <w:sz w:val="20"/>
          <w:szCs w:val="20"/>
          <w:color w:val="auto"/>
        </w:rPr>
      </w:pPr>
      <w:r>
        <w:rPr>
          <w:rFonts w:ascii="Arial" w:cs="Arial" w:eastAsia="Arial" w:hAnsi="Arial"/>
          <w:sz w:val="19"/>
          <w:szCs w:val="19"/>
          <w:color w:val="auto"/>
        </w:rPr>
        <w:t>Title: Relationship Director</w:t>
      </w:r>
    </w:p>
    <w:p>
      <w:pPr>
        <w:sectPr>
          <w:pgSz w:w="11900" w:h="16838" w:orient="portrait"/>
          <w:cols w:equalWidth="0" w:num="1">
            <w:col w:w="9019"/>
          </w:cols>
          <w:pgMar w:left="1440" w:top="1412" w:right="1440" w:bottom="1440" w:gutter="0" w:footer="0" w:header="0"/>
        </w:sectPr>
      </w:pPr>
    </w:p>
    <w:bookmarkStart w:id="135" w:name="page136"/>
    <w:bookmarkEnd w:id="135"/>
    <w:p>
      <w:pPr>
        <w:ind w:left="278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Carmen-Christina Kelleher</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Name: Carmen-Christina Kelleher</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12" w:right="1440" w:bottom="1440" w:gutter="0" w:footer="0" w:header="0"/>
        </w:sectPr>
      </w:pPr>
    </w:p>
    <w:bookmarkStart w:id="136" w:name="page137"/>
    <w:bookmarkEnd w:id="136"/>
    <w:p>
      <w:pPr>
        <w:ind w:left="2760"/>
        <w:spacing w:after="0"/>
        <w:rPr>
          <w:sz w:val="20"/>
          <w:szCs w:val="20"/>
          <w:color w:val="auto"/>
        </w:rPr>
      </w:pPr>
      <w:r>
        <w:rPr>
          <w:rFonts w:ascii="Arial" w:cs="Arial" w:eastAsia="Arial" w:hAnsi="Arial"/>
          <w:sz w:val="19"/>
          <w:szCs w:val="19"/>
          <w:b w:val="1"/>
          <w:bCs w:val="1"/>
          <w:color w:val="auto"/>
        </w:rPr>
        <w:t>CREDIT SUISSE AG, NEW YORK BRANCH</w:t>
      </w:r>
      <w:r>
        <w:rPr>
          <w:rFonts w:ascii="Arial" w:cs="Arial" w:eastAsia="Arial" w:hAnsi="Arial"/>
          <w:sz w:val="19"/>
          <w:szCs w:val="19"/>
          <w:color w:val="auto"/>
        </w:rPr>
        <w:t>,</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Doreen Barr</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Doreen Barr</w:t>
      </w:r>
    </w:p>
    <w:p>
      <w:pPr>
        <w:ind w:left="27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Wing Yee Lee-Cember</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Wing Yee Lee-Cember</w:t>
      </w:r>
    </w:p>
    <w:p>
      <w:pPr>
        <w:ind w:left="276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1412" w:right="1440" w:bottom="1440" w:gutter="0" w:footer="0" w:header="0"/>
        </w:sectPr>
      </w:pPr>
    </w:p>
    <w:bookmarkStart w:id="137" w:name="page138"/>
    <w:bookmarkEnd w:id="137"/>
    <w:p>
      <w:pPr>
        <w:ind w:left="2780"/>
        <w:spacing w:after="0"/>
        <w:rPr>
          <w:sz w:val="20"/>
          <w:szCs w:val="20"/>
          <w:color w:val="auto"/>
        </w:rPr>
      </w:pPr>
      <w:r>
        <w:rPr>
          <w:rFonts w:ascii="Arial" w:cs="Arial" w:eastAsia="Arial" w:hAnsi="Arial"/>
          <w:sz w:val="19"/>
          <w:szCs w:val="19"/>
          <w:b w:val="1"/>
          <w:bCs w:val="1"/>
          <w:color w:val="auto"/>
        </w:rPr>
        <w:t>GOLDMAN SACHS BANK USA</w:t>
      </w:r>
      <w:r>
        <w:rPr>
          <w:rFonts w:ascii="Arial" w:cs="Arial" w:eastAsia="Arial" w:hAnsi="Arial"/>
          <w:sz w:val="19"/>
          <w:szCs w:val="19"/>
          <w:color w:val="auto"/>
        </w:rPr>
        <w:t>,</w:t>
      </w:r>
    </w:p>
    <w:p>
      <w:pPr>
        <w:spacing w:after="0" w:line="1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Keshia Leday</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Keshia Leday</w:t>
      </w:r>
    </w:p>
    <w:p>
      <w:pPr>
        <w:ind w:left="276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1412" w:right="1440" w:bottom="1440" w:gutter="0" w:footer="0" w:header="0"/>
        </w:sectPr>
      </w:pPr>
    </w:p>
    <w:bookmarkStart w:id="138" w:name="page139"/>
    <w:bookmarkEnd w:id="138"/>
    <w:p>
      <w:pPr>
        <w:ind w:left="2780"/>
        <w:spacing w:after="0"/>
        <w:rPr>
          <w:sz w:val="20"/>
          <w:szCs w:val="20"/>
          <w:color w:val="auto"/>
        </w:rPr>
      </w:pPr>
      <w:r>
        <w:rPr>
          <w:rFonts w:ascii="Arial" w:cs="Arial" w:eastAsia="Arial" w:hAnsi="Arial"/>
          <w:sz w:val="19"/>
          <w:szCs w:val="19"/>
          <w:b w:val="1"/>
          <w:bCs w:val="1"/>
          <w:color w:val="auto"/>
        </w:rPr>
        <w:t>JPMORGAN CHASE BANK, N.A.</w:t>
      </w:r>
      <w:r>
        <w:rPr>
          <w:rFonts w:ascii="Arial" w:cs="Arial" w:eastAsia="Arial" w:hAnsi="Arial"/>
          <w:sz w:val="19"/>
          <w:szCs w:val="19"/>
          <w:color w:val="auto"/>
        </w:rPr>
        <w:t>,</w:t>
      </w:r>
    </w:p>
    <w:p>
      <w:pPr>
        <w:spacing w:after="0" w:line="1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Zachary Quan</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Zachary Quan</w:t>
      </w: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12" w:right="1440" w:bottom="1440" w:gutter="0" w:footer="0" w:header="0"/>
        </w:sectPr>
      </w:pPr>
    </w:p>
    <w:bookmarkStart w:id="139" w:name="page140"/>
    <w:bookmarkEnd w:id="139"/>
    <w:p>
      <w:pPr>
        <w:ind w:left="2780"/>
        <w:spacing w:after="0"/>
        <w:rPr>
          <w:sz w:val="20"/>
          <w:szCs w:val="20"/>
          <w:color w:val="auto"/>
        </w:rPr>
      </w:pPr>
      <w:r>
        <w:rPr>
          <w:rFonts w:ascii="Arial" w:cs="Arial" w:eastAsia="Arial" w:hAnsi="Arial"/>
          <w:sz w:val="19"/>
          <w:szCs w:val="19"/>
          <w:b w:val="1"/>
          <w:bCs w:val="1"/>
          <w:color w:val="auto"/>
        </w:rPr>
        <w:t>MORGAN STANLEY BANK, NA</w:t>
      </w:r>
      <w:r>
        <w:rPr>
          <w:rFonts w:ascii="Arial" w:cs="Arial" w:eastAsia="Arial" w:hAnsi="Arial"/>
          <w:sz w:val="19"/>
          <w:szCs w:val="19"/>
          <w:color w:val="auto"/>
        </w:rPr>
        <w:t>,</w:t>
      </w:r>
    </w:p>
    <w:p>
      <w:pPr>
        <w:spacing w:after="0" w:line="1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Phillip Magdaleno</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Phillip Magdaleno</w:t>
      </w:r>
    </w:p>
    <w:p>
      <w:pPr>
        <w:ind w:left="276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1412" w:right="1440" w:bottom="1440" w:gutter="0" w:footer="0" w:header="0"/>
        </w:sectPr>
      </w:pPr>
    </w:p>
    <w:bookmarkStart w:id="140" w:name="page141"/>
    <w:bookmarkEnd w:id="140"/>
    <w:p>
      <w:pPr>
        <w:ind w:left="2780"/>
        <w:spacing w:after="0"/>
        <w:rPr>
          <w:sz w:val="20"/>
          <w:szCs w:val="20"/>
          <w:color w:val="auto"/>
        </w:rPr>
      </w:pPr>
      <w:r>
        <w:rPr>
          <w:rFonts w:ascii="Arial" w:cs="Arial" w:eastAsia="Arial" w:hAnsi="Arial"/>
          <w:sz w:val="19"/>
          <w:szCs w:val="19"/>
          <w:b w:val="1"/>
          <w:bCs w:val="1"/>
          <w:color w:val="auto"/>
        </w:rPr>
        <w:t>Royal Bank of Canada</w:t>
      </w:r>
      <w:r>
        <w:rPr>
          <w:rFonts w:ascii="Arial" w:cs="Arial" w:eastAsia="Arial" w:hAnsi="Arial"/>
          <w:sz w:val="19"/>
          <w:szCs w:val="19"/>
          <w:color w:val="auto"/>
        </w:rPr>
        <w:t>,</w:t>
      </w:r>
    </w:p>
    <w:p>
      <w:pPr>
        <w:spacing w:after="0" w:line="1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Nicholas Heslip</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Nicholas Heslip</w:t>
      </w:r>
    </w:p>
    <w:p>
      <w:pPr>
        <w:ind w:left="276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1412" w:right="1440" w:bottom="1440" w:gutter="0" w:footer="0" w:header="0"/>
        </w:sectPr>
      </w:pPr>
    </w:p>
    <w:bookmarkStart w:id="141" w:name="page142"/>
    <w:bookmarkEnd w:id="141"/>
    <w:p>
      <w:pPr>
        <w:ind w:left="2760"/>
        <w:spacing w:after="0"/>
        <w:rPr>
          <w:sz w:val="20"/>
          <w:szCs w:val="20"/>
          <w:color w:val="auto"/>
        </w:rPr>
      </w:pPr>
      <w:r>
        <w:rPr>
          <w:rFonts w:ascii="Arial" w:cs="Arial" w:eastAsia="Arial" w:hAnsi="Arial"/>
          <w:sz w:val="19"/>
          <w:szCs w:val="19"/>
          <w:b w:val="1"/>
          <w:bCs w:val="1"/>
          <w:color w:val="auto"/>
        </w:rPr>
        <w:t>The Toronto-Dominion Bank, New York Branch</w:t>
      </w:r>
      <w:r>
        <w:rPr>
          <w:rFonts w:ascii="Arial" w:cs="Arial" w:eastAsia="Arial" w:hAnsi="Arial"/>
          <w:sz w:val="19"/>
          <w:szCs w:val="19"/>
          <w:color w:val="auto"/>
        </w:rPr>
        <w:t>, as a Lender</w:t>
      </w:r>
    </w:p>
    <w:p>
      <w:pPr>
        <w:spacing w:after="0" w:line="243"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Perlman</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David Perlman</w:t>
      </w:r>
    </w:p>
    <w:p>
      <w:pPr>
        <w:ind w:left="276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1412" w:right="1440" w:bottom="1440" w:gutter="0" w:footer="0" w:header="0"/>
        </w:sectPr>
      </w:pPr>
    </w:p>
    <w:bookmarkStart w:id="142" w:name="page143"/>
    <w:bookmarkEnd w:id="142"/>
    <w:p>
      <w:pPr>
        <w:ind w:left="2760"/>
        <w:spacing w:after="0"/>
        <w:rPr>
          <w:sz w:val="20"/>
          <w:szCs w:val="20"/>
          <w:color w:val="auto"/>
        </w:rPr>
      </w:pPr>
      <w:r>
        <w:rPr>
          <w:rFonts w:ascii="Arial" w:cs="Arial" w:eastAsia="Arial" w:hAnsi="Arial"/>
          <w:sz w:val="19"/>
          <w:szCs w:val="19"/>
          <w:b w:val="1"/>
          <w:bCs w:val="1"/>
          <w:color w:val="auto"/>
        </w:rPr>
        <w:t>U.S, Bank National Association</w:t>
      </w:r>
      <w:r>
        <w:rPr>
          <w:rFonts w:ascii="Arial" w:cs="Arial" w:eastAsia="Arial" w:hAnsi="Arial"/>
          <w:sz w:val="19"/>
          <w:szCs w:val="19"/>
          <w:color w:val="auto"/>
        </w:rPr>
        <w:t>,</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as a Lender</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Lukas Coleman</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Lukas Coleman</w:t>
      </w: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12" w:right="1440" w:bottom="1440" w:gutter="0" w:footer="0" w:header="0"/>
        </w:sectPr>
      </w:pPr>
    </w:p>
    <w:bookmarkStart w:id="143" w:name="page144"/>
    <w:bookmarkEnd w:id="143"/>
    <w:p>
      <w:pPr>
        <w:jc w:val="right"/>
        <w:ind w:right="2319"/>
        <w:spacing w:after="0"/>
        <w:rPr>
          <w:sz w:val="20"/>
          <w:szCs w:val="20"/>
          <w:color w:val="auto"/>
        </w:rPr>
      </w:pPr>
      <w:r>
        <w:rPr>
          <w:rFonts w:ascii="Arial" w:cs="Arial" w:eastAsia="Arial" w:hAnsi="Arial"/>
          <w:sz w:val="20"/>
          <w:szCs w:val="20"/>
          <w:u w:val="single" w:color="auto"/>
          <w:color w:val="auto"/>
        </w:rPr>
        <w:t>Annex 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Form of Compliance Certificate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[Omitted]</w:t>
      </w:r>
    </w:p>
    <w:p>
      <w:pPr>
        <w:sectPr>
          <w:pgSz w:w="11900" w:h="16838" w:orient="portrait"/>
          <w:cols w:equalWidth="0" w:num="1">
            <w:col w:w="9019"/>
          </w:cols>
          <w:pgMar w:left="1440" w:top="1414"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10.5</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OF CONSENT FOR NAMED EXECUTIVE OFFICERS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[February ],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[Email]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Agreed Salary Reduction</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Dear [Name],</w:t>
      </w:r>
    </w:p>
    <w:p>
      <w:pPr>
        <w:spacing w:after="0" w:line="229" w:lineRule="exact"/>
        <w:rPr>
          <w:sz w:val="20"/>
          <w:szCs w:val="20"/>
          <w:color w:val="auto"/>
        </w:rPr>
      </w:pPr>
    </w:p>
    <w:p>
      <w:pPr>
        <w:ind w:right="240"/>
        <w:spacing w:after="0"/>
        <w:rPr>
          <w:sz w:val="20"/>
          <w:szCs w:val="20"/>
          <w:color w:val="auto"/>
        </w:rPr>
      </w:pPr>
      <w:r>
        <w:rPr>
          <w:rFonts w:ascii="Arial" w:cs="Arial" w:eastAsia="Arial" w:hAnsi="Arial"/>
          <w:sz w:val="20"/>
          <w:szCs w:val="20"/>
          <w:color w:val="auto"/>
        </w:rPr>
        <w:t>I am writing to follow up on the recent communications about the proposed changes to your salary in connection with your employment with Micron Technology, Inc. (‘</w:t>
      </w:r>
      <w:r>
        <w:rPr>
          <w:rFonts w:ascii="Arial" w:cs="Arial" w:eastAsia="Arial" w:hAnsi="Arial"/>
          <w:sz w:val="20"/>
          <w:szCs w:val="20"/>
          <w:b w:val="1"/>
          <w:bCs w:val="1"/>
          <w:color w:val="auto"/>
        </w:rPr>
        <w:t>Micron</w:t>
      </w:r>
      <w:r>
        <w:rPr>
          <w:rFonts w:ascii="Arial" w:cs="Arial" w:eastAsia="Arial" w:hAnsi="Arial"/>
          <w:sz w:val="20"/>
          <w:szCs w:val="20"/>
          <w:color w:val="auto"/>
        </w:rPr>
        <w:t>’) and similar reductions in compensation for your peer group. In light of the current challenging business environment, Micron is asking you to prospectively confirm your acceptance of the following changes to your base salary and related arrangements in order to, among other things, help reduce costs and protect our business:</w:t>
      </w:r>
    </w:p>
    <w:p>
      <w:pPr>
        <w:spacing w:after="0" w:line="200"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Beginning on February 5, 2023, your gross annual base salary will be reduced by [ ]% to USD [ ] for the remainder of Micron’s fiscal year 2023.</w:t>
      </w:r>
    </w:p>
    <w:p>
      <w:pPr>
        <w:spacing w:after="0" w:line="196"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color w:val="auto"/>
        </w:rPr>
        <w:t>Any payment, benefit or entitlement calculated by reference to your base salary (including but not limited to leave payments, retirement contributions, and incentive pay (if applicable)) will be calculated based on your reduced base salary for the remainder of fiscal year 2023, except to the extent otherwise required by law or as expressly provided under any applicable employment agreement. However, for purposes of any written agreement with Micron (such as an offer letter, severance or change in control agreement) that contains severance that is calculated based on your base salary, the reduction described above will not apply. In other words, if you qualify for severance, your severance amount that is based on your base salary (but not other elements of severance such as incentive and equity compensation) will be calculated as if the above base salary reduction did not occur.</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All other terms of your employment remain in full force and effect other than as varied by this letter. In particular, we do not believe that this reduction in pay creates a breach of any employment agreement between you and Micron or provides the basis for a “good reason” termination (or under any similar concept) under any employment or other agreement with Micron.</w:t>
      </w:r>
    </w:p>
    <w:p>
      <w:pPr>
        <w:spacing w:after="0" w:line="205"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color w:val="auto"/>
        </w:rPr>
        <w:t>Please let us know if you have any questions. Otherwise, we would be grateful if you could confirm your agreement and consent to the above by signing in the space indicated below as soon as possible and in no event by later than [ ], [February ], 2023.</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support, professionalism and key leadership in this difficult time.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[Name of Signatory]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[Title of Signatory]</w:t>
      </w:r>
    </w:p>
    <w:p>
      <w:pPr>
        <w:spacing w:after="0"/>
        <w:rPr>
          <w:sz w:val="20"/>
          <w:szCs w:val="20"/>
          <w:color w:val="auto"/>
        </w:rPr>
      </w:pPr>
      <w:r>
        <w:rPr>
          <w:rFonts w:ascii="Arial" w:cs="Arial" w:eastAsia="Arial" w:hAnsi="Arial"/>
          <w:sz w:val="20"/>
          <w:szCs w:val="20"/>
          <w:color w:val="auto"/>
        </w:rPr>
        <w:t>_______________________________________________________________________</w:t>
      </w:r>
    </w:p>
    <w:p>
      <w:pPr>
        <w:sectPr>
          <w:pgSz w:w="11900" w:h="16838" w:orient="portrait"/>
          <w:cols w:equalWidth="0" w:num="1">
            <w:col w:w="11240"/>
          </w:cols>
          <w:pgMar w:left="320" w:top="1412" w:right="3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color w:val="auto"/>
        </w:rPr>
        <w:t>I confirm that I have read and understand the above, and that I agree and consent to the changes set out above. I also confirm that all other terms of my employment agreements with Micron remain in full force and effect and that this reduction in pay does not constitute a breach of any employment agreements with Micron or provide the basis for me to terminate for “good reason” (or under any similar concept) under any employment, compensation, severance, change in control or other agreements with Micron.</w:t>
      </w:r>
    </w:p>
    <w:p>
      <w:pPr>
        <w:spacing w:after="0" w:line="200" w:lineRule="exact"/>
        <w:rPr>
          <w:sz w:val="20"/>
          <w:szCs w:val="20"/>
          <w:color w:val="auto"/>
        </w:rPr>
      </w:pPr>
    </w:p>
    <w:p>
      <w:pPr>
        <w:spacing w:after="0"/>
        <w:tabs>
          <w:tab w:leader="none" w:pos="3940" w:val="left"/>
        </w:tabs>
        <w:rPr>
          <w:sz w:val="20"/>
          <w:szCs w:val="20"/>
          <w:color w:val="auto"/>
        </w:rPr>
      </w:pPr>
      <w:r>
        <w:rPr>
          <w:rFonts w:ascii="Arial" w:cs="Arial" w:eastAsia="Arial" w:hAnsi="Arial"/>
          <w:sz w:val="20"/>
          <w:szCs w:val="20"/>
          <w:color w:val="auto"/>
        </w:rPr>
        <w:t>__________________________</w:t>
      </w:r>
      <w:r>
        <w:rPr>
          <w:sz w:val="20"/>
          <w:szCs w:val="20"/>
          <w:color w:val="auto"/>
        </w:rPr>
        <w:tab/>
      </w:r>
      <w:r>
        <w:rPr>
          <w:rFonts w:ascii="Arial" w:cs="Arial" w:eastAsia="Arial" w:hAnsi="Arial"/>
          <w:sz w:val="20"/>
          <w:szCs w:val="20"/>
          <w:color w:val="auto"/>
        </w:rPr>
        <w:t>__________________</w:t>
      </w:r>
    </w:p>
    <w:p>
      <w:pPr>
        <w:spacing w:after="0" w:line="18"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Date</w:t>
      </w:r>
    </w:p>
    <w:p>
      <w:pPr>
        <w:sectPr>
          <w:pgSz w:w="11900" w:h="16838" w:orient="portrait"/>
          <w:cols w:equalWidth="0" w:num="1">
            <w:col w:w="11140"/>
          </w:cols>
          <w:pgMar w:left="320" w:top="1414" w:right="4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31.1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29, 2023</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33261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8"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b w:val="1"/>
          <w:bCs w:val="1"/>
          <w:color w:val="auto"/>
        </w:rPr>
        <w:t>EXHIBIT 31.2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Mark Murphy, certify that:</w:t>
      </w:r>
    </w:p>
    <w:p>
      <w:pPr>
        <w:spacing w:after="0" w:line="171"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March 29, 2023</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572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8"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March 2, 2023,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March 29, 2023</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17780</wp:posOffset>
            </wp:positionV>
            <wp:extent cx="35572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8"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 Mark Murphy, certify, pursuant to 18 U.S.C. 1350, as adopted pursuant to Section 906 of the Sarbanes-Oxley Act of 2002, that the Quarterly Report of Micron Technology, Inc. on Form 10-Q for the period ended March 2, 2023,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March 29, 2023</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9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3"/>
    </w:lvl>
  </w:abstractNum>
  <w:abstractNum w:abstractNumId="7">
    <w:nsid w:val="5C482A97"/>
    <w:multiLevelType w:val="hybridMultilevel"/>
    <w:lvl w:ilvl="0">
      <w:lvlJc w:val="left"/>
      <w:lvlText w:val="(%1)"/>
      <w:numFmt w:val="decimal"/>
      <w:start w:val="3"/>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endash "/>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lowerLetter"/>
      <w:start w:val="1"/>
    </w:lvl>
    <w:lvl w:ilvl="1">
      <w:lvlJc w:val="left"/>
      <w:lvlText w:val="(%2)"/>
      <w:numFmt w:val="lowerRoman"/>
      <w:start w:val="1"/>
    </w:lvl>
  </w:abstractNum>
  <w:abstractNum w:abstractNumId="36">
    <w:nsid w:val="12E685FB"/>
    <w:multiLevelType w:val="hybridMultilevel"/>
    <w:lvl w:ilvl="0">
      <w:lvlJc w:val="left"/>
      <w:lvlText w:val="%1"/>
      <w:numFmt w:val="lowerLetter"/>
      <w:start w:val="1"/>
    </w:lvl>
    <w:lvl w:ilvl="1">
      <w:lvlJc w:val="left"/>
      <w:lvlText w:val="(%2)"/>
      <w:numFmt w:val="lowerRoman"/>
      <w:start w:val="2"/>
    </w:lvl>
  </w:abstractNum>
  <w:abstractNum w:abstractNumId="37">
    <w:nsid w:val="70C6A529"/>
    <w:multiLevelType w:val="hybridMultilevel"/>
    <w:lvl w:ilvl="0">
      <w:lvlJc w:val="left"/>
      <w:lvlText w:val="(%1)"/>
      <w:numFmt w:val="lowerLetter"/>
      <w:start w:val="3"/>
    </w:lvl>
    <w:lvl w:ilvl="1">
      <w:lvlJc w:val="left"/>
      <w:lvlText w:val="(%2)"/>
      <w:numFmt w:val="lowerRoman"/>
      <w:start w:val="1"/>
    </w:lvl>
  </w:abstractNum>
  <w:abstractNum w:abstractNumId="38">
    <w:nsid w:val="520EEDD1"/>
    <w:multiLevelType w:val="hybridMultilevel"/>
    <w:lvl w:ilvl="0">
      <w:lvlJc w:val="left"/>
      <w:lvlText w:val="%1"/>
      <w:numFmt w:val="lowerLetter"/>
      <w:start w:val="1"/>
    </w:lvl>
    <w:lvl w:ilvl="1">
      <w:lvlJc w:val="left"/>
      <w:lvlText w:val="(%2)"/>
      <w:numFmt w:val="lowerRoman"/>
      <w:start w:val="2"/>
    </w:lvl>
  </w:abstractNum>
  <w:abstractNum w:abstractNumId="39">
    <w:nsid w:val="374A3FE6"/>
    <w:multiLevelType w:val="hybridMultilevel"/>
    <w:lvl w:ilvl="0">
      <w:lvlJc w:val="left"/>
      <w:lvlText w:val="(%1)"/>
      <w:numFmt w:val="lowerLetter"/>
      <w:start w:val="4"/>
    </w:lvl>
    <w:lvl w:ilvl="1">
      <w:lvlJc w:val="left"/>
      <w:lvlText w:val="%2"/>
      <w:numFmt w:val="lowerRoman"/>
      <w:start w:val="1"/>
    </w:lvl>
  </w:abstractNum>
  <w:abstractNum w:abstractNumId="40">
    <w:nsid w:val="4F4EF005"/>
    <w:multiLevelType w:val="hybridMultilevel"/>
    <w:lvl w:ilvl="0">
      <w:lvlJc w:val="left"/>
      <w:lvlText w:val="(%1)"/>
      <w:numFmt w:val="lowerLetter"/>
      <w:start w:val="1"/>
    </w:lvl>
  </w:abstractNum>
  <w:abstractNum w:abstractNumId="41">
    <w:nsid w:val="23F9C13C"/>
    <w:multiLevelType w:val="hybridMultilevel"/>
    <w:lvl w:ilvl="0">
      <w:lvlJc w:val="left"/>
      <w:lvlText w:val="(%1)"/>
      <w:numFmt w:val="lowerLetter"/>
      <w:start w:val="2"/>
    </w:lvl>
  </w:abstractNum>
  <w:abstractNum w:abstractNumId="42">
    <w:nsid w:val="649BB77C"/>
    <w:multiLevelType w:val="hybridMultilevel"/>
    <w:lvl w:ilvl="0">
      <w:lvlJc w:val="left"/>
      <w:lvlText w:val="(%1)"/>
      <w:numFmt w:val="lowerLetter"/>
      <w:start w:val="3"/>
    </w:lvl>
  </w:abstractNum>
  <w:abstractNum w:abstractNumId="43">
    <w:nsid w:val="275AC794"/>
    <w:multiLevelType w:val="hybridMultilevel"/>
    <w:lvl w:ilvl="0">
      <w:lvlJc w:val="left"/>
      <w:lvlText w:val="(%1)"/>
      <w:numFmt w:val="lowerLetter"/>
      <w:start w:val="4"/>
    </w:lvl>
  </w:abstractNum>
  <w:abstractNum w:abstractNumId="44">
    <w:nsid w:val="39386575"/>
    <w:multiLevelType w:val="hybridMultilevel"/>
    <w:lvl w:ilvl="0">
      <w:lvlJc w:val="left"/>
      <w:lvlText w:val="(%1)"/>
      <w:numFmt w:val="lowerLetter"/>
      <w:start w:val="1"/>
    </w:lvl>
    <w:lvl w:ilvl="1">
      <w:lvlJc w:val="left"/>
      <w:lvlText w:val="(%2)"/>
      <w:numFmt w:val="lowerRoman"/>
      <w:start w:val="1"/>
    </w:lvl>
  </w:abstractNum>
  <w:abstractNum w:abstractNumId="45">
    <w:nsid w:val="1CF10FD8"/>
    <w:multiLevelType w:val="hybridMultilevel"/>
    <w:lvl w:ilvl="0">
      <w:lvlJc w:val="left"/>
      <w:lvlText w:val="(%1)"/>
      <w:numFmt w:val="lowerRoman"/>
      <w:start w:val="4"/>
    </w:lvl>
  </w:abstractNum>
  <w:abstractNum w:abstractNumId="46">
    <w:nsid w:val="180115BE"/>
    <w:multiLevelType w:val="hybridMultilevel"/>
    <w:lvl w:ilvl="0">
      <w:lvlJc w:val="left"/>
      <w:lvlText w:val="(%1)"/>
      <w:numFmt w:val="lowerLetter"/>
      <w:start w:val="1"/>
    </w:lvl>
  </w:abstractNum>
  <w:abstractNum w:abstractNumId="47">
    <w:nsid w:val="235BA861"/>
    <w:multiLevelType w:val="hybridMultilevel"/>
    <w:lvl w:ilvl="0">
      <w:lvlJc w:val="left"/>
      <w:lvlText w:val="(%1)"/>
      <w:numFmt w:val="lowerLetter"/>
      <w:start w:val="2"/>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lowerLetter"/>
      <w:start w:val="2"/>
    </w:lvl>
  </w:abstractNum>
  <w:abstractNum w:abstractNumId="50">
    <w:nsid w:val="15B5AF5C"/>
    <w:multiLevelType w:val="hybridMultilevel"/>
    <w:lvl w:ilvl="0">
      <w:lvlJc w:val="left"/>
      <w:lvlText w:val="(%1)"/>
      <w:numFmt w:val="lowerLetter"/>
      <w:start w:val="3"/>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lowerLetter"/>
      <w:start w:val="2"/>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lowerLetter"/>
      <w:start w:val="2"/>
    </w:lvl>
  </w:abstractNum>
  <w:abstractNum w:abstractNumId="56">
    <w:nsid w:val="7E0C57B1"/>
    <w:multiLevelType w:val="hybridMultilevel"/>
    <w:lvl w:ilvl="0">
      <w:lvlJc w:val="left"/>
      <w:lvlText w:val="(%1)"/>
      <w:numFmt w:val="lowerLetter"/>
      <w:start w:val="3"/>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1"/>
    </w:lvl>
  </w:abstractNum>
  <w:abstractNum w:abstractNumId="59">
    <w:nsid w:val="310C50B3"/>
    <w:multiLevelType w:val="hybridMultilevel"/>
    <w:lvl w:ilvl="0">
      <w:lvlJc w:val="left"/>
      <w:lvlText w:val="(%1)"/>
      <w:numFmt w:val="lowerLetter"/>
      <w:start w:val="2"/>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Letter"/>
      <w:start w:val="2"/>
    </w:lvl>
  </w:abstractNum>
  <w:abstractNum w:abstractNumId="62">
    <w:nsid w:val="25A70BF7"/>
    <w:multiLevelType w:val="hybridMultilevel"/>
    <w:lvl w:ilvl="0">
      <w:lvlJc w:val="left"/>
      <w:lvlText w:val="(%1)"/>
      <w:numFmt w:val="lowerLetter"/>
      <w:start w:val="3"/>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lowerLetter"/>
      <w:start w:val="2"/>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jpe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27" Type="http://schemas.openxmlformats.org/officeDocument/2006/relationships/hyperlink" Target="https://www.sec.gov/Archives/edgar/data/723125/000110465919006069/a18-36862_4ex4d1.htm" TargetMode="External"/><Relationship Id="rId128" Type="http://schemas.openxmlformats.org/officeDocument/2006/relationships/hyperlink" Target="https://www.sec.gov/Archives/edgar/data/723125/000072312523000014/a2023q2ex43-supplemental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2023-03-29T16:03:59Z</dcterms:created>
  <dcterms:modified xsi:type="dcterms:W3CDTF">2023-03-29T16:03:59Z</dcterms:modified>
</cp:coreProperties>
</file>