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88"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18" w:lineRule="exact"/>
        <w:rPr>
          <w:sz w:val="24"/>
          <w:szCs w:val="24"/>
          <w:color w:val="auto"/>
        </w:rPr>
      </w:pPr>
    </w:p>
    <w:p>
      <w:pPr>
        <w:ind w:left="1680" w:hanging="923"/>
        <w:spacing w:after="0"/>
        <w:tabs>
          <w:tab w:leader="none" w:pos="1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1440" w:right="359" w:bottom="1440" w:gutter="0" w:footer="0" w:header="0"/>
        </w:sectPr>
      </w:pPr>
    </w:p>
    <w:p>
      <w:pPr>
        <w:spacing w:after="0" w:line="169" w:lineRule="exact"/>
        <w:rPr>
          <w:sz w:val="24"/>
          <w:szCs w:val="24"/>
          <w:color w:val="auto"/>
        </w:rPr>
      </w:pPr>
    </w:p>
    <w:p>
      <w:pPr>
        <w:jc w:val="center"/>
        <w:ind w:right="-39"/>
        <w:spacing w:after="0"/>
        <w:tabs>
          <w:tab w:leader="none" w:pos="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52070</wp:posOffset>
            </wp:positionV>
            <wp:extent cx="15087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6020" w:type="dxa"/>
            <w:vAlign w:val="bottom"/>
          </w:tcPr>
          <w:p>
            <w:pPr>
              <w:jc w:val="center"/>
              <w:ind w:right="1292"/>
              <w:spacing w:after="0"/>
              <w:rPr>
                <w:sz w:val="20"/>
                <w:szCs w:val="20"/>
                <w:color w:val="auto"/>
              </w:rPr>
            </w:pPr>
            <w:r>
              <w:rPr>
                <w:rFonts w:ascii="Arial" w:cs="Arial" w:eastAsia="Arial" w:hAnsi="Arial"/>
                <w:sz w:val="18"/>
                <w:szCs w:val="18"/>
                <w:b w:val="1"/>
                <w:bCs w:val="1"/>
                <w:color w:val="auto"/>
              </w:rPr>
              <w:t>Delaware</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75-1618004</w:t>
            </w:r>
          </w:p>
        </w:tc>
      </w:tr>
      <w:tr>
        <w:trPr>
          <w:trHeight w:val="229"/>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9"/>
              </w:rPr>
              <w:t>(I.R.S. Employer Identification No.)</w:t>
            </w:r>
          </w:p>
        </w:tc>
      </w:tr>
      <w:tr>
        <w:trPr>
          <w:trHeight w:val="230"/>
        </w:trPr>
        <w:tc>
          <w:tcPr>
            <w:tcW w:w="6020" w:type="dxa"/>
            <w:vAlign w:val="bottom"/>
          </w:tcPr>
          <w:p>
            <w:pPr>
              <w:jc w:val="center"/>
              <w:ind w:right="1292"/>
              <w:spacing w:after="0"/>
              <w:rPr>
                <w:sz w:val="20"/>
                <w:szCs w:val="20"/>
                <w:color w:val="auto"/>
              </w:rPr>
            </w:pPr>
            <w:r>
              <w:rPr>
                <w:rFonts w:ascii="Arial" w:cs="Arial" w:eastAsia="Arial" w:hAnsi="Arial"/>
                <w:sz w:val="16"/>
                <w:szCs w:val="16"/>
                <w:b w:val="1"/>
                <w:bCs w:val="1"/>
                <w:color w:val="auto"/>
              </w:rPr>
              <w:t>8000 S. Federal Way, Boise, Idaho</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83716-9632</w:t>
            </w:r>
          </w:p>
        </w:tc>
      </w:tr>
      <w:tr>
        <w:trPr>
          <w:trHeight w:val="230"/>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(Address of principal executive offices)</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8"/>
              </w:rPr>
              <w:t>(Zip Code)</w:t>
            </w:r>
          </w:p>
        </w:tc>
      </w:tr>
      <w:tr>
        <w:trPr>
          <w:trHeight w:val="239"/>
        </w:trPr>
        <w:tc>
          <w:tcPr>
            <w:tcW w:w="6020" w:type="dxa"/>
            <w:vAlign w:val="bottom"/>
          </w:tcPr>
          <w:p>
            <w:pPr>
              <w:jc w:val="center"/>
              <w:ind w:right="1312"/>
              <w:spacing w:after="0"/>
              <w:rPr>
                <w:sz w:val="20"/>
                <w:szCs w:val="20"/>
                <w:color w:val="auto"/>
              </w:rPr>
            </w:pPr>
            <w:r>
              <w:rPr>
                <w:rFonts w:ascii="Arial" w:cs="Arial" w:eastAsia="Arial" w:hAnsi="Arial"/>
                <w:sz w:val="18"/>
                <w:szCs w:val="18"/>
                <w:color w:val="auto"/>
                <w:w w:val="99"/>
              </w:rPr>
              <w:t>(Registrant’s telephone number, including area code)</w:t>
            </w:r>
          </w:p>
        </w:tc>
        <w:tc>
          <w:tcPr>
            <w:tcW w:w="4140" w:type="dxa"/>
            <w:vAlign w:val="bottom"/>
          </w:tcPr>
          <w:p>
            <w:pPr>
              <w:jc w:val="center"/>
              <w:ind w:left="1292"/>
              <w:spacing w:after="0"/>
              <w:rPr>
                <w:sz w:val="20"/>
                <w:szCs w:val="20"/>
                <w:color w:val="auto"/>
              </w:rPr>
            </w:pPr>
            <w:r>
              <w:rPr>
                <w:rFonts w:ascii="Arial" w:cs="Arial" w:eastAsia="Arial" w:hAnsi="Arial"/>
                <w:sz w:val="16"/>
                <w:szCs w:val="16"/>
                <w:b w:val="1"/>
                <w:bCs w:val="1"/>
                <w:color w:val="auto"/>
              </w:rPr>
              <w:t>(208) 368-4000</w:t>
            </w:r>
          </w:p>
        </w:tc>
      </w:tr>
    </w:tbl>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25"/>
        </w:trPr>
        <w:tc>
          <w:tcPr>
            <w:tcW w:w="4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Trading Symbol</w:t>
            </w:r>
          </w:p>
        </w:tc>
        <w:tc>
          <w:tcPr>
            <w:tcW w:w="4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2"/>
        </w:trPr>
        <w:tc>
          <w:tcPr>
            <w:tcW w:w="482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Common Stock, par value $0.10 per share</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3860" w:type="dxa"/>
            <w:vAlign w:val="bottom"/>
            <w:tcBorders>
              <w:top w:val="single" w:sz="8" w:color="auto"/>
            </w:tcBorders>
            <w:gridSpan w:val="2"/>
          </w:tcPr>
          <w:p>
            <w:pPr>
              <w:jc w:val="center"/>
              <w:ind w:left="670"/>
              <w:spacing w:after="0"/>
              <w:rPr>
                <w:sz w:val="20"/>
                <w:szCs w:val="20"/>
                <w:color w:val="auto"/>
              </w:rPr>
            </w:pPr>
            <w:r>
              <w:rPr>
                <w:rFonts w:ascii="Arial" w:cs="Arial" w:eastAsia="Arial" w:hAnsi="Arial"/>
                <w:sz w:val="18"/>
                <w:szCs w:val="18"/>
                <w:color w:val="auto"/>
                <w:w w:val="99"/>
              </w:rPr>
              <w:t>Nasdaq Global Select Market</w:t>
            </w: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9520" w:type="dxa"/>
            <w:vAlign w:val="bottom"/>
            <w:gridSpan w:val="5"/>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8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5"/>
        </w:trPr>
        <w:tc>
          <w:tcPr>
            <w:tcW w:w="9520" w:type="dxa"/>
            <w:vAlign w:val="bottom"/>
            <w:gridSpan w:val="5"/>
          </w:tcPr>
          <w:p>
            <w:pPr>
              <w:spacing w:after="0" w:line="176"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9520" w:type="dxa"/>
            <w:vAlign w:val="bottom"/>
            <w:gridSpan w:val="5"/>
          </w:tcPr>
          <w:p>
            <w:pPr>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880" w:type="dxa"/>
            <w:vAlign w:val="bottom"/>
            <w:vMerge w:val="restart"/>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1"/>
        </w:trPr>
        <w:tc>
          <w:tcPr>
            <w:tcW w:w="9520" w:type="dxa"/>
            <w:vAlign w:val="bottom"/>
            <w:gridSpan w:val="5"/>
          </w:tcPr>
          <w:p>
            <w:pPr>
              <w:spacing w:after="0" w:line="181"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8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520" w:type="dxa"/>
            <w:vAlign w:val="bottom"/>
            <w:gridSpan w:val="5"/>
          </w:tcPr>
          <w:p>
            <w:pPr>
              <w:spacing w:after="0" w:line="176" w:lineRule="exact"/>
              <w:rPr>
                <w:sz w:val="20"/>
                <w:szCs w:val="20"/>
                <w:color w:val="auto"/>
              </w:rPr>
            </w:pPr>
            <w:r>
              <w:rPr>
                <w:rFonts w:ascii="Arial" w:cs="Arial" w:eastAsia="Arial" w:hAnsi="Arial"/>
                <w:sz w:val="18"/>
                <w:szCs w:val="18"/>
                <w:color w:val="auto"/>
              </w:rPr>
              <w:t>submitted pursuant to Rule 405 of Regulation S-T (§232.405 of this chapter) during the preceding 12 months (or for</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540" w:type="dxa"/>
            <w:vAlign w:val="bottom"/>
            <w:gridSpan w:val="4"/>
          </w:tcPr>
          <w:p>
            <w:pPr>
              <w:spacing w:after="0"/>
              <w:rPr>
                <w:sz w:val="20"/>
                <w:szCs w:val="20"/>
                <w:color w:val="auto"/>
              </w:rPr>
            </w:pPr>
            <w:r>
              <w:rPr>
                <w:rFonts w:ascii="Arial" w:cs="Arial" w:eastAsia="Arial" w:hAnsi="Arial"/>
                <w:sz w:val="18"/>
                <w:szCs w:val="18"/>
                <w:color w:val="auto"/>
              </w:rPr>
              <w:t>such shorter period that the registrant was required to submit such files).</w:t>
            </w: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0" w:right="280"/>
        <w:spacing w:after="0" w:line="22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0" w:type="dxa"/>
        <w:tblCellMar>
          <w:top w:w="0" w:type="dxa"/>
          <w:left w:w="0" w:type="dxa"/>
          <w:bottom w:w="0" w:type="dxa"/>
          <w:right w:w="0" w:type="dxa"/>
        </w:tblCellMar>
      </w:tblPr>
      <w:tr>
        <w:trPr>
          <w:trHeight w:val="179"/>
        </w:trPr>
        <w:tc>
          <w:tcPr>
            <w:tcW w:w="2340" w:type="dxa"/>
            <w:vAlign w:val="bottom"/>
          </w:tcPr>
          <w:p>
            <w:pPr>
              <w:jc w:val="center"/>
              <w:ind w:right="32"/>
              <w:spacing w:after="0" w:line="179" w:lineRule="exact"/>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line="179" w:lineRule="exact"/>
              <w:rPr>
                <w:sz w:val="20"/>
                <w:szCs w:val="20"/>
                <w:color w:val="auto"/>
              </w:rPr>
            </w:pPr>
            <w:r>
              <w:rPr>
                <w:rFonts w:ascii="Arial" w:cs="Arial" w:eastAsia="Arial" w:hAnsi="Arial"/>
                <w:sz w:val="16"/>
                <w:szCs w:val="16"/>
                <w:color w:val="auto"/>
              </w:rPr>
              <w:t>Accelerated Filer</w:t>
            </w:r>
          </w:p>
        </w:tc>
        <w:tc>
          <w:tcPr>
            <w:tcW w:w="2220" w:type="dxa"/>
            <w:vAlign w:val="bottom"/>
          </w:tcPr>
          <w:p>
            <w:pPr>
              <w:jc w:val="center"/>
              <w:ind w:left="115"/>
              <w:spacing w:after="0" w:line="179" w:lineRule="exact"/>
              <w:rPr>
                <w:sz w:val="20"/>
                <w:szCs w:val="20"/>
                <w:color w:val="auto"/>
              </w:rPr>
            </w:pPr>
            <w:r>
              <w:rPr>
                <w:rFonts w:ascii="Arial" w:cs="Arial" w:eastAsia="Arial" w:hAnsi="Arial"/>
                <w:sz w:val="16"/>
                <w:szCs w:val="16"/>
                <w:color w:val="auto"/>
              </w:rPr>
              <w:t>Non-Accelerated Filer</w:t>
            </w:r>
          </w:p>
        </w:tc>
        <w:tc>
          <w:tcPr>
            <w:tcW w:w="2420" w:type="dxa"/>
            <w:vAlign w:val="bottom"/>
          </w:tcPr>
          <w:p>
            <w:pPr>
              <w:jc w:val="center"/>
              <w:spacing w:after="0" w:line="179" w:lineRule="exact"/>
              <w:rPr>
                <w:sz w:val="20"/>
                <w:szCs w:val="20"/>
                <w:color w:val="auto"/>
              </w:rPr>
            </w:pPr>
            <w:r>
              <w:rPr>
                <w:rFonts w:ascii="Arial" w:cs="Arial" w:eastAsia="Arial" w:hAnsi="Arial"/>
                <w:sz w:val="16"/>
                <w:szCs w:val="16"/>
                <w:color w:val="auto"/>
              </w:rPr>
              <w:t>Smaller Reporting Company</w:t>
            </w:r>
          </w:p>
        </w:tc>
        <w:tc>
          <w:tcPr>
            <w:tcW w:w="2060" w:type="dxa"/>
            <w:vAlign w:val="bottom"/>
            <w:gridSpan w:val="2"/>
          </w:tcPr>
          <w:p>
            <w:pPr>
              <w:jc w:val="center"/>
              <w:spacing w:after="0" w:line="179" w:lineRule="exact"/>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58"/>
        </w:trPr>
        <w:tc>
          <w:tcPr>
            <w:tcW w:w="2340" w:type="dxa"/>
            <w:vAlign w:val="bottom"/>
          </w:tcPr>
          <w:p>
            <w:pPr>
              <w:jc w:val="center"/>
              <w:ind w:right="52"/>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ind w:left="135"/>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jc w:val="center"/>
              <w:ind w:left="673"/>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right"/>
              <w:ind w:right="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1"/>
        </w:trPr>
        <w:tc>
          <w:tcPr>
            <w:tcW w:w="10400" w:type="dxa"/>
            <w:vAlign w:val="bottom"/>
            <w:gridSpan w:val="5"/>
          </w:tcPr>
          <w:p>
            <w:pPr>
              <w:spacing w:after="0" w:line="181"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400" w:type="dxa"/>
            <w:vAlign w:val="bottom"/>
            <w:gridSpan w:val="5"/>
          </w:tcPr>
          <w:p>
            <w:pPr>
              <w:spacing w:after="0" w:line="196" w:lineRule="exact"/>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04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60" w:type="dxa"/>
            <w:vAlign w:val="bottom"/>
          </w:tcPr>
          <w:p>
            <w:pPr>
              <w:ind w:left="6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tcPr>
          <w:p>
            <w:pPr>
              <w:jc w:val="right"/>
              <w:ind w:right="1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March 24, 2022 was 1,116,666,857.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2134235" cy="1903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1903095"/>
                    </a:xfrm>
                    <a:prstGeom prst="rect">
                      <a:avLst/>
                    </a:prstGeom>
                    <a:noFill/>
                  </pic:spPr>
                </pic:pic>
              </a:graphicData>
            </a:graphic>
          </wp:anchor>
        </w:drawing>
      </w:r>
    </w:p>
    <w:p>
      <w:pPr>
        <w:spacing w:after="0" w:line="249" w:lineRule="exact"/>
        <w:rPr>
          <w:sz w:val="20"/>
          <w:szCs w:val="20"/>
          <w:color w:val="auto"/>
        </w:rPr>
      </w:pPr>
    </w:p>
    <w:p>
      <w:pPr>
        <w:ind w:left="214"/>
        <w:spacing w:after="0" w:line="238" w:lineRule="auto"/>
        <w:rPr>
          <w:sz w:val="20"/>
          <w:szCs w:val="20"/>
          <w:color w:val="auto"/>
        </w:rPr>
      </w:pPr>
      <w:r>
        <w:rPr>
          <w:rFonts w:ascii="Arial" w:cs="Arial" w:eastAsia="Arial" w:hAnsi="Arial"/>
          <w:sz w:val="64"/>
          <w:szCs w:val="64"/>
          <w:b w:val="1"/>
          <w:bCs w:val="1"/>
          <w:color w:val="FFFFFF"/>
        </w:rPr>
        <w:t>Micron 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2134235" cy="6155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6155055"/>
                    </a:xfrm>
                    <a:prstGeom prst="rect">
                      <a:avLst/>
                    </a:prstGeom>
                    <a:noFill/>
                  </pic:spPr>
                </pic:pic>
              </a:graphicData>
            </a:graphic>
          </wp:anchor>
        </w:drawing>
      </w:r>
    </w:p>
    <w:p>
      <w:pPr>
        <w:ind w:left="214"/>
        <w:spacing w:after="0"/>
        <w:rPr>
          <w:sz w:val="20"/>
          <w:szCs w:val="20"/>
          <w:color w:val="auto"/>
        </w:rPr>
      </w:pPr>
      <w:r>
        <w:rPr>
          <w:rFonts w:ascii="Arial" w:cs="Arial" w:eastAsia="Arial" w:hAnsi="Arial"/>
          <w:sz w:val="18"/>
          <w:szCs w:val="18"/>
          <w:color w:val="FFFFFF"/>
        </w:rPr>
        <w:t>Founded on October 5, 1978</w:t>
      </w:r>
    </w:p>
    <w:p>
      <w:pPr>
        <w:spacing w:after="0" w:line="126"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Headquartered in</w:t>
      </w:r>
    </w:p>
    <w:p>
      <w:pPr>
        <w:ind w:left="214"/>
        <w:spacing w:after="0"/>
        <w:rPr>
          <w:sz w:val="20"/>
          <w:szCs w:val="20"/>
          <w:color w:val="auto"/>
        </w:rPr>
      </w:pPr>
      <w:r>
        <w:rPr>
          <w:rFonts w:ascii="Arial" w:cs="Arial" w:eastAsia="Arial" w:hAnsi="Arial"/>
          <w:sz w:val="18"/>
          <w:szCs w:val="18"/>
          <w:color w:val="FFFFFF"/>
        </w:rPr>
        <w:t>Boise, Idaho, USA</w:t>
      </w:r>
    </w:p>
    <w:p>
      <w:pPr>
        <w:spacing w:after="0" w:line="69"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4th</w:t>
      </w:r>
    </w:p>
    <w:p>
      <w:pPr>
        <w:ind w:left="214" w:right="360"/>
        <w:spacing w:after="0" w:line="221" w:lineRule="auto"/>
        <w:rPr>
          <w:sz w:val="20"/>
          <w:szCs w:val="20"/>
          <w:color w:val="auto"/>
        </w:rPr>
      </w:pPr>
      <w:r>
        <w:rPr>
          <w:rFonts w:ascii="Arial" w:cs="Arial" w:eastAsia="Arial" w:hAnsi="Arial"/>
          <w:sz w:val="18"/>
          <w:szCs w:val="18"/>
          <w:color w:val="FFFFFF"/>
        </w:rPr>
        <w:t>Largest semiconductor company in the world, excluding IP/software revenue*</w:t>
      </w:r>
    </w:p>
    <w:p>
      <w:pPr>
        <w:spacing w:after="0" w:line="55"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135</w:t>
      </w:r>
    </w:p>
    <w:p>
      <w:pPr>
        <w:ind w:left="214"/>
        <w:spacing w:after="0"/>
        <w:rPr>
          <w:sz w:val="20"/>
          <w:szCs w:val="20"/>
          <w:color w:val="auto"/>
        </w:rPr>
      </w:pPr>
      <w:r>
        <w:rPr>
          <w:rFonts w:ascii="Arial" w:cs="Arial" w:eastAsia="Arial" w:hAnsi="Arial"/>
          <w:sz w:val="18"/>
          <w:szCs w:val="18"/>
          <w:color w:val="FFFFFF"/>
        </w:rPr>
        <w:t>On the 2021 Fortune 500</w:t>
      </w:r>
    </w:p>
    <w:p>
      <w:pPr>
        <w:spacing w:after="0" w:line="69"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49,000+</w:t>
      </w:r>
    </w:p>
    <w:p>
      <w:pPr>
        <w:ind w:left="214"/>
        <w:spacing w:after="0"/>
        <w:rPr>
          <w:sz w:val="20"/>
          <w:szCs w:val="20"/>
          <w:color w:val="auto"/>
        </w:rPr>
      </w:pPr>
      <w:r>
        <w:rPr>
          <w:rFonts w:ascii="Arial" w:cs="Arial" w:eastAsia="Arial" w:hAnsi="Arial"/>
          <w:sz w:val="18"/>
          <w:szCs w:val="18"/>
          <w:color w:val="FFFFFF"/>
        </w:rPr>
        <w:t>Patents granted and growing**</w:t>
      </w:r>
    </w:p>
    <w:p>
      <w:pPr>
        <w:spacing w:after="0" w:line="69"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17</w:t>
      </w:r>
    </w:p>
    <w:p>
      <w:pPr>
        <w:ind w:left="214"/>
        <w:spacing w:after="0"/>
        <w:rPr>
          <w:sz w:val="20"/>
          <w:szCs w:val="20"/>
          <w:color w:val="auto"/>
        </w:rPr>
      </w:pPr>
      <w:r>
        <w:rPr>
          <w:rFonts w:ascii="Arial" w:cs="Arial" w:eastAsia="Arial" w:hAnsi="Arial"/>
          <w:sz w:val="18"/>
          <w:szCs w:val="18"/>
          <w:color w:val="FFFFFF"/>
        </w:rPr>
        <w:t>Countries**</w:t>
      </w:r>
    </w:p>
    <w:p>
      <w:pPr>
        <w:spacing w:after="0" w:line="69"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11</w:t>
      </w:r>
    </w:p>
    <w:p>
      <w:pPr>
        <w:ind w:left="214" w:right="1040"/>
        <w:spacing w:after="0" w:line="229" w:lineRule="auto"/>
        <w:rPr>
          <w:sz w:val="20"/>
          <w:szCs w:val="20"/>
          <w:color w:val="auto"/>
        </w:rPr>
      </w:pPr>
      <w:r>
        <w:rPr>
          <w:rFonts w:ascii="Arial" w:cs="Arial" w:eastAsia="Arial" w:hAnsi="Arial"/>
          <w:sz w:val="18"/>
          <w:szCs w:val="18"/>
          <w:color w:val="FFFFFF"/>
        </w:rPr>
        <w:t>Manufacturing sites** and 18 customer labs**</w:t>
      </w:r>
    </w:p>
    <w:p>
      <w:pPr>
        <w:spacing w:after="0" w:line="56"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~44,000</w:t>
      </w:r>
    </w:p>
    <w:p>
      <w:pPr>
        <w:ind w:left="214"/>
        <w:spacing w:after="0"/>
        <w:rPr>
          <w:sz w:val="20"/>
          <w:szCs w:val="20"/>
          <w:color w:val="auto"/>
        </w:rPr>
      </w:pPr>
      <w:r>
        <w:rPr>
          <w:rFonts w:ascii="Arial" w:cs="Arial" w:eastAsia="Arial" w:hAnsi="Arial"/>
          <w:sz w:val="18"/>
          <w:szCs w:val="18"/>
          <w:color w:val="FFFFFF"/>
        </w:rPr>
        <w:t>Team members**</w:t>
      </w:r>
    </w:p>
    <w:p>
      <w:pPr>
        <w:spacing w:after="0" w:line="347" w:lineRule="exact"/>
        <w:rPr>
          <w:sz w:val="20"/>
          <w:szCs w:val="20"/>
          <w:color w:val="auto"/>
        </w:rPr>
      </w:pPr>
    </w:p>
    <w:p>
      <w:pPr>
        <w:ind w:left="214"/>
        <w:spacing w:after="0" w:line="234" w:lineRule="auto"/>
        <w:rPr>
          <w:sz w:val="20"/>
          <w:szCs w:val="20"/>
          <w:color w:val="auto"/>
        </w:rPr>
      </w:pPr>
      <w:r>
        <w:rPr>
          <w:rFonts w:ascii="Arial" w:cs="Arial" w:eastAsia="Arial" w:hAnsi="Arial"/>
          <w:sz w:val="16"/>
          <w:szCs w:val="16"/>
          <w:color w:val="FFFFFF"/>
        </w:rPr>
        <w:t>*Gartner Market Share: Semiconductors by End Market, Worldwide, 2020 (April 2021) **Micron data as of March 3,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It’s All About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-2586990</wp:posOffset>
            </wp:positionV>
            <wp:extent cx="4114800" cy="1842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0" cy="1842770"/>
                    </a:xfrm>
                    <a:prstGeom prst="rect">
                      <a:avLst/>
                    </a:prstGeom>
                    <a:noFill/>
                  </pic:spPr>
                </pic:pic>
              </a:graphicData>
            </a:graphic>
          </wp:anchor>
        </w:drawing>
      </w:r>
    </w:p>
    <w:p>
      <w:pPr>
        <w:spacing w:after="0" w:line="24" w:lineRule="exact"/>
        <w:rPr>
          <w:sz w:val="20"/>
          <w:szCs w:val="20"/>
          <w:color w:val="auto"/>
        </w:rPr>
      </w:pPr>
    </w:p>
    <w:p>
      <w:pPr>
        <w:ind w:right="379"/>
        <w:spacing w:after="0" w:line="216" w:lineRule="auto"/>
        <w:rPr>
          <w:sz w:val="20"/>
          <w:szCs w:val="20"/>
          <w:color w:val="auto"/>
        </w:rPr>
      </w:pPr>
      <w:r>
        <w:rPr>
          <w:rFonts w:ascii="Arial" w:cs="Arial" w:eastAsia="Arial" w:hAnsi="Arial"/>
          <w:sz w:val="25"/>
          <w:szCs w:val="25"/>
          <w:b w:val="1"/>
          <w:bCs w:val="1"/>
          <w:color w:val="0090DA"/>
        </w:rPr>
        <w:t xml:space="preserve">Data is today’s new business currency, and memory and storage are a critical foundation for the data economy. Memory and storage innovations will help transform society and enable significant value </w:t>
      </w:r>
      <w:r>
        <w:rPr>
          <w:rFonts w:ascii="Arial" w:cs="Arial" w:eastAsia="Arial" w:hAnsi="Arial"/>
          <w:sz w:val="25"/>
          <w:szCs w:val="25"/>
          <w:b w:val="1"/>
          <w:bCs w:val="1"/>
          <w:i w:val="1"/>
          <w:iCs w:val="1"/>
          <w:color w:val="0090DA"/>
        </w:rPr>
        <w:t>for</w:t>
      </w:r>
      <w:r>
        <w:rPr>
          <w:rFonts w:ascii="Arial" w:cs="Arial" w:eastAsia="Arial" w:hAnsi="Arial"/>
          <w:sz w:val="25"/>
          <w:szCs w:val="25"/>
          <w:b w:val="1"/>
          <w:bCs w:val="1"/>
          <w:color w:val="0090DA"/>
        </w:rPr>
        <w:t xml:space="preserve"> </w:t>
      </w:r>
      <w:r>
        <w:rPr>
          <w:rFonts w:ascii="Arial" w:cs="Arial" w:eastAsia="Arial" w:hAnsi="Arial"/>
          <w:sz w:val="25"/>
          <w:szCs w:val="25"/>
          <w:b w:val="1"/>
          <w:bCs w:val="1"/>
          <w:i w:val="1"/>
          <w:iCs w:val="1"/>
          <w:color w:val="0090DA"/>
        </w:rPr>
        <w:t>all</w:t>
      </w:r>
      <w:r>
        <w:rPr>
          <w:rFonts w:ascii="Arial" w:cs="Arial" w:eastAsia="Arial" w:hAnsi="Arial"/>
          <w:sz w:val="25"/>
          <w:szCs w:val="25"/>
          <w:b w:val="1"/>
          <w:bCs w:val="1"/>
          <w:color w:val="0090DA"/>
        </w:rPr>
        <w:t>.</w:t>
      </w:r>
    </w:p>
    <w:p>
      <w:pPr>
        <w:spacing w:after="0" w:line="27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51" w:lineRule="exact"/>
        <w:rPr>
          <w:sz w:val="20"/>
          <w:szCs w:val="20"/>
          <w:color w:val="auto"/>
        </w:rPr>
      </w:pPr>
    </w:p>
    <w:p>
      <w:pPr>
        <w:ind w:right="259"/>
        <w:spacing w:after="0" w:line="211" w:lineRule="auto"/>
        <w:rPr>
          <w:sz w:val="20"/>
          <w:szCs w:val="20"/>
          <w:color w:val="auto"/>
        </w:rPr>
      </w:pPr>
      <w:r>
        <w:rPr>
          <w:rFonts w:ascii="Arial" w:cs="Arial" w:eastAsia="Arial" w:hAnsi="Arial"/>
          <w:sz w:val="18"/>
          <w:szCs w:val="18"/>
          <w:color w:val="auto"/>
        </w:rPr>
        <w:t>Micron designs, develops and manufactures industry-leading memory and storage products. By providing foundational capability for AI and 5G across data center, the intelligent edge, and consumer devices, we unlock innovation across industries including healthcare, automotive and communications. Our technology and expertise are central to maximizing value from cutting-edge computing applications and new business models which disrupt and advance the industry.</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51" w:lineRule="exact"/>
        <w:rPr>
          <w:sz w:val="20"/>
          <w:szCs w:val="20"/>
          <w:color w:val="auto"/>
        </w:rPr>
      </w:pPr>
    </w:p>
    <w:p>
      <w:pPr>
        <w:ind w:right="379"/>
        <w:spacing w:after="0" w:line="212" w:lineRule="auto"/>
        <w:rPr>
          <w:sz w:val="20"/>
          <w:szCs w:val="20"/>
          <w:color w:val="auto"/>
        </w:rPr>
      </w:pPr>
      <w:r>
        <w:rPr>
          <w:rFonts w:ascii="Arial" w:cs="Arial" w:eastAsia="Arial" w:hAnsi="Arial"/>
          <w:sz w:val="18"/>
          <w:szCs w:val="18"/>
          <w:color w:val="auto"/>
        </w:rPr>
        <w:t xml:space="preserve">As a global leader in memory and storage solutions, we are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By advancing technologies to collect, store and manage data with unprecedented speed and efficiency, we lead the transformation of data to intelligence. In a world of change, we remain nimble, delivering products that help inspire the world to learn, communicate and advance faster than ever.</w:t>
      </w:r>
    </w:p>
    <w:p>
      <w:pPr>
        <w:spacing w:after="0" w:line="30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51" w:lineRule="exact"/>
        <w:rPr>
          <w:sz w:val="20"/>
          <w:szCs w:val="20"/>
          <w:color w:val="auto"/>
        </w:rPr>
      </w:pPr>
    </w:p>
    <w:p>
      <w:pPr>
        <w:ind w:right="539"/>
        <w:spacing w:after="0" w:line="216" w:lineRule="auto"/>
        <w:rPr>
          <w:sz w:val="20"/>
          <w:szCs w:val="20"/>
          <w:color w:val="auto"/>
        </w:rPr>
      </w:pPr>
      <w:r>
        <w:rPr>
          <w:rFonts w:ascii="Arial" w:cs="Arial" w:eastAsia="Arial" w:hAnsi="Arial"/>
          <w:sz w:val="18"/>
          <w:szCs w:val="18"/>
          <w:color w:val="auto"/>
        </w:rPr>
        <w:t xml:space="preserve">Our customers depend on our innovative solutions every day. We dedicate ourselves to demonstrating our environmental conscience, an inclusive team culture where all voices are heard and respected, and engaging in our communities to enrich life </w:t>
      </w:r>
      <w:r>
        <w:rPr>
          <w:rFonts w:ascii="Arial" w:cs="Arial" w:eastAsia="Arial" w:hAnsi="Arial"/>
          <w:sz w:val="18"/>
          <w:szCs w:val="18"/>
          <w:i w:val="1"/>
          <w:iCs w:val="1"/>
          <w:color w:val="auto"/>
        </w:rPr>
        <w:t>for all</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314" w:space="160"/>
            <w:col w:w="6639"/>
          </w:cols>
          <w:pgMar w:left="346" w:top="1440" w:right="1440" w:bottom="1440" w:gutter="0" w:footer="0" w:header="0"/>
        </w:sectPr>
      </w:pPr>
    </w:p>
    <w:p>
      <w:pPr>
        <w:spacing w:after="0" w:line="32" w:lineRule="exact"/>
        <w:rPr>
          <w:sz w:val="20"/>
          <w:szCs w:val="20"/>
          <w:color w:val="auto"/>
        </w:rPr>
      </w:pPr>
    </w:p>
    <w:tbl>
      <w:tblPr>
        <w:tblLayout w:type="fixed"/>
        <w:tblInd w:w="214" w:type="dxa"/>
        <w:tblCellMar>
          <w:top w:w="0" w:type="dxa"/>
          <w:left w:w="0" w:type="dxa"/>
          <w:bottom w:w="0" w:type="dxa"/>
          <w:right w:w="0" w:type="dxa"/>
        </w:tblCellMar>
      </w:tblPr>
      <w:tr>
        <w:trPr>
          <w:trHeight w:val="333"/>
        </w:trPr>
        <w:tc>
          <w:tcPr>
            <w:tcW w:w="2660" w:type="dxa"/>
            <w:vAlign w:val="bottom"/>
          </w:tcPr>
          <w:p>
            <w:pPr>
              <w:spacing w:after="0"/>
              <w:rPr>
                <w:sz w:val="20"/>
                <w:szCs w:val="20"/>
                <w:color w:val="auto"/>
              </w:rPr>
            </w:pPr>
            <w:r>
              <w:rPr>
                <w:rFonts w:ascii="Arial" w:cs="Arial" w:eastAsia="Arial" w:hAnsi="Arial"/>
                <w:sz w:val="16"/>
                <w:szCs w:val="16"/>
                <w:b w:val="1"/>
                <w:bCs w:val="1"/>
                <w:color w:val="FFFFFF"/>
              </w:rPr>
              <w:t>Media Inquiries</w:t>
            </w:r>
          </w:p>
        </w:tc>
        <w:tc>
          <w:tcPr>
            <w:tcW w:w="5880" w:type="dxa"/>
            <w:vAlign w:val="bottom"/>
          </w:tcPr>
          <w:p>
            <w:pPr>
              <w:ind w:left="600"/>
              <w:spacing w:after="0"/>
              <w:rPr>
                <w:sz w:val="20"/>
                <w:szCs w:val="20"/>
                <w:color w:val="auto"/>
              </w:rPr>
            </w:pPr>
            <w:r>
              <w:rPr>
                <w:rFonts w:ascii="Arial" w:cs="Arial" w:eastAsia="Arial" w:hAnsi="Arial"/>
                <w:sz w:val="29"/>
                <w:szCs w:val="29"/>
                <w:b w:val="1"/>
                <w:bCs w:val="1"/>
                <w:color w:val="0090DA"/>
              </w:rPr>
              <w:t>Global Product Portfolio</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6"/>
                <w:szCs w:val="16"/>
                <w:color w:val="FFFFFF"/>
              </w:rPr>
              <w:t>mediarelations@micron.com</w:t>
            </w:r>
          </w:p>
        </w:tc>
        <w:tc>
          <w:tcPr>
            <w:tcW w:w="5880" w:type="dxa"/>
            <w:vAlign w:val="bottom"/>
            <w:vMerge w:val="restart"/>
          </w:tcPr>
          <w:p>
            <w:pPr>
              <w:ind w:left="600"/>
              <w:spacing w:after="0"/>
              <w:rPr>
                <w:sz w:val="20"/>
                <w:szCs w:val="20"/>
                <w:color w:val="auto"/>
              </w:rPr>
            </w:pPr>
            <w:r>
              <w:rPr>
                <w:rFonts w:ascii="Arial" w:cs="Arial" w:eastAsia="Arial" w:hAnsi="Arial"/>
                <w:sz w:val="16"/>
                <w:szCs w:val="16"/>
                <w:color w:val="0090DA"/>
              </w:rPr>
              <w:t>DRAM | NAND | NOR | Solid-State Drives | Graphics and High Bandwidth</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5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660" w:type="dxa"/>
            <w:vAlign w:val="bottom"/>
            <w:vMerge w:val="restart"/>
          </w:tcPr>
          <w:p>
            <w:pPr>
              <w:spacing w:after="0"/>
              <w:rPr>
                <w:sz w:val="20"/>
                <w:szCs w:val="20"/>
                <w:color w:val="auto"/>
              </w:rPr>
            </w:pPr>
            <w:r>
              <w:rPr>
                <w:rFonts w:ascii="Arial" w:cs="Arial" w:eastAsia="Arial" w:hAnsi="Arial"/>
                <w:sz w:val="16"/>
                <w:szCs w:val="16"/>
                <w:b w:val="1"/>
                <w:bCs w:val="1"/>
                <w:color w:val="FFFFFF"/>
              </w:rPr>
              <w:t>Government Inquiries</w:t>
            </w:r>
          </w:p>
        </w:tc>
        <w:tc>
          <w:tcPr>
            <w:tcW w:w="5880" w:type="dxa"/>
            <w:vAlign w:val="bottom"/>
          </w:tcPr>
          <w:p>
            <w:pPr>
              <w:ind w:left="600"/>
              <w:spacing w:after="0"/>
              <w:rPr>
                <w:sz w:val="20"/>
                <w:szCs w:val="20"/>
                <w:color w:val="auto"/>
              </w:rPr>
            </w:pPr>
            <w:r>
              <w:rPr>
                <w:rFonts w:ascii="Arial" w:cs="Arial" w:eastAsia="Arial" w:hAnsi="Arial"/>
                <w:sz w:val="16"/>
                <w:szCs w:val="16"/>
                <w:color w:val="0090DA"/>
              </w:rPr>
              <w:t>Memory (HBM) | Managed NAND and Multichip Packages</w:t>
            </w:r>
          </w:p>
        </w:tc>
        <w:tc>
          <w:tcPr>
            <w:tcW w:w="0" w:type="dxa"/>
            <w:vAlign w:val="bottom"/>
          </w:tcPr>
          <w:p>
            <w:pPr>
              <w:spacing w:after="0"/>
              <w:rPr>
                <w:sz w:val="1"/>
                <w:szCs w:val="1"/>
                <w:color w:val="auto"/>
              </w:rPr>
            </w:pPr>
          </w:p>
        </w:tc>
      </w:tr>
      <w:tr>
        <w:trPr>
          <w:trHeight w:val="55"/>
        </w:trPr>
        <w:tc>
          <w:tcPr>
            <w:tcW w:w="2660" w:type="dxa"/>
            <w:vAlign w:val="bottom"/>
            <w:vMerge w:val="continue"/>
          </w:tcPr>
          <w:p>
            <w:pPr>
              <w:spacing w:after="0"/>
              <w:rPr>
                <w:sz w:val="4"/>
                <w:szCs w:val="4"/>
                <w:color w:val="auto"/>
              </w:rPr>
            </w:pPr>
          </w:p>
        </w:tc>
        <w:tc>
          <w:tcPr>
            <w:tcW w:w="5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6"/>
                <w:szCs w:val="16"/>
                <w:color w:val="FFFFFF"/>
              </w:rPr>
              <w:t>govaffairs@micron.com</w:t>
            </w:r>
          </w:p>
        </w:tc>
        <w:tc>
          <w:tcPr>
            <w:tcW w:w="5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0113"/>
          </w:cols>
          <w:pgMar w:left="346" w:top="1440" w:right="1440" w:bottom="1440" w:gutter="0" w:footer="0" w:header="0"/>
          <w:type w:val="continuous"/>
        </w:sectPr>
      </w:pPr>
    </w:p>
    <w:p>
      <w:pPr>
        <w:ind w:left="214"/>
        <w:spacing w:after="0"/>
        <w:rPr>
          <w:sz w:val="20"/>
          <w:szCs w:val="20"/>
          <w:color w:val="auto"/>
        </w:rPr>
      </w:pPr>
      <w:r>
        <w:rPr>
          <w:rFonts w:ascii="Arial" w:cs="Arial" w:eastAsia="Arial" w:hAnsi="Arial"/>
          <w:sz w:val="16"/>
          <w:szCs w:val="16"/>
          <w:b w:val="1"/>
          <w:bCs w:val="1"/>
          <w:color w:val="FFFFFF"/>
        </w:rPr>
        <w:t>Investor Inquiries</w:t>
      </w:r>
    </w:p>
    <w:p>
      <w:pPr>
        <w:ind w:left="214"/>
        <w:spacing w:after="0"/>
        <w:rPr>
          <w:sz w:val="20"/>
          <w:szCs w:val="20"/>
          <w:color w:val="auto"/>
        </w:rPr>
      </w:pPr>
      <w:r>
        <w:rPr>
          <w:rFonts w:ascii="Arial" w:cs="Arial" w:eastAsia="Arial" w:hAnsi="Arial"/>
          <w:sz w:val="16"/>
          <w:szCs w:val="16"/>
          <w:color w:val="FFFFFF"/>
        </w:rPr>
        <w:t>investorrelations@micron.com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Connect with us on 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-1708150</wp:posOffset>
            </wp:positionH>
            <wp:positionV relativeFrom="paragraph">
              <wp:posOffset>-217805</wp:posOffset>
            </wp:positionV>
            <wp:extent cx="414020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40200" cy="30035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5314" w:space="720"/>
            <w:col w:w="4079"/>
          </w:cols>
          <w:pgMar w:left="346" w:top="1440" w:right="1440" w:bottom="1440" w:gutter="0" w:footer="0" w:header="0"/>
          <w:type w:val="continuous"/>
        </w:sectPr>
      </w:pPr>
    </w:p>
    <w:p>
      <w:pPr>
        <w:ind w:left="-6" w:right="419" w:firstLine="6"/>
        <w:spacing w:after="0" w:line="210" w:lineRule="auto"/>
        <w:tabs>
          <w:tab w:leader="none" w:pos="104" w:val="left"/>
        </w:tabs>
        <w:numPr>
          <w:ilvl w:val="0"/>
          <w:numId w:val="3"/>
        </w:numPr>
        <w:rPr>
          <w:rFonts w:ascii="Arial" w:cs="Arial" w:eastAsia="Arial" w:hAnsi="Arial"/>
          <w:sz w:val="11"/>
          <w:szCs w:val="11"/>
          <w:color w:val="auto"/>
        </w:rPr>
      </w:pPr>
      <w:r>
        <w:rPr>
          <w:rFonts w:ascii="Arial" w:cs="Arial" w:eastAsia="Arial" w:hAnsi="Arial"/>
          <w:sz w:val="11"/>
          <w:szCs w:val="11"/>
          <w:color w:val="auto"/>
        </w:rPr>
        <w:t>2022 Micron Technology, Inc. Micron, the Micron orbit logo, the M orbit logo, Intelligence Accelerated</w:t>
      </w:r>
      <w:r>
        <w:rPr>
          <w:rFonts w:ascii="Arial" w:cs="Arial" w:eastAsia="Arial" w:hAnsi="Arial"/>
          <w:sz w:val="14"/>
          <w:szCs w:val="14"/>
          <w:color w:val="auto"/>
          <w:vertAlign w:val="superscript"/>
        </w:rPr>
        <w:t>TM</w:t>
      </w:r>
      <w:r>
        <w:rPr>
          <w:rFonts w:ascii="Arial" w:cs="Arial" w:eastAsia="Arial" w:hAnsi="Arial"/>
          <w:sz w:val="11"/>
          <w:szCs w:val="11"/>
          <w:color w:val="auto"/>
        </w:rPr>
        <w:t>, and other Micron trademarks are the property of Micron Technology, Inc. All other trademarks are the property of their respective owners. Products and specifications are subject to change without notice. Rev 03/22 CCMMD-1707390403-3712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668655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shd w:val="clear" w:color="auto" w:fill="D1D2D4"/>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Introduction</w:t>
              </w:r>
            </w:hyperlink>
          </w:p>
        </w:tc>
        <w:tc>
          <w:tcPr>
            <w:tcW w:w="8540" w:type="dxa"/>
            <w:vAlign w:val="bottom"/>
            <w:shd w:val="clear" w:color="auto" w:fill="D1D2D4"/>
          </w:tcPr>
          <w:p>
            <w:pPr>
              <w:spacing w:after="0"/>
              <w:rPr>
                <w:sz w:val="19"/>
                <w:szCs w:val="19"/>
                <w:color w:val="auto"/>
              </w:rPr>
            </w:pPr>
          </w:p>
        </w:tc>
        <w:tc>
          <w:tcPr>
            <w:tcW w:w="1620" w:type="dxa"/>
            <w:vAlign w:val="bottom"/>
            <w:shd w:val="clear" w:color="auto" w:fill="D1D2D4"/>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29"/>
        </w:trPr>
        <w:tc>
          <w:tcPr>
            <w:tcW w:w="9620" w:type="dxa"/>
            <w:vAlign w:val="bottom"/>
            <w:gridSpan w:val="2"/>
          </w:tcPr>
          <w:p>
            <w:pPr>
              <w:ind w:left="20"/>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Part I. Financial Information</w:t>
              </w:r>
            </w:hyperlink>
          </w:p>
        </w:tc>
        <w:tc>
          <w:tcPr>
            <w:tcW w:w="1620" w:type="dxa"/>
            <w:vAlign w:val="bottom"/>
          </w:tcPr>
          <w:p>
            <w:pPr>
              <w:spacing w:after="0"/>
              <w:rPr>
                <w:sz w:val="19"/>
                <w:szCs w:val="19"/>
                <w:color w:val="auto"/>
              </w:rPr>
            </w:pPr>
          </w:p>
        </w:tc>
      </w:tr>
      <w:tr>
        <w:trPr>
          <w:trHeight w:val="230"/>
        </w:trPr>
        <w:tc>
          <w:tcPr>
            <w:tcW w:w="1080" w:type="dxa"/>
            <w:vAlign w:val="bottom"/>
            <w:shd w:val="clear" w:color="auto" w:fill="D1D2D4"/>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Item 1.</w:t>
              </w:r>
            </w:hyperlink>
          </w:p>
        </w:tc>
        <w:tc>
          <w:tcPr>
            <w:tcW w:w="8540" w:type="dxa"/>
            <w:vAlign w:val="bottom"/>
            <w:shd w:val="clear" w:color="auto" w:fill="D1D2D4"/>
          </w:tcPr>
          <w:p>
            <w:pPr>
              <w:ind w:left="60"/>
              <w:spacing w:after="0"/>
              <w:rPr>
                <w:rFonts w:ascii="Arial" w:cs="Arial" w:eastAsia="Arial" w:hAnsi="Arial"/>
                <w:sz w:val="18"/>
                <w:szCs w:val="18"/>
                <w:color w:val="auto"/>
              </w:rPr>
            </w:pPr>
            <w:hyperlink w:anchor="page6">
              <w:r>
                <w:rPr>
                  <w:rFonts w:ascii="Arial" w:cs="Arial" w:eastAsia="Arial" w:hAnsi="Arial"/>
                  <w:sz w:val="18"/>
                  <w:szCs w:val="18"/>
                  <w:color w:val="auto"/>
                </w:rPr>
                <w:t>Financial Statements:</w:t>
              </w:r>
            </w:hyperlink>
          </w:p>
        </w:tc>
        <w:tc>
          <w:tcPr>
            <w:tcW w:w="1620" w:type="dxa"/>
            <w:vAlign w:val="bottom"/>
            <w:shd w:val="clear" w:color="auto" w:fill="D1D2D4"/>
          </w:tcPr>
          <w:p>
            <w:pPr>
              <w:spacing w:after="0"/>
              <w:rPr>
                <w:sz w:val="19"/>
                <w:szCs w:val="19"/>
                <w:color w:val="auto"/>
              </w:rPr>
            </w:pPr>
          </w:p>
        </w:tc>
      </w:tr>
      <w:tr>
        <w:trPr>
          <w:trHeight w:val="229"/>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Operations</w:t>
              </w:r>
            </w:hyperlink>
          </w:p>
        </w:tc>
        <w:tc>
          <w:tcPr>
            <w:tcW w:w="16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Comprehensive Income</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230"/>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7">
              <w:r>
                <w:rPr>
                  <w:rFonts w:ascii="Arial" w:cs="Arial" w:eastAsia="Arial" w:hAnsi="Arial"/>
                  <w:sz w:val="18"/>
                  <w:szCs w:val="18"/>
                  <w:color w:val="auto"/>
                </w:rPr>
                <w:t>Consolidated Balance Sheets</w:t>
              </w:r>
            </w:hyperlink>
          </w:p>
        </w:tc>
        <w:tc>
          <w:tcPr>
            <w:tcW w:w="16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8">
              <w:r>
                <w:rPr>
                  <w:rFonts w:ascii="Arial" w:cs="Arial" w:eastAsia="Arial" w:hAnsi="Arial"/>
                  <w:sz w:val="18"/>
                  <w:szCs w:val="18"/>
                  <w:color w:val="auto"/>
                </w:rPr>
                <w:t>Consolidated Statements of Changes in Equity</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r>
      <w:tr>
        <w:trPr>
          <w:trHeight w:val="230"/>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9">
              <w:r>
                <w:rPr>
                  <w:rFonts w:ascii="Arial" w:cs="Arial" w:eastAsia="Arial" w:hAnsi="Arial"/>
                  <w:sz w:val="18"/>
                  <w:szCs w:val="18"/>
                  <w:color w:val="auto"/>
                </w:rPr>
                <w:t>Consolidated Statements of Cash Flows</w:t>
              </w:r>
            </w:hyperlink>
          </w:p>
        </w:tc>
        <w:tc>
          <w:tcPr>
            <w:tcW w:w="162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10</w:t>
              </w:r>
            </w:hyperlink>
          </w:p>
        </w:tc>
      </w:tr>
      <w:tr>
        <w:trPr>
          <w:trHeight w:val="229"/>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10">
              <w:r>
                <w:rPr>
                  <w:rFonts w:ascii="Arial" w:cs="Arial" w:eastAsia="Arial" w:hAnsi="Arial"/>
                  <w:sz w:val="18"/>
                  <w:szCs w:val="18"/>
                  <w:color w:val="auto"/>
                </w:rPr>
                <w:t>Notes to Consolidated Financial Statements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11</w:t>
              </w:r>
            </w:hyperlink>
          </w:p>
        </w:tc>
      </w:tr>
      <w:tr>
        <w:trPr>
          <w:trHeight w:val="229"/>
        </w:trPr>
        <w:tc>
          <w:tcPr>
            <w:tcW w:w="1080" w:type="dxa"/>
            <w:vAlign w:val="bottom"/>
          </w:tcPr>
          <w:p>
            <w:pPr>
              <w:ind w:left="140"/>
              <w:spacing w:after="0"/>
              <w:rPr>
                <w:rFonts w:ascii="Arial" w:cs="Arial" w:eastAsia="Arial" w:hAnsi="Arial"/>
                <w:sz w:val="18"/>
                <w:szCs w:val="18"/>
                <w:color w:val="auto"/>
              </w:rPr>
            </w:pPr>
            <w:hyperlink w:anchor="page28">
              <w:r>
                <w:rPr>
                  <w:rFonts w:ascii="Arial" w:cs="Arial" w:eastAsia="Arial" w:hAnsi="Arial"/>
                  <w:sz w:val="18"/>
                  <w:szCs w:val="18"/>
                  <w:color w:val="auto"/>
                </w:rPr>
                <w:t>Item 2.</w:t>
              </w:r>
            </w:hyperlink>
          </w:p>
        </w:tc>
        <w:tc>
          <w:tcPr>
            <w:tcW w:w="8540" w:type="dxa"/>
            <w:vAlign w:val="bottom"/>
          </w:tcPr>
          <w:p>
            <w:pPr>
              <w:ind w:left="60"/>
              <w:spacing w:after="0"/>
              <w:rPr>
                <w:rFonts w:ascii="Arial" w:cs="Arial" w:eastAsia="Arial" w:hAnsi="Arial"/>
                <w:sz w:val="18"/>
                <w:szCs w:val="18"/>
                <w:color w:val="auto"/>
              </w:rPr>
            </w:pPr>
            <w:hyperlink w:anchor="page28">
              <w:r>
                <w:rPr>
                  <w:rFonts w:ascii="Arial" w:cs="Arial" w:eastAsia="Arial" w:hAnsi="Arial"/>
                  <w:sz w:val="18"/>
                  <w:szCs w:val="18"/>
                  <w:color w:val="auto"/>
                </w:rPr>
                <w:t>Management’s Discussion and Analysis of Financial Condition and Results of Operations</w:t>
              </w:r>
            </w:hyperlink>
          </w:p>
        </w:tc>
        <w:tc>
          <w:tcPr>
            <w:tcW w:w="16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30"/>
        </w:trPr>
        <w:tc>
          <w:tcPr>
            <w:tcW w:w="1080" w:type="dxa"/>
            <w:vAlign w:val="bottom"/>
            <w:shd w:val="clear" w:color="auto" w:fill="D1D2D4"/>
          </w:tcPr>
          <w:p>
            <w:pPr>
              <w:spacing w:after="0"/>
              <w:rPr>
                <w:sz w:val="19"/>
                <w:szCs w:val="19"/>
                <w:color w:val="auto"/>
              </w:rPr>
            </w:pPr>
          </w:p>
        </w:tc>
        <w:tc>
          <w:tcPr>
            <w:tcW w:w="8540" w:type="dxa"/>
            <w:vAlign w:val="bottom"/>
            <w:shd w:val="clear" w:color="auto" w:fill="D1D2D4"/>
          </w:tcPr>
          <w:p>
            <w:pPr>
              <w:ind w:left="180"/>
              <w:spacing w:after="0"/>
              <w:rPr>
                <w:rFonts w:ascii="Arial" w:cs="Arial" w:eastAsia="Arial" w:hAnsi="Arial"/>
                <w:sz w:val="18"/>
                <w:szCs w:val="18"/>
                <w:color w:val="auto"/>
              </w:rPr>
            </w:pPr>
            <w:hyperlink w:anchor="page30">
              <w:r>
                <w:rPr>
                  <w:rFonts w:ascii="Arial" w:cs="Arial" w:eastAsia="Arial" w:hAnsi="Arial"/>
                  <w:sz w:val="18"/>
                  <w:szCs w:val="18"/>
                  <w:color w:val="auto"/>
                </w:rPr>
                <w:t>Results of Operations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31</w:t>
              </w:r>
            </w:hyperlink>
          </w:p>
        </w:tc>
      </w:tr>
      <w:tr>
        <w:trPr>
          <w:trHeight w:val="229"/>
        </w:trPr>
        <w:tc>
          <w:tcPr>
            <w:tcW w:w="1080" w:type="dxa"/>
            <w:vAlign w:val="bottom"/>
          </w:tcPr>
          <w:p>
            <w:pPr>
              <w:spacing w:after="0"/>
              <w:rPr>
                <w:sz w:val="19"/>
                <w:szCs w:val="19"/>
                <w:color w:val="auto"/>
              </w:rPr>
            </w:pPr>
          </w:p>
        </w:tc>
        <w:tc>
          <w:tcPr>
            <w:tcW w:w="8540" w:type="dxa"/>
            <w:vAlign w:val="bottom"/>
          </w:tcPr>
          <w:p>
            <w:pPr>
              <w:ind w:left="180"/>
              <w:spacing w:after="0"/>
              <w:rPr>
                <w:rFonts w:ascii="Arial" w:cs="Arial" w:eastAsia="Arial" w:hAnsi="Arial"/>
                <w:sz w:val="18"/>
                <w:szCs w:val="18"/>
                <w:color w:val="auto"/>
              </w:rPr>
            </w:pPr>
            <w:hyperlink w:anchor="page34">
              <w:r>
                <w:rPr>
                  <w:rFonts w:ascii="Arial" w:cs="Arial" w:eastAsia="Arial" w:hAnsi="Arial"/>
                  <w:sz w:val="18"/>
                  <w:szCs w:val="18"/>
                  <w:color w:val="auto"/>
                </w:rPr>
                <w:t>Liquidity and Capital Resources</w:t>
              </w:r>
            </w:hyperlink>
          </w:p>
        </w:tc>
        <w:tc>
          <w:tcPr>
            <w:tcW w:w="162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29"/>
        </w:trPr>
        <w:tc>
          <w:tcPr>
            <w:tcW w:w="1080" w:type="dxa"/>
            <w:vAlign w:val="bottom"/>
            <w:shd w:val="clear" w:color="auto" w:fill="D1D2D4"/>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8540" w:type="dxa"/>
            <w:vAlign w:val="bottom"/>
            <w:shd w:val="clear" w:color="auto" w:fill="D1D2D4"/>
          </w:tcPr>
          <w:p>
            <w:pPr>
              <w:ind w:left="80"/>
              <w:spacing w:after="0"/>
              <w:rPr>
                <w:rFonts w:ascii="Arial" w:cs="Arial" w:eastAsia="Arial" w:hAnsi="Arial"/>
                <w:sz w:val="18"/>
                <w:szCs w:val="18"/>
                <w:color w:val="auto"/>
              </w:rPr>
            </w:pPr>
            <w:hyperlink w:anchor="page36">
              <w:r>
                <w:rPr>
                  <w:rFonts w:ascii="Arial" w:cs="Arial" w:eastAsia="Arial" w:hAnsi="Arial"/>
                  <w:sz w:val="18"/>
                  <w:szCs w:val="18"/>
                  <w:color w:val="auto"/>
                </w:rPr>
                <w:t>Quantitative and Qualitative Disclosures about Market Risk</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30"/>
        </w:trPr>
        <w:tc>
          <w:tcPr>
            <w:tcW w:w="1080" w:type="dxa"/>
            <w:vAlign w:val="bottom"/>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Item 4.</w:t>
              </w:r>
            </w:hyperlink>
          </w:p>
        </w:tc>
        <w:tc>
          <w:tcPr>
            <w:tcW w:w="8540" w:type="dxa"/>
            <w:vAlign w:val="bottom"/>
          </w:tcPr>
          <w:p>
            <w:pPr>
              <w:ind w:left="80"/>
              <w:spacing w:after="0"/>
              <w:rPr>
                <w:rFonts w:ascii="Arial" w:cs="Arial" w:eastAsia="Arial" w:hAnsi="Arial"/>
                <w:sz w:val="18"/>
                <w:szCs w:val="18"/>
                <w:color w:val="auto"/>
              </w:rPr>
            </w:pPr>
            <w:hyperlink w:anchor="page36">
              <w:r>
                <w:rPr>
                  <w:rFonts w:ascii="Arial" w:cs="Arial" w:eastAsia="Arial" w:hAnsi="Arial"/>
                  <w:sz w:val="18"/>
                  <w:szCs w:val="18"/>
                  <w:color w:val="auto"/>
                </w:rPr>
                <w:t>Controls and Procedures</w:t>
              </w:r>
            </w:hyperlink>
          </w:p>
        </w:tc>
        <w:tc>
          <w:tcPr>
            <w:tcW w:w="16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29"/>
        </w:trPr>
        <w:tc>
          <w:tcPr>
            <w:tcW w:w="9620" w:type="dxa"/>
            <w:vAlign w:val="bottom"/>
            <w:gridSpan w:val="2"/>
            <w:shd w:val="clear" w:color="auto" w:fill="D1D2D4"/>
          </w:tcPr>
          <w:p>
            <w:pPr>
              <w:ind w:left="20"/>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Part II. Other Information</w:t>
              </w:r>
            </w:hyperlink>
          </w:p>
        </w:tc>
        <w:tc>
          <w:tcPr>
            <w:tcW w:w="1620" w:type="dxa"/>
            <w:vAlign w:val="bottom"/>
            <w:shd w:val="clear" w:color="auto" w:fill="D1D2D4"/>
          </w:tcPr>
          <w:p>
            <w:pPr>
              <w:spacing w:after="0"/>
              <w:rPr>
                <w:sz w:val="19"/>
                <w:szCs w:val="19"/>
                <w:color w:val="auto"/>
              </w:rPr>
            </w:pPr>
          </w:p>
        </w:tc>
      </w:tr>
      <w:tr>
        <w:trPr>
          <w:trHeight w:val="230"/>
        </w:trPr>
        <w:tc>
          <w:tcPr>
            <w:tcW w:w="1080" w:type="dxa"/>
            <w:vAlign w:val="bottom"/>
          </w:tcPr>
          <w:p>
            <w:pPr>
              <w:ind w:left="140"/>
              <w:spacing w:after="0"/>
              <w:rPr>
                <w:rFonts w:ascii="Arial" w:cs="Arial" w:eastAsia="Arial" w:hAnsi="Arial"/>
                <w:sz w:val="18"/>
                <w:szCs w:val="18"/>
                <w:color w:val="auto"/>
              </w:rPr>
            </w:pPr>
            <w:hyperlink w:anchor="page37">
              <w:r>
                <w:rPr>
                  <w:rFonts w:ascii="Arial" w:cs="Arial" w:eastAsia="Arial" w:hAnsi="Arial"/>
                  <w:sz w:val="18"/>
                  <w:szCs w:val="18"/>
                  <w:color w:val="auto"/>
                </w:rPr>
                <w:t>Item 1.</w:t>
              </w:r>
            </w:hyperlink>
          </w:p>
        </w:tc>
        <w:tc>
          <w:tcPr>
            <w:tcW w:w="8540" w:type="dxa"/>
            <w:vAlign w:val="bottom"/>
          </w:tcPr>
          <w:p>
            <w:pPr>
              <w:ind w:left="80"/>
              <w:spacing w:after="0"/>
              <w:rPr>
                <w:rFonts w:ascii="Arial" w:cs="Arial" w:eastAsia="Arial" w:hAnsi="Arial"/>
                <w:sz w:val="18"/>
                <w:szCs w:val="18"/>
                <w:color w:val="auto"/>
              </w:rPr>
            </w:pPr>
            <w:hyperlink w:anchor="page37">
              <w:r>
                <w:rPr>
                  <w:rFonts w:ascii="Arial" w:cs="Arial" w:eastAsia="Arial" w:hAnsi="Arial"/>
                  <w:sz w:val="18"/>
                  <w:szCs w:val="18"/>
                  <w:color w:val="auto"/>
                </w:rPr>
                <w:t>Legal Proceedings</w:t>
              </w:r>
            </w:hyperlink>
          </w:p>
        </w:tc>
        <w:tc>
          <w:tcPr>
            <w:tcW w:w="16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29"/>
        </w:trPr>
        <w:tc>
          <w:tcPr>
            <w:tcW w:w="1080" w:type="dxa"/>
            <w:vAlign w:val="bottom"/>
            <w:shd w:val="clear" w:color="auto" w:fill="D1D2D4"/>
          </w:tcPr>
          <w:p>
            <w:pPr>
              <w:ind w:left="140"/>
              <w:spacing w:after="0"/>
              <w:rPr>
                <w:rFonts w:ascii="Arial" w:cs="Arial" w:eastAsia="Arial" w:hAnsi="Arial"/>
                <w:sz w:val="18"/>
                <w:szCs w:val="18"/>
                <w:color w:val="auto"/>
              </w:rPr>
            </w:pPr>
            <w:hyperlink w:anchor="page37">
              <w:r>
                <w:rPr>
                  <w:rFonts w:ascii="Arial" w:cs="Arial" w:eastAsia="Arial" w:hAnsi="Arial"/>
                  <w:sz w:val="18"/>
                  <w:szCs w:val="18"/>
                  <w:color w:val="auto"/>
                </w:rPr>
                <w:t>Item 1A.</w:t>
              </w:r>
            </w:hyperlink>
          </w:p>
        </w:tc>
        <w:tc>
          <w:tcPr>
            <w:tcW w:w="8540" w:type="dxa"/>
            <w:vAlign w:val="bottom"/>
            <w:shd w:val="clear" w:color="auto" w:fill="D1D2D4"/>
          </w:tcPr>
          <w:p>
            <w:pPr>
              <w:ind w:left="80"/>
              <w:spacing w:after="0"/>
              <w:rPr>
                <w:rFonts w:ascii="Arial" w:cs="Arial" w:eastAsia="Arial" w:hAnsi="Arial"/>
                <w:sz w:val="18"/>
                <w:szCs w:val="18"/>
                <w:color w:val="auto"/>
              </w:rPr>
            </w:pPr>
            <w:hyperlink w:anchor="page37">
              <w:r>
                <w:rPr>
                  <w:rFonts w:ascii="Arial" w:cs="Arial" w:eastAsia="Arial" w:hAnsi="Arial"/>
                  <w:sz w:val="18"/>
                  <w:szCs w:val="18"/>
                  <w:color w:val="auto"/>
                </w:rPr>
                <w:t>Risk Factors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29"/>
        </w:trPr>
        <w:tc>
          <w:tcPr>
            <w:tcW w:w="1080" w:type="dxa"/>
            <w:vAlign w:val="bottom"/>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Item 2.</w:t>
              </w:r>
            </w:hyperlink>
          </w:p>
        </w:tc>
        <w:tc>
          <w:tcPr>
            <w:tcW w:w="8540" w:type="dxa"/>
            <w:vAlign w:val="bottom"/>
          </w:tcPr>
          <w:p>
            <w:pPr>
              <w:ind w:left="80"/>
              <w:spacing w:after="0"/>
              <w:rPr>
                <w:rFonts w:ascii="Arial" w:cs="Arial" w:eastAsia="Arial" w:hAnsi="Arial"/>
                <w:sz w:val="18"/>
                <w:szCs w:val="18"/>
                <w:color w:val="auto"/>
              </w:rPr>
            </w:pPr>
            <w:hyperlink w:anchor="page56">
              <w:r>
                <w:rPr>
                  <w:rFonts w:ascii="Arial" w:cs="Arial" w:eastAsia="Arial" w:hAnsi="Arial"/>
                  <w:sz w:val="18"/>
                  <w:szCs w:val="18"/>
                  <w:color w:val="auto"/>
                </w:rPr>
                <w:t>Unregistered Sales of Equity Securities and Use of Proceeds</w:t>
              </w:r>
            </w:hyperlink>
          </w:p>
        </w:tc>
        <w:tc>
          <w:tcPr>
            <w:tcW w:w="162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57</w:t>
              </w:r>
            </w:hyperlink>
          </w:p>
        </w:tc>
      </w:tr>
      <w:tr>
        <w:trPr>
          <w:trHeight w:val="230"/>
        </w:trPr>
        <w:tc>
          <w:tcPr>
            <w:tcW w:w="1080" w:type="dxa"/>
            <w:vAlign w:val="bottom"/>
            <w:shd w:val="clear" w:color="auto" w:fill="D1D2D4"/>
          </w:tcPr>
          <w:p>
            <w:pPr>
              <w:ind w:left="140"/>
              <w:spacing w:after="0"/>
              <w:rPr>
                <w:rFonts w:ascii="Arial" w:cs="Arial" w:eastAsia="Arial" w:hAnsi="Arial"/>
                <w:sz w:val="18"/>
                <w:szCs w:val="18"/>
                <w:color w:val="auto"/>
              </w:rPr>
            </w:pPr>
            <w:hyperlink w:anchor="page57">
              <w:r>
                <w:rPr>
                  <w:rFonts w:ascii="Arial" w:cs="Arial" w:eastAsia="Arial" w:hAnsi="Arial"/>
                  <w:sz w:val="18"/>
                  <w:szCs w:val="18"/>
                  <w:color w:val="auto"/>
                </w:rPr>
                <w:t>Item 6.</w:t>
              </w:r>
            </w:hyperlink>
          </w:p>
        </w:tc>
        <w:tc>
          <w:tcPr>
            <w:tcW w:w="8540" w:type="dxa"/>
            <w:vAlign w:val="bottom"/>
            <w:shd w:val="clear" w:color="auto" w:fill="D1D2D4"/>
          </w:tcPr>
          <w:p>
            <w:pPr>
              <w:ind w:left="80"/>
              <w:spacing w:after="0"/>
              <w:rPr>
                <w:rFonts w:ascii="Arial" w:cs="Arial" w:eastAsia="Arial" w:hAnsi="Arial"/>
                <w:sz w:val="18"/>
                <w:szCs w:val="18"/>
                <w:color w:val="auto"/>
              </w:rPr>
            </w:pPr>
            <w:hyperlink w:anchor="page57">
              <w:r>
                <w:rPr>
                  <w:rFonts w:ascii="Arial" w:cs="Arial" w:eastAsia="Arial" w:hAnsi="Arial"/>
                  <w:sz w:val="18"/>
                  <w:szCs w:val="18"/>
                  <w:color w:val="auto"/>
                </w:rPr>
                <w:t>Exhibits</w:t>
              </w:r>
            </w:hyperlink>
          </w:p>
        </w:tc>
        <w:tc>
          <w:tcPr>
            <w:tcW w:w="1620" w:type="dxa"/>
            <w:vAlign w:val="bottom"/>
            <w:shd w:val="clear" w:color="auto" w:fill="D1D2D4"/>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58</w:t>
              </w:r>
            </w:hyperlink>
          </w:p>
        </w:tc>
      </w:tr>
      <w:tr>
        <w:trPr>
          <w:trHeight w:val="239"/>
        </w:trPr>
        <w:tc>
          <w:tcPr>
            <w:tcW w:w="1080" w:type="dxa"/>
            <w:vAlign w:val="bottom"/>
          </w:tcPr>
          <w:p>
            <w:pPr>
              <w:ind w:left="140"/>
              <w:spacing w:after="0"/>
              <w:rPr>
                <w:rFonts w:ascii="Arial" w:cs="Arial" w:eastAsia="Arial" w:hAnsi="Arial"/>
                <w:sz w:val="18"/>
                <w:szCs w:val="18"/>
                <w:color w:val="auto"/>
              </w:rPr>
            </w:pPr>
            <w:hyperlink w:anchor="page58">
              <w:r>
                <w:rPr>
                  <w:rFonts w:ascii="Arial" w:cs="Arial" w:eastAsia="Arial" w:hAnsi="Arial"/>
                  <w:sz w:val="18"/>
                  <w:szCs w:val="18"/>
                  <w:color w:val="auto"/>
                </w:rPr>
                <w:t>Signatures</w:t>
              </w:r>
            </w:hyperlink>
          </w:p>
        </w:tc>
        <w:tc>
          <w:tcPr>
            <w:tcW w:w="8540" w:type="dxa"/>
            <w:vAlign w:val="bottom"/>
          </w:tcPr>
          <w:p>
            <w:pPr>
              <w:spacing w:after="0"/>
              <w:rPr>
                <w:sz w:val="20"/>
                <w:szCs w:val="20"/>
                <w:color w:val="auto"/>
              </w:rPr>
            </w:pPr>
          </w:p>
        </w:tc>
        <w:tc>
          <w:tcPr>
            <w:tcW w:w="162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59</w:t>
              </w:r>
            </w:hyperlink>
          </w:p>
        </w:tc>
      </w:tr>
      <w:tr>
        <w:trPr>
          <w:trHeight w:val="901"/>
        </w:trPr>
        <w:tc>
          <w:tcPr>
            <w:tcW w:w="10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09"/>
        </w:trPr>
        <w:tc>
          <w:tcPr>
            <w:tcW w:w="1080" w:type="dxa"/>
            <w:vAlign w:val="bottom"/>
            <w:tcBorders>
              <w:bottom w:val="single" w:sz="8" w:color="9A9A9A"/>
            </w:tcBorders>
          </w:tcPr>
          <w:p>
            <w:pPr>
              <w:spacing w:after="0"/>
              <w:rPr>
                <w:sz w:val="9"/>
                <w:szCs w:val="9"/>
                <w:color w:val="auto"/>
              </w:rPr>
            </w:pPr>
          </w:p>
        </w:tc>
        <w:tc>
          <w:tcPr>
            <w:tcW w:w="85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-334010</wp:posOffset>
            </wp:positionV>
            <wp:extent cx="64325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18034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 w:name="page4"/>
    <w:bookmarkEnd w:id="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5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Term</w:t>
            </w:r>
          </w:p>
        </w:tc>
        <w:tc>
          <w:tcPr>
            <w:tcW w:w="760" w:type="dxa"/>
            <w:vAlign w:val="bottom"/>
          </w:tcPr>
          <w:p>
            <w:pPr>
              <w:spacing w:after="0"/>
              <w:rPr>
                <w:sz w:val="20"/>
                <w:szCs w:val="20"/>
                <w:color w:val="auto"/>
              </w:rPr>
            </w:pPr>
          </w:p>
        </w:tc>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Definition</w:t>
            </w:r>
          </w:p>
        </w:tc>
        <w:tc>
          <w:tcPr>
            <w:tcW w:w="1560" w:type="dxa"/>
            <w:vAlign w:val="bottom"/>
          </w:tcPr>
          <w:p>
            <w:pPr>
              <w:ind w:left="680"/>
              <w:spacing w:after="0"/>
              <w:rPr>
                <w:sz w:val="20"/>
                <w:szCs w:val="20"/>
                <w:color w:val="auto"/>
              </w:rPr>
            </w:pPr>
            <w:r>
              <w:rPr>
                <w:rFonts w:ascii="Arial" w:cs="Arial" w:eastAsia="Arial" w:hAnsi="Arial"/>
                <w:sz w:val="18"/>
                <w:szCs w:val="18"/>
                <w:b w:val="1"/>
                <w:bCs w:val="1"/>
                <w:color w:val="auto"/>
              </w:rPr>
              <w:t>Term</w:t>
            </w:r>
          </w:p>
        </w:tc>
        <w:tc>
          <w:tcPr>
            <w:tcW w:w="4060" w:type="dxa"/>
            <w:vAlign w:val="bottom"/>
          </w:tcPr>
          <w:p>
            <w:pPr>
              <w:ind w:left="172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308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0090DA"/>
            </w:tcBorders>
          </w:tcPr>
          <w:p>
            <w:pPr>
              <w:spacing w:after="0"/>
              <w:rPr>
                <w:sz w:val="2"/>
                <w:szCs w:val="2"/>
                <w:color w:val="auto"/>
              </w:rPr>
            </w:pPr>
          </w:p>
        </w:tc>
        <w:tc>
          <w:tcPr>
            <w:tcW w:w="4060" w:type="dxa"/>
            <w:vAlign w:val="bottom"/>
            <w:tcBorders>
              <w:top w:val="single" w:sz="8" w:color="0090DA"/>
            </w:tcBorders>
          </w:tcPr>
          <w:p>
            <w:pPr>
              <w:spacing w:after="0"/>
              <w:rPr>
                <w:sz w:val="2"/>
                <w:szCs w:val="2"/>
                <w:color w:val="auto"/>
              </w:rPr>
            </w:pP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2023</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20"/>
              <w:spacing w:after="0"/>
              <w:rPr>
                <w:sz w:val="20"/>
                <w:szCs w:val="20"/>
                <w:color w:val="auto"/>
              </w:rPr>
            </w:pPr>
            <w:r>
              <w:rPr>
                <w:rFonts w:ascii="Arial" w:cs="Arial" w:eastAsia="Arial" w:hAnsi="Arial"/>
                <w:sz w:val="18"/>
                <w:szCs w:val="18"/>
                <w:color w:val="auto"/>
              </w:rPr>
              <w:t>2.497%</w:t>
            </w:r>
          </w:p>
        </w:tc>
        <w:tc>
          <w:tcPr>
            <w:tcW w:w="32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Senior Notes due April 2023</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Inotera</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Inotera Memories, Inc.</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2024</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20"/>
              <w:spacing w:after="0"/>
              <w:rPr>
                <w:sz w:val="20"/>
                <w:szCs w:val="20"/>
                <w:color w:val="auto"/>
              </w:rPr>
            </w:pPr>
            <w:r>
              <w:rPr>
                <w:rFonts w:ascii="Arial" w:cs="Arial" w:eastAsia="Arial" w:hAnsi="Arial"/>
                <w:sz w:val="18"/>
                <w:szCs w:val="18"/>
                <w:color w:val="auto"/>
              </w:rPr>
              <w:t>4.640%</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Senior Notes due February 2024</w:t>
            </w:r>
          </w:p>
        </w:tc>
        <w:tc>
          <w:tcPr>
            <w:tcW w:w="1560" w:type="dxa"/>
            <w:vAlign w:val="bottom"/>
          </w:tcPr>
          <w:p>
            <w:pPr>
              <w:spacing w:after="0"/>
              <w:rPr>
                <w:sz w:val="20"/>
                <w:szCs w:val="20"/>
                <w:color w:val="auto"/>
              </w:rPr>
            </w:pPr>
            <w:r>
              <w:rPr>
                <w:rFonts w:ascii="Arial" w:cs="Arial" w:eastAsia="Arial" w:hAnsi="Arial"/>
                <w:sz w:val="18"/>
                <w:szCs w:val="18"/>
                <w:color w:val="auto"/>
              </w:rPr>
              <w:t>Intel</w:t>
            </w:r>
          </w:p>
        </w:tc>
        <w:tc>
          <w:tcPr>
            <w:tcW w:w="4060" w:type="dxa"/>
            <w:vAlign w:val="bottom"/>
          </w:tcPr>
          <w:p>
            <w:pPr>
              <w:ind w:left="240"/>
              <w:spacing w:after="0"/>
              <w:rPr>
                <w:sz w:val="20"/>
                <w:szCs w:val="20"/>
                <w:color w:val="auto"/>
              </w:rPr>
            </w:pPr>
            <w:r>
              <w:rPr>
                <w:rFonts w:ascii="Arial" w:cs="Arial" w:eastAsia="Arial" w:hAnsi="Arial"/>
                <w:sz w:val="18"/>
                <w:szCs w:val="18"/>
                <w:color w:val="auto"/>
              </w:rPr>
              <w:t>Intel Corporation</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Senior Term Loan A due October 2024</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LIBOR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2026 Notes</w:t>
            </w: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4.975% Senior Notes due February 2026</w:t>
            </w:r>
          </w:p>
        </w:tc>
        <w:tc>
          <w:tcPr>
            <w:tcW w:w="1560" w:type="dxa"/>
            <w:vAlign w:val="bottom"/>
          </w:tcPr>
          <w:p>
            <w:pPr>
              <w:spacing w:after="0"/>
              <w:rPr>
                <w:sz w:val="20"/>
                <w:szCs w:val="20"/>
                <w:color w:val="auto"/>
              </w:rPr>
            </w:pPr>
            <w:r>
              <w:rPr>
                <w:rFonts w:ascii="Arial" w:cs="Arial" w:eastAsia="Arial" w:hAnsi="Arial"/>
                <w:sz w:val="18"/>
                <w:szCs w:val="18"/>
                <w:color w:val="auto"/>
              </w:rPr>
              <w:t>LPDRAM</w:t>
            </w:r>
          </w:p>
        </w:tc>
        <w:tc>
          <w:tcPr>
            <w:tcW w:w="4060" w:type="dxa"/>
            <w:vAlign w:val="bottom"/>
          </w:tcPr>
          <w:p>
            <w:pPr>
              <w:ind w:left="240"/>
              <w:spacing w:after="0"/>
              <w:rPr>
                <w:sz w:val="20"/>
                <w:szCs w:val="20"/>
                <w:color w:val="auto"/>
              </w:rPr>
            </w:pPr>
            <w:r>
              <w:rPr>
                <w:rFonts w:ascii="Arial" w:cs="Arial" w:eastAsia="Arial" w:hAnsi="Arial"/>
                <w:sz w:val="18"/>
                <w:szCs w:val="18"/>
                <w:color w:val="auto"/>
              </w:rPr>
              <w:t>Low-power DRAM</w:t>
            </w:r>
          </w:p>
        </w:tc>
      </w:tr>
      <w:tr>
        <w:trPr>
          <w:trHeight w:val="176"/>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2027</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20"/>
              <w:spacing w:after="0" w:line="176" w:lineRule="exact"/>
              <w:rPr>
                <w:sz w:val="20"/>
                <w:szCs w:val="20"/>
                <w:color w:val="auto"/>
              </w:rPr>
            </w:pPr>
            <w:r>
              <w:rPr>
                <w:rFonts w:ascii="Arial" w:cs="Arial" w:eastAsia="Arial" w:hAnsi="Arial"/>
                <w:sz w:val="18"/>
                <w:szCs w:val="18"/>
                <w:color w:val="auto"/>
              </w:rPr>
              <w:t>4.185%</w:t>
            </w:r>
          </w:p>
        </w:tc>
        <w:tc>
          <w:tcPr>
            <w:tcW w:w="3200" w:type="dxa"/>
            <w:vAlign w:val="bottom"/>
            <w:gridSpan w:val="2"/>
            <w:shd w:val="clear" w:color="auto" w:fill="DBDBDB"/>
          </w:tcPr>
          <w:p>
            <w:pPr>
              <w:ind w:left="20"/>
              <w:spacing w:after="0" w:line="176" w:lineRule="exact"/>
              <w:rPr>
                <w:sz w:val="20"/>
                <w:szCs w:val="20"/>
                <w:color w:val="auto"/>
              </w:rPr>
            </w:pPr>
            <w:r>
              <w:rPr>
                <w:rFonts w:ascii="Arial" w:cs="Arial" w:eastAsia="Arial" w:hAnsi="Arial"/>
                <w:sz w:val="18"/>
                <w:szCs w:val="18"/>
                <w:color w:val="auto"/>
              </w:rPr>
              <w:t>Senior Notes due February 2027</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MCP</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Multichip packaged solutions with managed</w:t>
            </w:r>
          </w:p>
        </w:tc>
      </w:tr>
      <w:tr>
        <w:trPr>
          <w:trHeight w:val="229"/>
        </w:trPr>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0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NAND and LPDRAM</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2029</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20"/>
              <w:spacing w:after="0"/>
              <w:rPr>
                <w:sz w:val="20"/>
                <w:szCs w:val="20"/>
                <w:color w:val="auto"/>
              </w:rPr>
            </w:pPr>
            <w:r>
              <w:rPr>
                <w:rFonts w:ascii="Arial" w:cs="Arial" w:eastAsia="Arial" w:hAnsi="Arial"/>
                <w:sz w:val="18"/>
                <w:szCs w:val="18"/>
                <w:color w:val="auto"/>
              </w:rPr>
              <w:t>5.327%</w:t>
            </w: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Senior Notes due February 2029</w:t>
            </w:r>
          </w:p>
        </w:tc>
        <w:tc>
          <w:tcPr>
            <w:tcW w:w="1560" w:type="dxa"/>
            <w:vAlign w:val="bottom"/>
          </w:tcPr>
          <w:p>
            <w:pPr>
              <w:spacing w:after="0"/>
              <w:rPr>
                <w:sz w:val="20"/>
                <w:szCs w:val="20"/>
                <w:color w:val="auto"/>
              </w:rPr>
            </w:pPr>
            <w:r>
              <w:rPr>
                <w:rFonts w:ascii="Arial" w:cs="Arial" w:eastAsia="Arial" w:hAnsi="Arial"/>
                <w:sz w:val="18"/>
                <w:szCs w:val="18"/>
                <w:color w:val="auto"/>
              </w:rPr>
              <w:t>Micron</w:t>
            </w:r>
          </w:p>
        </w:tc>
        <w:tc>
          <w:tcPr>
            <w:tcW w:w="4060" w:type="dxa"/>
            <w:vAlign w:val="bottom"/>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2030</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20"/>
              <w:spacing w:after="0"/>
              <w:rPr>
                <w:sz w:val="20"/>
                <w:szCs w:val="20"/>
                <w:color w:val="auto"/>
              </w:rPr>
            </w:pPr>
            <w:r>
              <w:rPr>
                <w:rFonts w:ascii="Arial" w:cs="Arial" w:eastAsia="Arial" w:hAnsi="Arial"/>
                <w:sz w:val="18"/>
                <w:szCs w:val="18"/>
                <w:color w:val="auto"/>
              </w:rPr>
              <w:t>4.663%</w:t>
            </w:r>
          </w:p>
        </w:tc>
        <w:tc>
          <w:tcPr>
            <w:tcW w:w="32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Senior Notes due February 2030</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MTU</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Micron Technology Utah, LLC</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2032</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Green Bonds</w:t>
            </w:r>
          </w:p>
        </w:tc>
        <w:tc>
          <w:tcPr>
            <w:tcW w:w="760" w:type="dxa"/>
            <w:vAlign w:val="bottom"/>
          </w:tcPr>
          <w:p>
            <w:pPr>
              <w:ind w:left="120"/>
              <w:spacing w:after="0" w:line="176" w:lineRule="exact"/>
              <w:rPr>
                <w:sz w:val="20"/>
                <w:szCs w:val="20"/>
                <w:color w:val="auto"/>
              </w:rPr>
            </w:pPr>
            <w:r>
              <w:rPr>
                <w:rFonts w:ascii="Arial" w:cs="Arial" w:eastAsia="Arial" w:hAnsi="Arial"/>
                <w:sz w:val="18"/>
                <w:szCs w:val="18"/>
                <w:color w:val="auto"/>
              </w:rPr>
              <w:t>2.703%</w:t>
            </w:r>
          </w:p>
        </w:tc>
        <w:tc>
          <w:tcPr>
            <w:tcW w:w="3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Notes due April 2032</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NVMe</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Hardware interface for SSDs that connect via a</w:t>
            </w:r>
          </w:p>
        </w:tc>
      </w:tr>
      <w:tr>
        <w:trPr>
          <w:trHeight w:val="229"/>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PCIe bus</w:t>
            </w:r>
          </w:p>
        </w:tc>
      </w:tr>
      <w:tr>
        <w:trPr>
          <w:trHeight w:val="230"/>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2041 Notes</w:t>
            </w:r>
          </w:p>
        </w:tc>
        <w:tc>
          <w:tcPr>
            <w:tcW w:w="396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3.366% Senior Notes due November 2041</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Qimonda</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Qimonda AG</w:t>
            </w:r>
          </w:p>
        </w:tc>
      </w:tr>
      <w:tr>
        <w:trPr>
          <w:trHeight w:val="175"/>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2051</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20"/>
              <w:spacing w:after="0" w:line="176" w:lineRule="exact"/>
              <w:rPr>
                <w:sz w:val="20"/>
                <w:szCs w:val="20"/>
                <w:color w:val="auto"/>
              </w:rPr>
            </w:pPr>
            <w:r>
              <w:rPr>
                <w:rFonts w:ascii="Arial" w:cs="Arial" w:eastAsia="Arial" w:hAnsi="Arial"/>
                <w:sz w:val="18"/>
                <w:szCs w:val="18"/>
                <w:color w:val="auto"/>
              </w:rPr>
              <w:t>3.477%</w:t>
            </w:r>
          </w:p>
        </w:tc>
        <w:tc>
          <w:tcPr>
            <w:tcW w:w="3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Senior Notes due November 2051</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Revolving Credit</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$2.5 billion revolving credit facility due May</w:t>
            </w:r>
          </w:p>
        </w:tc>
      </w:tr>
      <w:tr>
        <w:trPr>
          <w:trHeight w:val="229"/>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Facility</w:t>
            </w:r>
          </w:p>
        </w:tc>
        <w:tc>
          <w:tcPr>
            <w:tcW w:w="4060" w:type="dxa"/>
            <w:vAlign w:val="bottom"/>
          </w:tcPr>
          <w:p>
            <w:pPr>
              <w:ind w:left="240"/>
              <w:spacing w:after="0"/>
              <w:rPr>
                <w:sz w:val="20"/>
                <w:szCs w:val="20"/>
                <w:color w:val="auto"/>
              </w:rPr>
            </w:pPr>
            <w:r>
              <w:rPr>
                <w:rFonts w:ascii="Arial" w:cs="Arial" w:eastAsia="Arial" w:hAnsi="Arial"/>
                <w:sz w:val="18"/>
                <w:szCs w:val="18"/>
                <w:color w:val="auto"/>
              </w:rPr>
              <w:t>2026</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DDR</w:t>
            </w:r>
          </w:p>
        </w:tc>
        <w:tc>
          <w:tcPr>
            <w:tcW w:w="1200" w:type="dxa"/>
            <w:vAlign w:val="bottom"/>
            <w:shd w:val="clear" w:color="auto" w:fill="DBDBDB"/>
          </w:tcPr>
          <w:p>
            <w:pPr>
              <w:spacing w:after="0"/>
              <w:rPr>
                <w:sz w:val="19"/>
                <w:szCs w:val="19"/>
                <w:color w:val="auto"/>
              </w:rPr>
            </w:pPr>
          </w:p>
        </w:tc>
        <w:tc>
          <w:tcPr>
            <w:tcW w:w="396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Double Data Rate DRAM</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SOFR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EUV</w:t>
            </w:r>
          </w:p>
        </w:tc>
        <w:tc>
          <w:tcPr>
            <w:tcW w:w="1200" w:type="dxa"/>
            <w:vAlign w:val="bottom"/>
          </w:tcPr>
          <w:p>
            <w:pPr>
              <w:spacing w:after="0"/>
              <w:rPr>
                <w:sz w:val="19"/>
                <w:szCs w:val="19"/>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Extreme ultraviolet lithography</w:t>
            </w:r>
          </w:p>
        </w:tc>
        <w:tc>
          <w:tcPr>
            <w:tcW w:w="1560" w:type="dxa"/>
            <w:vAlign w:val="bottom"/>
          </w:tcPr>
          <w:p>
            <w:pPr>
              <w:spacing w:after="0"/>
              <w:rPr>
                <w:sz w:val="20"/>
                <w:szCs w:val="20"/>
                <w:color w:val="auto"/>
              </w:rPr>
            </w:pPr>
            <w:r>
              <w:rPr>
                <w:rFonts w:ascii="Arial" w:cs="Arial" w:eastAsia="Arial" w:hAnsi="Arial"/>
                <w:sz w:val="18"/>
                <w:szCs w:val="18"/>
                <w:color w:val="auto"/>
              </w:rPr>
              <w:t>SSD</w:t>
            </w:r>
          </w:p>
        </w:tc>
        <w:tc>
          <w:tcPr>
            <w:tcW w:w="4060" w:type="dxa"/>
            <w:vAlign w:val="bottom"/>
          </w:tcPr>
          <w:p>
            <w:pPr>
              <w:ind w:left="240"/>
              <w:spacing w:after="0"/>
              <w:rPr>
                <w:sz w:val="20"/>
                <w:szCs w:val="20"/>
                <w:color w:val="auto"/>
              </w:rPr>
            </w:pPr>
            <w:r>
              <w:rPr>
                <w:rFonts w:ascii="Arial" w:cs="Arial" w:eastAsia="Arial" w:hAnsi="Arial"/>
                <w:sz w:val="18"/>
                <w:szCs w:val="18"/>
                <w:color w:val="auto"/>
              </w:rPr>
              <w:t>Solid State Drive</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w w:val="99"/>
              </w:rPr>
              <w:t>IMFT</w:t>
            </w:r>
          </w:p>
        </w:tc>
        <w:tc>
          <w:tcPr>
            <w:tcW w:w="1200" w:type="dxa"/>
            <w:vAlign w:val="bottom"/>
            <w:shd w:val="clear" w:color="auto" w:fill="DBDBDB"/>
          </w:tcPr>
          <w:p>
            <w:pPr>
              <w:spacing w:after="0"/>
              <w:rPr>
                <w:sz w:val="19"/>
                <w:szCs w:val="19"/>
                <w:color w:val="auto"/>
              </w:rPr>
            </w:pPr>
          </w:p>
        </w:tc>
        <w:tc>
          <w:tcPr>
            <w:tcW w:w="3960" w:type="dxa"/>
            <w:vAlign w:val="bottom"/>
            <w:gridSpan w:val="3"/>
            <w:shd w:val="clear" w:color="auto" w:fill="DBDBDB"/>
          </w:tcPr>
          <w:p>
            <w:pPr>
              <w:ind w:left="120"/>
              <w:spacing w:after="0"/>
              <w:rPr>
                <w:sz w:val="20"/>
                <w:szCs w:val="20"/>
                <w:color w:val="auto"/>
              </w:rPr>
            </w:pPr>
            <w:r>
              <w:rPr>
                <w:rFonts w:ascii="Arial" w:cs="Arial" w:eastAsia="Arial" w:hAnsi="Arial"/>
                <w:sz w:val="18"/>
                <w:szCs w:val="18"/>
                <w:color w:val="auto"/>
              </w:rPr>
              <w:t>IM Flash Technologies, LLC</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TI</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Texas Instruments Incorporated</w:t>
            </w:r>
          </w:p>
        </w:tc>
      </w:tr>
    </w:tbl>
    <w:p>
      <w:pPr>
        <w:spacing w:after="0" w:line="200" w:lineRule="exact"/>
        <w:rPr>
          <w:sz w:val="20"/>
          <w:szCs w:val="20"/>
          <w:color w:val="auto"/>
        </w:rPr>
      </w:pP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Micron Technology, Inc., including its consolidated subsidiaries, is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3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Micron, Crucial, any associated logos, and all other Micron trademarks are the property of Micron. Intel and 3D XPoint are trademarks of Intel Corporation or its subsidiaries. Other product names or trademarks that are not owned by Micron are for identification purposes only and may be the trademarks of their respective owners.</w:t>
      </w:r>
    </w:p>
    <w:p>
      <w:pPr>
        <w:spacing w:after="0" w:line="19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5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(the “SEC”), press releases, public conference calls,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the impact of the new Idaho tax law; potential increases in our effective tax rate; the impact of coronavirus disease 2019, including variant strains (“COVID-19”) to our business; the sufficiency of our cash and investments; the payment of future cash dividends; capital spending in 2022; and funding of sustainability-focused projects.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March 3,</w:t>
            </w:r>
          </w:p>
        </w:tc>
        <w:tc>
          <w:tcPr>
            <w:tcW w:w="24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3,</w:t>
            </w:r>
          </w:p>
        </w:tc>
        <w:tc>
          <w:tcPr>
            <w:tcW w:w="24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r>
      <w:tr>
        <w:trPr>
          <w:trHeight w:val="230"/>
        </w:trPr>
        <w:tc>
          <w:tcPr>
            <w:tcW w:w="53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7,786</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6,236</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15,473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12,009</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w:t>
            </w:r>
          </w:p>
        </w:tc>
      </w:tr>
      <w:tr>
        <w:trPr>
          <w:trHeight w:val="223"/>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7,241</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3,385</w:t>
            </w:r>
          </w:p>
        </w:tc>
      </w:tr>
      <w:tr>
        <w:trPr>
          <w:trHeight w:val="256"/>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792</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1,504</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53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5,177</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1,529</w:t>
            </w:r>
          </w:p>
        </w:tc>
      </w:tr>
      <w:tr>
        <w:trPr>
          <w:trHeight w:val="256"/>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5,030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57"/>
        </w:trPr>
        <w:tc>
          <w:tcPr>
            <w:tcW w:w="53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r>
      <w:tr>
        <w:trPr>
          <w:trHeight w:val="20"/>
        </w:trPr>
        <w:tc>
          <w:tcPr>
            <w:tcW w:w="538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53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56"/>
        </w:trPr>
        <w:tc>
          <w:tcPr>
            <w:tcW w:w="53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1,118</w:t>
            </w:r>
          </w:p>
        </w:tc>
      </w:tr>
      <w:tr>
        <w:trPr>
          <w:trHeight w:val="239"/>
        </w:trPr>
        <w:tc>
          <w:tcPr>
            <w:tcW w:w="5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1,130</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1,130</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6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3,</w:t>
            </w:r>
          </w:p>
        </w:tc>
        <w:tc>
          <w:tcPr>
            <w:tcW w:w="22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March 4,</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March 3,</w:t>
            </w:r>
          </w:p>
        </w:tc>
        <w:tc>
          <w:tcPr>
            <w:tcW w:w="24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r>
      <w:tr>
        <w:trPr>
          <w:trHeight w:val="230"/>
        </w:trPr>
        <w:tc>
          <w:tcPr>
            <w:tcW w:w="536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2,263</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4,569</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1,406</w:t>
            </w:r>
          </w:p>
        </w:tc>
      </w:tr>
      <w:tr>
        <w:trPr>
          <w:trHeight w:val="257"/>
        </w:trPr>
        <w:tc>
          <w:tcPr>
            <w:tcW w:w="5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Gains (losses) on investments</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Pension liability adjustments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Cumulative translation adjustments</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5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2,216</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4,429</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1,416</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220" w:type="dxa"/>
            <w:vAlign w:val="bottom"/>
          </w:tcPr>
          <w:p>
            <w:pPr>
              <w:jc w:val="right"/>
              <w:ind w:right="270"/>
              <w:spacing w:after="0" w:line="199" w:lineRule="exact"/>
              <w:rPr>
                <w:sz w:val="20"/>
                <w:szCs w:val="20"/>
                <w:color w:val="auto"/>
              </w:rPr>
            </w:pPr>
            <w:r>
              <w:rPr>
                <w:rFonts w:ascii="Arial" w:cs="Arial" w:eastAsia="Arial" w:hAnsi="Arial"/>
                <w:sz w:val="18"/>
                <w:szCs w:val="18"/>
                <w:b w:val="1"/>
                <w:bCs w:val="1"/>
                <w:color w:val="auto"/>
              </w:rPr>
              <w:t>March 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line="199" w:lineRule="exact"/>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0090DA"/>
            </w:tcBorders>
          </w:tcPr>
          <w:p>
            <w:pPr>
              <w:spacing w:after="0"/>
              <w:rPr>
                <w:sz w:val="19"/>
                <w:szCs w:val="19"/>
                <w:color w:val="auto"/>
              </w:rPr>
            </w:pPr>
          </w:p>
        </w:tc>
        <w:tc>
          <w:tcPr>
            <w:tcW w:w="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9,116</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5,384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5,383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21,502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1,315</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63,696</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5,650</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6,953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15,851</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60" w:type="dxa"/>
            <w:vAlign w:val="bottom"/>
          </w:tcPr>
          <w:p>
            <w:pPr>
              <w:ind w:left="140"/>
              <w:spacing w:after="0" w:line="176" w:lineRule="exact"/>
              <w:rPr>
                <w:sz w:val="20"/>
                <w:szCs w:val="20"/>
                <w:color w:val="auto"/>
              </w:rPr>
            </w:pPr>
            <w:r>
              <w:rPr>
                <w:rFonts w:ascii="Arial" w:cs="Arial" w:eastAsia="Arial" w:hAnsi="Arial"/>
                <w:sz w:val="18"/>
                <w:szCs w:val="18"/>
                <w:color w:val="auto"/>
              </w:rPr>
              <w:t>Common stock, $0.10 par value, 3,000 shares authorized, 1,223 shares issued and 1,118 outstanding</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(1,216 shares issued and 1,119 outstanding as of September 2, 2021)</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Additional capital</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43,407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Treasury stock, 105 shares held (97 shares as of September 2, 2021)</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(5,362)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47,845</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63,696</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p>
        </w:tc>
        <w:tc>
          <w:tcPr>
            <w:tcW w:w="1920" w:type="dxa"/>
            <w:vAlign w:val="bottom"/>
            <w:tcBorders>
              <w:bottom w:val="single" w:sz="8" w:color="0090DA"/>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60" w:type="dxa"/>
            <w:vAlign w:val="bottom"/>
          </w:tcPr>
          <w:p>
            <w:pPr>
              <w:jc w:val="center"/>
              <w:ind w:right="30"/>
              <w:spacing w:after="0" w:line="156"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8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0090DA"/>
            </w:tcBorders>
          </w:tcPr>
          <w:p>
            <w:pPr>
              <w:spacing w:after="0"/>
              <w:rPr>
                <w:sz w:val="19"/>
                <w:szCs w:val="19"/>
                <w:color w:val="auto"/>
              </w:rPr>
            </w:pPr>
          </w:p>
        </w:tc>
        <w:tc>
          <w:tcPr>
            <w:tcW w:w="192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0090DA"/>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6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right="1020"/>
        <w:spacing w:after="0" w:line="271" w:lineRule="auto"/>
        <w:rPr>
          <w:sz w:val="20"/>
          <w:szCs w:val="20"/>
          <w:color w:val="auto"/>
        </w:rPr>
      </w:pPr>
      <w:r>
        <w:rPr>
          <w:rFonts w:ascii="Arial" w:cs="Arial" w:eastAsia="Arial" w:hAnsi="Arial"/>
          <w:sz w:val="18"/>
          <w:szCs w:val="18"/>
          <w:b w:val="1"/>
          <w:bCs w:val="1"/>
          <w:color w:val="auto"/>
        </w:rPr>
        <w:t xml:space="preserve">Balance at September 2, 2021 </w:t>
      </w:r>
      <w:r>
        <w:rPr>
          <w:rFonts w:ascii="Arial" w:cs="Arial" w:eastAsia="Arial" w:hAnsi="Arial"/>
          <w:sz w:val="18"/>
          <w:szCs w:val="18"/>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20" w:right="520"/>
        <w:spacing w:after="0" w:line="234" w:lineRule="auto"/>
        <w:rPr>
          <w:sz w:val="20"/>
          <w:szCs w:val="20"/>
          <w:color w:val="auto"/>
        </w:rPr>
      </w:pPr>
      <w:r>
        <w:rPr>
          <w:rFonts w:ascii="Arial" w:cs="Arial" w:eastAsia="Arial" w:hAnsi="Arial"/>
          <w:sz w:val="18"/>
          <w:szCs w:val="18"/>
          <w:color w:val="auto"/>
        </w:rPr>
        <w:t>Repurchase of stock - withholdings on employee equity awards</w:t>
      </w:r>
    </w:p>
    <w:p>
      <w:pPr>
        <w:spacing w:after="0" w:line="6" w:lineRule="exact"/>
        <w:rPr>
          <w:sz w:val="20"/>
          <w:szCs w:val="20"/>
          <w:color w:val="auto"/>
        </w:rPr>
      </w:pPr>
    </w:p>
    <w:p>
      <w:pPr>
        <w:ind w:left="20" w:right="1080"/>
        <w:spacing w:after="0" w:line="271" w:lineRule="auto"/>
        <w:rPr>
          <w:sz w:val="20"/>
          <w:szCs w:val="20"/>
          <w:color w:val="auto"/>
        </w:rPr>
      </w:pPr>
      <w:r>
        <w:rPr>
          <w:rFonts w:ascii="Arial" w:cs="Arial" w:eastAsia="Arial" w:hAnsi="Arial"/>
          <w:sz w:val="18"/>
          <w:szCs w:val="18"/>
          <w:b w:val="1"/>
          <w:bCs w:val="1"/>
          <w:color w:val="auto"/>
        </w:rPr>
        <w:t xml:space="preserve">Balance at December 2, 2021 </w:t>
      </w:r>
      <w:r>
        <w:rPr>
          <w:rFonts w:ascii="Arial" w:cs="Arial" w:eastAsia="Arial" w:hAnsi="Arial"/>
          <w:sz w:val="18"/>
          <w:szCs w:val="18"/>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20" w:right="520"/>
        <w:spacing w:after="0" w:line="234"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Dividends and dividend equivalents declared ($0.10 per share)</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March 3,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9,453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39,051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(4,695)</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43,933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401"/>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18"/>
        </w:trPr>
        <w:tc>
          <w:tcPr>
            <w:tcW w:w="960" w:type="dxa"/>
            <w:vAlign w:val="bottom"/>
          </w:tcPr>
          <w:p>
            <w:pPr>
              <w:jc w:val="right"/>
              <w:spacing w:after="0"/>
              <w:rPr>
                <w:sz w:val="20"/>
                <w:szCs w:val="20"/>
                <w:color w:val="auto"/>
              </w:rPr>
            </w:pPr>
            <w:r>
              <w:rPr>
                <w:rFonts w:ascii="Arial" w:cs="Arial" w:eastAsia="Arial" w:hAnsi="Arial"/>
                <w:sz w:val="18"/>
                <w:szCs w:val="18"/>
                <w:color w:val="auto"/>
              </w:rPr>
              <w:t>1,220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9,564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41,267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(4,954)</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45,908</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405"/>
        </w:trPr>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1"/>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47,845</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-2716530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-2425065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-2133600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-1842135</wp:posOffset>
            </wp:positionV>
            <wp:extent cx="713232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-1431290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-1139190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-847725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-445135</wp:posOffset>
            </wp:positionV>
            <wp:extent cx="7132320"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60"/>
            <w:col w:w="7600"/>
          </w:cols>
          <w:pgMar w:left="320" w:top="125"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p>
        </w:tc>
        <w:tc>
          <w:tcPr>
            <w:tcW w:w="1920" w:type="dxa"/>
            <w:vAlign w:val="bottom"/>
            <w:tcBorders>
              <w:bottom w:val="single" w:sz="8" w:color="0090DA"/>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640" w:type="dxa"/>
            <w:vAlign w:val="bottom"/>
          </w:tcPr>
          <w:p>
            <w:pPr>
              <w:spacing w:after="0"/>
              <w:rPr>
                <w:sz w:val="13"/>
                <w:szCs w:val="13"/>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60" w:type="dxa"/>
            <w:vAlign w:val="bottom"/>
          </w:tcPr>
          <w:p>
            <w:pPr>
              <w:jc w:val="center"/>
              <w:ind w:right="30"/>
              <w:spacing w:after="0" w:line="156"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8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0090DA"/>
            </w:tcBorders>
          </w:tcPr>
          <w:p>
            <w:pPr>
              <w:spacing w:after="0"/>
              <w:rPr>
                <w:sz w:val="19"/>
                <w:szCs w:val="19"/>
                <w:color w:val="auto"/>
              </w:rPr>
            </w:pPr>
          </w:p>
        </w:tc>
        <w:tc>
          <w:tcPr>
            <w:tcW w:w="192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0090DA"/>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6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20" w:right="660"/>
        <w:spacing w:after="0" w:line="271" w:lineRule="auto"/>
        <w:rPr>
          <w:sz w:val="20"/>
          <w:szCs w:val="20"/>
          <w:color w:val="auto"/>
        </w:rPr>
      </w:pPr>
      <w:r>
        <w:rPr>
          <w:rFonts w:ascii="Arial" w:cs="Arial" w:eastAsia="Arial" w:hAnsi="Arial"/>
          <w:sz w:val="18"/>
          <w:szCs w:val="18"/>
          <w:b w:val="1"/>
          <w:bCs w:val="1"/>
          <w:color w:val="auto"/>
        </w:rPr>
        <w:t xml:space="preserve">Balance at September 3, 2020 </w:t>
      </w:r>
      <w:r>
        <w:rPr>
          <w:rFonts w:ascii="Arial" w:cs="Arial" w:eastAsia="Arial" w:hAnsi="Arial"/>
          <w:sz w:val="18"/>
          <w:szCs w:val="18"/>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right="160"/>
        <w:spacing w:after="0" w:line="234" w:lineRule="auto"/>
        <w:rPr>
          <w:sz w:val="20"/>
          <w:szCs w:val="20"/>
          <w:color w:val="auto"/>
        </w:rPr>
      </w:pPr>
      <w:r>
        <w:rPr>
          <w:rFonts w:ascii="Arial" w:cs="Arial" w:eastAsia="Arial" w:hAnsi="Arial"/>
          <w:sz w:val="18"/>
          <w:szCs w:val="18"/>
          <w:color w:val="auto"/>
        </w:rPr>
        <w:t>Repurchase of stock - withholdings on employee equity awards</w:t>
      </w:r>
    </w:p>
    <w:p>
      <w:pPr>
        <w:spacing w:after="0" w:line="6" w:lineRule="exact"/>
        <w:rPr>
          <w:sz w:val="20"/>
          <w:szCs w:val="20"/>
          <w:color w:val="auto"/>
        </w:rPr>
      </w:pPr>
    </w:p>
    <w:p>
      <w:pPr>
        <w:ind w:left="20" w:right="720"/>
        <w:spacing w:after="0" w:line="271" w:lineRule="auto"/>
        <w:rPr>
          <w:sz w:val="20"/>
          <w:szCs w:val="20"/>
          <w:color w:val="auto"/>
        </w:rPr>
      </w:pPr>
      <w:r>
        <w:rPr>
          <w:rFonts w:ascii="Arial" w:cs="Arial" w:eastAsia="Arial" w:hAnsi="Arial"/>
          <w:sz w:val="18"/>
          <w:szCs w:val="18"/>
          <w:b w:val="1"/>
          <w:bCs w:val="1"/>
          <w:color w:val="auto"/>
        </w:rPr>
        <w:t xml:space="preserve">Balance at December 3, 2020 </w:t>
      </w:r>
      <w:r>
        <w:rPr>
          <w:rFonts w:ascii="Arial" w:cs="Arial" w:eastAsia="Arial" w:hAnsi="Arial"/>
          <w:sz w:val="18"/>
          <w:szCs w:val="18"/>
          <w:color w:val="auto"/>
        </w:rPr>
        <w:t>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20" w:right="160"/>
        <w:spacing w:after="0" w:line="234" w:lineRule="auto"/>
        <w:rPr>
          <w:sz w:val="20"/>
          <w:szCs w:val="20"/>
          <w:color w:val="auto"/>
        </w:rPr>
      </w:pPr>
      <w:r>
        <w:rPr>
          <w:rFonts w:ascii="Arial" w:cs="Arial" w:eastAsia="Arial" w:hAnsi="Arial"/>
          <w:sz w:val="18"/>
          <w:szCs w:val="18"/>
          <w:color w:val="auto"/>
        </w:rPr>
        <w:t>Repurchase of stock - withholdings on employee equity awards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March 4,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1,194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33,384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rPr>
              <w:t>(3,495)</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38,996</w:t>
            </w:r>
          </w:p>
        </w:tc>
      </w:tr>
      <w:tr>
        <w:trPr>
          <w:trHeight w:val="230"/>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803</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29"/>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9"/>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01"/>
        </w:trPr>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(1)</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8"/>
        </w:trPr>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9,034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34,138</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ind w:left="120"/>
              <w:spacing w:after="0"/>
              <w:rPr>
                <w:sz w:val="20"/>
                <w:szCs w:val="20"/>
                <w:color w:val="auto"/>
              </w:rPr>
            </w:pPr>
            <w:r>
              <w:rPr>
                <w:rFonts w:ascii="Arial" w:cs="Arial" w:eastAsia="Arial" w:hAnsi="Arial"/>
                <w:sz w:val="18"/>
                <w:szCs w:val="18"/>
                <w:color w:val="auto"/>
              </w:rPr>
              <w:t>(3,495)</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39,907</w:t>
            </w:r>
          </w:p>
        </w:tc>
      </w:tr>
      <w:tr>
        <w:trPr>
          <w:trHeight w:val="230"/>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29"/>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9"/>
        </w:trPr>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01"/>
        </w:trPr>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34,723</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(3,495)</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40,663</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-2167890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-1876425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-1584960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-1182370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-882015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-590550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-187960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420"/>
            <w:col w:w="7600"/>
          </w:cols>
          <w:pgMar w:left="320" w:top="125" w:right="339" w:bottom="144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803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0"/>
          <w:szCs w:val="10"/>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4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0090DA"/>
            </w:tcBorders>
          </w:tcPr>
          <w:p>
            <w:pPr>
              <w:spacing w:after="0"/>
              <w:rPr>
                <w:sz w:val="24"/>
                <w:szCs w:val="24"/>
                <w:color w:val="auto"/>
              </w:rPr>
            </w:pPr>
          </w:p>
        </w:tc>
        <w:tc>
          <w:tcPr>
            <w:tcW w:w="12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7"/>
                <w:szCs w:val="17"/>
                <w:color w:val="auto"/>
              </w:rPr>
            </w:pPr>
          </w:p>
        </w:tc>
        <w:tc>
          <w:tcPr>
            <w:tcW w:w="1220" w:type="dxa"/>
            <w:vAlign w:val="bottom"/>
          </w:tcPr>
          <w:p>
            <w:pPr>
              <w:jc w:val="right"/>
              <w:ind w:right="270"/>
              <w:spacing w:after="0" w:line="199" w:lineRule="exact"/>
              <w:rPr>
                <w:sz w:val="20"/>
                <w:szCs w:val="20"/>
                <w:color w:val="auto"/>
              </w:rPr>
            </w:pPr>
            <w:r>
              <w:rPr>
                <w:rFonts w:ascii="Arial" w:cs="Arial" w:eastAsia="Arial" w:hAnsi="Arial"/>
                <w:sz w:val="18"/>
                <w:szCs w:val="18"/>
                <w:b w:val="1"/>
                <w:bCs w:val="1"/>
                <w:color w:val="auto"/>
              </w:rPr>
              <w:t>March 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70"/>
              <w:spacing w:after="0" w:line="199" w:lineRule="exact"/>
              <w:rPr>
                <w:sz w:val="20"/>
                <w:szCs w:val="20"/>
                <w:color w:val="auto"/>
              </w:rPr>
            </w:pPr>
            <w:r>
              <w:rPr>
                <w:rFonts w:ascii="Arial" w:cs="Arial" w:eastAsia="Arial" w:hAnsi="Arial"/>
                <w:sz w:val="18"/>
                <w:szCs w:val="18"/>
                <w:b w:val="1"/>
                <w:bCs w:val="1"/>
                <w:color w:val="auto"/>
              </w:rPr>
              <w:t>March 4,</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4,569</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repurchases and conversions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auto"/>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7,566</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(5,876)</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auto"/>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(1,981)</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auto"/>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2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80" w:type="dxa"/>
            <w:vAlign w:val="bottom"/>
            <w:tcBorders>
              <w:bottom w:val="single" w:sz="8" w:color="auto"/>
            </w:tcBorders>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5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September 2, 2021. There have been no changes to our significant accounting policies since our Annual Report on Form 10-K for the year ended September 2, 2021.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Basis of Presentation</w:t>
      </w:r>
    </w:p>
    <w:p>
      <w:pPr>
        <w:spacing w:after="0" w:line="24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Micron and our consolidated subsidiaries and have been prepared in accordance with accounting principles generally accepted in the United States of America (“U.S. GAAP”) consistent in all material respects with those applied in our Annual Report on Form 10-K for the year ended September 2, 2021.</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2022 and 2021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September 2, 2021.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Lehi, Utah Fab and 3D XPoint</w:t>
      </w:r>
    </w:p>
    <w:p>
      <w:pPr>
        <w:spacing w:after="0" w:line="2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Utah that was dedicated to 3D XPoint production. As a result, we classified the property, plant, and equipment as held for sale as of the second quarter of 2021 and ceased depreciating the assets. On June 30, 2021, we announced a definitive agreement to sell our Lehi facility to TI and closed the sale on October 22, 2021.</w:t>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and other related adjustments, we recognized a loss of $23 million included in restructure and asset impairments in the first quarter of 2022.</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In the second quarter of 2021, we also recognized a charge of $49 million in cost of goods sold to write down 3D XPoint inventory in connection with our decision to cease further development of this technology.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20"/>
        <w:spacing w:after="0"/>
        <w:rPr>
          <w:sz w:val="20"/>
          <w:szCs w:val="20"/>
          <w:color w:val="auto"/>
        </w:rPr>
      </w:pPr>
      <w:r>
        <w:rPr>
          <w:sz w:val="1"/>
          <w:szCs w:val="1"/>
          <w:color w:val="auto"/>
        </w:rPr>
        <w:drawing>
          <wp:inline distT="0" distB="0" distL="0" distR="0">
            <wp:extent cx="643255" cy="1803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2"/>
          <w:szCs w:val="12"/>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57"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Substantially all of our marketable debt investments were classified as available-for-sale as of the dates noted below. Cash and equivalents and the fair values of our available-for-sale investments, which approximated amortized costs,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400" w:type="dxa"/>
            <w:vAlign w:val="bottom"/>
            <w:tcBorders>
              <w:bottom w:val="single" w:sz="8" w:color="0090DA"/>
            </w:tcBorders>
            <w:gridSpan w:val="3"/>
          </w:tcPr>
          <w:p>
            <w:pPr>
              <w:jc w:val="right"/>
              <w:ind w:right="690"/>
              <w:spacing w:after="0"/>
              <w:rPr>
                <w:sz w:val="20"/>
                <w:szCs w:val="20"/>
                <w:color w:val="auto"/>
              </w:rPr>
            </w:pPr>
            <w:r>
              <w:rPr>
                <w:rFonts w:ascii="Arial" w:cs="Arial" w:eastAsia="Arial" w:hAnsi="Arial"/>
                <w:sz w:val="18"/>
                <w:szCs w:val="18"/>
                <w:b w:val="1"/>
                <w:bCs w:val="1"/>
                <w:color w:val="auto"/>
              </w:rPr>
              <w:t>March 3, 2022</w:t>
            </w:r>
          </w:p>
        </w:tc>
        <w:tc>
          <w:tcPr>
            <w:tcW w:w="20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4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2, 2021</w:t>
            </w:r>
          </w:p>
        </w:tc>
        <w:tc>
          <w:tcPr>
            <w:tcW w:w="180" w:type="dxa"/>
            <w:vAlign w:val="bottom"/>
            <w:tcBorders>
              <w:bottom w:val="single" w:sz="8" w:color="0090DA"/>
            </w:tcBorders>
          </w:tcPr>
          <w:p>
            <w:pPr>
              <w:spacing w:after="0"/>
              <w:rPr>
                <w:sz w:val="20"/>
                <w:szCs w:val="20"/>
                <w:color w:val="auto"/>
              </w:rPr>
            </w:pPr>
          </w:p>
        </w:tc>
        <w:tc>
          <w:tcPr>
            <w:tcW w:w="72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4"/>
                <w:szCs w:val="14"/>
                <w:color w:val="auto"/>
              </w:rPr>
            </w:pPr>
          </w:p>
        </w:tc>
        <w:tc>
          <w:tcPr>
            <w:tcW w:w="11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rPr>
              <w:t>Long-term</w:t>
            </w: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6"/>
              </w:rPr>
              <w:t>Total Fair</w:t>
            </w: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4"/>
                <w:szCs w:val="14"/>
                <w:color w:val="auto"/>
              </w:rPr>
            </w:pPr>
          </w:p>
        </w:tc>
        <w:tc>
          <w:tcPr>
            <w:tcW w:w="11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75"/>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Marketable</w:t>
            </w: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2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Value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7,810</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7,810</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1,126</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Certificates of deposits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175"/>
        </w:trPr>
        <w:tc>
          <w:tcPr>
            <w:tcW w:w="2020" w:type="dxa"/>
            <w:vAlign w:val="bottom"/>
            <w:shd w:val="clear" w:color="auto" w:fill="D1D2D4"/>
          </w:tcPr>
          <w:p>
            <w:pPr>
              <w:ind w:left="140"/>
              <w:spacing w:after="0" w:line="176" w:lineRule="exact"/>
              <w:rPr>
                <w:sz w:val="20"/>
                <w:szCs w:val="20"/>
                <w:color w:val="auto"/>
              </w:rPr>
            </w:pPr>
            <w:r>
              <w:rPr>
                <w:rFonts w:ascii="Arial" w:cs="Arial" w:eastAsia="Arial" w:hAnsi="Arial"/>
                <w:sz w:val="18"/>
                <w:szCs w:val="18"/>
                <w:color w:val="auto"/>
              </w:rPr>
              <w:t>Asset-backed</w:t>
            </w:r>
          </w:p>
        </w:tc>
        <w:tc>
          <w:tcPr>
            <w:tcW w:w="140" w:type="dxa"/>
            <w:vAlign w:val="bottom"/>
            <w:shd w:val="clear" w:color="auto" w:fill="D1D2D4"/>
          </w:tcPr>
          <w:p>
            <w:pPr>
              <w:spacing w:after="0"/>
              <w:rPr>
                <w:sz w:val="15"/>
                <w:szCs w:val="15"/>
                <w:color w:val="auto"/>
              </w:rPr>
            </w:pP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D1D2D4"/>
          </w:tcPr>
          <w:p>
            <w:pPr>
              <w:spacing w:after="0"/>
              <w:rPr>
                <w:sz w:val="15"/>
                <w:szCs w:val="15"/>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19"/>
                <w:szCs w:val="19"/>
                <w:color w:val="auto"/>
              </w:rPr>
            </w:pPr>
          </w:p>
        </w:tc>
        <w:tc>
          <w:tcPr>
            <w:tcW w:w="980" w:type="dxa"/>
            <w:vAlign w:val="bottom"/>
            <w:vMerge w:val="continue"/>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40" w:type="dxa"/>
            <w:vAlign w:val="bottom"/>
            <w:vMerge w:val="continue"/>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60" w:type="dxa"/>
            <w:vAlign w:val="bottom"/>
            <w:vMerge w:val="continue"/>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00" w:type="dxa"/>
            <w:vAlign w:val="bottom"/>
            <w:vMerge w:val="continue"/>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vMerge w:val="continue"/>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40" w:type="dxa"/>
            <w:vAlign w:val="bottom"/>
            <w:vMerge w:val="continue"/>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80" w:type="dxa"/>
            <w:vAlign w:val="bottom"/>
            <w:vMerge w:val="continue"/>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720" w:type="dxa"/>
            <w:vAlign w:val="bottom"/>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108</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66</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20" w:type="dxa"/>
            <w:vAlign w:val="bottom"/>
          </w:tcPr>
          <w:p>
            <w:pPr>
              <w:ind w:left="20"/>
              <w:spacing w:after="0" w:line="156"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9,224</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7,829</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20" w:type="dxa"/>
            <w:vAlign w:val="bottom"/>
          </w:tcPr>
          <w:p>
            <w:pPr>
              <w:ind w:left="20"/>
              <w:spacing w:after="0" w:line="202" w:lineRule="exact"/>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primarily range from one to four years.</w:t>
      </w:r>
    </w:p>
    <w:p>
      <w:pPr>
        <w:ind w:left="240" w:hanging="232"/>
        <w:spacing w:after="0" w:line="196" w:lineRule="auto"/>
        <w:tabs>
          <w:tab w:leader="none" w:pos="2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March 3, 2022 or September 2, 2021.</w:t>
      </w:r>
    </w:p>
    <w:p>
      <w:pPr>
        <w:spacing w:after="0" w:line="1" w:lineRule="exact"/>
        <w:rPr>
          <w:rFonts w:ascii="Arial" w:cs="Arial" w:eastAsia="Arial" w:hAnsi="Arial"/>
          <w:sz w:val="23"/>
          <w:szCs w:val="23"/>
          <w:i w:val="1"/>
          <w:iCs w:val="1"/>
          <w:color w:val="auto"/>
          <w:vertAlign w:val="superscript"/>
        </w:rPr>
      </w:pPr>
    </w:p>
    <w:p>
      <w:pPr>
        <w:ind w:left="260" w:right="420" w:hanging="252"/>
        <w:spacing w:after="0" w:line="222"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addition to the amounts included in the table above, we had $196 million and $153 million of non-marketable equity investments without a readily determinable fair value that were included in other noncurrent assets as of March 3, 2022 and September 2, 2021, respectively.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w:t>
            </w:r>
          </w:p>
        </w:tc>
        <w:tc>
          <w:tcPr>
            <w:tcW w:w="18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5,061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154"/>
        </w:trPr>
        <w:tc>
          <w:tcPr>
            <w:tcW w:w="8360" w:type="dxa"/>
            <w:vAlign w:val="bottom"/>
          </w:tcPr>
          <w:p>
            <w:pPr>
              <w:spacing w:after="0"/>
              <w:rPr>
                <w:sz w:val="20"/>
                <w:szCs w:val="20"/>
                <w:color w:val="auto"/>
              </w:rPr>
            </w:pPr>
            <w:r>
              <w:rPr>
                <w:rFonts w:ascii="Arial" w:cs="Arial" w:eastAsia="Arial" w:hAnsi="Arial"/>
                <w:sz w:val="40"/>
                <w:szCs w:val="40"/>
                <w:b w:val="1"/>
                <w:bCs w:val="1"/>
                <w:color w:val="auto"/>
              </w:rPr>
              <w:t>Inventories</w:t>
            </w:r>
          </w:p>
        </w:tc>
        <w:tc>
          <w:tcPr>
            <w:tcW w:w="220" w:type="dxa"/>
            <w:vAlign w:val="bottom"/>
          </w:tcPr>
          <w:p>
            <w:pPr>
              <w:spacing w:after="0"/>
              <w:rPr>
                <w:sz w:val="24"/>
                <w:szCs w:val="24"/>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March 3,</w:t>
            </w:r>
          </w:p>
        </w:tc>
        <w:tc>
          <w:tcPr>
            <w:tcW w:w="12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0090DA"/>
            </w:tcBorders>
          </w:tcPr>
          <w:p>
            <w:pPr>
              <w:spacing w:after="0"/>
              <w:rPr>
                <w:sz w:val="19"/>
                <w:szCs w:val="19"/>
                <w:color w:val="auto"/>
              </w:rPr>
            </w:pPr>
          </w:p>
        </w:tc>
        <w:tc>
          <w:tcPr>
            <w:tcW w:w="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w:t>
            </w:r>
          </w:p>
        </w:tc>
        <w:tc>
          <w:tcPr>
            <w:tcW w:w="1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The change to FIFO was not material to any prior periods, and as such, prior periods were not retrospectively adjusted.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17"/>
                <w:szCs w:val="17"/>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w:t>
            </w: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15,701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14,776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56,578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51,902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75,414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69,462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(39,243)</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(36,249)</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36,171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40" w:hanging="232"/>
        <w:spacing w:after="0"/>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$2.69 billion as of March 3, 2022 and $1.99 billion as of September 2, 2021.</w:t>
      </w:r>
    </w:p>
    <w:p>
      <w:pPr>
        <w:ind w:left="240" w:hanging="232"/>
        <w:spacing w:after="0" w:line="200" w:lineRule="auto"/>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4"/>
          </w:tcPr>
          <w:p>
            <w:pPr>
              <w:ind w:left="600"/>
              <w:spacing w:after="0"/>
              <w:rPr>
                <w:sz w:val="20"/>
                <w:szCs w:val="20"/>
                <w:color w:val="auto"/>
              </w:rPr>
            </w:pPr>
            <w:r>
              <w:rPr>
                <w:rFonts w:ascii="Arial" w:cs="Arial" w:eastAsia="Arial" w:hAnsi="Arial"/>
                <w:sz w:val="18"/>
                <w:szCs w:val="18"/>
                <w:b w:val="1"/>
                <w:bCs w:val="1"/>
                <w:color w:val="auto"/>
              </w:rPr>
              <w:t>March 3, 2022</w:t>
            </w:r>
          </w:p>
        </w:tc>
        <w:tc>
          <w:tcPr>
            <w:tcW w:w="240" w:type="dxa"/>
            <w:vAlign w:val="bottom"/>
          </w:tcPr>
          <w:p>
            <w:pPr>
              <w:spacing w:after="0"/>
              <w:rPr>
                <w:sz w:val="18"/>
                <w:szCs w:val="18"/>
                <w:color w:val="auto"/>
              </w:rPr>
            </w:pPr>
          </w:p>
        </w:tc>
        <w:tc>
          <w:tcPr>
            <w:tcW w:w="26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2, 2021</w:t>
            </w: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0"/>
        </w:trPr>
        <w:tc>
          <w:tcPr>
            <w:tcW w:w="53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the first six months of 2022 and 2021, we capitalized $105 million and $49 million, respectively, for product and process technology with weighted-average useful lives of 7 years and 9 years, respectively. Amortization expense was $40 million and $41 million for the first six months of 2022 and 2021, respectively. Expected amortization expense is $42 million for the remainder of 2022, $75 million for 2023, $67 million for 2024, $47 million for 2025, and $38 million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gridSpan w:val="4"/>
          </w:tcPr>
          <w:p>
            <w:pPr>
              <w:ind w:left="80"/>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154"/>
        </w:trPr>
        <w:tc>
          <w:tcPr>
            <w:tcW w:w="5380" w:type="dxa"/>
            <w:vAlign w:val="bottom"/>
            <w:gridSpan w:val="2"/>
          </w:tcPr>
          <w:p>
            <w:pPr>
              <w:spacing w:after="0"/>
              <w:rPr>
                <w:sz w:val="20"/>
                <w:szCs w:val="20"/>
                <w:color w:val="auto"/>
              </w:rPr>
            </w:pPr>
            <w:r>
              <w:rPr>
                <w:rFonts w:ascii="Arial" w:cs="Arial" w:eastAsia="Arial" w:hAnsi="Arial"/>
                <w:sz w:val="40"/>
                <w:szCs w:val="40"/>
                <w:b w:val="1"/>
                <w:bCs w:val="1"/>
                <w:color w:val="auto"/>
              </w:rPr>
              <w:t>Leases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0090DA"/>
            </w:tcBorders>
          </w:tcPr>
          <w:p>
            <w:pPr>
              <w:spacing w:after="0"/>
              <w:rPr>
                <w:sz w:val="24"/>
                <w:szCs w:val="24"/>
                <w:color w:val="auto"/>
              </w:rPr>
            </w:pPr>
          </w:p>
        </w:tc>
        <w:tc>
          <w:tcPr>
            <w:tcW w:w="1220" w:type="dxa"/>
            <w:vAlign w:val="bottom"/>
            <w:tcBorders>
              <w:top w:val="single" w:sz="8" w:color="0090D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380" w:type="dxa"/>
            <w:vAlign w:val="bottom"/>
            <w:gridSpan w:val="2"/>
          </w:tcPr>
          <w:p>
            <w:pPr>
              <w:spacing w:after="0"/>
              <w:rPr>
                <w:sz w:val="20"/>
                <w:szCs w:val="20"/>
                <w:color w:val="auto"/>
              </w:rPr>
            </w:pPr>
            <w:r>
              <w:rPr>
                <w:rFonts w:ascii="Arial" w:cs="Arial" w:eastAsia="Arial" w:hAnsi="Arial"/>
                <w:sz w:val="18"/>
                <w:szCs w:val="18"/>
                <w:color w:val="auto"/>
              </w:rPr>
              <w:t>The components of lease expense are presented below:</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25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Quarter ended</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60" w:type="dxa"/>
            <w:vAlign w:val="bottom"/>
            <w:gridSpan w:val="5"/>
          </w:tcPr>
          <w:p>
            <w:pPr>
              <w:ind w:left="5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20" w:type="dxa"/>
            <w:vAlign w:val="bottom"/>
            <w:tcBorders>
              <w:top w:val="single" w:sz="8" w:color="0090DA"/>
            </w:tcBorders>
          </w:tcPr>
          <w:p>
            <w:pPr>
              <w:jc w:val="right"/>
              <w:spacing w:after="0" w:line="169" w:lineRule="exact"/>
              <w:rPr>
                <w:sz w:val="20"/>
                <w:szCs w:val="20"/>
                <w:color w:val="auto"/>
              </w:rPr>
            </w:pPr>
            <w:r>
              <w:rPr>
                <w:rFonts w:ascii="Arial" w:cs="Arial" w:eastAsia="Arial" w:hAnsi="Arial"/>
                <w:sz w:val="18"/>
                <w:szCs w:val="18"/>
                <w:b w:val="1"/>
                <w:bCs w:val="1"/>
                <w:color w:val="auto"/>
              </w:rPr>
              <w:t>March 3,</w:t>
            </w:r>
          </w:p>
        </w:tc>
        <w:tc>
          <w:tcPr>
            <w:tcW w:w="280" w:type="dxa"/>
            <w:vAlign w:val="bottom"/>
            <w:tcBorders>
              <w:top w:val="single" w:sz="8" w:color="0090DA"/>
            </w:tcBorders>
          </w:tcPr>
          <w:p>
            <w:pPr>
              <w:spacing w:after="0"/>
              <w:rPr>
                <w:sz w:val="14"/>
                <w:szCs w:val="14"/>
                <w:color w:val="auto"/>
              </w:rPr>
            </w:pPr>
          </w:p>
        </w:tc>
        <w:tc>
          <w:tcPr>
            <w:tcW w:w="1140" w:type="dxa"/>
            <w:vAlign w:val="bottom"/>
            <w:tcBorders>
              <w:top w:val="single" w:sz="8" w:color="0090DA"/>
            </w:tcBorders>
          </w:tcPr>
          <w:p>
            <w:pPr>
              <w:jc w:val="right"/>
              <w:spacing w:after="0" w:line="169" w:lineRule="exact"/>
              <w:rPr>
                <w:sz w:val="20"/>
                <w:szCs w:val="20"/>
                <w:color w:val="auto"/>
              </w:rPr>
            </w:pPr>
            <w:r>
              <w:rPr>
                <w:rFonts w:ascii="Arial" w:cs="Arial" w:eastAsia="Arial" w:hAnsi="Arial"/>
                <w:sz w:val="18"/>
                <w:szCs w:val="18"/>
                <w:b w:val="1"/>
                <w:bCs w:val="1"/>
                <w:color w:val="auto"/>
              </w:rPr>
              <w:t>March 4,</w:t>
            </w:r>
          </w:p>
        </w:tc>
        <w:tc>
          <w:tcPr>
            <w:tcW w:w="340" w:type="dxa"/>
            <w:vAlign w:val="bottom"/>
            <w:tcBorders>
              <w:top w:val="single" w:sz="8" w:color="0090DA"/>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center"/>
              <w:ind w:right="70"/>
              <w:spacing w:after="0" w:line="169" w:lineRule="exact"/>
              <w:rPr>
                <w:sz w:val="20"/>
                <w:szCs w:val="20"/>
                <w:color w:val="auto"/>
              </w:rPr>
            </w:pPr>
            <w:r>
              <w:rPr>
                <w:rFonts w:ascii="Arial" w:cs="Arial" w:eastAsia="Arial" w:hAnsi="Arial"/>
                <w:sz w:val="18"/>
                <w:szCs w:val="18"/>
                <w:b w:val="1"/>
                <w:bCs w:val="1"/>
                <w:color w:val="auto"/>
              </w:rPr>
              <w:t>March 3,</w:t>
            </w:r>
          </w:p>
        </w:tc>
        <w:tc>
          <w:tcPr>
            <w:tcW w:w="80" w:type="dxa"/>
            <w:vAlign w:val="bottom"/>
            <w:tcBorders>
              <w:top w:val="single" w:sz="8" w:color="0090DA"/>
            </w:tcBorders>
          </w:tcPr>
          <w:p>
            <w:pPr>
              <w:spacing w:after="0"/>
              <w:rPr>
                <w:sz w:val="14"/>
                <w:szCs w:val="14"/>
                <w:color w:val="auto"/>
              </w:rPr>
            </w:pPr>
          </w:p>
        </w:tc>
        <w:tc>
          <w:tcPr>
            <w:tcW w:w="12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8"/>
              </w:rPr>
              <w:t>March 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0090DA"/>
            </w:tcBorders>
          </w:tcPr>
          <w:p>
            <w:pPr>
              <w:spacing w:after="0"/>
              <w:rPr>
                <w:sz w:val="19"/>
                <w:szCs w:val="19"/>
                <w:color w:val="auto"/>
              </w:rPr>
            </w:pPr>
          </w:p>
        </w:tc>
        <w:tc>
          <w:tcPr>
            <w:tcW w:w="536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DDDDDD"/>
          </w:tcPr>
          <w:p>
            <w:pPr>
              <w:spacing w:after="0"/>
              <w:rPr>
                <w:sz w:val="19"/>
                <w:szCs w:val="19"/>
                <w:color w:val="auto"/>
              </w:rPr>
            </w:pPr>
          </w:p>
        </w:tc>
        <w:tc>
          <w:tcPr>
            <w:tcW w:w="5360" w:type="dxa"/>
            <w:vAlign w:val="bottom"/>
            <w:shd w:val="clear" w:color="auto" w:fill="DDDDDD"/>
          </w:tcPr>
          <w:p>
            <w:pPr>
              <w:spacing w:after="0"/>
              <w:rPr>
                <w:sz w:val="20"/>
                <w:szCs w:val="20"/>
                <w:color w:val="auto"/>
              </w:rPr>
            </w:pPr>
            <w:r>
              <w:rPr>
                <w:rFonts w:ascii="Arial" w:cs="Arial" w:eastAsia="Arial" w:hAnsi="Arial"/>
                <w:sz w:val="18"/>
                <w:szCs w:val="18"/>
                <w:color w:val="auto"/>
              </w:rPr>
              <w:t>Finance lease cost</w:t>
            </w:r>
          </w:p>
        </w:tc>
        <w:tc>
          <w:tcPr>
            <w:tcW w:w="11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220" w:type="dxa"/>
            <w:vAlign w:val="bottom"/>
            <w:shd w:val="clear" w:color="auto" w:fill="DDDDDD"/>
          </w:tcPr>
          <w:p>
            <w:pPr>
              <w:spacing w:after="0"/>
              <w:rPr>
                <w:sz w:val="19"/>
                <w:szCs w:val="19"/>
                <w:color w:val="auto"/>
              </w:rPr>
            </w:pPr>
          </w:p>
        </w:tc>
        <w:tc>
          <w:tcPr>
            <w:tcW w:w="40" w:type="dxa"/>
            <w:vAlign w:val="bottom"/>
            <w:tcBorders>
              <w:left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Amortization of right-of-use asset</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114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DDDDD"/>
          </w:tcPr>
          <w:p>
            <w:pPr>
              <w:spacing w:after="0"/>
              <w:rPr>
                <w:sz w:val="19"/>
                <w:szCs w:val="19"/>
                <w:color w:val="auto"/>
              </w:rPr>
            </w:pPr>
          </w:p>
        </w:tc>
        <w:tc>
          <w:tcPr>
            <w:tcW w:w="5360" w:type="dxa"/>
            <w:vAlign w:val="bottom"/>
            <w:shd w:val="clear" w:color="auto" w:fill="DDDDDD"/>
          </w:tcPr>
          <w:p>
            <w:pPr>
              <w:ind w:left="120"/>
              <w:spacing w:after="0"/>
              <w:rPr>
                <w:sz w:val="20"/>
                <w:szCs w:val="20"/>
                <w:color w:val="auto"/>
              </w:rPr>
            </w:pPr>
            <w:r>
              <w:rPr>
                <w:rFonts w:ascii="Arial" w:cs="Arial" w:eastAsia="Arial" w:hAnsi="Arial"/>
                <w:sz w:val="18"/>
                <w:szCs w:val="18"/>
                <w:color w:val="auto"/>
              </w:rPr>
              <w:t>Interest on lease liability</w:t>
            </w:r>
          </w:p>
        </w:tc>
        <w:tc>
          <w:tcPr>
            <w:tcW w:w="1120" w:type="dxa"/>
            <w:vAlign w:val="bottom"/>
            <w:shd w:val="clear" w:color="auto" w:fill="DDDDDD"/>
          </w:tcPr>
          <w:p>
            <w:pPr>
              <w:spacing w:after="0"/>
              <w:rPr>
                <w:sz w:val="19"/>
                <w:szCs w:val="19"/>
                <w:color w:val="auto"/>
              </w:rPr>
            </w:pPr>
          </w:p>
        </w:tc>
        <w:tc>
          <w:tcPr>
            <w:tcW w:w="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1140" w:type="dxa"/>
            <w:vAlign w:val="bottom"/>
            <w:shd w:val="clear" w:color="auto" w:fill="DDDDDD"/>
          </w:tcPr>
          <w:p>
            <w:pPr>
              <w:spacing w:after="0"/>
              <w:rPr>
                <w:sz w:val="19"/>
                <w:szCs w:val="19"/>
                <w:color w:val="auto"/>
              </w:rPr>
            </w:pPr>
          </w:p>
        </w:tc>
        <w:tc>
          <w:tcPr>
            <w:tcW w:w="3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left w:val="single" w:sz="8" w:color="DDDDDD"/>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DDDDDD"/>
            </w:tcBorders>
          </w:tcPr>
          <w:p>
            <w:pPr>
              <w:spacing w:after="0"/>
              <w:rPr>
                <w:sz w:val="19"/>
                <w:szCs w:val="19"/>
                <w:color w:val="auto"/>
              </w:rPr>
            </w:pPr>
          </w:p>
        </w:tc>
        <w:tc>
          <w:tcPr>
            <w:tcW w:w="5360" w:type="dxa"/>
            <w:vAlign w:val="bottom"/>
            <w:tcBorders>
              <w:bottom w:val="single" w:sz="8" w:color="DDDDDD"/>
            </w:tcBorders>
          </w:tcPr>
          <w:p>
            <w:pPr>
              <w:spacing w:after="0"/>
              <w:rPr>
                <w:sz w:val="20"/>
                <w:szCs w:val="20"/>
                <w:color w:val="auto"/>
              </w:rPr>
            </w:pPr>
            <w:r>
              <w:rPr>
                <w:rFonts w:ascii="Arial" w:cs="Arial" w:eastAsia="Arial" w:hAnsi="Arial"/>
                <w:sz w:val="18"/>
                <w:szCs w:val="18"/>
                <w:color w:val="auto"/>
              </w:rPr>
              <w:t>Operating lease cost</w:t>
            </w: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DDDDDD"/>
            </w:tcBorders>
            <w:shd w:val="clear" w:color="auto" w:fill="DDDDDD"/>
          </w:tcPr>
          <w:p>
            <w:pPr>
              <w:spacing w:after="0"/>
              <w:rPr>
                <w:sz w:val="21"/>
                <w:szCs w:val="21"/>
                <w:color w:val="auto"/>
              </w:rPr>
            </w:pPr>
          </w:p>
        </w:tc>
        <w:tc>
          <w:tcPr>
            <w:tcW w:w="536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auto"/>
            </w:tcBorders>
            <w:shd w:val="clear" w:color="auto" w:fill="DDDDDD"/>
          </w:tcPr>
          <w:p>
            <w:pPr>
              <w:jc w:val="right"/>
              <w:ind w:right="9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63</w:t>
            </w:r>
          </w:p>
        </w:tc>
        <w:tc>
          <w:tcPr>
            <w:tcW w:w="1140" w:type="dxa"/>
            <w:vAlign w:val="bottom"/>
            <w:tcBorders>
              <w:bottom w:val="single" w:sz="8" w:color="auto"/>
            </w:tcBorders>
            <w:shd w:val="clear" w:color="auto" w:fill="DDDDDD"/>
          </w:tcPr>
          <w:p>
            <w:pPr>
              <w:jc w:val="right"/>
              <w:ind w:right="8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auto"/>
            </w:tcBorders>
            <w:gridSpan w:val="2"/>
            <w:shd w:val="clear" w:color="auto" w:fill="DDDDDD"/>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left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DDDDD"/>
            </w:tcBorders>
          </w:tcPr>
          <w:p>
            <w:pPr>
              <w:spacing w:after="0" w:line="20" w:lineRule="exact"/>
              <w:rPr>
                <w:sz w:val="1"/>
                <w:szCs w:val="1"/>
                <w:color w:val="auto"/>
              </w:rPr>
            </w:pPr>
          </w:p>
        </w:tc>
        <w:tc>
          <w:tcPr>
            <w:tcW w:w="5360" w:type="dxa"/>
            <w:vAlign w:val="bottom"/>
            <w:tcBorders>
              <w:top w:val="single" w:sz="8" w:color="DDDDDD"/>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c>
          <w:tcPr>
            <w:tcW w:w="28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220" w:type="dxa"/>
            <w:vAlign w:val="bottom"/>
            <w:tcBorders>
              <w:top w:val="single" w:sz="8" w:color="DDDDDD"/>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6500" w:type="dxa"/>
            <w:vAlign w:val="bottom"/>
            <w:gridSpan w:val="3"/>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Six months ended</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70"/>
              <w:spacing w:after="0" w:line="199" w:lineRule="exact"/>
              <w:rPr>
                <w:sz w:val="20"/>
                <w:szCs w:val="20"/>
                <w:color w:val="auto"/>
              </w:rPr>
            </w:pPr>
            <w:r>
              <w:rPr>
                <w:rFonts w:ascii="Arial" w:cs="Arial" w:eastAsia="Arial" w:hAnsi="Arial"/>
                <w:sz w:val="18"/>
                <w:szCs w:val="18"/>
                <w:b w:val="1"/>
                <w:bCs w:val="1"/>
                <w:color w:val="auto"/>
              </w:rPr>
              <w:t>March 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line="199" w:lineRule="exact"/>
              <w:rPr>
                <w:sz w:val="20"/>
                <w:szCs w:val="20"/>
                <w:color w:val="auto"/>
              </w:rPr>
            </w:pPr>
            <w:r>
              <w:rPr>
                <w:rFonts w:ascii="Arial" w:cs="Arial" w:eastAsia="Arial" w:hAnsi="Arial"/>
                <w:sz w:val="18"/>
                <w:szCs w:val="18"/>
                <w:b w:val="1"/>
                <w:bCs w:val="1"/>
                <w:color w:val="auto"/>
                <w:w w:val="98"/>
              </w:rPr>
              <w:t>March 4,</w:t>
            </w:r>
          </w:p>
        </w:tc>
        <w:tc>
          <w:tcPr>
            <w:tcW w:w="0" w:type="dxa"/>
            <w:vAlign w:val="bottom"/>
          </w:tcPr>
          <w:p>
            <w:pPr>
              <w:spacing w:after="0"/>
              <w:rPr>
                <w:sz w:val="1"/>
                <w:szCs w:val="1"/>
                <w:color w:val="auto"/>
              </w:rPr>
            </w:pPr>
          </w:p>
        </w:tc>
      </w:tr>
      <w:tr>
        <w:trPr>
          <w:trHeight w:val="229"/>
        </w:trPr>
        <w:tc>
          <w:tcPr>
            <w:tcW w:w="20" w:type="dxa"/>
            <w:vAlign w:val="bottom"/>
            <w:tcBorders>
              <w:bottom w:val="single" w:sz="8" w:color="0090DA"/>
            </w:tcBorders>
          </w:tcPr>
          <w:p>
            <w:pPr>
              <w:spacing w:after="0"/>
              <w:rPr>
                <w:sz w:val="19"/>
                <w:szCs w:val="19"/>
                <w:color w:val="auto"/>
              </w:rPr>
            </w:pPr>
          </w:p>
        </w:tc>
        <w:tc>
          <w:tcPr>
            <w:tcW w:w="5360" w:type="dxa"/>
            <w:vAlign w:val="bottom"/>
            <w:tcBorders>
              <w:bottom w:val="single" w:sz="8" w:color="0090DA"/>
            </w:tcBorders>
            <w:vMerge w:val="continue"/>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28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spacing w:after="0"/>
              <w:rPr>
                <w:sz w:val="19"/>
                <w:szCs w:val="19"/>
                <w:color w:val="auto"/>
              </w:rPr>
            </w:pPr>
          </w:p>
        </w:tc>
        <w:tc>
          <w:tcPr>
            <w:tcW w:w="34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360" w:type="dxa"/>
            <w:vAlign w:val="bottom"/>
            <w:shd w:val="clear" w:color="auto" w:fill="DBDBDB"/>
          </w:tcPr>
          <w:p>
            <w:pPr>
              <w:spacing w:after="0"/>
              <w:rPr>
                <w:sz w:val="20"/>
                <w:szCs w:val="20"/>
                <w:color w:val="auto"/>
              </w:rPr>
            </w:pPr>
            <w:r>
              <w:rPr>
                <w:rFonts w:ascii="Arial" w:cs="Arial" w:eastAsia="Arial" w:hAnsi="Arial"/>
                <w:sz w:val="18"/>
                <w:szCs w:val="18"/>
                <w:color w:val="auto"/>
              </w:rPr>
              <w:t>Cash flows used for operating activities</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360" w:type="dxa"/>
            <w:vAlign w:val="bottom"/>
            <w:shd w:val="clear" w:color="auto" w:fill="DBDBDB"/>
          </w:tcPr>
          <w:p>
            <w:pPr>
              <w:ind w:left="120"/>
              <w:spacing w:after="0"/>
              <w:rPr>
                <w:sz w:val="20"/>
                <w:szCs w:val="20"/>
                <w:color w:val="auto"/>
              </w:rPr>
            </w:pPr>
            <w:r>
              <w:rPr>
                <w:rFonts w:ascii="Arial" w:cs="Arial" w:eastAsia="Arial" w:hAnsi="Arial"/>
                <w:sz w:val="18"/>
                <w:szCs w:val="18"/>
                <w:color w:val="auto"/>
              </w:rPr>
              <w:t>Operating leases</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flows used for financing activities from financing leases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360" w:type="dxa"/>
            <w:vAlign w:val="bottom"/>
            <w:shd w:val="clear" w:color="auto" w:fill="DBDBDB"/>
          </w:tcPr>
          <w:p>
            <w:pPr>
              <w:spacing w:after="0"/>
              <w:rPr>
                <w:sz w:val="20"/>
                <w:szCs w:val="20"/>
                <w:color w:val="auto"/>
              </w:rPr>
            </w:pPr>
            <w:r>
              <w:rPr>
                <w:rFonts w:ascii="Arial" w:cs="Arial" w:eastAsia="Arial" w:hAnsi="Arial"/>
                <w:sz w:val="18"/>
                <w:szCs w:val="18"/>
                <w:color w:val="auto"/>
              </w:rPr>
              <w:t>Noncash acquisitions of right-of-use assets</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5360" w:type="dxa"/>
            <w:vAlign w:val="bottom"/>
            <w:shd w:val="clear" w:color="auto" w:fill="DBDBDB"/>
          </w:tcPr>
          <w:p>
            <w:pPr>
              <w:ind w:left="120"/>
              <w:spacing w:after="0"/>
              <w:rPr>
                <w:sz w:val="20"/>
                <w:szCs w:val="20"/>
                <w:color w:val="auto"/>
              </w:rPr>
            </w:pPr>
            <w:r>
              <w:rPr>
                <w:rFonts w:ascii="Arial" w:cs="Arial" w:eastAsia="Arial" w:hAnsi="Arial"/>
                <w:sz w:val="18"/>
                <w:szCs w:val="18"/>
                <w:color w:val="auto"/>
              </w:rPr>
              <w:t>Operating leases</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6500" w:type="dxa"/>
            <w:vAlign w:val="bottom"/>
            <w:gridSpan w:val="3"/>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20"/>
              <w:spacing w:after="0" w:line="199" w:lineRule="exact"/>
              <w:rPr>
                <w:sz w:val="20"/>
                <w:szCs w:val="20"/>
                <w:color w:val="auto"/>
              </w:rPr>
            </w:pPr>
            <w:r>
              <w:rPr>
                <w:rFonts w:ascii="Arial" w:cs="Arial" w:eastAsia="Arial" w:hAnsi="Arial"/>
                <w:sz w:val="18"/>
                <w:szCs w:val="18"/>
                <w:b w:val="1"/>
                <w:bCs w:val="1"/>
                <w:color w:val="auto"/>
              </w:rPr>
              <w:t>March 3,</w:t>
            </w:r>
          </w:p>
        </w:tc>
        <w:tc>
          <w:tcPr>
            <w:tcW w:w="1460" w:type="dxa"/>
            <w:vAlign w:val="bottom"/>
            <w:gridSpan w:val="4"/>
          </w:tcPr>
          <w:p>
            <w:pPr>
              <w:ind w:left="40"/>
              <w:spacing w:after="0" w:line="199" w:lineRule="exact"/>
              <w:rPr>
                <w:sz w:val="20"/>
                <w:szCs w:val="20"/>
                <w:color w:val="auto"/>
              </w:rPr>
            </w:pPr>
            <w:r>
              <w:rPr>
                <w:rFonts w:ascii="Arial" w:cs="Arial" w:eastAsia="Arial" w:hAnsi="Arial"/>
                <w:sz w:val="18"/>
                <w:szCs w:val="18"/>
                <w:b w:val="1"/>
                <w:bCs w:val="1"/>
                <w:color w:val="auto"/>
              </w:rPr>
              <w:t>September 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Borders>
              <w:bottom w:val="single" w:sz="8" w:color="0090DA"/>
            </w:tcBorders>
            <w:vMerge w:val="continue"/>
          </w:tcPr>
          <w:p>
            <w:pPr>
              <w:spacing w:after="0"/>
              <w:rPr>
                <w:sz w:val="19"/>
                <w:szCs w:val="19"/>
                <w:color w:val="auto"/>
              </w:rPr>
            </w:pPr>
          </w:p>
        </w:tc>
        <w:tc>
          <w:tcPr>
            <w:tcW w:w="1120" w:type="dxa"/>
            <w:vAlign w:val="bottom"/>
            <w:tcBorders>
              <w:bottom w:val="single" w:sz="8" w:color="0090DA"/>
            </w:tcBorders>
          </w:tcPr>
          <w:p>
            <w:pPr>
              <w:spacing w:after="0"/>
              <w:rPr>
                <w:sz w:val="19"/>
                <w:szCs w:val="19"/>
                <w:color w:val="auto"/>
              </w:rPr>
            </w:pPr>
          </w:p>
        </w:tc>
        <w:tc>
          <w:tcPr>
            <w:tcW w:w="28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spacing w:after="0"/>
              <w:rPr>
                <w:sz w:val="19"/>
                <w:szCs w:val="19"/>
                <w:color w:val="auto"/>
              </w:rPr>
            </w:pPr>
          </w:p>
        </w:tc>
        <w:tc>
          <w:tcPr>
            <w:tcW w:w="34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900" w:type="dxa"/>
            <w:vAlign w:val="bottom"/>
            <w:gridSpan w:val="4"/>
            <w:shd w:val="clear" w:color="auto" w:fill="DBDBDB"/>
          </w:tcPr>
          <w:p>
            <w:pPr>
              <w:ind w:left="20"/>
              <w:spacing w:after="0" w:line="176" w:lineRule="exact"/>
              <w:rPr>
                <w:sz w:val="20"/>
                <w:szCs w:val="20"/>
                <w:color w:val="auto"/>
              </w:rPr>
            </w:pPr>
            <w:r>
              <w:rPr>
                <w:rFonts w:ascii="Arial" w:cs="Arial" w:eastAsia="Arial" w:hAnsi="Arial"/>
                <w:sz w:val="18"/>
                <w:szCs w:val="18"/>
                <w:color w:val="auto"/>
              </w:rPr>
              <w:t>Finance lease right-of-use assets (included in property, plant, and equipment and assets held for</w:t>
            </w:r>
          </w:p>
        </w:tc>
        <w:tc>
          <w:tcPr>
            <w:tcW w:w="340" w:type="dxa"/>
            <w:vAlign w:val="bottom"/>
            <w:vMerge w:val="restart"/>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30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rPr>
              <w:t>968  $</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2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rPr>
              <w:t>766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vMerge w:val="continue"/>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vMerge w:val="continue"/>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vMerge w:val="continue"/>
            <w:shd w:val="clear" w:color="auto" w:fill="DBDBDB"/>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4"/>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60" w:type="dxa"/>
            <w:vAlign w:val="bottom"/>
            <w:shd w:val="clear" w:color="auto" w:fill="DBDBDB"/>
          </w:tcPr>
          <w:p>
            <w:pPr>
              <w:spacing w:after="0"/>
              <w:rPr>
                <w:sz w:val="23"/>
                <w:szCs w:val="23"/>
                <w:color w:val="auto"/>
              </w:rPr>
            </w:pPr>
          </w:p>
        </w:tc>
        <w:tc>
          <w:tcPr>
            <w:tcW w:w="112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1140" w:type="dxa"/>
            <w:vAlign w:val="bottom"/>
            <w:shd w:val="clear" w:color="auto" w:fill="DBDBDB"/>
          </w:tcPr>
          <w:p>
            <w:pPr>
              <w:spacing w:after="0"/>
              <w:rPr>
                <w:sz w:val="23"/>
                <w:szCs w:val="23"/>
                <w:color w:val="auto"/>
              </w:rPr>
            </w:pPr>
          </w:p>
        </w:tc>
        <w:tc>
          <w:tcPr>
            <w:tcW w:w="3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30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20" w:type="dxa"/>
            <w:vAlign w:val="bottom"/>
            <w:shd w:val="clear" w:color="auto" w:fill="DBDBDB"/>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BDBDB"/>
          </w:tcPr>
          <w:p>
            <w:pPr>
              <w:ind w:left="120"/>
              <w:spacing w:after="0"/>
              <w:rPr>
                <w:sz w:val="20"/>
                <w:szCs w:val="20"/>
                <w:color w:val="auto"/>
              </w:rPr>
            </w:pPr>
            <w:r>
              <w:rPr>
                <w:rFonts w:ascii="Arial" w:cs="Arial" w:eastAsia="Arial" w:hAnsi="Arial"/>
                <w:sz w:val="18"/>
                <w:szCs w:val="18"/>
                <w:color w:val="auto"/>
              </w:rPr>
              <w:t>Finance leases</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12</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Weighted-average discount rate</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2.65 %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DBDBDB"/>
          </w:tcPr>
          <w:p>
            <w:pPr>
              <w:ind w:left="120"/>
              <w:spacing w:after="0"/>
              <w:rPr>
                <w:sz w:val="20"/>
                <w:szCs w:val="20"/>
                <w:color w:val="auto"/>
              </w:rPr>
            </w:pPr>
            <w:r>
              <w:rPr>
                <w:rFonts w:ascii="Arial" w:cs="Arial" w:eastAsia="Arial" w:hAnsi="Arial"/>
                <w:sz w:val="18"/>
                <w:szCs w:val="18"/>
                <w:color w:val="auto"/>
              </w:rPr>
              <w:t>Operating leases</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rPr>
              <w:t>2.62 %</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2.63 %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7"/>
        </w:trPr>
        <w:tc>
          <w:tcPr>
            <w:tcW w:w="5380" w:type="dxa"/>
            <w:vAlign w:val="bottom"/>
            <w:gridSpan w:val="2"/>
          </w:tcPr>
          <w:p>
            <w:pPr>
              <w:spacing w:after="0"/>
              <w:rPr>
                <w:sz w:val="20"/>
                <w:szCs w:val="20"/>
                <w:color w:val="auto"/>
              </w:rPr>
            </w:pPr>
            <w:r>
              <w:rPr>
                <w:rFonts w:ascii="Arial" w:cs="Arial" w:eastAsia="Arial" w:hAnsi="Arial"/>
                <w:sz w:val="18"/>
                <w:szCs w:val="18"/>
                <w:color w:val="auto"/>
              </w:rPr>
              <w:t>As of March 3, 2022, maturities of lease liabilities were as follows: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ending</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Finance Leases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line="199" w:lineRule="exact"/>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Leases</w:t>
            </w:r>
          </w:p>
        </w:tc>
        <w:tc>
          <w:tcPr>
            <w:tcW w:w="0" w:type="dxa"/>
            <w:vAlign w:val="bottom"/>
          </w:tcPr>
          <w:p>
            <w:pPr>
              <w:spacing w:after="0"/>
              <w:rPr>
                <w:sz w:val="1"/>
                <w:szCs w:val="1"/>
                <w:color w:val="auto"/>
              </w:rPr>
            </w:pPr>
          </w:p>
        </w:tc>
      </w:tr>
      <w:tr>
        <w:trPr>
          <w:trHeight w:val="34"/>
        </w:trPr>
        <w:tc>
          <w:tcPr>
            <w:tcW w:w="20" w:type="dxa"/>
            <w:vAlign w:val="bottom"/>
            <w:tcBorders>
              <w:top w:val="single" w:sz="8" w:color="0090DA"/>
            </w:tcBorders>
          </w:tcPr>
          <w:p>
            <w:pPr>
              <w:spacing w:after="0"/>
              <w:rPr>
                <w:sz w:val="2"/>
                <w:szCs w:val="2"/>
                <w:color w:val="auto"/>
              </w:rPr>
            </w:pPr>
          </w:p>
        </w:tc>
        <w:tc>
          <w:tcPr>
            <w:tcW w:w="536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140" w:type="dxa"/>
            <w:vAlign w:val="bottom"/>
            <w:tcBorders>
              <w:top w:val="single" w:sz="8" w:color="0090DA"/>
            </w:tcBorders>
          </w:tcPr>
          <w:p>
            <w:pPr>
              <w:spacing w:after="0"/>
              <w:rPr>
                <w:sz w:val="2"/>
                <w:szCs w:val="2"/>
                <w:color w:val="auto"/>
              </w:rPr>
            </w:pPr>
          </w:p>
        </w:tc>
        <w:tc>
          <w:tcPr>
            <w:tcW w:w="340" w:type="dxa"/>
            <w:vAlign w:val="bottom"/>
            <w:tcBorders>
              <w:top w:val="single" w:sz="8" w:color="0090DA"/>
            </w:tcBorders>
          </w:tcPr>
          <w:p>
            <w:pPr>
              <w:spacing w:after="0"/>
              <w:rPr>
                <w:sz w:val="2"/>
                <w:szCs w:val="2"/>
                <w:color w:val="auto"/>
              </w:rPr>
            </w:pPr>
          </w:p>
        </w:tc>
        <w:tc>
          <w:tcPr>
            <w:tcW w:w="10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220" w:type="dxa"/>
            <w:vAlign w:val="bottom"/>
            <w:tcBorders>
              <w:top w:val="single" w:sz="8" w:color="0090DA"/>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5360" w:type="dxa"/>
            <w:vAlign w:val="bottom"/>
            <w:shd w:val="clear" w:color="auto" w:fill="DBDBDB"/>
          </w:tcPr>
          <w:p>
            <w:pPr>
              <w:spacing w:after="0"/>
              <w:rPr>
                <w:sz w:val="20"/>
                <w:szCs w:val="20"/>
                <w:color w:val="auto"/>
              </w:rPr>
            </w:pPr>
            <w:r>
              <w:rPr>
                <w:rFonts w:ascii="Arial" w:cs="Arial" w:eastAsia="Arial" w:hAnsi="Arial"/>
                <w:sz w:val="18"/>
                <w:szCs w:val="18"/>
                <w:color w:val="auto"/>
              </w:rPr>
              <w:t>Remainder of 2022</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2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2027 and thereafter</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360" w:type="dxa"/>
            <w:vAlign w:val="bottom"/>
            <w:shd w:val="clear" w:color="auto" w:fill="DBDBDB"/>
          </w:tcPr>
          <w:p>
            <w:pPr>
              <w:spacing w:after="0"/>
              <w:rPr>
                <w:sz w:val="20"/>
                <w:szCs w:val="20"/>
                <w:color w:val="auto"/>
              </w:rPr>
            </w:pPr>
            <w:r>
              <w:rPr>
                <w:rFonts w:ascii="Arial" w:cs="Arial" w:eastAsia="Arial" w:hAnsi="Arial"/>
                <w:sz w:val="18"/>
                <w:szCs w:val="18"/>
                <w:color w:val="auto"/>
              </w:rPr>
              <w:t>Less imputed interest</w:t>
            </w:r>
          </w:p>
        </w:tc>
        <w:tc>
          <w:tcPr>
            <w:tcW w:w="1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w:t>
            </w:r>
          </w:p>
        </w:tc>
        <w:tc>
          <w:tcPr>
            <w:tcW w:w="40" w:type="dxa"/>
            <w:vAlign w:val="bottom"/>
            <w:tcBorders>
              <w:left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The table above excludes any lease liabilities for leases that have been executed but have not yet commenced. As of March 3, 2022, we had such lease liabilities relating to (1) operating lease payment obligations of $ 148 million for the initial 10-year lease term for a building, and (2) finance lease obligations of $218 million over a weighted-average period of 14 years for gas supply arrangements deemed to contain embedded leases. We will recognize right-of-use assets and associated lease liabilities at the time such assets become available for our use.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w:t>
            </w:r>
          </w:p>
        </w:tc>
        <w:tc>
          <w:tcPr>
            <w:tcW w:w="1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1,924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tcPr>
          <w:p>
            <w:pPr>
              <w:spacing w:after="0"/>
              <w:rPr>
                <w:sz w:val="18"/>
                <w:szCs w:val="18"/>
                <w:color w:val="auto"/>
              </w:rPr>
            </w:pPr>
          </w:p>
        </w:tc>
        <w:tc>
          <w:tcPr>
            <w:tcW w:w="1020" w:type="dxa"/>
            <w:vAlign w:val="bottom"/>
            <w:tcBorders>
              <w:bottom w:val="single" w:sz="8" w:color="0090DA"/>
            </w:tcBorders>
          </w:tcPr>
          <w:p>
            <w:pPr>
              <w:spacing w:after="0"/>
              <w:rPr>
                <w:sz w:val="18"/>
                <w:szCs w:val="18"/>
                <w:color w:val="auto"/>
              </w:rPr>
            </w:pPr>
          </w:p>
        </w:tc>
        <w:tc>
          <w:tcPr>
            <w:tcW w:w="2240" w:type="dxa"/>
            <w:vAlign w:val="bottom"/>
            <w:tcBorders>
              <w:bottom w:val="single" w:sz="8" w:color="0090DA"/>
            </w:tcBorders>
            <w:gridSpan w:val="4"/>
          </w:tcPr>
          <w:p>
            <w:pPr>
              <w:jc w:val="right"/>
              <w:ind w:right="130"/>
              <w:spacing w:after="0"/>
              <w:rPr>
                <w:sz w:val="20"/>
                <w:szCs w:val="20"/>
                <w:color w:val="auto"/>
              </w:rPr>
            </w:pPr>
            <w:r>
              <w:rPr>
                <w:rFonts w:ascii="Arial" w:cs="Arial" w:eastAsia="Arial" w:hAnsi="Arial"/>
                <w:sz w:val="18"/>
                <w:szCs w:val="18"/>
                <w:b w:val="1"/>
                <w:bCs w:val="1"/>
                <w:color w:val="auto"/>
              </w:rPr>
              <w:t>March 3, 2022</w:t>
            </w:r>
          </w:p>
        </w:tc>
        <w:tc>
          <w:tcPr>
            <w:tcW w:w="680" w:type="dxa"/>
            <w:vAlign w:val="bottom"/>
            <w:tcBorders>
              <w:bottom w:val="single" w:sz="8" w:color="0090DA"/>
            </w:tcBorders>
          </w:tcPr>
          <w:p>
            <w:pPr>
              <w:spacing w:after="0"/>
              <w:rPr>
                <w:sz w:val="18"/>
                <w:szCs w:val="18"/>
                <w:color w:val="auto"/>
              </w:rPr>
            </w:pPr>
          </w:p>
        </w:tc>
        <w:tc>
          <w:tcPr>
            <w:tcW w:w="200" w:type="dxa"/>
            <w:vAlign w:val="bottom"/>
            <w:tcBorders>
              <w:bottom w:val="single" w:sz="8" w:color="0090DA"/>
            </w:tcBorders>
          </w:tcPr>
          <w:p>
            <w:pPr>
              <w:spacing w:after="0"/>
              <w:rPr>
                <w:sz w:val="18"/>
                <w:szCs w:val="18"/>
                <w:color w:val="auto"/>
              </w:rPr>
            </w:pPr>
          </w:p>
        </w:tc>
        <w:tc>
          <w:tcPr>
            <w:tcW w:w="780" w:type="dxa"/>
            <w:vAlign w:val="bottom"/>
            <w:tcBorders>
              <w:bottom w:val="single" w:sz="8" w:color="0090DA"/>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2780" w:type="dxa"/>
            <w:vAlign w:val="bottom"/>
            <w:tcBorders>
              <w:bottom w:val="single" w:sz="8" w:color="0090DA"/>
            </w:tcBorders>
            <w:gridSpan w:val="5"/>
          </w:tcPr>
          <w:p>
            <w:pPr>
              <w:jc w:val="center"/>
              <w:ind w:right="70"/>
              <w:spacing w:after="0"/>
              <w:rPr>
                <w:sz w:val="20"/>
                <w:szCs w:val="20"/>
                <w:color w:val="auto"/>
              </w:rPr>
            </w:pPr>
            <w:r>
              <w:rPr>
                <w:rFonts w:ascii="Arial" w:cs="Arial" w:eastAsia="Arial" w:hAnsi="Arial"/>
                <w:sz w:val="18"/>
                <w:szCs w:val="18"/>
                <w:b w:val="1"/>
                <w:bCs w:val="1"/>
                <w:color w:val="auto"/>
                <w:w w:val="99"/>
              </w:rPr>
              <w:t>September 2, 2021</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Stated</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Effective</w:t>
            </w:r>
          </w:p>
        </w:tc>
        <w:tc>
          <w:tcPr>
            <w:tcW w:w="140" w:type="dxa"/>
            <w:vAlign w:val="bottom"/>
            <w:tcBorders>
              <w:bottom w:val="single" w:sz="8" w:color="0090DA"/>
            </w:tcBorders>
          </w:tcPr>
          <w:p>
            <w:pPr>
              <w:spacing w:after="0"/>
              <w:rPr>
                <w:sz w:val="19"/>
                <w:szCs w:val="19"/>
                <w:color w:val="auto"/>
              </w:rPr>
            </w:pPr>
          </w:p>
        </w:tc>
        <w:tc>
          <w:tcPr>
            <w:tcW w:w="2780" w:type="dxa"/>
            <w:vAlign w:val="bottom"/>
            <w:tcBorders>
              <w:bottom w:val="single" w:sz="8" w:color="0090DA"/>
            </w:tcBorders>
            <w:gridSpan w:val="5"/>
          </w:tcPr>
          <w:p>
            <w:pPr>
              <w:jc w:val="right"/>
              <w:ind w:right="470"/>
              <w:spacing w:after="0"/>
              <w:rPr>
                <w:sz w:val="20"/>
                <w:szCs w:val="20"/>
                <w:color w:val="auto"/>
              </w:rPr>
            </w:pPr>
            <w:r>
              <w:rPr>
                <w:rFonts w:ascii="Arial" w:cs="Arial" w:eastAsia="Arial" w:hAnsi="Arial"/>
                <w:sz w:val="18"/>
                <w:szCs w:val="18"/>
                <w:b w:val="1"/>
                <w:bCs w:val="1"/>
                <w:color w:val="auto"/>
              </w:rPr>
              <w:t>Net Carrying Amount</w:t>
            </w:r>
          </w:p>
        </w:tc>
        <w:tc>
          <w:tcPr>
            <w:tcW w:w="120" w:type="dxa"/>
            <w:vAlign w:val="bottom"/>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2780" w:type="dxa"/>
            <w:vAlign w:val="bottom"/>
            <w:tcBorders>
              <w:bottom w:val="single" w:sz="8" w:color="0090DA"/>
            </w:tcBorders>
            <w:gridSpan w:val="5"/>
          </w:tcPr>
          <w:p>
            <w:pPr>
              <w:jc w:val="center"/>
              <w:ind w:right="5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55"/>
        </w:trPr>
        <w:tc>
          <w:tcPr>
            <w:tcW w:w="3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Current</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Long-Term</w:t>
            </w:r>
          </w:p>
        </w:tc>
        <w:tc>
          <w:tcPr>
            <w:tcW w:w="20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3"/>
                <w:szCs w:val="13"/>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8"/>
              </w:rPr>
              <w:t>Current</w:t>
            </w:r>
          </w:p>
        </w:tc>
        <w:tc>
          <w:tcPr>
            <w:tcW w:w="10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7"/>
              </w:rPr>
              <w:t>Long-Term</w:t>
            </w:r>
          </w:p>
        </w:tc>
        <w:tc>
          <w:tcPr>
            <w:tcW w:w="200" w:type="dxa"/>
            <w:vAlign w:val="bottom"/>
          </w:tcPr>
          <w:p>
            <w:pPr>
              <w:spacing w:after="0"/>
              <w:rPr>
                <w:sz w:val="13"/>
                <w:szCs w:val="13"/>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280" w:type="dxa"/>
            <w:vAlign w:val="bottom"/>
            <w:vMerge w:val="continue"/>
          </w:tcPr>
          <w:p>
            <w:pPr>
              <w:spacing w:after="0"/>
              <w:rPr>
                <w:sz w:val="19"/>
                <w:szCs w:val="19"/>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112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Rate</w:t>
            </w:r>
          </w:p>
        </w:tc>
        <w:tc>
          <w:tcPr>
            <w:tcW w:w="80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800" w:type="dxa"/>
            <w:vAlign w:val="bottom"/>
            <w:tcBorders>
              <w:top w:val="single" w:sz="8" w:color="0090DA"/>
            </w:tcBorders>
          </w:tcPr>
          <w:p>
            <w:pPr>
              <w:spacing w:after="0"/>
              <w:rPr>
                <w:sz w:val="2"/>
                <w:szCs w:val="2"/>
                <w:color w:val="auto"/>
              </w:rPr>
            </w:pPr>
          </w:p>
        </w:tc>
        <w:tc>
          <w:tcPr>
            <w:tcW w:w="320" w:type="dxa"/>
            <w:vAlign w:val="bottom"/>
            <w:tcBorders>
              <w:top w:val="single" w:sz="8" w:color="0090DA"/>
            </w:tcBorders>
          </w:tcPr>
          <w:p>
            <w:pPr>
              <w:spacing w:after="0"/>
              <w:rPr>
                <w:sz w:val="2"/>
                <w:szCs w:val="2"/>
                <w:color w:val="auto"/>
              </w:rPr>
            </w:pPr>
          </w:p>
        </w:tc>
        <w:tc>
          <w:tcPr>
            <w:tcW w:w="6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8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800" w:type="dxa"/>
            <w:vAlign w:val="bottom"/>
            <w:tcBorders>
              <w:top w:val="single" w:sz="8" w:color="0090DA"/>
            </w:tcBorders>
          </w:tcPr>
          <w:p>
            <w:pPr>
              <w:spacing w:after="0"/>
              <w:rPr>
                <w:sz w:val="2"/>
                <w:szCs w:val="2"/>
                <w:color w:val="auto"/>
              </w:rPr>
            </w:pPr>
          </w:p>
        </w:tc>
        <w:tc>
          <w:tcPr>
            <w:tcW w:w="320" w:type="dxa"/>
            <w:vAlign w:val="bottom"/>
            <w:tcBorders>
              <w:top w:val="single" w:sz="8" w:color="0090DA"/>
            </w:tcBorders>
          </w:tcPr>
          <w:p>
            <w:pPr>
              <w:spacing w:after="0"/>
              <w:rPr>
                <w:sz w:val="2"/>
                <w:szCs w:val="2"/>
                <w:color w:val="auto"/>
              </w:rPr>
            </w:pPr>
          </w:p>
        </w:tc>
        <w:tc>
          <w:tcPr>
            <w:tcW w:w="68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8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0.920 %</w:t>
            </w:r>
          </w:p>
        </w:tc>
        <w:tc>
          <w:tcPr>
            <w:tcW w:w="11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0.96 % $</w:t>
            </w:r>
          </w:p>
        </w:tc>
        <w:tc>
          <w:tcPr>
            <w:tcW w:w="112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tcPr>
          <w:p>
            <w:pPr>
              <w:jc w:val="right"/>
              <w:spacing w:after="0"/>
              <w:rPr>
                <w:sz w:val="20"/>
                <w:szCs w:val="20"/>
                <w:color w:val="auto"/>
              </w:rPr>
            </w:pPr>
            <w:r>
              <w:rPr>
                <w:rFonts w:ascii="Arial" w:cs="Arial" w:eastAsia="Arial" w:hAnsi="Arial"/>
                <w:sz w:val="18"/>
                <w:szCs w:val="18"/>
                <w:color w:val="auto"/>
              </w:rPr>
              <w:t>5.07 %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4.27 %</w:t>
            </w: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2029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tcPr>
          <w:p>
            <w:pPr>
              <w:jc w:val="right"/>
              <w:spacing w:after="0"/>
              <w:rPr>
                <w:sz w:val="20"/>
                <w:szCs w:val="20"/>
                <w:color w:val="auto"/>
              </w:rPr>
            </w:pPr>
            <w:r>
              <w:rPr>
                <w:rFonts w:ascii="Arial" w:cs="Arial" w:eastAsia="Arial" w:hAnsi="Arial"/>
                <w:sz w:val="18"/>
                <w:szCs w:val="18"/>
                <w:color w:val="auto"/>
              </w:rPr>
              <w:t>5.40 %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4.73 %</w:t>
            </w: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2032 Green Bonds</w:t>
            </w:r>
          </w:p>
        </w:tc>
        <w:tc>
          <w:tcPr>
            <w:tcW w:w="1020" w:type="dxa"/>
            <w:vAlign w:val="bottom"/>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tcPr>
          <w:p>
            <w:pPr>
              <w:jc w:val="right"/>
              <w:spacing w:after="0"/>
              <w:rPr>
                <w:sz w:val="20"/>
                <w:szCs w:val="20"/>
                <w:color w:val="auto"/>
              </w:rPr>
            </w:pPr>
            <w:r>
              <w:rPr>
                <w:rFonts w:ascii="Arial" w:cs="Arial" w:eastAsia="Arial" w:hAnsi="Arial"/>
                <w:sz w:val="18"/>
                <w:szCs w:val="18"/>
                <w:color w:val="auto"/>
              </w:rPr>
              <w:t>2.77 %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2041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3.41 %</w:t>
            </w: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2051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tcPr>
          <w:p>
            <w:pPr>
              <w:jc w:val="right"/>
              <w:spacing w:after="0"/>
              <w:rPr>
                <w:sz w:val="20"/>
                <w:szCs w:val="20"/>
                <w:color w:val="auto"/>
              </w:rPr>
            </w:pPr>
            <w:r>
              <w:rPr>
                <w:rFonts w:ascii="Arial" w:cs="Arial" w:eastAsia="Arial" w:hAnsi="Arial"/>
                <w:sz w:val="18"/>
                <w:szCs w:val="18"/>
                <w:color w:val="auto"/>
              </w:rPr>
              <w:t>3.52 %</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2.65 %</w:t>
            </w: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2023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0"/>
        </w:trPr>
        <w:tc>
          <w:tcPr>
            <w:tcW w:w="3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D1D2D4"/>
          </w:tcPr>
          <w:p>
            <w:pPr>
              <w:jc w:val="right"/>
              <w:ind w:right="7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90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260" w:right="200" w:hanging="252"/>
        <w:spacing w:after="0" w:line="239" w:lineRule="auto"/>
        <w:tabs>
          <w:tab w:leader="none" w:pos="254"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as a result, the carrying value of our 2027 Notes reflects adjustments in fair value.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ind w:left="80"/>
              <w:spacing w:after="0"/>
              <w:rPr>
                <w:rFonts w:ascii="Arial" w:cs="Arial" w:eastAsia="Arial" w:hAnsi="Arial"/>
                <w:sz w:val="16"/>
                <w:szCs w:val="16"/>
                <w:b w:val="1"/>
                <w:bCs w:val="1"/>
                <w:color w:val="0090DA"/>
                <w:w w:val="99"/>
              </w:rPr>
            </w:pPr>
            <w:hyperlink w:anchor="page2">
              <w:r>
                <w:rPr>
                  <w:rFonts w:ascii="Arial" w:cs="Arial" w:eastAsia="Arial" w:hAnsi="Arial"/>
                  <w:sz w:val="16"/>
                  <w:szCs w:val="16"/>
                  <w:b w:val="1"/>
                  <w:bCs w:val="1"/>
                  <w:color w:val="0090DA"/>
                  <w:w w:val="99"/>
                </w:rPr>
                <w:t>Table of Contents</w:t>
              </w:r>
            </w:hyperlink>
          </w:p>
        </w:tc>
        <w:tc>
          <w:tcPr>
            <w:tcW w:w="0" w:type="dxa"/>
            <w:vAlign w:val="bottom"/>
          </w:tcPr>
          <w:p>
            <w:pPr>
              <w:spacing w:after="0"/>
              <w:rPr>
                <w:sz w:val="1"/>
                <w:szCs w:val="1"/>
                <w:color w:val="auto"/>
              </w:rPr>
            </w:pPr>
          </w:p>
        </w:tc>
      </w:tr>
      <w:tr>
        <w:trPr>
          <w:trHeight w:val="897"/>
        </w:trPr>
        <w:tc>
          <w:tcPr>
            <w:tcW w:w="5460" w:type="dxa"/>
            <w:vAlign w:val="bottom"/>
          </w:tcPr>
          <w:p>
            <w:pPr>
              <w:spacing w:after="0"/>
              <w:rPr>
                <w:sz w:val="20"/>
                <w:szCs w:val="20"/>
                <w:color w:val="auto"/>
              </w:rPr>
            </w:pPr>
            <w:r>
              <w:rPr>
                <w:rFonts w:ascii="Arial" w:cs="Arial" w:eastAsia="Arial" w:hAnsi="Arial"/>
                <w:sz w:val="22"/>
                <w:szCs w:val="22"/>
                <w:b w:val="1"/>
                <w:bCs w:val="1"/>
                <w:color w:val="0090DA"/>
              </w:rPr>
              <w:t>Debt Activity</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90DA"/>
            </w:tcBorders>
          </w:tcPr>
          <w:p>
            <w:pPr>
              <w:spacing w:after="0"/>
              <w:rPr>
                <w:sz w:val="24"/>
                <w:szCs w:val="24"/>
                <w:color w:val="auto"/>
              </w:rPr>
            </w:pPr>
          </w:p>
        </w:tc>
        <w:tc>
          <w:tcPr>
            <w:tcW w:w="128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340" w:type="dxa"/>
            <w:vAlign w:val="bottom"/>
            <w:gridSpan w:val="5"/>
          </w:tcPr>
          <w:p>
            <w:pPr>
              <w:spacing w:after="0"/>
              <w:rPr>
                <w:sz w:val="20"/>
                <w:szCs w:val="20"/>
                <w:color w:val="auto"/>
              </w:rPr>
            </w:pPr>
            <w:r>
              <w:rPr>
                <w:rFonts w:ascii="Arial" w:cs="Arial" w:eastAsia="Arial" w:hAnsi="Arial"/>
                <w:sz w:val="18"/>
                <w:szCs w:val="18"/>
                <w:color w:val="auto"/>
              </w:rPr>
              <w:t>The table below presents the effects of issuances and prepayments of debt in the first quarter of 2022:</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0"/>
              <w:spacing w:after="0" w:line="199" w:lineRule="exact"/>
              <w:rPr>
                <w:sz w:val="20"/>
                <w:szCs w:val="20"/>
                <w:color w:val="auto"/>
              </w:rPr>
            </w:pPr>
            <w:r>
              <w:rPr>
                <w:rFonts w:ascii="Arial" w:cs="Arial" w:eastAsia="Arial" w:hAnsi="Arial"/>
                <w:sz w:val="18"/>
                <w:szCs w:val="18"/>
                <w:b w:val="1"/>
                <w:bCs w:val="1"/>
                <w:color w:val="auto"/>
                <w:w w:val="98"/>
              </w:rPr>
              <w:t>Increase</w:t>
            </w:r>
          </w:p>
        </w:tc>
        <w:tc>
          <w:tcPr>
            <w:tcW w:w="140" w:type="dxa"/>
            <w:vAlign w:val="bottom"/>
          </w:tcPr>
          <w:p>
            <w:pPr>
              <w:spacing w:after="0"/>
              <w:rPr>
                <w:sz w:val="17"/>
                <w:szCs w:val="17"/>
                <w:color w:val="auto"/>
              </w:rPr>
            </w:pPr>
          </w:p>
        </w:tc>
        <w:tc>
          <w:tcPr>
            <w:tcW w:w="1300" w:type="dxa"/>
            <w:vAlign w:val="bottom"/>
          </w:tcPr>
          <w:p>
            <w:pPr>
              <w:jc w:val="center"/>
              <w:ind w:right="30"/>
              <w:spacing w:after="0" w:line="199" w:lineRule="exact"/>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7"/>
                <w:szCs w:val="17"/>
                <w:color w:val="auto"/>
              </w:rPr>
            </w:pPr>
          </w:p>
        </w:tc>
        <w:tc>
          <w:tcPr>
            <w:tcW w:w="1320" w:type="dxa"/>
            <w:vAlign w:val="bottom"/>
          </w:tcPr>
          <w:p>
            <w:pPr>
              <w:jc w:val="center"/>
              <w:ind w:right="50"/>
              <w:spacing w:after="0" w:line="199" w:lineRule="exact"/>
              <w:rPr>
                <w:sz w:val="20"/>
                <w:szCs w:val="20"/>
                <w:color w:val="auto"/>
              </w:rPr>
            </w:pPr>
            <w:r>
              <w:rPr>
                <w:rFonts w:ascii="Arial" w:cs="Arial" w:eastAsia="Arial" w:hAnsi="Arial"/>
                <w:sz w:val="18"/>
                <w:szCs w:val="18"/>
                <w:b w:val="1"/>
                <w:bCs w:val="1"/>
                <w:color w:val="auto"/>
              </w:rPr>
              <w:t>Increase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(Decrease) in</w:t>
            </w:r>
          </w:p>
        </w:tc>
        <w:tc>
          <w:tcPr>
            <w:tcW w:w="14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3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(Decrease) in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Gain (Loss)</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Principal</w:t>
            </w:r>
          </w:p>
        </w:tc>
        <w:tc>
          <w:tcPr>
            <w:tcW w:w="14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4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Cash</w:t>
            </w:r>
          </w:p>
        </w:tc>
        <w:tc>
          <w:tcPr>
            <w:tcW w:w="80" w:type="dxa"/>
            <w:vAlign w:val="bottom"/>
            <w:tcBorders>
              <w:bottom w:val="single" w:sz="8" w:color="0090DA"/>
            </w:tcBorders>
          </w:tcPr>
          <w:p>
            <w:pPr>
              <w:spacing w:after="0"/>
              <w:rPr>
                <w:sz w:val="19"/>
                <w:szCs w:val="19"/>
                <w:color w:val="auto"/>
              </w:rPr>
            </w:pPr>
          </w:p>
        </w:tc>
        <w:tc>
          <w:tcPr>
            <w:tcW w:w="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Issuances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2032 Green Bonds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994</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4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2041 Notes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2051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Prepayments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2023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29"/>
        </w:trPr>
        <w:tc>
          <w:tcPr>
            <w:tcW w:w="54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2024 Notes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8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center"/>
              <w:ind w:left="830"/>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9"/>
              </w:rPr>
              <w:t>(83)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Senior Unsecured Notes</w:t>
      </w:r>
    </w:p>
    <w:p>
      <w:pPr>
        <w:spacing w:after="0" w:line="24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On November 1, 2021, we issued $ 2.00 billion aggregate principal amount of unsecured 2032 Green Bonds, 2041 Notes, and 2051 Notes in a public offering. Issuance costs for these notes were $14 million.</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may redeem our 2026 Notes, 2027 Notes, 2029 Notes, 2030 Notes, 2032 Green Bonds, 2041 Notes, and 2051 Notes (the “Senior Unsecured Notes”), in whole or in part, at our option prior to their respective maturity date at a redemption price equal to the greater of (i) 100% of the principal amount of the notes to be redeemed and (ii) the present value of the remaining scheduled payments of principal, in each case plus accrued interest. We may also redeem any series of our Senior Unsecured Notes, in whole or in part, at a price equal to par between two and six months prior to maturity in accordance with the respective terms of such series.</w:t>
      </w:r>
    </w:p>
    <w:p>
      <w:pPr>
        <w:spacing w:after="0" w:line="20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Each series of Senior Unsecured Notes contains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notes) to (1) create or incur certain liens; (2) enter into certain sale and lease-back transactions; and (3) 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indentures governing our Senior Unsecured Notes, we will be required to offer to purchase such notes at 101% of the outstanding aggregate principal amount plus accrued interest up to the purchase date.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Revolving Credit Facility</w:t>
      </w:r>
    </w:p>
    <w:p>
      <w:pPr>
        <w:spacing w:after="0" w:line="24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of March 3, 2022, $2.50 billion was available to us under the Revolving Credit Facility and no amounts were outstanding. Any amounts outstanding under the Revolving Credit Facility would mature in May 2026 and amounts borrowed may be prepaid any time without penalty. Any amounts drawn under the Revolving Credit Facility would generally bear interest at a rate equal to LIBOR plus 1.00% to 1.75%, depending on our corporate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460" w:type="dxa"/>
            <w:vAlign w:val="bottom"/>
            <w:gridSpan w:val="4"/>
          </w:tcPr>
          <w:p>
            <w:pPr>
              <w:ind w:left="80"/>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910"/>
        </w:trPr>
        <w:tc>
          <w:tcPr>
            <w:tcW w:w="9800" w:type="dxa"/>
            <w:vAlign w:val="bottom"/>
          </w:tcPr>
          <w:p>
            <w:pPr>
              <w:spacing w:after="0"/>
              <w:rPr>
                <w:sz w:val="20"/>
                <w:szCs w:val="20"/>
                <w:color w:val="auto"/>
              </w:rPr>
            </w:pPr>
            <w:r>
              <w:rPr>
                <w:rFonts w:ascii="Arial" w:cs="Arial" w:eastAsia="Arial" w:hAnsi="Arial"/>
                <w:sz w:val="22"/>
                <w:szCs w:val="22"/>
                <w:b w:val="1"/>
                <w:bCs w:val="1"/>
                <w:color w:val="0090DA"/>
              </w:rPr>
              <w:t>Maturities of Notes Payable</w:t>
            </w:r>
          </w:p>
        </w:tc>
        <w:tc>
          <w:tcPr>
            <w:tcW w:w="80" w:type="dxa"/>
            <w:vAlign w:val="bottom"/>
          </w:tcPr>
          <w:p>
            <w:pPr>
              <w:spacing w:after="0"/>
              <w:rPr>
                <w:sz w:val="24"/>
                <w:szCs w:val="24"/>
                <w:color w:val="auto"/>
              </w:rPr>
            </w:pPr>
          </w:p>
        </w:tc>
        <w:tc>
          <w:tcPr>
            <w:tcW w:w="440" w:type="dxa"/>
            <w:vAlign w:val="bottom"/>
            <w:tcBorders>
              <w:top w:val="single" w:sz="8" w:color="0090DA"/>
            </w:tcBorders>
          </w:tcPr>
          <w:p>
            <w:pPr>
              <w:spacing w:after="0"/>
              <w:rPr>
                <w:sz w:val="24"/>
                <w:szCs w:val="24"/>
                <w:color w:val="auto"/>
              </w:rPr>
            </w:pPr>
          </w:p>
        </w:tc>
        <w:tc>
          <w:tcPr>
            <w:tcW w:w="920" w:type="dxa"/>
            <w:vAlign w:val="bottom"/>
            <w:tcBorders>
              <w:top w:val="single" w:sz="8" w:color="0090D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9800" w:type="dxa"/>
            <w:vAlign w:val="bottom"/>
          </w:tcPr>
          <w:p>
            <w:pPr>
              <w:spacing w:after="0"/>
              <w:rPr>
                <w:sz w:val="20"/>
                <w:szCs w:val="20"/>
                <w:color w:val="auto"/>
              </w:rPr>
            </w:pPr>
            <w:r>
              <w:rPr>
                <w:rFonts w:ascii="Arial" w:cs="Arial" w:eastAsia="Arial" w:hAnsi="Arial"/>
                <w:sz w:val="18"/>
                <w:szCs w:val="18"/>
                <w:color w:val="auto"/>
              </w:rPr>
              <w:t>As of March 3, 2022, maturities of notes payable by fiscal year were as follows: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8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2022</w:t>
            </w:r>
          </w:p>
        </w:tc>
        <w:tc>
          <w:tcPr>
            <w:tcW w:w="520" w:type="dxa"/>
            <w:vAlign w:val="bottom"/>
            <w:gridSpan w:val="2"/>
            <w:shd w:val="clear" w:color="auto" w:fill="D1D2D4"/>
          </w:tcPr>
          <w:p>
            <w:pPr>
              <w:jc w:val="right"/>
              <w:ind w:right="40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discounts</w:t>
            </w:r>
          </w:p>
        </w:tc>
        <w:tc>
          <w:tcPr>
            <w:tcW w:w="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520" w:type="dxa"/>
            <w:vAlign w:val="bottom"/>
            <w:tcBorders>
              <w:bottom w:val="single" w:sz="8" w:color="auto"/>
            </w:tcBorders>
            <w:gridSpan w:val="2"/>
            <w:shd w:val="clear" w:color="auto" w:fill="D1D2D4"/>
          </w:tcPr>
          <w:p>
            <w:pPr>
              <w:jc w:val="right"/>
              <w:ind w:right="4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440" w:type="dxa"/>
            <w:vAlign w:val="bottom"/>
            <w:tcBorders>
              <w:top w:val="single" w:sz="8" w:color="D1D2D4"/>
              <w:bottom w:val="single" w:sz="8" w:color="auto"/>
            </w:tcBorders>
          </w:tcPr>
          <w:p>
            <w:pPr>
              <w:spacing w:after="0" w:line="20" w:lineRule="exact"/>
              <w:rPr>
                <w:sz w:val="1"/>
                <w:szCs w:val="1"/>
                <w:color w:val="auto"/>
              </w:rPr>
            </w:pPr>
          </w:p>
        </w:tc>
        <w:tc>
          <w:tcPr>
            <w:tcW w:w="92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8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December 15, 2014, Innovative Memory Solutions, Inc. filed a patent infringement action against Micron in the U.S. District Court for the District of Delaware. The complaint alleges that a variety of our NAND products infringe eight U.S. patents and seeks damages, attorneys’ fees, and costs. Subsequently, six patents were invalidated or withdrawn, leaving two asserted patents in the District Court.</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3, 2018, MSS was served with another patent infringement complaint filed by Jinhua and an additional complaint filed by UMC in the Fuzhou Court. The additional complaints allege that MSS infringes two Chinese patents by manufacturing and selling certain Crucial MX300 SSDs. The complaint filed by UMC seeks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w:t>
      </w:r>
    </w:p>
    <w:p>
      <w:pPr>
        <w:spacing w:after="0" w:line="200" w:lineRule="exact"/>
        <w:rPr>
          <w:sz w:val="20"/>
          <w:szCs w:val="20"/>
          <w:color w:val="auto"/>
        </w:rPr>
      </w:pPr>
    </w:p>
    <w:p>
      <w:pPr>
        <w:spacing w:after="0" w:line="20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The affected products made up slightly more than 1% of our annualized revenue in 2018. We are complying with the ruling and have requested the Fuzhou Court to reconsider or stay its decision.</w:t>
      </w:r>
    </w:p>
    <w:p>
      <w:pPr>
        <w:spacing w:after="0" w:line="2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4, 2020, Flash-Control, LLC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 On July 21, 2020, in a separate matter, the District Court ruled that two of the four asserted patents are invalid, and on July 14, 2021, the U.S. Court of Appeals for the Federal Circuit affirmed the ruling of invalidity.</w:t>
      </w:r>
    </w:p>
    <w:p>
      <w:pPr>
        <w:spacing w:after="0" w:line="2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On April 28, 2021, Netlist, Inc. filed two patent infringement actions against Micron, Micron Semiconductor Products, Inc. and Micron Technology Texas, LLC in the U.S. District Court for the Western District of Texas. The first complaint alleges that a single U.S. patent is infringed by certain of our non-volatile dual in-line memory modules. The second complaint alleges that three U.S. patents are infringed by certain of our load-reduced dual in-line memory modules. Each complaint seeks injunctive relief, damages, attorneys’ fees, and costs.</w:t>
      </w:r>
    </w:p>
    <w:p>
      <w:pPr>
        <w:spacing w:after="0" w:line="20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May 10, 2021, Vervain, LLC filed a patent infringement action against Micron, Micron Semiconductor Products, Inc., and Micron Technology Texas, LLC in the U.S. District Court for the Western District of Texas. The complaint alleges that four U.S. patents are infringed by certain SSD products. The complaint seeks injunctive relief, damages, attorneys’ fees, and costs.</w:t>
      </w:r>
    </w:p>
    <w:p>
      <w:pPr>
        <w:spacing w:after="0" w:line="19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1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spacing w:after="0" w:line="1" w:lineRule="exact"/>
        <w:rPr>
          <w:sz w:val="20"/>
          <w:szCs w:val="20"/>
          <w:color w:val="auto"/>
        </w:rPr>
      </w:pPr>
    </w:p>
    <w:p>
      <w:pPr>
        <w:ind w:right="80" w:firstLine="8"/>
        <w:spacing w:after="0" w:line="251"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an independent expert to perform an evaluation of Dr. Jaffé’s claims that the amount Micron paid for Qimonda was less than fair market value. On January 25, 2018, the court-appointed expert issued a report concluding that the amount paid by Micron was within an acceptable fair-value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range. The Appeals Court held a subsequent hearing on April 30, 2019, and on May 28, 2019, the Appeals Court remanded the case to the expert for supplemental expert opinion. On March 31, 2020, the expert presented a revised opinion to the Appeals Court which reaffirmed the earlier view that the amount paid by Micron was still within an acceptable range of fair value. On March 4, 2021, the Appeals Court issued an order setting forth a new legal view that whether the 2008 sale of Inotera Shares is voidable depends on the question whether, in October 2008, Qimonda had a restructuring plan in place, and whether Micron was aware of and reasonably relied on that restructuring plan sufficient to form a belief that Qimonda was not imminently illiquid.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 On March 7, 2022, the Court of Appeals affirmed the District Court’s ruling dismissing plaintiffs’ claims. On May 3, 2021, several plaintiffs filed a substantially identical complaint in the U.S. District Court for the Northern District of California purportedly on behalf of a nationwide class of indirect purchasers of DRAM products. On July 19, 2021, the District Court dismissed the May 3, 2021 complaint pursuant to an agreement between the plaintiffs and Micron providing that the plaintiffs could refile the complaint if the District Court’s December 21, 2020 dismissal order were not affirmed on appeal.</w:t>
      </w:r>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 On September 3, 2021, the District Court granted Micron’s motion to dismiss the further amended complaint with prejudice. On October 1, 2021, the plaintiffs filed a notice of appeal to the U.S. Court of Appeals for the Ninth Circuit.</w:t>
      </w: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six cases have been filed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 The substantive allegations in these cases are similar to those asserted in the cases filed in the United States.</w:t>
      </w:r>
    </w:p>
    <w:p>
      <w:pPr>
        <w:spacing w:after="0" w:line="20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March 5, 2019, a derivative complaint was filed by a shareholder against certain current and former officers and directors of Micron, allegedly on behalf of and for the benefit of Micron, in the U.S. District Court for the District of Delaware alleging securities fraud, breaches of fiduciary duties, and other violations of law involving misrepresentations about purported anticompetitive behavior in the DRAM industry. The complaint seeks damages, fees, interest, costs, and other appropriate relief.</w:t>
      </w:r>
    </w:p>
    <w:p>
      <w:pPr>
        <w:spacing w:after="0" w:line="39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 Matters</w:t>
      </w:r>
    </w:p>
    <w:p>
      <w:pPr>
        <w:spacing w:after="0" w:line="2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June 13, 2019, current Micron employee, Chris Manning, filed a putative class action lawsuit on behalf of Micron employees subject to the Idaho Wage Claim Act who earned a performance-based bonus after the conclusion of 2018 whose performance rating was calculated based upon a mandatory percentage distribution range of performance ratings. On July 12, 2019, Manning and three other Company employees filed an amended complaint as putative class action representatives. On behalf of themselves and the putative class, Manning and the three other plaintiffs assert claims for violation of the Idaho Wage Claim Act, breach of contract, breach of the covenant of good faith and fair dealing, and fraud. On June 24, 2020, the court entered judgment in favor of Micron based on the statute of limitations, and the plaintiffs filed a notice of appeal on July 23, 2020. On March 9, 2022, the Supreme Court of Idaho affirmed the judgment in favor of Micron.</w:t>
      </w:r>
    </w:p>
    <w:p>
      <w:pPr>
        <w:spacing w:after="0" w:line="196"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On July 31, 2020, Micron and Intel entered into a binding arbitration agreement under which the parties agreed to present to an arbitral panel various financial disputes related to the former IMFT joint venture between Micron and Intel, which ended October 31, 2019, and to other agreements related to the joint development, production, and sale of non-volatile memory products. We expect the arbitration process to be completed in the third quarter of 2022.</w:t>
      </w:r>
    </w:p>
    <w:p>
      <w:pPr>
        <w:spacing w:after="0" w:line="19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On July 13, 2015, Allied Telesis, Inc. and Allied Telesis International (Asia) Pte Ltd. filed a complaint against Micron in the Superior Court of California in Santa Clara alleging breach of implied and express warranties and fraudulent inducement to contract arising from plaintiffs’ purchase of certain allegedly defective DDR1 products between 2008 and 2010. Through subsequent amendments to the complaint, the plaintiffs substituted Allied Telesis K.K. as plaintiff, withdrew the warranty claims, and added claims of fraudulent concealment, negligent misrepresentation, negligence, and strict products liability. On January 28, 2022, the plaintiff dismissed its complaint against Micron pursuant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 a settlement agreement.</w:t>
      </w:r>
    </w:p>
    <w:p>
      <w:pPr>
        <w:spacing w:after="0" w:line="221"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Contingency Assessment</w:t>
      </w:r>
    </w:p>
    <w:p>
      <w:pPr>
        <w:spacing w:after="0" w:line="2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unable to predict the outcome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are currently a party to legal actions other than those described in this note arising from the normal course of business, none of which are expected to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Micron Shareholders’ Equity</w:t>
      </w:r>
    </w:p>
    <w:p>
      <w:pPr>
        <w:spacing w:after="0" w:line="2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In the second quarter and first six months of 2022, we repurchased 4.8 million shares of our common stock for $408 million, and 8.4 million shares of our common stock for $667 million, respectively. Through March 3, 2022, we had repurchased an aggregate of $4.70 billion under the authorization. The shares repurchased were recorded as treasury stock.</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second quarter of 2022, we declared and paid dividends of $112 million ($0.10 per share) to shareholders of record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3, 2022. In the first quarter of 2022, we paid dividends of $112 million ($0.10 per share) that were declared in the fourth quarter of 2021. On March 29, 2022, our Board of Directors declared a quarterly dividend of $0.10 per share, payable in cash on April 26, 2022, to shareholders of record as of the close of business on April 11, 2022.</w:t>
      </w:r>
    </w:p>
    <w:p>
      <w:pPr>
        <w:spacing w:after="0" w:line="203"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b w:val="1"/>
          <w:bCs w:val="1"/>
          <w:i w:val="1"/>
          <w:iCs w:val="1"/>
          <w:color w:val="auto"/>
        </w:rPr>
        <w:t>Accumulated Other Comprehensive Income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(loss) by component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March 3, 2022 were as follows:</w:t>
      </w: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5"/>
                <w:szCs w:val="15"/>
                <w:color w:val="auto"/>
              </w:rPr>
            </w:pPr>
          </w:p>
        </w:tc>
        <w:tc>
          <w:tcPr>
            <w:tcW w:w="1160" w:type="dxa"/>
            <w:vAlign w:val="bottom"/>
          </w:tcPr>
          <w:p>
            <w:pPr>
              <w:jc w:val="center"/>
              <w:ind w:right="10"/>
              <w:spacing w:after="0" w:line="182" w:lineRule="exact"/>
              <w:rPr>
                <w:sz w:val="20"/>
                <w:szCs w:val="20"/>
                <w:color w:val="auto"/>
              </w:rPr>
            </w:pPr>
            <w:r>
              <w:rPr>
                <w:rFonts w:ascii="Arial" w:cs="Arial" w:eastAsia="Arial" w:hAnsi="Arial"/>
                <w:sz w:val="18"/>
                <w:szCs w:val="18"/>
                <w:b w:val="1"/>
                <w:bCs w:val="1"/>
                <w:color w:val="auto"/>
              </w:rPr>
              <w:t>Cumulative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Gains (Losses)</w:t>
            </w:r>
          </w:p>
        </w:tc>
        <w:tc>
          <w:tcPr>
            <w:tcW w:w="120" w:type="dxa"/>
            <w:vAlign w:val="bottom"/>
          </w:tcPr>
          <w:p>
            <w:pPr>
              <w:spacing w:after="0"/>
              <w:rPr>
                <w:sz w:val="15"/>
                <w:szCs w:val="15"/>
                <w:color w:val="auto"/>
              </w:rPr>
            </w:pPr>
          </w:p>
        </w:tc>
        <w:tc>
          <w:tcPr>
            <w:tcW w:w="12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Pension</w:t>
            </w: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Foreign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34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Gains (Losses)</w:t>
            </w:r>
          </w:p>
        </w:tc>
        <w:tc>
          <w:tcPr>
            <w:tcW w:w="14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8"/>
              </w:rPr>
              <w:t>Currency</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32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20" w:type="dxa"/>
            <w:vAlign w:val="bottom"/>
          </w:tcPr>
          <w:p>
            <w:pPr>
              <w:spacing w:after="0"/>
              <w:rPr>
                <w:sz w:val="15"/>
                <w:szCs w:val="15"/>
                <w:color w:val="auto"/>
              </w:rPr>
            </w:pPr>
          </w:p>
        </w:tc>
        <w:tc>
          <w:tcPr>
            <w:tcW w:w="12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Liability</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40" w:type="dxa"/>
            <w:vAlign w:val="bottom"/>
          </w:tcPr>
          <w:p>
            <w:pPr>
              <w:spacing w:after="0"/>
              <w:rPr>
                <w:sz w:val="15"/>
                <w:szCs w:val="15"/>
                <w:color w:val="auto"/>
              </w:rPr>
            </w:pPr>
          </w:p>
        </w:tc>
        <w:tc>
          <w:tcPr>
            <w:tcW w:w="11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32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Adjustments</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rPr>
              <w:t>Investments</w:t>
            </w:r>
          </w:p>
        </w:tc>
        <w:tc>
          <w:tcPr>
            <w:tcW w:w="1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8"/>
              </w:rPr>
              <w:t>Adjustment</w:t>
            </w:r>
          </w:p>
        </w:tc>
        <w:tc>
          <w:tcPr>
            <w:tcW w:w="32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2, 2021</w:t>
            </w:r>
          </w:p>
        </w:tc>
        <w:tc>
          <w:tcPr>
            <w:tcW w:w="12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5"/>
        </w:trPr>
        <w:tc>
          <w:tcPr>
            <w:tcW w:w="4580" w:type="dxa"/>
            <w:vAlign w:val="bottom"/>
          </w:tcPr>
          <w:p>
            <w:pPr>
              <w:ind w:left="240"/>
              <w:spacing w:after="0" w:line="156"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D1D2D4"/>
          </w:tcPr>
          <w:p>
            <w:pPr>
              <w:ind w:left="240"/>
              <w:spacing w:after="0" w:line="176"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1D2D4"/>
          </w:tcPr>
          <w:p>
            <w:pPr>
              <w:spacing w:after="0"/>
              <w:rPr>
                <w:sz w:val="15"/>
                <w:szCs w:val="15"/>
                <w:color w:val="auto"/>
              </w:rPr>
            </w:pPr>
          </w:p>
        </w:tc>
        <w:tc>
          <w:tcPr>
            <w:tcW w:w="12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D1D2D4"/>
          </w:tcPr>
          <w:p>
            <w:pPr>
              <w:spacing w:after="0"/>
              <w:rPr>
                <w:sz w:val="19"/>
                <w:szCs w:val="19"/>
                <w:color w:val="auto"/>
              </w:rPr>
            </w:pPr>
          </w:p>
        </w:tc>
        <w:tc>
          <w:tcPr>
            <w:tcW w:w="1200" w:type="dxa"/>
            <w:vAlign w:val="bottom"/>
            <w:vMerge w:val="continue"/>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vMerge w:val="continue"/>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vMerge w:val="continue"/>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160" w:type="dxa"/>
            <w:vAlign w:val="bottom"/>
            <w:vMerge w:val="continue"/>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040" w:type="dxa"/>
            <w:vAlign w:val="bottom"/>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March 3, 2022</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4"/>
          </w:tcPr>
          <w:p>
            <w:pPr>
              <w:ind w:left="460"/>
              <w:spacing w:after="0"/>
              <w:rPr>
                <w:sz w:val="20"/>
                <w:szCs w:val="20"/>
                <w:color w:val="auto"/>
              </w:rPr>
            </w:pPr>
            <w:r>
              <w:rPr>
                <w:rFonts w:ascii="Arial" w:cs="Arial" w:eastAsia="Arial" w:hAnsi="Arial"/>
                <w:sz w:val="18"/>
                <w:szCs w:val="18"/>
                <w:b w:val="1"/>
                <w:bCs w:val="1"/>
                <w:color w:val="auto"/>
              </w:rPr>
              <w:t>March 3, 2022</w:t>
            </w:r>
          </w:p>
        </w:tc>
        <w:tc>
          <w:tcPr>
            <w:tcW w:w="280" w:type="dxa"/>
            <w:vAlign w:val="bottom"/>
          </w:tcPr>
          <w:p>
            <w:pPr>
              <w:spacing w:after="0"/>
              <w:rPr>
                <w:sz w:val="20"/>
                <w:szCs w:val="20"/>
                <w:color w:val="auto"/>
              </w:rPr>
            </w:pPr>
          </w:p>
        </w:tc>
        <w:tc>
          <w:tcPr>
            <w:tcW w:w="24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2, 2021</w:t>
            </w:r>
          </w:p>
        </w:tc>
        <w:tc>
          <w:tcPr>
            <w:tcW w:w="0" w:type="dxa"/>
            <w:vAlign w:val="bottom"/>
          </w:tcPr>
          <w:p>
            <w:pPr>
              <w:spacing w:after="0"/>
              <w:rPr>
                <w:sz w:val="1"/>
                <w:szCs w:val="1"/>
                <w:color w:val="auto"/>
              </w:rPr>
            </w:pPr>
          </w:p>
        </w:tc>
      </w:tr>
      <w:tr>
        <w:trPr>
          <w:trHeight w:val="169"/>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top w:val="single" w:sz="8" w:color="0090DA"/>
            </w:tcBorders>
          </w:tcPr>
          <w:p>
            <w:pPr>
              <w:spacing w:after="0"/>
              <w:rPr>
                <w:sz w:val="14"/>
                <w:szCs w:val="14"/>
                <w:color w:val="auto"/>
              </w:rPr>
            </w:pPr>
          </w:p>
        </w:tc>
        <w:tc>
          <w:tcPr>
            <w:tcW w:w="1020" w:type="dxa"/>
            <w:vAlign w:val="bottom"/>
            <w:tcBorders>
              <w:top w:val="single" w:sz="8" w:color="0090DA"/>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Borders>
              <w:top w:val="single" w:sz="8" w:color="0090DA"/>
            </w:tcBorders>
          </w:tcPr>
          <w:p>
            <w:pPr>
              <w:spacing w:after="0"/>
              <w:rPr>
                <w:sz w:val="14"/>
                <w:szCs w:val="14"/>
                <w:color w:val="auto"/>
              </w:rPr>
            </w:pPr>
          </w:p>
        </w:tc>
        <w:tc>
          <w:tcPr>
            <w:tcW w:w="1120" w:type="dxa"/>
            <w:vAlign w:val="bottom"/>
            <w:tcBorders>
              <w:top w:val="single" w:sz="8" w:color="0090DA"/>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4"/>
                <w:szCs w:val="14"/>
                <w:color w:val="auto"/>
              </w:rPr>
            </w:pPr>
          </w:p>
        </w:tc>
        <w:tc>
          <w:tcPr>
            <w:tcW w:w="280" w:type="dxa"/>
            <w:vAlign w:val="bottom"/>
            <w:tcBorders>
              <w:top w:val="single" w:sz="8" w:color="0090DA"/>
            </w:tcBorders>
          </w:tcPr>
          <w:p>
            <w:pPr>
              <w:spacing w:after="0"/>
              <w:rPr>
                <w:sz w:val="14"/>
                <w:szCs w:val="14"/>
                <w:color w:val="auto"/>
              </w:rPr>
            </w:pPr>
          </w:p>
        </w:tc>
        <w:tc>
          <w:tcPr>
            <w:tcW w:w="1040" w:type="dxa"/>
            <w:vAlign w:val="bottom"/>
            <w:tcBorders>
              <w:top w:val="single" w:sz="8" w:color="0090DA"/>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Borders>
              <w:top w:val="single" w:sz="8" w:color="0090DA"/>
            </w:tcBorders>
          </w:tcPr>
          <w:p>
            <w:pPr>
              <w:spacing w:after="0"/>
              <w:rPr>
                <w:sz w:val="14"/>
                <w:szCs w:val="14"/>
                <w:color w:val="auto"/>
              </w:rPr>
            </w:pPr>
          </w:p>
        </w:tc>
        <w:tc>
          <w:tcPr>
            <w:tcW w:w="1120" w:type="dxa"/>
            <w:vAlign w:val="bottom"/>
            <w:tcBorders>
              <w:top w:val="single" w:sz="8" w:color="0090DA"/>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Carrying</w:t>
            </w:r>
          </w:p>
        </w:tc>
        <w:tc>
          <w:tcPr>
            <w:tcW w:w="0" w:type="dxa"/>
            <w:vAlign w:val="bottom"/>
          </w:tcPr>
          <w:p>
            <w:pPr>
              <w:spacing w:after="0"/>
              <w:rPr>
                <w:sz w:val="1"/>
                <w:szCs w:val="1"/>
                <w:color w:val="auto"/>
              </w:rPr>
            </w:pPr>
          </w:p>
        </w:tc>
      </w:tr>
      <w:tr>
        <w:trPr>
          <w:trHeight w:val="229"/>
        </w:trPr>
        <w:tc>
          <w:tcPr>
            <w:tcW w:w="5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Value</w:t>
            </w:r>
          </w:p>
        </w:tc>
        <w:tc>
          <w:tcPr>
            <w:tcW w:w="24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Value</w:t>
            </w:r>
          </w:p>
        </w:tc>
        <w:tc>
          <w:tcPr>
            <w:tcW w:w="240" w:type="dxa"/>
            <w:vAlign w:val="bottom"/>
          </w:tcPr>
          <w:p>
            <w:pPr>
              <w:spacing w:after="0"/>
              <w:rPr>
                <w:sz w:val="19"/>
                <w:szCs w:val="19"/>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34"/>
        </w:trPr>
        <w:tc>
          <w:tcPr>
            <w:tcW w:w="580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6,193</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6,081</w:t>
            </w:r>
          </w:p>
        </w:tc>
        <w:tc>
          <w:tcPr>
            <w:tcW w:w="100" w:type="dxa"/>
            <w:vAlign w:val="bottom"/>
            <w:shd w:val="clear" w:color="auto" w:fill="D1D2D4"/>
          </w:tcPr>
          <w:p>
            <w:pPr>
              <w:spacing w:after="0"/>
              <w:rPr>
                <w:sz w:val="19"/>
                <w:szCs w:val="19"/>
                <w:color w:val="auto"/>
              </w:rPr>
            </w:pP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6,584</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c>
          <w:tcPr>
            <w:tcW w:w="0" w:type="dxa"/>
            <w:vAlign w:val="bottom"/>
          </w:tcPr>
          <w:p>
            <w:pPr>
              <w:spacing w:after="0"/>
              <w:rPr>
                <w:sz w:val="1"/>
                <w:szCs w:val="1"/>
                <w:color w:val="auto"/>
              </w:rPr>
            </w:pPr>
          </w:p>
        </w:tc>
      </w:tr>
      <w:tr>
        <w:trPr>
          <w:trHeight w:val="1154"/>
        </w:trPr>
        <w:tc>
          <w:tcPr>
            <w:tcW w:w="5900" w:type="dxa"/>
            <w:vAlign w:val="bottom"/>
          </w:tcPr>
          <w:p>
            <w:pPr>
              <w:spacing w:after="0"/>
              <w:rPr>
                <w:sz w:val="20"/>
                <w:szCs w:val="20"/>
                <w:color w:val="auto"/>
              </w:rPr>
            </w:pPr>
            <w:r>
              <w:rPr>
                <w:rFonts w:ascii="Arial" w:cs="Arial" w:eastAsia="Arial" w:hAnsi="Arial"/>
                <w:sz w:val="40"/>
                <w:szCs w:val="40"/>
                <w:b w:val="1"/>
                <w:bCs w:val="1"/>
                <w:color w:val="auto"/>
              </w:rPr>
              <w:t>Derivative Instruments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90DA"/>
            </w:tcBorders>
          </w:tcPr>
          <w:p>
            <w:pPr>
              <w:spacing w:after="0"/>
              <w:rPr>
                <w:sz w:val="24"/>
                <w:szCs w:val="24"/>
                <w:color w:val="auto"/>
              </w:rPr>
            </w:pPr>
          </w:p>
        </w:tc>
        <w:tc>
          <w:tcPr>
            <w:tcW w:w="126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0"/>
                <w:szCs w:val="20"/>
                <w:color w:val="auto"/>
              </w:rPr>
            </w:pPr>
          </w:p>
        </w:tc>
        <w:tc>
          <w:tcPr>
            <w:tcW w:w="26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2"/>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0090DA"/>
            </w:tcBorders>
          </w:tcPr>
          <w:p>
            <w:pPr>
              <w:spacing w:after="0"/>
              <w:rPr>
                <w:sz w:val="4"/>
                <w:szCs w:val="4"/>
                <w:color w:val="auto"/>
              </w:rPr>
            </w:pPr>
          </w:p>
        </w:tc>
        <w:tc>
          <w:tcPr>
            <w:tcW w:w="1180" w:type="dxa"/>
            <w:vAlign w:val="bottom"/>
            <w:tcBorders>
              <w:bottom w:val="single" w:sz="8" w:color="0090DA"/>
            </w:tcBorders>
          </w:tcPr>
          <w:p>
            <w:pPr>
              <w:spacing w:after="0"/>
              <w:rPr>
                <w:sz w:val="4"/>
                <w:szCs w:val="4"/>
                <w:color w:val="auto"/>
              </w:rPr>
            </w:pPr>
          </w:p>
        </w:tc>
        <w:tc>
          <w:tcPr>
            <w:tcW w:w="120" w:type="dxa"/>
            <w:vAlign w:val="bottom"/>
            <w:tcBorders>
              <w:bottom w:val="single" w:sz="8" w:color="0090DA"/>
            </w:tcBorders>
          </w:tcPr>
          <w:p>
            <w:pPr>
              <w:spacing w:after="0"/>
              <w:rPr>
                <w:sz w:val="4"/>
                <w:szCs w:val="4"/>
                <w:color w:val="auto"/>
              </w:rPr>
            </w:pPr>
          </w:p>
        </w:tc>
        <w:tc>
          <w:tcPr>
            <w:tcW w:w="100" w:type="dxa"/>
            <w:vAlign w:val="bottom"/>
            <w:tcBorders>
              <w:bottom w:val="single" w:sz="8" w:color="0090DA"/>
            </w:tcBorders>
          </w:tcPr>
          <w:p>
            <w:pPr>
              <w:spacing w:after="0"/>
              <w:rPr>
                <w:sz w:val="4"/>
                <w:szCs w:val="4"/>
                <w:color w:val="auto"/>
              </w:rPr>
            </w:pPr>
          </w:p>
        </w:tc>
        <w:tc>
          <w:tcPr>
            <w:tcW w:w="1260" w:type="dxa"/>
            <w:vAlign w:val="bottom"/>
            <w:tcBorders>
              <w:bottom w:val="single" w:sz="8" w:color="0090DA"/>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1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vMerge w:val="continue"/>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March 3, 2022</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4,743</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1,348</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2, 2021</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3,601</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200" w:lineRule="auto"/>
        <w:tabs>
          <w:tab w:leader="none" w:pos="240"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 Forward and swap contracts are measured at fair value based on market-based observable inputs including market spot and forward rates, interest rates, and credit-risk spreads (Level 2). We do not use derivative instruments for speculative purposes. We recognized losses of $70 million and $170 million for the second quarter and first six months of 2022, respectively, and losses of $30 million for the second quarter of 2021 in accumulated other comprehensive income from cash flow hedges. The amounts recognized for the first six months of 2021 were not significant. As of March 3, 2022, we expect to reclassify $75 million of pre-tax losses related to cash flow hedges from accumulated other comprehensive income into earnings in the next 12 months.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The effects of fair value hedges on our consolidated statements of operations, recognized in interest expense, were not significant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As of March 3, 2022, 97 million shares of our common stock were available for future awards under our equity plans.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80" w:type="dxa"/>
            <w:vAlign w:val="bottom"/>
          </w:tcPr>
          <w:p>
            <w:pPr>
              <w:spacing w:after="0"/>
              <w:rPr>
                <w:sz w:val="20"/>
                <w:szCs w:val="20"/>
                <w:color w:val="auto"/>
              </w:rPr>
            </w:pPr>
            <w:r>
              <w:rPr>
                <w:rFonts w:ascii="Arial" w:cs="Arial" w:eastAsia="Arial" w:hAnsi="Arial"/>
                <w:sz w:val="18"/>
                <w:szCs w:val="18"/>
                <w:color w:val="auto"/>
              </w:rPr>
              <w:t>Restricted Stock Awards activity is summarized as follows:</w:t>
            </w:r>
          </w:p>
        </w:tc>
        <w:tc>
          <w:tcPr>
            <w:tcW w:w="2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2060" w:type="dxa"/>
            <w:vAlign w:val="bottom"/>
          </w:tcPr>
          <w:p>
            <w:pPr>
              <w:spacing w:after="0"/>
              <w:rPr>
                <w:sz w:val="17"/>
                <w:szCs w:val="17"/>
                <w:color w:val="auto"/>
              </w:rPr>
            </w:pPr>
          </w:p>
        </w:tc>
        <w:tc>
          <w:tcPr>
            <w:tcW w:w="116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March 3,</w:t>
            </w:r>
          </w:p>
        </w:tc>
        <w:tc>
          <w:tcPr>
            <w:tcW w:w="320" w:type="dxa"/>
            <w:vAlign w:val="bottom"/>
          </w:tcPr>
          <w:p>
            <w:pPr>
              <w:spacing w:after="0"/>
              <w:rPr>
                <w:sz w:val="17"/>
                <w:szCs w:val="17"/>
                <w:color w:val="auto"/>
              </w:rPr>
            </w:pPr>
          </w:p>
        </w:tc>
        <w:tc>
          <w:tcPr>
            <w:tcW w:w="1220" w:type="dxa"/>
            <w:vAlign w:val="bottom"/>
          </w:tcPr>
          <w:p>
            <w:pPr>
              <w:jc w:val="right"/>
              <w:ind w:right="270"/>
              <w:spacing w:after="0" w:line="199" w:lineRule="exact"/>
              <w:rPr>
                <w:sz w:val="20"/>
                <w:szCs w:val="20"/>
                <w:color w:val="auto"/>
              </w:rPr>
            </w:pPr>
            <w:r>
              <w:rPr>
                <w:rFonts w:ascii="Arial" w:cs="Arial" w:eastAsia="Arial" w:hAnsi="Arial"/>
                <w:sz w:val="18"/>
                <w:szCs w:val="18"/>
                <w:b w:val="1"/>
                <w:bCs w:val="1"/>
                <w:color w:val="auto"/>
              </w:rPr>
              <w:t>March 4,</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0090DA"/>
            </w:tcBorders>
            <w:vMerge w:val="continue"/>
          </w:tcPr>
          <w:p>
            <w:pPr>
              <w:spacing w:after="0"/>
              <w:rPr>
                <w:sz w:val="19"/>
                <w:szCs w:val="19"/>
                <w:color w:val="auto"/>
              </w:rPr>
            </w:pPr>
          </w:p>
        </w:tc>
        <w:tc>
          <w:tcPr>
            <w:tcW w:w="20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060" w:type="dxa"/>
            <w:vAlign w:val="bottom"/>
            <w:shd w:val="clear" w:color="auto" w:fill="D1D2D4"/>
          </w:tcPr>
          <w:p>
            <w:pPr>
              <w:spacing w:after="0"/>
              <w:rPr>
                <w:sz w:val="19"/>
                <w:szCs w:val="19"/>
                <w:color w:val="auto"/>
              </w:rPr>
            </w:pPr>
          </w:p>
        </w:tc>
        <w:tc>
          <w:tcPr>
            <w:tcW w:w="11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D1D2D4"/>
          </w:tcPr>
          <w:p>
            <w:pPr>
              <w:spacing w:after="0"/>
              <w:rPr>
                <w:sz w:val="19"/>
                <w:szCs w:val="19"/>
                <w:color w:val="auto"/>
              </w:rPr>
            </w:pPr>
          </w:p>
        </w:tc>
        <w:tc>
          <w:tcPr>
            <w:tcW w:w="12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9"/>
        </w:trPr>
        <w:tc>
          <w:tcPr>
            <w:tcW w:w="648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71.31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the first quarter of 2022, our Board of Directors approved dividend equivalent rights for unvested restricted stock units awarded on or after October 13, 2021.</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Stock Purchase Plan (“ESPP”)</w:t>
      </w:r>
    </w:p>
    <w:p>
      <w:pPr>
        <w:spacing w:after="0" w:line="24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each six month period ended March 3, 2022 and March 4, 2021, we issued 2 million shares at a per share price of $65.94 and $42.55,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43"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Stock based compensation expense recognized in our statements of operations is presented below. Stock-based compensation expense of $46 million and $30 million was capitalized and remained in inventory as of March 3, 2022 and September 2, 2021, respectively.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3,</w:t>
            </w:r>
          </w:p>
        </w:tc>
        <w:tc>
          <w:tcPr>
            <w:tcW w:w="26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3,</w:t>
            </w:r>
          </w:p>
        </w:tc>
        <w:tc>
          <w:tcPr>
            <w:tcW w:w="24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r>
      <w:tr>
        <w:trPr>
          <w:trHeight w:val="229"/>
        </w:trPr>
        <w:tc>
          <w:tcPr>
            <w:tcW w:w="53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3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538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53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ESPP</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3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1"/>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of March 3, 2022, $1.12 billion of total unrecognized compensation costs for unvested awards, before the effect of any future forfeitures, was expected to be recognized through the second quarter of 2026, resulting in a weighted-average period of 1.4 years.</w:t>
      </w:r>
    </w:p>
    <w:p>
      <w:pPr>
        <w:spacing w:after="0" w:line="1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Technology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3,</w:t>
            </w:r>
          </w:p>
        </w:tc>
        <w:tc>
          <w:tcPr>
            <w:tcW w:w="26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3,</w:t>
            </w:r>
          </w:p>
        </w:tc>
        <w:tc>
          <w:tcPr>
            <w:tcW w:w="28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r>
      <w:tr>
        <w:trPr>
          <w:trHeight w:val="230"/>
        </w:trPr>
        <w:tc>
          <w:tcPr>
            <w:tcW w:w="53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5,719</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11,306</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NAND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3,835</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24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53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Customer Contract Liabilities</w:t>
      </w:r>
    </w:p>
    <w:p>
      <w:pPr>
        <w:spacing w:after="0" w:line="243" w:lineRule="exact"/>
        <w:rPr>
          <w:sz w:val="20"/>
          <w:szCs w:val="20"/>
          <w:color w:val="auto"/>
        </w:rPr>
      </w:pPr>
    </w:p>
    <w:p>
      <w:pPr>
        <w:jc w:val="both"/>
        <w:ind w:right="100"/>
        <w:spacing w:after="0" w:line="291" w:lineRule="auto"/>
        <w:rPr>
          <w:sz w:val="20"/>
          <w:szCs w:val="20"/>
          <w:color w:val="auto"/>
        </w:rPr>
      </w:pPr>
      <w:r>
        <w:rPr>
          <w:rFonts w:ascii="Arial" w:cs="Arial" w:eastAsia="Arial" w:hAnsi="Arial"/>
          <w:sz w:val="17"/>
          <w:szCs w:val="17"/>
          <w:color w:val="auto"/>
        </w:rPr>
        <w:t>As of March 3, 2022 and September 2, 2021, other current liabilities included $78 million and $74 million, respectively, of advance payments received from our customers to secure product in future periods. Revenue for the first six months of 2022 included $74 million recognized as a result of satisfying our performance obligation to ship product against customer advances that existed as of September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March 3, 2022, our future performance obligations beyond one year were not significant.</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As of March 3, 2022 and September 2, 2021, other current liabilities included $1.02 billion and $846 million, respectively, for estimates of consideration payable to customers, including estimates for pricing adjustments and returns.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Restructure and Asset Impairments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2600" w:type="dxa"/>
            <w:vAlign w:val="bottom"/>
            <w:tcBorders>
              <w:bottom w:val="single" w:sz="8" w:color="0090DA"/>
            </w:tcBorders>
            <w:gridSpan w:val="3"/>
          </w:tcPr>
          <w:p>
            <w:pPr>
              <w:jc w:val="right"/>
              <w:ind w:right="45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Borders>
              <w:bottom w:val="single" w:sz="8" w:color="0090D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0090DA"/>
            </w:tcBorders>
          </w:tcPr>
          <w:p>
            <w:pPr>
              <w:spacing w:after="0"/>
              <w:rPr>
                <w:sz w:val="18"/>
                <w:szCs w:val="18"/>
                <w:color w:val="auto"/>
              </w:rPr>
            </w:pPr>
          </w:p>
        </w:tc>
        <w:tc>
          <w:tcPr>
            <w:tcW w:w="266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1160" w:type="dxa"/>
            <w:vAlign w:val="bottom"/>
          </w:tcPr>
          <w:p>
            <w:pPr>
              <w:jc w:val="center"/>
              <w:ind w:left="190"/>
              <w:spacing w:after="0" w:line="169" w:lineRule="exact"/>
              <w:rPr>
                <w:sz w:val="20"/>
                <w:szCs w:val="20"/>
                <w:color w:val="auto"/>
              </w:rPr>
            </w:pPr>
            <w:r>
              <w:rPr>
                <w:rFonts w:ascii="Arial" w:cs="Arial" w:eastAsia="Arial" w:hAnsi="Arial"/>
                <w:sz w:val="18"/>
                <w:szCs w:val="18"/>
                <w:b w:val="1"/>
                <w:bCs w:val="1"/>
                <w:color w:val="auto"/>
                <w:w w:val="98"/>
              </w:rPr>
              <w:t>March 3,</w:t>
            </w:r>
          </w:p>
        </w:tc>
        <w:tc>
          <w:tcPr>
            <w:tcW w:w="240" w:type="dxa"/>
            <w:vAlign w:val="bottom"/>
          </w:tcPr>
          <w:p>
            <w:pPr>
              <w:spacing w:after="0"/>
              <w:rPr>
                <w:sz w:val="14"/>
                <w:szCs w:val="14"/>
                <w:color w:val="auto"/>
              </w:rPr>
            </w:pPr>
          </w:p>
        </w:tc>
        <w:tc>
          <w:tcPr>
            <w:tcW w:w="1200" w:type="dxa"/>
            <w:vAlign w:val="bottom"/>
          </w:tcPr>
          <w:p>
            <w:pPr>
              <w:jc w:val="center"/>
              <w:ind w:left="210"/>
              <w:spacing w:after="0" w:line="169" w:lineRule="exact"/>
              <w:rPr>
                <w:sz w:val="20"/>
                <w:szCs w:val="20"/>
                <w:color w:val="auto"/>
              </w:rPr>
            </w:pPr>
            <w:r>
              <w:rPr>
                <w:rFonts w:ascii="Arial" w:cs="Arial" w:eastAsia="Arial" w:hAnsi="Arial"/>
                <w:sz w:val="18"/>
                <w:szCs w:val="18"/>
                <w:b w:val="1"/>
                <w:bCs w:val="1"/>
                <w:color w:val="auto"/>
              </w:rPr>
              <w:t>March 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rPr>
              <w:t>March 3,</w:t>
            </w:r>
          </w:p>
        </w:tc>
        <w:tc>
          <w:tcPr>
            <w:tcW w:w="280" w:type="dxa"/>
            <w:vAlign w:val="bottom"/>
          </w:tcPr>
          <w:p>
            <w:pPr>
              <w:spacing w:after="0"/>
              <w:rPr>
                <w:sz w:val="14"/>
                <w:szCs w:val="14"/>
                <w:color w:val="auto"/>
              </w:rPr>
            </w:pPr>
          </w:p>
        </w:tc>
        <w:tc>
          <w:tcPr>
            <w:tcW w:w="120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8"/>
              </w:rPr>
              <w:t>March 4,</w:t>
            </w:r>
          </w:p>
        </w:tc>
      </w:tr>
      <w:tr>
        <w:trPr>
          <w:trHeight w:val="230"/>
        </w:trPr>
        <w:tc>
          <w:tcPr>
            <w:tcW w:w="538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90DA"/>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160" w:type="dxa"/>
            <w:vAlign w:val="bottom"/>
            <w:shd w:val="clear" w:color="auto" w:fill="D1D2D4"/>
          </w:tcPr>
          <w:p>
            <w:pPr>
              <w:jc w:val="right"/>
              <w:ind w:right="9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200" w:type="dxa"/>
            <w:vAlign w:val="bottom"/>
            <w:shd w:val="clear" w:color="auto" w:fill="D1D2D4"/>
          </w:tcPr>
          <w:p>
            <w:pPr>
              <w:jc w:val="right"/>
              <w:ind w:right="95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r>
    </w:tbl>
    <w:p>
      <w:pPr>
        <w:spacing w:after="0" w:line="31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Restructure and asset impairments for the first six months of 2022 primarily related to the sale of our Lehi, Utah facility. See “Lehi, Utah Fab and 3D XPoint.”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3000" w:type="dxa"/>
            <w:vAlign w:val="bottom"/>
            <w:gridSpan w:val="4"/>
          </w:tcPr>
          <w:p>
            <w:pPr>
              <w:ind w:left="84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18"/>
                <w:szCs w:val="18"/>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60" w:type="dxa"/>
            <w:vAlign w:val="bottom"/>
          </w:tcPr>
          <w:p>
            <w:pPr>
              <w:spacing w:after="0"/>
              <w:rPr>
                <w:sz w:val="14"/>
                <w:szCs w:val="14"/>
                <w:color w:val="auto"/>
              </w:rPr>
            </w:pPr>
          </w:p>
        </w:tc>
        <w:tc>
          <w:tcPr>
            <w:tcW w:w="1140" w:type="dxa"/>
            <w:vAlign w:val="bottom"/>
            <w:tcBorders>
              <w:top w:val="single" w:sz="8" w:color="0090DA"/>
            </w:tcBorders>
          </w:tcPr>
          <w:p>
            <w:pPr>
              <w:jc w:val="right"/>
              <w:spacing w:after="0" w:line="169" w:lineRule="exact"/>
              <w:rPr>
                <w:sz w:val="20"/>
                <w:szCs w:val="20"/>
                <w:color w:val="auto"/>
              </w:rPr>
            </w:pPr>
            <w:r>
              <w:rPr>
                <w:rFonts w:ascii="Arial" w:cs="Arial" w:eastAsia="Arial" w:hAnsi="Arial"/>
                <w:sz w:val="18"/>
                <w:szCs w:val="18"/>
                <w:b w:val="1"/>
                <w:bCs w:val="1"/>
                <w:color w:val="auto"/>
              </w:rPr>
              <w:t>March 3,</w:t>
            </w:r>
          </w:p>
        </w:tc>
        <w:tc>
          <w:tcPr>
            <w:tcW w:w="54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3,</w:t>
            </w:r>
          </w:p>
        </w:tc>
        <w:tc>
          <w:tcPr>
            <w:tcW w:w="24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r>
      <w:tr>
        <w:trPr>
          <w:trHeight w:val="229"/>
        </w:trPr>
        <w:tc>
          <w:tcPr>
            <w:tcW w:w="53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Patent license charges</w:t>
            </w:r>
          </w:p>
        </w:tc>
        <w:tc>
          <w:tcPr>
            <w:tcW w:w="1140" w:type="dxa"/>
            <w:vAlign w:val="bottom"/>
            <w:shd w:val="clear" w:color="auto" w:fill="D1D2D4"/>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36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ind w:right="9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70 $</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54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2560" w:type="dxa"/>
            <w:vAlign w:val="bottom"/>
            <w:tcBorders>
              <w:bottom w:val="single" w:sz="8" w:color="0090DA"/>
            </w:tcBorders>
            <w:gridSpan w:val="3"/>
          </w:tcPr>
          <w:p>
            <w:pPr>
              <w:jc w:val="right"/>
              <w:ind w:right="41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Borders>
              <w:bottom w:val="single" w:sz="8" w:color="0090D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0090DA"/>
            </w:tcBorders>
          </w:tcPr>
          <w:p>
            <w:pPr>
              <w:spacing w:after="0"/>
              <w:rPr>
                <w:sz w:val="18"/>
                <w:szCs w:val="18"/>
                <w:color w:val="auto"/>
              </w:rPr>
            </w:pPr>
          </w:p>
        </w:tc>
        <w:tc>
          <w:tcPr>
            <w:tcW w:w="266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w:t>
            </w:r>
          </w:p>
        </w:tc>
        <w:tc>
          <w:tcPr>
            <w:tcW w:w="28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March 3,</w:t>
            </w:r>
          </w:p>
        </w:tc>
        <w:tc>
          <w:tcPr>
            <w:tcW w:w="240" w:type="dxa"/>
            <w:vAlign w:val="bottom"/>
          </w:tcPr>
          <w:p>
            <w:pPr>
              <w:spacing w:after="0"/>
              <w:rPr>
                <w:sz w:val="14"/>
                <w:szCs w:val="14"/>
                <w:color w:val="auto"/>
              </w:rPr>
            </w:pPr>
          </w:p>
        </w:tc>
        <w:tc>
          <w:tcPr>
            <w:tcW w:w="12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r>
      <w:tr>
        <w:trPr>
          <w:trHeight w:val="230"/>
        </w:trPr>
        <w:tc>
          <w:tcPr>
            <w:tcW w:w="538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90DA"/>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debt repurchases and conversions</w:t>
            </w:r>
          </w:p>
        </w:tc>
        <w:tc>
          <w:tcPr>
            <w:tcW w:w="1120" w:type="dxa"/>
            <w:vAlign w:val="bottom"/>
            <w:shd w:val="clear" w:color="auto" w:fill="D1D2D4"/>
          </w:tcPr>
          <w:p>
            <w:pPr>
              <w:jc w:val="right"/>
              <w:ind w:right="91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D1D2D4"/>
          </w:tcPr>
          <w:p>
            <w:pPr>
              <w:jc w:val="right"/>
              <w:ind w:right="91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center"/>
              <w:ind w:left="730"/>
              <w:spacing w:after="0"/>
              <w:rPr>
                <w:sz w:val="20"/>
                <w:szCs w:val="20"/>
                <w:color w:val="auto"/>
              </w:rPr>
            </w:pPr>
            <w:r>
              <w:rPr>
                <w:rFonts w:ascii="Arial" w:cs="Arial" w:eastAsia="Arial" w:hAnsi="Arial"/>
                <w:sz w:val="18"/>
                <w:szCs w:val="18"/>
                <w:color w:val="auto"/>
                <w:w w:val="99"/>
              </w:rPr>
              <w:t>(83)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9"/>
              </w:rPr>
              <w:t>14</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5380" w:type="dxa"/>
            <w:vAlign w:val="bottom"/>
            <w:tcBorders>
              <w:bottom w:val="single" w:sz="8" w:color="D1D2D4"/>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ind w:right="9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160" w:type="dxa"/>
            <w:vAlign w:val="bottom"/>
            <w:tcBorders>
              <w:bottom w:val="single" w:sz="8" w:color="auto"/>
            </w:tcBorders>
            <w:shd w:val="clear" w:color="auto" w:fill="D1D2D4"/>
          </w:tcPr>
          <w:p>
            <w:pPr>
              <w:jc w:val="right"/>
              <w:ind w:right="9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center"/>
              <w:ind w:left="730"/>
              <w:spacing w:after="0"/>
              <w:rPr>
                <w:sz w:val="20"/>
                <w:szCs w:val="20"/>
                <w:color w:val="auto"/>
              </w:rPr>
            </w:pPr>
            <w:r>
              <w:rPr>
                <w:rFonts w:ascii="Arial" w:cs="Arial" w:eastAsia="Arial" w:hAnsi="Arial"/>
                <w:sz w:val="18"/>
                <w:szCs w:val="18"/>
                <w:color w:val="auto"/>
                <w:w w:val="99"/>
              </w:rPr>
              <w:t>(69)</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ind w:left="20"/>
              <w:spacing w:after="0"/>
              <w:rPr>
                <w:rFonts w:ascii="Arial" w:cs="Arial" w:eastAsia="Arial" w:hAnsi="Arial"/>
                <w:sz w:val="16"/>
                <w:szCs w:val="16"/>
                <w:b w:val="1"/>
                <w:bCs w:val="1"/>
                <w:color w:val="0090DA"/>
              </w:rPr>
            </w:pPr>
            <w:hyperlink w:anchor="page2">
              <w:r>
                <w:rPr>
                  <w:rFonts w:ascii="Arial" w:cs="Arial" w:eastAsia="Arial" w:hAnsi="Arial"/>
                  <w:sz w:val="16"/>
                  <w:szCs w:val="16"/>
                  <w:b w:val="1"/>
                  <w:bCs w:val="1"/>
                  <w:color w:val="0090DA"/>
                </w:rPr>
                <w:t>Table of Contents</w:t>
              </w:r>
            </w:hyperlink>
          </w:p>
        </w:tc>
      </w:tr>
      <w:tr>
        <w:trPr>
          <w:trHeight w:val="1154"/>
        </w:trPr>
        <w:tc>
          <w:tcPr>
            <w:tcW w:w="5000" w:type="dxa"/>
            <w:vAlign w:val="bottom"/>
          </w:tcPr>
          <w:p>
            <w:pPr>
              <w:spacing w:after="0"/>
              <w:rPr>
                <w:sz w:val="20"/>
                <w:szCs w:val="20"/>
                <w:color w:val="auto"/>
              </w:rPr>
            </w:pPr>
            <w:r>
              <w:rPr>
                <w:rFonts w:ascii="Arial" w:cs="Arial" w:eastAsia="Arial" w:hAnsi="Arial"/>
                <w:sz w:val="40"/>
                <w:szCs w:val="40"/>
                <w:b w:val="1"/>
                <w:bCs w:val="1"/>
                <w:color w:val="auto"/>
              </w:rPr>
              <w:t>Income Taxes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Borders>
              <w:top w:val="single" w:sz="8" w:color="0090DA"/>
            </w:tcBorders>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500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4"/>
          </w:tcPr>
          <w:p>
            <w:pPr>
              <w:ind w:left="6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1"/>
                <w:szCs w:val="21"/>
                <w:color w:val="auto"/>
              </w:rPr>
            </w:pPr>
          </w:p>
        </w:tc>
        <w:tc>
          <w:tcPr>
            <w:tcW w:w="2840" w:type="dxa"/>
            <w:vAlign w:val="bottom"/>
            <w:gridSpan w:val="5"/>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0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28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March 3,</w:t>
            </w:r>
          </w:p>
        </w:tc>
        <w:tc>
          <w:tcPr>
            <w:tcW w:w="260" w:type="dxa"/>
            <w:vAlign w:val="bottom"/>
            <w:tcBorders>
              <w:top w:val="single" w:sz="8" w:color="0090DA"/>
            </w:tcBorders>
          </w:tcPr>
          <w:p>
            <w:pPr>
              <w:spacing w:after="0"/>
              <w:rPr>
                <w:sz w:val="14"/>
                <w:szCs w:val="14"/>
                <w:color w:val="auto"/>
              </w:rPr>
            </w:pPr>
          </w:p>
        </w:tc>
        <w:tc>
          <w:tcPr>
            <w:tcW w:w="126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March 4,</w:t>
            </w:r>
          </w:p>
        </w:tc>
        <w:tc>
          <w:tcPr>
            <w:tcW w:w="10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28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March 3,</w:t>
            </w:r>
          </w:p>
        </w:tc>
        <w:tc>
          <w:tcPr>
            <w:tcW w:w="160" w:type="dxa"/>
            <w:vAlign w:val="bottom"/>
            <w:tcBorders>
              <w:top w:val="single" w:sz="8" w:color="0090DA"/>
            </w:tcBorders>
          </w:tcPr>
          <w:p>
            <w:pPr>
              <w:spacing w:after="0"/>
              <w:rPr>
                <w:sz w:val="14"/>
                <w:szCs w:val="14"/>
                <w:color w:val="auto"/>
              </w:rPr>
            </w:pPr>
          </w:p>
        </w:tc>
        <w:tc>
          <w:tcPr>
            <w:tcW w:w="20" w:type="dxa"/>
            <w:vAlign w:val="bottom"/>
            <w:tcBorders>
              <w:top w:val="single" w:sz="8" w:color="0090DA"/>
            </w:tcBorders>
          </w:tcPr>
          <w:p>
            <w:pPr>
              <w:spacing w:after="0"/>
              <w:rPr>
                <w:sz w:val="14"/>
                <w:szCs w:val="14"/>
                <w:color w:val="auto"/>
              </w:rPr>
            </w:pPr>
          </w:p>
        </w:tc>
        <w:tc>
          <w:tcPr>
            <w:tcW w:w="136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March 4,</w:t>
            </w:r>
          </w:p>
        </w:tc>
        <w:tc>
          <w:tcPr>
            <w:tcW w:w="20" w:type="dxa"/>
            <w:vAlign w:val="bottom"/>
          </w:tcPr>
          <w:p>
            <w:pPr>
              <w:spacing w:after="0"/>
              <w:rPr>
                <w:sz w:val="14"/>
                <w:szCs w:val="14"/>
                <w:color w:val="auto"/>
              </w:rPr>
            </w:pPr>
          </w:p>
        </w:tc>
      </w:tr>
      <w:tr>
        <w:trPr>
          <w:trHeight w:val="229"/>
        </w:trPr>
        <w:tc>
          <w:tcPr>
            <w:tcW w:w="500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0090DA"/>
            </w:tcBorders>
          </w:tcPr>
          <w:p>
            <w:pPr>
              <w:spacing w:after="0"/>
              <w:rPr>
                <w:sz w:val="19"/>
                <w:szCs w:val="19"/>
                <w:color w:val="auto"/>
              </w:rPr>
            </w:pPr>
          </w:p>
        </w:tc>
        <w:tc>
          <w:tcPr>
            <w:tcW w:w="1380" w:type="dxa"/>
            <w:vAlign w:val="bottom"/>
            <w:tcBorders>
              <w:bottom w:val="single" w:sz="8" w:color="0090DA"/>
            </w:tcBorders>
            <w:gridSpan w:val="2"/>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r>
      <w:tr>
        <w:trPr>
          <w:trHeight w:val="34"/>
        </w:trPr>
        <w:tc>
          <w:tcPr>
            <w:tcW w:w="5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5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2,509</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5,030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D1D2D4"/>
          </w:tcPr>
          <w:p>
            <w:pPr>
              <w:jc w:val="right"/>
              <w:ind w:right="150"/>
              <w:spacing w:after="0"/>
              <w:rPr>
                <w:sz w:val="20"/>
                <w:szCs w:val="20"/>
                <w:color w:val="auto"/>
              </w:rPr>
            </w:pPr>
            <w:r>
              <w:rPr>
                <w:rFonts w:ascii="Arial" w:cs="Arial" w:eastAsia="Arial" w:hAnsi="Arial"/>
                <w:sz w:val="18"/>
                <w:szCs w:val="18"/>
                <w:color w:val="auto"/>
              </w:rPr>
              <w:t>1,476</w:t>
            </w:r>
          </w:p>
        </w:tc>
        <w:tc>
          <w:tcPr>
            <w:tcW w:w="20" w:type="dxa"/>
            <w:vAlign w:val="bottom"/>
          </w:tcPr>
          <w:p>
            <w:pPr>
              <w:spacing w:after="0"/>
              <w:rPr>
                <w:sz w:val="19"/>
                <w:szCs w:val="19"/>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229"/>
        </w:trPr>
        <w:tc>
          <w:tcPr>
            <w:tcW w:w="5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10.2 %</w:t>
            </w:r>
          </w:p>
        </w:tc>
        <w:tc>
          <w:tcPr>
            <w:tcW w:w="26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9.4 %</w:t>
            </w:r>
          </w:p>
        </w:tc>
        <w:tc>
          <w:tcPr>
            <w:tcW w:w="160" w:type="dxa"/>
            <w:vAlign w:val="bottom"/>
            <w:shd w:val="clear" w:color="auto" w:fill="D1D2D4"/>
          </w:tcPr>
          <w:p>
            <w:pPr>
              <w:spacing w:after="0"/>
              <w:rPr>
                <w:sz w:val="19"/>
                <w:szCs w:val="19"/>
                <w:color w:val="auto"/>
              </w:rPr>
            </w:pPr>
          </w:p>
        </w:tc>
        <w:tc>
          <w:tcPr>
            <w:tcW w:w="13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6.7 %</w:t>
            </w:r>
          </w:p>
        </w:tc>
        <w:tc>
          <w:tcPr>
            <w:tcW w:w="20" w:type="dxa"/>
            <w:vAlign w:val="bottom"/>
          </w:tcPr>
          <w:p>
            <w:pPr>
              <w:spacing w:after="0"/>
              <w:rPr>
                <w:sz w:val="19"/>
                <w:szCs w:val="19"/>
                <w:color w:val="auto"/>
              </w:rPr>
            </w:pPr>
          </w:p>
        </w:tc>
      </w:tr>
    </w:tbl>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$304 million (benefiting our diluted earnings per share by $0.27) and $594 million ($0.53 per diluted share) for the second quarter and first six months of 2022, respectively, and by $45 million ($0.04 per diluted share) and $101 million ($0.09 per diluted share) for the second quarter and first six months of 2021, respectively.</w:t>
      </w:r>
    </w:p>
    <w:p>
      <w:pPr>
        <w:spacing w:after="0" w:line="20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As of March 3, 2022, gross unrecognized tax benefits were $700 million, substantially all of which would affect our effective tax rate in the future, if recognized. Amounts accrued for interest and penalties related to uncertain tax positions were not significant for any period presented. We are currently under audit by the U.S. Internal Revenue Service for our 2018 and 2019 tax years. We believe that adequate amounts of taxes and related interest and penalties have been provided.</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March 16, 2022, the Idaho governor signed a new law that is expected to reduce our Idaho taxable income and as a result, we do not expect to utilize our tax credits in Idaho for the foreseeable future. We are in the process of assessing the impact of the new law but currently estimate it to result in a valuation allowance against Idaho’s net deferred tax assets and an increase to tax expense of approximately $200 million in the third quarter of 2022.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18"/>
                <w:szCs w:val="18"/>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3,</w:t>
            </w:r>
          </w:p>
        </w:tc>
        <w:tc>
          <w:tcPr>
            <w:tcW w:w="26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3,</w:t>
            </w:r>
          </w:p>
        </w:tc>
        <w:tc>
          <w:tcPr>
            <w:tcW w:w="28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r>
      <w:tr>
        <w:trPr>
          <w:trHeight w:val="230"/>
        </w:trPr>
        <w:tc>
          <w:tcPr>
            <w:tcW w:w="53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 Basic and Diluted</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2,263</w:t>
            </w:r>
          </w:p>
        </w:tc>
        <w:tc>
          <w:tcPr>
            <w:tcW w:w="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4,569</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1,406</w:t>
            </w:r>
          </w:p>
        </w:tc>
      </w:tr>
      <w:tr>
        <w:trPr>
          <w:trHeight w:val="257"/>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2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28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1,118</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260" w:type="dxa"/>
            <w:vAlign w:val="bottom"/>
            <w:tcBorders>
              <w:bottom w:val="single" w:sz="8" w:color="auto"/>
            </w:tcBorders>
            <w:shd w:val="clear" w:color="auto" w:fill="D1D2D4"/>
          </w:tcPr>
          <w:p>
            <w:pPr>
              <w:spacing w:after="0"/>
              <w:rPr>
                <w:sz w:val="21"/>
                <w:szCs w:val="21"/>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28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1,139</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29"/>
        </w:trPr>
        <w:tc>
          <w:tcPr>
            <w:tcW w:w="5380" w:type="dxa"/>
            <w:vAlign w:val="bottom"/>
          </w:tcPr>
          <w:p>
            <w:pPr>
              <w:ind w:left="3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538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c>
          <w:tcPr>
            <w:tcW w:w="28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r>
    </w:tbl>
    <w:p>
      <w:pPr>
        <w:spacing w:after="0" w:line="30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2 million in each period presented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left="9880"/>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5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80" w:lineRule="exact"/>
        <w:rPr>
          <w:sz w:val="20"/>
          <w:szCs w:val="20"/>
          <w:color w:val="auto"/>
        </w:rPr>
      </w:pPr>
    </w:p>
    <w:p>
      <w:pPr>
        <w:ind w:left="340" w:right="380" w:hanging="323"/>
        <w:spacing w:after="0" w:line="260"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ind w:left="340" w:hanging="323"/>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other discrete storage products sold in component and wafer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3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March 3,</w:t>
            </w:r>
          </w:p>
        </w:tc>
        <w:tc>
          <w:tcPr>
            <w:tcW w:w="24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3,</w:t>
            </w:r>
          </w:p>
        </w:tc>
        <w:tc>
          <w:tcPr>
            <w:tcW w:w="24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c>
          <w:tcPr>
            <w:tcW w:w="20" w:type="dxa"/>
            <w:vAlign w:val="bottom"/>
          </w:tcPr>
          <w:p>
            <w:pPr>
              <w:spacing w:after="0"/>
              <w:rPr>
                <w:sz w:val="14"/>
                <w:szCs w:val="14"/>
                <w:color w:val="auto"/>
              </w:rPr>
            </w:pPr>
          </w:p>
        </w:tc>
      </w:tr>
      <w:tr>
        <w:trPr>
          <w:trHeight w:val="229"/>
        </w:trPr>
        <w:tc>
          <w:tcPr>
            <w:tcW w:w="53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3,461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6,867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5,182</w:t>
            </w:r>
          </w:p>
        </w:tc>
        <w:tc>
          <w:tcPr>
            <w:tcW w:w="20" w:type="dxa"/>
            <w:vAlign w:val="bottom"/>
          </w:tcPr>
          <w:p>
            <w:pPr>
              <w:spacing w:after="0"/>
              <w:rPr>
                <w:sz w:val="19"/>
                <w:szCs w:val="19"/>
                <w:color w:val="auto"/>
              </w:rPr>
            </w:pP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1,875</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3,782</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3,312</w:t>
            </w:r>
          </w:p>
        </w:tc>
        <w:tc>
          <w:tcPr>
            <w:tcW w:w="20" w:type="dxa"/>
            <w:vAlign w:val="bottom"/>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SBU</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1,761</w:t>
            </w:r>
          </w:p>
        </w:tc>
        <w:tc>
          <w:tcPr>
            <w:tcW w:w="20" w:type="dxa"/>
            <w:vAlign w:val="bottom"/>
          </w:tcPr>
          <w:p>
            <w:pPr>
              <w:spacing w:after="0"/>
              <w:rPr>
                <w:sz w:val="19"/>
                <w:szCs w:val="19"/>
                <w:color w:val="auto"/>
              </w:rPr>
            </w:pP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1,277</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2,497</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1,744</w:t>
            </w:r>
          </w:p>
        </w:tc>
        <w:tc>
          <w:tcPr>
            <w:tcW w:w="20" w:type="dxa"/>
            <w:vAlign w:val="bottom"/>
          </w:tcPr>
          <w:p>
            <w:pPr>
              <w:spacing w:after="0"/>
              <w:rPr>
                <w:sz w:val="19"/>
                <w:szCs w:val="19"/>
                <w:color w:val="auto"/>
              </w:rPr>
            </w:pPr>
          </w:p>
        </w:tc>
      </w:tr>
      <w:tr>
        <w:trPr>
          <w:trHeight w:val="230"/>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48"/>
        </w:trPr>
        <w:tc>
          <w:tcPr>
            <w:tcW w:w="538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7,786</w:t>
            </w:r>
          </w:p>
        </w:tc>
        <w:tc>
          <w:tcPr>
            <w:tcW w:w="2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6,236</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15,473</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12,009</w:t>
            </w:r>
          </w:p>
        </w:tc>
        <w:tc>
          <w:tcPr>
            <w:tcW w:w="20" w:type="dxa"/>
            <w:vAlign w:val="bottom"/>
          </w:tcPr>
          <w:p>
            <w:pPr>
              <w:spacing w:after="0"/>
              <w:rPr>
                <w:sz w:val="21"/>
                <w:szCs w:val="21"/>
                <w:color w:val="auto"/>
              </w:rPr>
            </w:pP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9"/>
                <w:szCs w:val="19"/>
                <w:color w:val="auto"/>
              </w:rPr>
            </w:pP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1,212</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SBU</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r>
      <w:tr>
        <w:trPr>
          <w:trHeight w:val="230"/>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23"/>
        </w:trPr>
        <w:tc>
          <w:tcPr>
            <w:tcW w:w="5380" w:type="dxa"/>
            <w:vAlign w:val="bottom"/>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2,750</w:t>
            </w:r>
          </w:p>
        </w:tc>
        <w:tc>
          <w:tcPr>
            <w:tcW w:w="24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5,475</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2,230</w:t>
            </w:r>
          </w:p>
        </w:tc>
        <w:tc>
          <w:tcPr>
            <w:tcW w:w="20" w:type="dxa"/>
            <w:vAlign w:val="bottom"/>
          </w:tcPr>
          <w:p>
            <w:pPr>
              <w:spacing w:after="0"/>
              <w:rPr>
                <w:sz w:val="19"/>
                <w:szCs w:val="19"/>
                <w:color w:val="auto"/>
              </w:rPr>
            </w:pPr>
          </w:p>
        </w:tc>
      </w:tr>
      <w:tr>
        <w:trPr>
          <w:trHeight w:val="236"/>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29"/>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23"/>
        </w:trPr>
        <w:tc>
          <w:tcPr>
            <w:tcW w:w="5380" w:type="dxa"/>
            <w:vAlign w:val="bottom"/>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9"/>
                <w:szCs w:val="19"/>
                <w:color w:val="auto"/>
              </w:rPr>
            </w:pPr>
          </w:p>
        </w:tc>
      </w:tr>
      <w:tr>
        <w:trPr>
          <w:trHeight w:val="237"/>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5"/>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2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5,177</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1,529</w:t>
            </w:r>
          </w:p>
        </w:tc>
        <w:tc>
          <w:tcPr>
            <w:tcW w:w="20" w:type="dxa"/>
            <w:vAlign w:val="bottom"/>
          </w:tcPr>
          <w:p>
            <w:pPr>
              <w:spacing w:after="0"/>
              <w:rPr>
                <w:sz w:val="21"/>
                <w:szCs w:val="21"/>
                <w:color w:val="auto"/>
              </w:rPr>
            </w:pP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27"/>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27</w:t>
            </w:r>
          </w:p>
        </w:tc>
      </w:tr>
      <w:tr>
        <w:trPr>
          <w:trHeight w:val="109"/>
        </w:trPr>
        <w:tc>
          <w:tcPr>
            <w:tcW w:w="5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-334010</wp:posOffset>
            </wp:positionV>
            <wp:extent cx="64325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3255" cy="1803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Certain Concentrations</w:t>
      </w:r>
    </w:p>
    <w:p>
      <w:pPr>
        <w:spacing w:after="0" w:line="24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For the first six months of 2022, revenues from WPG Holdings Limited and Kingston Technology Company, Inc. were each 11% of total revenue.</w:t>
      </w:r>
    </w:p>
    <w:p>
      <w:pPr>
        <w:spacing w:after="0" w:line="200" w:lineRule="exact"/>
        <w:rPr>
          <w:sz w:val="20"/>
          <w:szCs w:val="20"/>
          <w:color w:val="auto"/>
        </w:rPr>
      </w:pPr>
    </w:p>
    <w:p>
      <w:pPr>
        <w:spacing w:after="0" w:line="217"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3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September 2, 2021. All period references are to our fiscal periods unless otherwise indicated. Our fiscal year is the 52 or 53-week period ending on the Thursday closest to August 31. Fiscal years 2022 and 2021 each contain 52 weeks. All tabular dollar amounts are in millions, except per share amounts.</w:t>
      </w:r>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Micron Technology, Inc., including its consolidated subsidiaries, is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0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93"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ramp of 176-layer NAND and 1α (1-alpha) DRAM across our product portfolio delivers major technology breakthroughs to customers across markets. For the first time in our history, we achieved industry leadership across these two flagship technologies. We delivered initial products based on these process technologies to the market in 2021. In the second quarter of 2022, we expanded our 176-layer NAND-based SSD portfolio with the introduction of the Micron 7450 SSD with NVMe, the world’s first vertically-integrated 176-layer NAND SSD for the data center. An increasing portion of our SSDs incorporate vertical integration with proprietary controllers and firmware that we have developed. This new SSD joins our full portfolio of new product entries across memory and storage which have been well received by the market. In the second quarter of 2022, we achieved the first qualification of our 1α LPDDR5 DRAM, which delivers more than a 15% power improvement over the previous generation. We are leading the industry’s client DDR5 transition and are well positioned to lead the industry’s data center transition as platforms come to market later this year. We have partnered with customers to provide value-added innovation, and speed market adoption of our new solutions. Development of advanced technologies enables us to diversify our product portfolio toward a richer mix of differentiated, high-value solutions and to target high-growth markets and specific customer requirements across data center, intelligent edge, client, and mobile environments.</w:t>
      </w:r>
    </w:p>
    <w:p>
      <w:pPr>
        <w:spacing w:after="0" w:line="21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Our success is largely dependent on obtaining returns on our research and development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Lehi, Utah Fab and 3D XPoint</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Utah that was dedicated to 3D XPoint production. As a result, we classified the property, plant, and equipment as held for sale as of the second quarter of 2021 and ceased depreciating the assets. On June 30, 2021, we announced a definitive agreement to sell our Lehi facility to TI and closed the sale on October 22, 2021.</w:t>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and other related adjustments, we recognized a loss of $23 million included in restructure and asset impairments in the first quarter of 2022.</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the third quarter of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In the second quarter of 2021, we also recognized a charge of $49 million in cost of goods sold to write down 3D XPoint inventory in connection with our decision to cease further development of this technology.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on Our Business</w:t>
      </w:r>
    </w:p>
    <w:p>
      <w:pPr>
        <w:spacing w:after="0" w:line="24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Events surrounding the COVID-19 pandemic and their impact on economic activity have been unpredictable. As a result, we have experienced volatility in the markets in which we sell our products. The ultimate extent to which COVID-19 will impact our business depends on future developments, which are highly uncertain and very difficult to predict, including the effectiveness and utilization of vaccines for COVID-19 and its variants, the severity of COVID-19 and its variants, and the effectiveness of the actions to contain or limit their spread.</w:t>
      </w:r>
    </w:p>
    <w:p>
      <w:pPr>
        <w:spacing w:after="0" w:line="2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From the start of the COVID-19 pandemic, we proactively implemented preventative protocols, which we continuously assess and update for changes in conditions and emerging trends. These preventative protocols are intended to safeguard our team members, contractors, suppliers, customers, distributors, and communities, and to ensure business continuity. Government restrictions or severe outbreaks can impact our operations at certain sites. For example, some of our facilities and some of our subcontractors’ facilities at times have been required to operate at reduced staffing and capacity levels due to COVID-19 quarantines and other public health protocols. While our global manufacturing sites are currently operating with close to full staff and at normal capacity levels, our facilities or those of our subcontractors could be required to temporarily curtail production levels or temporarily cease operations based on government mandates or our health and safety protocols. We may be required, or deem it to be in the best interest of our employees, customers, partners, suppliers, and stakeholders, to alter our business operations in order to maintain a healthy and safe environment. It is not clear what potential effects any such alterations or modifications may have on our business, including effects on our customers, employees, or on our financial results. We are following government policies and recommendations designed to slow the spread of COVID-19 and remain committed to the health and safety of our team members, contractors, suppliers, customers, distributors, and communities.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continuously assess our efforts to respond to the COVID-19 pandemic, which have included the following:</w:t>
      </w:r>
    </w:p>
    <w:p>
      <w:pPr>
        <w:spacing w:after="0" w:line="252" w:lineRule="exact"/>
        <w:rPr>
          <w:sz w:val="20"/>
          <w:szCs w:val="20"/>
          <w:color w:val="auto"/>
        </w:rPr>
      </w:pPr>
    </w:p>
    <w:p>
      <w:pPr>
        <w:ind w:left="660" w:right="16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each of our locations, we implement health and safety protocols based on applicable regulations and local conditions and, where possible, make testing and vaccination available and implement health and safety enhancements.</w:t>
      </w:r>
    </w:p>
    <w:p>
      <w:pPr>
        <w:spacing w:after="0" w:line="1"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require that all U.S. employees and, in addition, contractors that enter our U.S. buildings and certain other locations, be fully vaccinated against COVID-19, subject to disability and religious exemptions.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continue to work closely with our customer base to best match our supply to changing market conditions.</w:t>
      </w:r>
    </w:p>
    <w:p>
      <w:pPr>
        <w:spacing w:after="0" w:line="200" w:lineRule="exact"/>
        <w:rPr>
          <w:sz w:val="20"/>
          <w:szCs w:val="20"/>
          <w:color w:val="auto"/>
        </w:rPr>
      </w:pPr>
    </w:p>
    <w:p>
      <w:pPr>
        <w:spacing w:after="0" w:line="22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4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evaluate our supply chain and communicate with our suppliers to identify supply gaps and have taken steps to provide continuity, to the extent possible. In some cases, we have added alternative suppliers, executed long-term supply agreements, and increased our on-hand inventory of raw materials needed in our operations.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operations and external partners.</w:t>
      </w:r>
    </w:p>
    <w:p>
      <w:pPr>
        <w:ind w:left="660" w:right="24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evaluated all our construction projects across our global manufacturing operations and enacted protocols to enhance the safety of our team members, suppliers, and contractors.</w:t>
      </w:r>
    </w:p>
    <w:p>
      <w:pPr>
        <w:ind w:left="660" w:right="24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team members, while safely continuing operations at our sites across the globe.</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believe these actions are appropriate and prudent to safeguard our team members, contractors, suppliers, customers, and communities, while allowing us to safely continue operations. We cannot predict how the steps we, our team members, government entities, suppliers, or customers take in response to the COVID-19 pandemic will ultimately impact our business, outlook,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4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product portfolio of memory and storage solutions, is based on our high-performance semiconductor memory and storage technologies, including DRAM, NAND, and NOR. We sell our products into various markets through our business units in numerous forms, including wafers, components, modules, SSDs, managed NAND, and MCP products. Our system-level solutions, including SSDs and managed NAND, combine NAND, a controller, firmware, and in some cases DRAM.</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rPr>
              <w:t>Second Quarter</w:t>
            </w:r>
          </w:p>
        </w:tc>
        <w:tc>
          <w:tcPr>
            <w:tcW w:w="200" w:type="dxa"/>
            <w:vAlign w:val="bottom"/>
          </w:tcPr>
          <w:p>
            <w:pPr>
              <w:spacing w:after="0"/>
              <w:rPr>
                <w:sz w:val="20"/>
                <w:szCs w:val="20"/>
                <w:color w:val="auto"/>
              </w:rPr>
            </w:pPr>
          </w:p>
        </w:tc>
        <w:tc>
          <w:tcPr>
            <w:tcW w:w="146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9"/>
              </w:rPr>
              <w:t>First Quarter</w:t>
            </w:r>
          </w:p>
        </w:tc>
        <w:tc>
          <w:tcPr>
            <w:tcW w:w="140" w:type="dxa"/>
            <w:vAlign w:val="bottom"/>
          </w:tcPr>
          <w:p>
            <w:pPr>
              <w:spacing w:after="0"/>
              <w:rPr>
                <w:sz w:val="20"/>
                <w:szCs w:val="20"/>
                <w:color w:val="auto"/>
              </w:rPr>
            </w:pPr>
          </w:p>
        </w:tc>
        <w:tc>
          <w:tcPr>
            <w:tcW w:w="15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rPr>
              <w:t>Second Quarter</w:t>
            </w:r>
          </w:p>
        </w:tc>
        <w:tc>
          <w:tcPr>
            <w:tcW w:w="200" w:type="dxa"/>
            <w:vAlign w:val="bottom"/>
            <w:tcBorders>
              <w:bottom w:val="single" w:sz="8" w:color="0090DA"/>
            </w:tcBorders>
          </w:tcPr>
          <w:p>
            <w:pPr>
              <w:spacing w:after="0"/>
              <w:rPr>
                <w:sz w:val="20"/>
                <w:szCs w:val="20"/>
                <w:color w:val="auto"/>
              </w:rPr>
            </w:pPr>
          </w:p>
        </w:tc>
        <w:tc>
          <w:tcPr>
            <w:tcW w:w="660" w:type="dxa"/>
            <w:vAlign w:val="bottom"/>
            <w:tcBorders>
              <w:bottom w:val="single" w:sz="8" w:color="0090DA"/>
            </w:tcBorders>
          </w:tcPr>
          <w:p>
            <w:pPr>
              <w:spacing w:after="0"/>
              <w:rPr>
                <w:sz w:val="20"/>
                <w:szCs w:val="20"/>
                <w:color w:val="auto"/>
              </w:rPr>
            </w:pPr>
          </w:p>
        </w:tc>
        <w:tc>
          <w:tcPr>
            <w:tcW w:w="1640" w:type="dxa"/>
            <w:vAlign w:val="bottom"/>
            <w:tcBorders>
              <w:bottom w:val="single" w:sz="8" w:color="0090DA"/>
            </w:tcBorders>
            <w:gridSpan w:val="4"/>
          </w:tcPr>
          <w:p>
            <w:pPr>
              <w:jc w:val="right"/>
              <w:spacing w:after="0"/>
              <w:rPr>
                <w:sz w:val="20"/>
                <w:szCs w:val="20"/>
                <w:color w:val="auto"/>
              </w:rPr>
            </w:pPr>
            <w:r>
              <w:rPr>
                <w:rFonts w:ascii="Arial" w:cs="Arial" w:eastAsia="Arial" w:hAnsi="Arial"/>
                <w:sz w:val="18"/>
                <w:szCs w:val="18"/>
                <w:b w:val="1"/>
                <w:bCs w:val="1"/>
                <w:color w:val="auto"/>
                <w:w w:val="99"/>
              </w:rPr>
              <w:t>Six months ended</w:t>
            </w:r>
          </w:p>
        </w:tc>
        <w:tc>
          <w:tcPr>
            <w:tcW w:w="78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88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84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480" w:type="dxa"/>
            <w:vAlign w:val="bottom"/>
            <w:tcBorders>
              <w:bottom w:val="single" w:sz="8" w:color="0090DA"/>
            </w:tcBorders>
            <w:gridSpan w:val="3"/>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0090DA"/>
            </w:tcBorders>
          </w:tcPr>
          <w:p>
            <w:pPr>
              <w:spacing w:after="0"/>
              <w:rPr>
                <w:sz w:val="19"/>
                <w:szCs w:val="19"/>
                <w:color w:val="auto"/>
              </w:rPr>
            </w:pPr>
          </w:p>
        </w:tc>
        <w:tc>
          <w:tcPr>
            <w:tcW w:w="1440" w:type="dxa"/>
            <w:vAlign w:val="bottom"/>
            <w:tcBorders>
              <w:bottom w:val="single" w:sz="8" w:color="0090DA"/>
            </w:tcBorders>
            <w:gridSpan w:val="2"/>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7,786</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30"/>
              <w:spacing w:after="0"/>
              <w:rPr>
                <w:sz w:val="20"/>
                <w:szCs w:val="20"/>
                <w:color w:val="auto"/>
              </w:rPr>
            </w:pPr>
            <w:r>
              <w:rPr>
                <w:rFonts w:ascii="Arial" w:cs="Arial" w:eastAsia="Arial" w:hAnsi="Arial"/>
                <w:sz w:val="18"/>
                <w:szCs w:val="18"/>
                <w:color w:val="auto"/>
                <w:w w:val="99"/>
              </w:rPr>
              <w:t>100%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7,687</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6,236</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100%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15,473</w:t>
            </w:r>
          </w:p>
        </w:tc>
        <w:tc>
          <w:tcPr>
            <w:tcW w:w="820" w:type="dxa"/>
            <w:vAlign w:val="bottom"/>
            <w:gridSpan w:val="2"/>
            <w:shd w:val="clear" w:color="auto" w:fill="D1D2D4"/>
          </w:tcPr>
          <w:p>
            <w:pPr>
              <w:jc w:val="center"/>
              <w:spacing w:after="0"/>
              <w:rPr>
                <w:sz w:val="20"/>
                <w:szCs w:val="20"/>
                <w:color w:val="auto"/>
              </w:rPr>
            </w:pPr>
            <w:r>
              <w:rPr>
                <w:rFonts w:ascii="Arial" w:cs="Arial" w:eastAsia="Arial" w:hAnsi="Arial"/>
                <w:sz w:val="18"/>
                <w:szCs w:val="18"/>
                <w:color w:val="auto"/>
                <w:w w:val="99"/>
              </w:rPr>
              <w:t>100%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12,009</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4,110</w:t>
            </w:r>
          </w:p>
        </w:tc>
        <w:tc>
          <w:tcPr>
            <w:tcW w:w="140" w:type="dxa"/>
            <w:vAlign w:val="bottom"/>
          </w:tcPr>
          <w:p>
            <w:pPr>
              <w:spacing w:after="0"/>
              <w:rPr>
                <w:sz w:val="19"/>
                <w:szCs w:val="19"/>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99"/>
              </w:rPr>
              <w:t>53%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4,122</w:t>
            </w:r>
          </w:p>
        </w:tc>
        <w:tc>
          <w:tcPr>
            <w:tcW w:w="160" w:type="dxa"/>
            <w:vAlign w:val="bottom"/>
          </w:tcPr>
          <w:p>
            <w:pPr>
              <w:spacing w:after="0"/>
              <w:rPr>
                <w:sz w:val="19"/>
                <w:szCs w:val="19"/>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99"/>
              </w:rPr>
              <w:t>54%</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4,587</w:t>
            </w:r>
          </w:p>
        </w:tc>
        <w:tc>
          <w:tcPr>
            <w:tcW w:w="16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74%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8,232</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53%</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8,624</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23"/>
        </w:trPr>
        <w:tc>
          <w:tcPr>
            <w:tcW w:w="2980" w:type="dxa"/>
            <w:vAlign w:val="bottom"/>
            <w:tcBorders>
              <w:top w:val="single" w:sz="8" w:color="D1D2D4"/>
            </w:tcBorders>
            <w:shd w:val="clear" w:color="auto" w:fill="D1D2D4"/>
          </w:tcPr>
          <w:p>
            <w:pPr>
              <w:ind w:left="18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shd w:val="clear" w:color="auto" w:fill="D1D2D4"/>
          </w:tcPr>
          <w:p>
            <w:pPr>
              <w:spacing w:after="0"/>
              <w:rPr>
                <w:sz w:val="19"/>
                <w:szCs w:val="19"/>
                <w:color w:val="auto"/>
              </w:rPr>
            </w:pPr>
          </w:p>
        </w:tc>
        <w:tc>
          <w:tcPr>
            <w:tcW w:w="74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3,676</w:t>
            </w:r>
          </w:p>
        </w:tc>
        <w:tc>
          <w:tcPr>
            <w:tcW w:w="14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center"/>
              <w:ind w:right="50"/>
              <w:spacing w:after="0"/>
              <w:rPr>
                <w:sz w:val="20"/>
                <w:szCs w:val="20"/>
                <w:color w:val="auto"/>
              </w:rPr>
            </w:pPr>
            <w:r>
              <w:rPr>
                <w:rFonts w:ascii="Arial" w:cs="Arial" w:eastAsia="Arial" w:hAnsi="Arial"/>
                <w:sz w:val="18"/>
                <w:szCs w:val="18"/>
                <w:color w:val="auto"/>
                <w:w w:val="99"/>
              </w:rPr>
              <w:t>47%</w:t>
            </w:r>
          </w:p>
        </w:tc>
        <w:tc>
          <w:tcPr>
            <w:tcW w:w="200" w:type="dxa"/>
            <w:vAlign w:val="bottom"/>
            <w:tcBorders>
              <w:top w:val="single" w:sz="8" w:color="auto"/>
            </w:tcBorders>
            <w:shd w:val="clear" w:color="auto" w:fill="D1D2D4"/>
          </w:tcPr>
          <w:p>
            <w:pPr>
              <w:spacing w:after="0"/>
              <w:rPr>
                <w:sz w:val="19"/>
                <w:szCs w:val="19"/>
                <w:color w:val="auto"/>
              </w:rPr>
            </w:pPr>
          </w:p>
        </w:tc>
        <w:tc>
          <w:tcPr>
            <w:tcW w:w="6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3,565</w:t>
            </w:r>
          </w:p>
        </w:tc>
        <w:tc>
          <w:tcPr>
            <w:tcW w:w="16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center"/>
              <w:ind w:right="50"/>
              <w:spacing w:after="0"/>
              <w:rPr>
                <w:sz w:val="20"/>
                <w:szCs w:val="20"/>
                <w:color w:val="auto"/>
              </w:rPr>
            </w:pPr>
            <w:r>
              <w:rPr>
                <w:rFonts w:ascii="Arial" w:cs="Arial" w:eastAsia="Arial" w:hAnsi="Arial"/>
                <w:sz w:val="18"/>
                <w:szCs w:val="18"/>
                <w:color w:val="auto"/>
                <w:w w:val="99"/>
              </w:rPr>
              <w:t>46%</w:t>
            </w:r>
          </w:p>
        </w:tc>
        <w:tc>
          <w:tcPr>
            <w:tcW w:w="140" w:type="dxa"/>
            <w:vAlign w:val="bottom"/>
            <w:tcBorders>
              <w:top w:val="single" w:sz="8" w:color="auto"/>
            </w:tcBorders>
            <w:shd w:val="clear" w:color="auto" w:fill="D1D2D4"/>
          </w:tcPr>
          <w:p>
            <w:pPr>
              <w:spacing w:after="0"/>
              <w:rPr>
                <w:sz w:val="19"/>
                <w:szCs w:val="19"/>
                <w:color w:val="auto"/>
              </w:rPr>
            </w:pPr>
          </w:p>
        </w:tc>
        <w:tc>
          <w:tcPr>
            <w:tcW w:w="76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center"/>
              <w:ind w:right="90"/>
              <w:spacing w:after="0"/>
              <w:rPr>
                <w:sz w:val="20"/>
                <w:szCs w:val="20"/>
                <w:color w:val="auto"/>
              </w:rPr>
            </w:pPr>
            <w:r>
              <w:rPr>
                <w:rFonts w:ascii="Arial" w:cs="Arial" w:eastAsia="Arial" w:hAnsi="Arial"/>
                <w:sz w:val="18"/>
                <w:szCs w:val="18"/>
                <w:color w:val="auto"/>
                <w:w w:val="99"/>
              </w:rPr>
              <w:t>26%</w:t>
            </w:r>
          </w:p>
        </w:tc>
        <w:tc>
          <w:tcPr>
            <w:tcW w:w="200" w:type="dxa"/>
            <w:vAlign w:val="bottom"/>
            <w:tcBorders>
              <w:top w:val="single" w:sz="8" w:color="auto"/>
            </w:tcBorders>
            <w:shd w:val="clear" w:color="auto" w:fill="D1D2D4"/>
          </w:tcPr>
          <w:p>
            <w:pPr>
              <w:spacing w:after="0"/>
              <w:rPr>
                <w:sz w:val="19"/>
                <w:szCs w:val="19"/>
                <w:color w:val="auto"/>
              </w:rPr>
            </w:pPr>
          </w:p>
        </w:tc>
        <w:tc>
          <w:tcPr>
            <w:tcW w:w="66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7,241</w:t>
            </w:r>
          </w:p>
        </w:tc>
        <w:tc>
          <w:tcPr>
            <w:tcW w:w="40" w:type="dxa"/>
            <w:vAlign w:val="bottom"/>
            <w:tcBorders>
              <w:top w:val="single" w:sz="8" w:color="auto"/>
            </w:tcBorders>
            <w:shd w:val="clear" w:color="auto" w:fill="D1D2D4"/>
          </w:tcPr>
          <w:p>
            <w:pPr>
              <w:spacing w:after="0"/>
              <w:rPr>
                <w:sz w:val="19"/>
                <w:szCs w:val="19"/>
                <w:color w:val="auto"/>
              </w:rPr>
            </w:pPr>
          </w:p>
        </w:tc>
        <w:tc>
          <w:tcPr>
            <w:tcW w:w="780" w:type="dxa"/>
            <w:vAlign w:val="bottom"/>
            <w:tcBorders>
              <w:top w:val="single" w:sz="8" w:color="D1D2D4"/>
            </w:tcBorders>
            <w:shd w:val="clear" w:color="auto" w:fill="D1D2D4"/>
          </w:tcPr>
          <w:p>
            <w:pPr>
              <w:jc w:val="center"/>
              <w:spacing w:after="0"/>
              <w:rPr>
                <w:sz w:val="20"/>
                <w:szCs w:val="20"/>
                <w:color w:val="auto"/>
              </w:rPr>
            </w:pPr>
            <w:r>
              <w:rPr>
                <w:rFonts w:ascii="Arial" w:cs="Arial" w:eastAsia="Arial" w:hAnsi="Arial"/>
                <w:sz w:val="18"/>
                <w:szCs w:val="18"/>
                <w:color w:val="auto"/>
                <w:w w:val="99"/>
              </w:rPr>
              <w:t>47%</w:t>
            </w:r>
          </w:p>
        </w:tc>
        <w:tc>
          <w:tcPr>
            <w:tcW w:w="160" w:type="dxa"/>
            <w:vAlign w:val="bottom"/>
            <w:tcBorders>
              <w:top w:val="single" w:sz="8" w:color="auto"/>
            </w:tcBorders>
            <w:shd w:val="clear" w:color="auto" w:fill="D1D2D4"/>
          </w:tcPr>
          <w:p>
            <w:pPr>
              <w:spacing w:after="0"/>
              <w:rPr>
                <w:sz w:val="19"/>
                <w:szCs w:val="19"/>
                <w:color w:val="auto"/>
              </w:rPr>
            </w:pPr>
          </w:p>
        </w:tc>
        <w:tc>
          <w:tcPr>
            <w:tcW w:w="66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3,385</w:t>
            </w:r>
          </w:p>
        </w:tc>
        <w:tc>
          <w:tcPr>
            <w:tcW w:w="780" w:type="dxa"/>
            <w:vAlign w:val="bottom"/>
            <w:tcBorders>
              <w:top w:val="single" w:sz="8" w:color="D1D2D4"/>
            </w:tcBorders>
            <w:shd w:val="clear" w:color="auto" w:fill="D1D2D4"/>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10%</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9%</w:t>
            </w: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10%</w:t>
            </w:r>
          </w:p>
        </w:tc>
        <w:tc>
          <w:tcPr>
            <w:tcW w:w="20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1,504</w:t>
            </w:r>
          </w:p>
        </w:tc>
        <w:tc>
          <w:tcPr>
            <w:tcW w:w="820" w:type="dxa"/>
            <w:vAlign w:val="bottom"/>
            <w:gridSpan w:val="2"/>
            <w:shd w:val="clear" w:color="auto" w:fill="D1D2D4"/>
          </w:tcPr>
          <w:p>
            <w:pPr>
              <w:jc w:val="center"/>
              <w:spacing w:after="0"/>
              <w:rPr>
                <w:sz w:val="20"/>
                <w:szCs w:val="20"/>
                <w:color w:val="auto"/>
              </w:rPr>
            </w:pPr>
            <w:r>
              <w:rPr>
                <w:rFonts w:ascii="Arial" w:cs="Arial" w:eastAsia="Arial" w:hAnsi="Arial"/>
                <w:sz w:val="18"/>
                <w:szCs w:val="18"/>
                <w:color w:val="auto"/>
                <w:w w:val="99"/>
              </w:rPr>
              <w:t>10%</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1,288</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620" w:type="dxa"/>
            <w:vAlign w:val="bottom"/>
          </w:tcPr>
          <w:p>
            <w:pPr>
              <w:jc w:val="center"/>
              <w:ind w:right="3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9"/>
                <w:szCs w:val="19"/>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9"/>
                <w:szCs w:val="19"/>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w:t>
            </w: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0"/>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D1D2D4"/>
          </w:tcPr>
          <w:p>
            <w:pPr>
              <w:spacing w:after="0"/>
              <w:rPr>
                <w:sz w:val="19"/>
                <w:szCs w:val="19"/>
                <w:color w:val="auto"/>
              </w:rPr>
            </w:pP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2980" w:type="dxa"/>
            <w:vAlign w:val="bottom"/>
          </w:tcPr>
          <w:p>
            <w:pPr>
              <w:ind w:left="20"/>
              <w:spacing w:after="0" w:line="176" w:lineRule="exact"/>
              <w:rPr>
                <w:sz w:val="20"/>
                <w:szCs w:val="20"/>
                <w:color w:val="auto"/>
              </w:rPr>
            </w:pPr>
            <w:r>
              <w:rPr>
                <w:rFonts w:ascii="Arial" w:cs="Arial" w:eastAsia="Arial" w:hAnsi="Arial"/>
                <w:sz w:val="18"/>
                <w:szCs w:val="18"/>
                <w:color w:val="auto"/>
              </w:rPr>
              <w:t>Other operating (income) expense,</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5"/>
                <w:szCs w:val="15"/>
                <w:color w:val="auto"/>
              </w:rPr>
            </w:pPr>
          </w:p>
        </w:tc>
        <w:tc>
          <w:tcPr>
            <w:tcW w:w="62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5"/>
                <w:szCs w:val="15"/>
                <w:color w:val="auto"/>
              </w:rPr>
            </w:pPr>
          </w:p>
        </w:tc>
        <w:tc>
          <w:tcPr>
            <w:tcW w:w="6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5"/>
                <w:szCs w:val="15"/>
                <w:color w:val="auto"/>
              </w:rPr>
            </w:pPr>
          </w:p>
        </w:tc>
        <w:tc>
          <w:tcPr>
            <w:tcW w:w="6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D1D2D4"/>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D1D2D4"/>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33%</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2,631</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34%</w:t>
            </w: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4"/>
              </w:rPr>
              <w:t>11%</w:t>
            </w:r>
          </w:p>
        </w:tc>
        <w:tc>
          <w:tcPr>
            <w:tcW w:w="20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5,177</w:t>
            </w:r>
          </w:p>
        </w:tc>
        <w:tc>
          <w:tcPr>
            <w:tcW w:w="40" w:type="dxa"/>
            <w:vAlign w:val="bottom"/>
            <w:shd w:val="clear" w:color="auto" w:fill="D1D2D4"/>
          </w:tcPr>
          <w:p>
            <w:pPr>
              <w:spacing w:after="0"/>
              <w:rPr>
                <w:sz w:val="19"/>
                <w:szCs w:val="19"/>
                <w:color w:val="auto"/>
              </w:rPr>
            </w:pP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33%</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1,529</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30"/>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c>
          <w:tcPr>
            <w:tcW w:w="820" w:type="dxa"/>
            <w:vAlign w:val="bottom"/>
            <w:gridSpan w:val="2"/>
            <w:shd w:val="clear" w:color="auto" w:fill="D1D2D4"/>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 income</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5"/>
                <w:szCs w:val="15"/>
                <w:color w:val="auto"/>
              </w:rPr>
            </w:pPr>
          </w:p>
        </w:tc>
        <w:tc>
          <w:tcPr>
            <w:tcW w:w="62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5"/>
                <w:szCs w:val="15"/>
                <w:color w:val="auto"/>
              </w:rPr>
            </w:pPr>
          </w:p>
        </w:tc>
        <w:tc>
          <w:tcPr>
            <w:tcW w:w="6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5"/>
                <w:szCs w:val="15"/>
                <w:color w:val="auto"/>
              </w:rPr>
            </w:pPr>
          </w:p>
        </w:tc>
        <w:tc>
          <w:tcPr>
            <w:tcW w:w="6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30"/>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w:t>
            </w:r>
          </w:p>
        </w:tc>
        <w:tc>
          <w:tcPr>
            <w:tcW w:w="20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(474)</w:t>
            </w:r>
          </w:p>
        </w:tc>
        <w:tc>
          <w:tcPr>
            <w:tcW w:w="820" w:type="dxa"/>
            <w:vAlign w:val="bottom"/>
            <w:gridSpan w:val="2"/>
            <w:shd w:val="clear" w:color="auto" w:fill="D1D2D4"/>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5"/>
        </w:trPr>
        <w:tc>
          <w:tcPr>
            <w:tcW w:w="2980" w:type="dxa"/>
            <w:vAlign w:val="bottom"/>
          </w:tcPr>
          <w:p>
            <w:pPr>
              <w:ind w:left="20"/>
              <w:spacing w:after="0" w:line="176" w:lineRule="exact"/>
              <w:rPr>
                <w:sz w:val="20"/>
                <w:szCs w:val="20"/>
                <w:color w:val="auto"/>
              </w:rPr>
            </w:pPr>
            <w:r>
              <w:rPr>
                <w:rFonts w:ascii="Arial" w:cs="Arial" w:eastAsia="Arial" w:hAnsi="Arial"/>
                <w:sz w:val="18"/>
                <w:szCs w:val="18"/>
                <w:color w:val="auto"/>
              </w:rPr>
              <w:t>Equity in net income (loss) of equity</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5"/>
                <w:szCs w:val="15"/>
                <w:color w:val="auto"/>
              </w:rPr>
            </w:pPr>
          </w:p>
        </w:tc>
        <w:tc>
          <w:tcPr>
            <w:tcW w:w="62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5"/>
                <w:szCs w:val="15"/>
                <w:color w:val="auto"/>
              </w:rPr>
            </w:pPr>
          </w:p>
        </w:tc>
        <w:tc>
          <w:tcPr>
            <w:tcW w:w="6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5"/>
                <w:szCs w:val="15"/>
                <w:color w:val="auto"/>
              </w:rPr>
            </w:pPr>
          </w:p>
        </w:tc>
        <w:tc>
          <w:tcPr>
            <w:tcW w:w="6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method investees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D1D2D4"/>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D1D2D4"/>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2,263</w:t>
            </w:r>
          </w:p>
        </w:tc>
        <w:tc>
          <w:tcPr>
            <w:tcW w:w="140" w:type="dxa"/>
            <w:vAlign w:val="bottom"/>
            <w:shd w:val="clear" w:color="auto" w:fill="D1D2D4"/>
          </w:tcPr>
          <w:p>
            <w:pPr>
              <w:spacing w:after="0"/>
              <w:rPr>
                <w:sz w:val="21"/>
                <w:szCs w:val="21"/>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29%</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2,306</w:t>
            </w:r>
          </w:p>
        </w:tc>
        <w:tc>
          <w:tcPr>
            <w:tcW w:w="160" w:type="dxa"/>
            <w:vAlign w:val="bottom"/>
            <w:shd w:val="clear" w:color="auto" w:fill="D1D2D4"/>
          </w:tcPr>
          <w:p>
            <w:pPr>
              <w:spacing w:after="0"/>
              <w:rPr>
                <w:sz w:val="21"/>
                <w:szCs w:val="21"/>
                <w:color w:val="auto"/>
              </w:rPr>
            </w:pPr>
          </w:p>
        </w:tc>
        <w:tc>
          <w:tcPr>
            <w:tcW w:w="620" w:type="dxa"/>
            <w:vAlign w:val="bottom"/>
            <w:shd w:val="clear" w:color="auto" w:fill="D1D2D4"/>
          </w:tcPr>
          <w:p>
            <w:pPr>
              <w:jc w:val="center"/>
              <w:ind w:right="50"/>
              <w:spacing w:after="0"/>
              <w:rPr>
                <w:sz w:val="20"/>
                <w:szCs w:val="20"/>
                <w:color w:val="auto"/>
              </w:rPr>
            </w:pPr>
            <w:r>
              <w:rPr>
                <w:rFonts w:ascii="Arial" w:cs="Arial" w:eastAsia="Arial" w:hAnsi="Arial"/>
                <w:sz w:val="18"/>
                <w:szCs w:val="18"/>
                <w:color w:val="auto"/>
                <w:w w:val="99"/>
              </w:rPr>
              <w:t>30%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D1D2D4"/>
          </w:tcPr>
          <w:p>
            <w:pPr>
              <w:spacing w:after="0"/>
              <w:rPr>
                <w:sz w:val="21"/>
                <w:szCs w:val="21"/>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10%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4,569</w:t>
            </w:r>
          </w:p>
        </w:tc>
        <w:tc>
          <w:tcPr>
            <w:tcW w:w="820" w:type="dxa"/>
            <w:vAlign w:val="bottom"/>
            <w:gridSpan w:val="2"/>
            <w:shd w:val="clear" w:color="auto" w:fill="D1D2D4"/>
          </w:tcPr>
          <w:p>
            <w:pPr>
              <w:jc w:val="center"/>
              <w:spacing w:after="0"/>
              <w:rPr>
                <w:sz w:val="20"/>
                <w:szCs w:val="20"/>
                <w:color w:val="auto"/>
              </w:rPr>
            </w:pPr>
            <w:r>
              <w:rPr>
                <w:rFonts w:ascii="Arial" w:cs="Arial" w:eastAsia="Arial" w:hAnsi="Arial"/>
                <w:sz w:val="18"/>
                <w:szCs w:val="18"/>
                <w:color w:val="auto"/>
                <w:w w:val="99"/>
              </w:rPr>
              <w:t>30%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1,406</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
        </w:trPr>
        <w:tc>
          <w:tcPr>
            <w:tcW w:w="298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740"/>
        <w:spacing w:after="0" w:line="318" w:lineRule="auto"/>
        <w:rPr>
          <w:sz w:val="20"/>
          <w:szCs w:val="20"/>
          <w:color w:val="auto"/>
        </w:rPr>
      </w:pPr>
      <w:r>
        <w:rPr>
          <w:rFonts w:ascii="Arial" w:cs="Arial" w:eastAsia="Arial" w:hAnsi="Arial"/>
          <w:sz w:val="17"/>
          <w:szCs w:val="17"/>
          <w:b w:val="1"/>
          <w:bCs w:val="1"/>
          <w:i w:val="1"/>
          <w:iCs w:val="1"/>
          <w:color w:val="auto"/>
        </w:rPr>
        <w:t>Total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Total revenue for the second quarter of 2022 increased 1% as compared to the first quarter of 2022 primarily due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in both DRAM and NAND sales partially offset by decreases in 3D XPoint sales, which ceased in the first quarter of 2022.</w:t>
      </w:r>
    </w:p>
    <w:p>
      <w:pPr>
        <w:spacing w:after="0" w:line="157" w:lineRule="exact"/>
        <w:rPr>
          <w:sz w:val="20"/>
          <w:szCs w:val="20"/>
          <w:color w:val="auto"/>
        </w:rPr>
      </w:pPr>
    </w:p>
    <w:p>
      <w:pPr>
        <w:ind w:left="660" w:right="12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DRAM products increased 2% primarily due to a high-single-digit percent increase in bit shipments partially offset by a mid-single-digit percent decline in average selling prices.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NAND products increased 4% primarily due to a mid-single-digit percent increase in average selling prices.</w:t>
      </w:r>
    </w:p>
    <w:p>
      <w:pPr>
        <w:spacing w:after="0" w:line="234"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Total revenue for the second quarter of 2022 increased 25% as compared to the second quarter of 2021 primarily due to increases in both DRAM and NAND sales.</w:t>
      </w:r>
    </w:p>
    <w:p>
      <w:pPr>
        <w:spacing w:after="0" w:line="180" w:lineRule="exact"/>
        <w:rPr>
          <w:sz w:val="20"/>
          <w:szCs w:val="20"/>
          <w:color w:val="auto"/>
        </w:rPr>
      </w:pPr>
    </w:p>
    <w:p>
      <w:pPr>
        <w:ind w:left="66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DRAM products increased 29% primarily due to a mid-10% increase in average selling prices and increases in bit shipments in the low-10% range.</w:t>
      </w:r>
    </w:p>
    <w:p>
      <w:pPr>
        <w:spacing w:after="0" w:line="1" w:lineRule="exact"/>
        <w:rPr>
          <w:rFonts w:ascii="Arial" w:cs="Arial" w:eastAsia="Arial" w:hAnsi="Arial"/>
          <w:sz w:val="18"/>
          <w:szCs w:val="18"/>
          <w:color w:val="auto"/>
        </w:rPr>
      </w:pPr>
    </w:p>
    <w:p>
      <w:pPr>
        <w:ind w:left="660" w:right="4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NAND products increased 19% primarily due to a low-10% increase in average selling prices and increases in bit shipments in the mid-single-digit percentage range.</w:t>
      </w:r>
    </w:p>
    <w:p>
      <w:pPr>
        <w:spacing w:after="0" w:line="19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Total revenue for the first six months of 2022 increased 29% as compared to the first six months of 2021 primarily due to increases in both DRAM and NAND sales.</w:t>
      </w:r>
    </w:p>
    <w:p>
      <w:pPr>
        <w:spacing w:after="0" w:line="180" w:lineRule="exact"/>
        <w:rPr>
          <w:sz w:val="20"/>
          <w:szCs w:val="20"/>
          <w:color w:val="auto"/>
        </w:rPr>
      </w:pPr>
    </w:p>
    <w:p>
      <w:pPr>
        <w:ind w:left="660" w:right="2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DRAM products increased 33% primarily due to a low-20% increase in average selling prices and increases in bit shipments in the low-10% range.</w:t>
      </w:r>
    </w:p>
    <w:p>
      <w:pPr>
        <w:spacing w:after="0" w:line="1" w:lineRule="exact"/>
        <w:rPr>
          <w:rFonts w:ascii="Arial" w:cs="Arial" w:eastAsia="Arial" w:hAnsi="Arial"/>
          <w:sz w:val="18"/>
          <w:szCs w:val="18"/>
          <w:color w:val="auto"/>
        </w:rPr>
      </w:pPr>
    </w:p>
    <w:p>
      <w:pPr>
        <w:ind w:left="660" w:right="44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NAND products increased 19% primarily due to increases in bit shipments in the low-10% range and a high-single-digit percent increase in average selling prices.</w:t>
      </w:r>
    </w:p>
    <w:p>
      <w:pPr>
        <w:spacing w:after="0" w:line="19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increased to 47% for the second quarter of 2022 from 46% for the first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2022, primarily due to higher NAND margins resulting from higher average selling prices and manufacturing cost reductions partially offset by lower DRAM margins resulting from declines in average selling prices.</w:t>
      </w:r>
    </w:p>
    <w:p>
      <w:pPr>
        <w:spacing w:after="0" w:line="39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overall gross margin percentage increased to 47% for the second quarter of 2022 from 26% for the second quarter of 2021, primarily due to increases in average selling prices and manufacturing cost reductions resulting from strong execution in delivering products featuring advanced technologies. Our overall gross margin percentage increased to 47% for the first six months of 2022 from 28% for the first six months of 2021, primarily due to increases in average selling prices and manufacturing cost reductions. Effective as of the beginning of the second quarter of 2021, we changed our method of inventory costing from average cost to FIFO. Concurrently, as of the beginning of the second quarter of 2021, we modified our inventory cost-absorption processes used to estimate inventory values, which affects the timing of when costs are recognized. These changes resulted in a one-time increase to cost of goods sold of approximately $293 million in the second quarter of 2021.</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9"/>
              </w:rPr>
              <w:t>Second Quarter</w:t>
            </w:r>
          </w:p>
        </w:tc>
        <w:tc>
          <w:tcPr>
            <w:tcW w:w="200" w:type="dxa"/>
            <w:vAlign w:val="bottom"/>
          </w:tcPr>
          <w:p>
            <w:pPr>
              <w:spacing w:after="0"/>
              <w:rPr>
                <w:sz w:val="20"/>
                <w:szCs w:val="20"/>
                <w:color w:val="auto"/>
              </w:rPr>
            </w:pPr>
          </w:p>
        </w:tc>
        <w:tc>
          <w:tcPr>
            <w:tcW w:w="146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rPr>
              <w:t>First Quarter</w:t>
            </w:r>
          </w:p>
        </w:tc>
        <w:tc>
          <w:tcPr>
            <w:tcW w:w="140" w:type="dxa"/>
            <w:vAlign w:val="bottom"/>
          </w:tcPr>
          <w:p>
            <w:pPr>
              <w:spacing w:after="0"/>
              <w:rPr>
                <w:sz w:val="20"/>
                <w:szCs w:val="20"/>
                <w:color w:val="auto"/>
              </w:rPr>
            </w:pPr>
          </w:p>
        </w:tc>
        <w:tc>
          <w:tcPr>
            <w:tcW w:w="15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9"/>
              </w:rPr>
              <w:t>Second Quarter</w:t>
            </w:r>
          </w:p>
        </w:tc>
        <w:tc>
          <w:tcPr>
            <w:tcW w:w="18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1860" w:type="dxa"/>
            <w:vAlign w:val="bottom"/>
            <w:tcBorders>
              <w:bottom w:val="single" w:sz="8" w:color="0090DA"/>
            </w:tcBorders>
            <w:gridSpan w:val="4"/>
          </w:tcPr>
          <w:p>
            <w:pPr>
              <w:jc w:val="right"/>
              <w:ind w:right="300"/>
              <w:spacing w:after="0"/>
              <w:rPr>
                <w:sz w:val="20"/>
                <w:szCs w:val="20"/>
                <w:color w:val="auto"/>
              </w:rPr>
            </w:pPr>
            <w:r>
              <w:rPr>
                <w:rFonts w:ascii="Arial" w:cs="Arial" w:eastAsia="Arial" w:hAnsi="Arial"/>
                <w:sz w:val="18"/>
                <w:szCs w:val="18"/>
                <w:b w:val="1"/>
                <w:bCs w:val="1"/>
                <w:color w:val="auto"/>
                <w:w w:val="99"/>
              </w:rPr>
              <w:t>Six months ended</w:t>
            </w:r>
          </w:p>
        </w:tc>
        <w:tc>
          <w:tcPr>
            <w:tcW w:w="600" w:type="dxa"/>
            <w:vAlign w:val="bottom"/>
            <w:tcBorders>
              <w:bottom w:val="single" w:sz="8" w:color="0090DA"/>
            </w:tcBorders>
          </w:tcPr>
          <w:p>
            <w:pPr>
              <w:spacing w:after="0"/>
              <w:rPr>
                <w:sz w:val="20"/>
                <w:szCs w:val="20"/>
                <w:color w:val="auto"/>
              </w:rPr>
            </w:pPr>
          </w:p>
        </w:tc>
      </w:tr>
      <w:tr>
        <w:trPr>
          <w:trHeight w:val="223"/>
        </w:trPr>
        <w:tc>
          <w:tcPr>
            <w:tcW w:w="29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86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1480" w:type="dxa"/>
            <w:vAlign w:val="bottom"/>
            <w:tcBorders>
              <w:bottom w:val="single" w:sz="8" w:color="0090DA"/>
            </w:tcBorders>
            <w:gridSpan w:val="2"/>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0090DA"/>
            </w:tcBorders>
          </w:tcPr>
          <w:p>
            <w:pPr>
              <w:spacing w:after="0"/>
              <w:rPr>
                <w:sz w:val="19"/>
                <w:szCs w:val="19"/>
                <w:color w:val="auto"/>
              </w:rPr>
            </w:pPr>
          </w:p>
        </w:tc>
        <w:tc>
          <w:tcPr>
            <w:tcW w:w="88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0090DA"/>
            </w:tcBorders>
          </w:tcPr>
          <w:p>
            <w:pPr>
              <w:spacing w:after="0"/>
              <w:rPr>
                <w:sz w:val="19"/>
                <w:szCs w:val="19"/>
                <w:color w:val="auto"/>
              </w:rPr>
            </w:pPr>
          </w:p>
        </w:tc>
      </w:tr>
      <w:tr>
        <w:trPr>
          <w:trHeight w:val="34"/>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3,461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44%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3,406</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44%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2,636</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42%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6,867</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44%</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5,182</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43%</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MBU</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1,875</w:t>
            </w:r>
          </w:p>
        </w:tc>
        <w:tc>
          <w:tcPr>
            <w:tcW w:w="180" w:type="dxa"/>
            <w:vAlign w:val="bottom"/>
          </w:tcPr>
          <w:p>
            <w:pPr>
              <w:spacing w:after="0"/>
              <w:rPr>
                <w:sz w:val="19"/>
                <w:szCs w:val="19"/>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24%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1,907</w:t>
            </w:r>
          </w:p>
        </w:tc>
        <w:tc>
          <w:tcPr>
            <w:tcW w:w="180" w:type="dxa"/>
            <w:vAlign w:val="bottom"/>
          </w:tcPr>
          <w:p>
            <w:pPr>
              <w:spacing w:after="0"/>
              <w:rPr>
                <w:sz w:val="19"/>
                <w:szCs w:val="19"/>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25%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1,811</w:t>
            </w:r>
          </w:p>
        </w:tc>
        <w:tc>
          <w:tcPr>
            <w:tcW w:w="18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29%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3,782</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24%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3,312</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28%</w:t>
            </w: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15%</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15%</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14%</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2,321</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15%</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15%</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EBU</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1,277</w:t>
            </w:r>
          </w:p>
        </w:tc>
        <w:tc>
          <w:tcPr>
            <w:tcW w:w="180" w:type="dxa"/>
            <w:vAlign w:val="bottom"/>
          </w:tcPr>
          <w:p>
            <w:pPr>
              <w:spacing w:after="0"/>
              <w:rPr>
                <w:sz w:val="19"/>
                <w:szCs w:val="19"/>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9"/>
                <w:szCs w:val="19"/>
                <w:color w:val="auto"/>
              </w:rPr>
            </w:pPr>
          </w:p>
        </w:tc>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16%</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15%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2,497</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1,744</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15%</w:t>
            </w: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D1D2D4"/>
          </w:tcPr>
          <w:p>
            <w:pPr>
              <w:spacing w:after="0"/>
              <w:rPr>
                <w:sz w:val="19"/>
                <w:szCs w:val="19"/>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D1D2D4"/>
          </w:tcPr>
          <w:p>
            <w:pPr>
              <w:spacing w:after="0"/>
              <w:rPr>
                <w:sz w:val="19"/>
                <w:szCs w:val="19"/>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7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w:t>
            </w:r>
          </w:p>
        </w:tc>
      </w:tr>
      <w:tr>
        <w:trPr>
          <w:trHeight w:val="223"/>
        </w:trPr>
        <w:tc>
          <w:tcPr>
            <w:tcW w:w="29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15,473</w:t>
            </w:r>
          </w:p>
        </w:tc>
        <w:tc>
          <w:tcPr>
            <w:tcW w:w="7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second quarter of 2022 as compared to the first quarter of 2022 were as follows:</w:t>
      </w:r>
    </w:p>
    <w:p>
      <w:pPr>
        <w:spacing w:after="0" w:line="252" w:lineRule="exact"/>
        <w:rPr>
          <w:sz w:val="20"/>
          <w:szCs w:val="20"/>
          <w:color w:val="auto"/>
        </w:rPr>
      </w:pPr>
    </w:p>
    <w:p>
      <w:pPr>
        <w:ind w:left="660" w:right="18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CNBU revenue increased 2% primarily due to increases in bit shipments to client, cloud, and networking markets, partially offset by declines in DRAM average selling prices.</w:t>
      </w:r>
    </w:p>
    <w:p>
      <w:pPr>
        <w:spacing w:after="0" w:line="1"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MBU revenue decreased 2% primarily due to declines in mobile DRAM average selling prices partially offset by increases in bit shipments.</w:t>
      </w:r>
    </w:p>
    <w:p>
      <w:pPr>
        <w:ind w:left="660" w:right="2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SBU revenue increased 2% primarily due to increases in bit shipments of SSDs partially offset by decreases in sales of component products.</w:t>
      </w:r>
    </w:p>
    <w:p>
      <w:pPr>
        <w:ind w:left="660" w:right="600" w:hanging="328"/>
        <w:spacing w:after="0" w:line="26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EBU revenue increased 5% primarily due to increases in bit shipments to automotive and industrial markets, partially offset by declines in bit shipments to consumer markets.</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Changes in revenue for each business unit for the second quarter and first six months of 2022 as compared to the corresponding periods of 2021 were as follows:</w:t>
      </w:r>
    </w:p>
    <w:p>
      <w:pPr>
        <w:spacing w:after="0" w:line="180" w:lineRule="exact"/>
        <w:rPr>
          <w:sz w:val="20"/>
          <w:szCs w:val="20"/>
          <w:color w:val="auto"/>
        </w:rPr>
      </w:pPr>
    </w:p>
    <w:p>
      <w:pPr>
        <w:ind w:left="660" w:right="26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CNBU revenue increased 31% and 33%, respectively, primarily due to increases in bit shipments to cloud and networking markets combined with higher average selling prices for DRAM.</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MBU revenue increased 4% and 14%, respectively, primarily due to higher average selling prices for mobile DRAM partially offset by declines in NAND bit shipments due to a mix shift in supply to SSDs.</w:t>
      </w:r>
    </w:p>
    <w:p>
      <w:pPr>
        <w:ind w:left="660" w:right="5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SBU revenue increased 38% and 32%, respectively, primarily due to increases in bit shipments for NAND products and higher average selling prices for NAND.</w:t>
      </w:r>
    </w:p>
    <w:p>
      <w:pPr>
        <w:ind w:left="660" w:right="220" w:hanging="328"/>
        <w:spacing w:after="0" w:line="26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EBU revenue increased 37% and 43%, respectively, primarily due to increases in bit shipments driven by strong demand growth in automotive and industrial markets combined with improved pricing for DRAM.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9"/>
              </w:rPr>
              <w:t>Second Quarter</w:t>
            </w:r>
          </w:p>
        </w:tc>
        <w:tc>
          <w:tcPr>
            <w:tcW w:w="200" w:type="dxa"/>
            <w:vAlign w:val="bottom"/>
          </w:tcPr>
          <w:p>
            <w:pPr>
              <w:spacing w:after="0"/>
              <w:rPr>
                <w:sz w:val="20"/>
                <w:szCs w:val="20"/>
                <w:color w:val="auto"/>
              </w:rPr>
            </w:pPr>
          </w:p>
        </w:tc>
        <w:tc>
          <w:tcPr>
            <w:tcW w:w="146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rPr>
              <w:t>First Quarter</w:t>
            </w:r>
          </w:p>
        </w:tc>
        <w:tc>
          <w:tcPr>
            <w:tcW w:w="140" w:type="dxa"/>
            <w:vAlign w:val="bottom"/>
          </w:tcPr>
          <w:p>
            <w:pPr>
              <w:spacing w:after="0"/>
              <w:rPr>
                <w:sz w:val="20"/>
                <w:szCs w:val="20"/>
                <w:color w:val="auto"/>
              </w:rPr>
            </w:pPr>
          </w:p>
        </w:tc>
        <w:tc>
          <w:tcPr>
            <w:tcW w:w="15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9"/>
              </w:rPr>
              <w:t>Second Quarter</w:t>
            </w:r>
          </w:p>
        </w:tc>
        <w:tc>
          <w:tcPr>
            <w:tcW w:w="240" w:type="dxa"/>
            <w:vAlign w:val="bottom"/>
            <w:tcBorders>
              <w:bottom w:val="single" w:sz="8" w:color="0090DA"/>
            </w:tcBorders>
          </w:tcPr>
          <w:p>
            <w:pPr>
              <w:spacing w:after="0"/>
              <w:rPr>
                <w:sz w:val="20"/>
                <w:szCs w:val="20"/>
                <w:color w:val="auto"/>
              </w:rPr>
            </w:pPr>
          </w:p>
        </w:tc>
        <w:tc>
          <w:tcPr>
            <w:tcW w:w="640" w:type="dxa"/>
            <w:vAlign w:val="bottom"/>
            <w:tcBorders>
              <w:bottom w:val="single" w:sz="8" w:color="0090DA"/>
            </w:tcBorders>
          </w:tcPr>
          <w:p>
            <w:pPr>
              <w:spacing w:after="0"/>
              <w:rPr>
                <w:sz w:val="20"/>
                <w:szCs w:val="20"/>
                <w:color w:val="auto"/>
              </w:rPr>
            </w:pPr>
          </w:p>
        </w:tc>
        <w:tc>
          <w:tcPr>
            <w:tcW w:w="1860" w:type="dxa"/>
            <w:vAlign w:val="bottom"/>
            <w:tcBorders>
              <w:bottom w:val="single" w:sz="8" w:color="0090DA"/>
            </w:tcBorders>
            <w:gridSpan w:val="4"/>
          </w:tcPr>
          <w:p>
            <w:pPr>
              <w:jc w:val="right"/>
              <w:ind w:right="300"/>
              <w:spacing w:after="0"/>
              <w:rPr>
                <w:sz w:val="20"/>
                <w:szCs w:val="20"/>
                <w:color w:val="auto"/>
              </w:rPr>
            </w:pPr>
            <w:r>
              <w:rPr>
                <w:rFonts w:ascii="Arial" w:cs="Arial" w:eastAsia="Arial" w:hAnsi="Arial"/>
                <w:sz w:val="18"/>
                <w:szCs w:val="18"/>
                <w:b w:val="1"/>
                <w:bCs w:val="1"/>
                <w:color w:val="auto"/>
                <w:w w:val="99"/>
              </w:rPr>
              <w:t>Six months ended</w:t>
            </w:r>
          </w:p>
        </w:tc>
        <w:tc>
          <w:tcPr>
            <w:tcW w:w="600" w:type="dxa"/>
            <w:vAlign w:val="bottom"/>
            <w:tcBorders>
              <w:bottom w:val="single" w:sz="8" w:color="0090DA"/>
            </w:tcBorders>
          </w:tcPr>
          <w:p>
            <w:pPr>
              <w:spacing w:after="0"/>
              <w:rPr>
                <w:sz w:val="20"/>
                <w:szCs w:val="20"/>
                <w:color w:val="auto"/>
              </w:rPr>
            </w:pPr>
          </w:p>
        </w:tc>
      </w:tr>
      <w:tr>
        <w:trPr>
          <w:trHeight w:val="223"/>
        </w:trPr>
        <w:tc>
          <w:tcPr>
            <w:tcW w:w="29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86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420" w:type="dxa"/>
            <w:vAlign w:val="bottom"/>
            <w:tcBorders>
              <w:bottom w:val="single" w:sz="8" w:color="0090DA"/>
            </w:tcBorders>
            <w:gridSpan w:val="2"/>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0090DA"/>
            </w:tcBorders>
          </w:tcPr>
          <w:p>
            <w:pPr>
              <w:spacing w:after="0"/>
              <w:rPr>
                <w:sz w:val="19"/>
                <w:szCs w:val="19"/>
                <w:color w:val="auto"/>
              </w:rPr>
            </w:pPr>
          </w:p>
        </w:tc>
        <w:tc>
          <w:tcPr>
            <w:tcW w:w="840" w:type="dxa"/>
            <w:vAlign w:val="bottom"/>
            <w:tcBorders>
              <w:bottom w:val="single" w:sz="8" w:color="0090DA"/>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0090DA"/>
            </w:tcBorders>
          </w:tcPr>
          <w:p>
            <w:pPr>
              <w:spacing w:after="0"/>
              <w:rPr>
                <w:sz w:val="19"/>
                <w:szCs w:val="19"/>
                <w:color w:val="auto"/>
              </w:rPr>
            </w:pPr>
          </w:p>
        </w:tc>
      </w:tr>
      <w:tr>
        <w:trPr>
          <w:trHeight w:val="34"/>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1,562</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1,524</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709</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27%</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3,086</w:t>
            </w:r>
          </w:p>
        </w:tc>
        <w:tc>
          <w:tcPr>
            <w:tcW w:w="78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1,192</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23%</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MBU</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26%</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1,212</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25%</w:t>
            </w:r>
          </w:p>
        </w:tc>
      </w:tr>
      <w:tr>
        <w:trPr>
          <w:trHeight w:val="230"/>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70"/>
              <w:spacing w:after="0"/>
              <w:rPr>
                <w:sz w:val="20"/>
                <w:szCs w:val="20"/>
                <w:color w:val="auto"/>
              </w:rPr>
            </w:pPr>
            <w:r>
              <w:rPr>
                <w:rFonts w:ascii="Arial" w:cs="Arial" w:eastAsia="Arial" w:hAnsi="Arial"/>
                <w:sz w:val="18"/>
                <w:szCs w:val="18"/>
                <w:color w:val="auto"/>
                <w:w w:val="99"/>
              </w:rPr>
              <w:t>(7)%</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w:t>
            </w:r>
          </w:p>
        </w:tc>
        <w:tc>
          <w:tcPr>
            <w:tcW w:w="78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(3)%</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EBU</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19"/>
                <w:szCs w:val="19"/>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620" w:type="dxa"/>
            <w:vAlign w:val="bottom"/>
          </w:tcPr>
          <w:p>
            <w:pPr>
              <w:jc w:val="center"/>
              <w:ind w:right="90"/>
              <w:spacing w:after="0"/>
              <w:rPr>
                <w:sz w:val="20"/>
                <w:szCs w:val="20"/>
                <w:color w:val="auto"/>
              </w:rPr>
            </w:pPr>
            <w:r>
              <w:rPr>
                <w:rFonts w:ascii="Arial" w:cs="Arial" w:eastAsia="Arial" w:hAnsi="Arial"/>
                <w:sz w:val="18"/>
                <w:szCs w:val="18"/>
                <w:color w:val="auto"/>
                <w:w w:val="99"/>
              </w:rPr>
              <w:t>15%</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843</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9"/>
                <w:szCs w:val="19"/>
                <w:color w:val="auto"/>
              </w:rPr>
            </w:pPr>
          </w:p>
        </w:tc>
        <w:tc>
          <w:tcPr>
            <w:tcW w:w="600" w:type="dxa"/>
            <w:vAlign w:val="bottom"/>
          </w:tcPr>
          <w:p>
            <w:pPr>
              <w:jc w:val="center"/>
              <w:ind w:right="110"/>
              <w:spacing w:after="0"/>
              <w:rPr>
                <w:sz w:val="20"/>
                <w:szCs w:val="20"/>
                <w:color w:val="auto"/>
              </w:rPr>
            </w:pPr>
            <w:r>
              <w:rPr>
                <w:rFonts w:ascii="Arial" w:cs="Arial" w:eastAsia="Arial" w:hAnsi="Arial"/>
                <w:sz w:val="18"/>
                <w:szCs w:val="18"/>
                <w:color w:val="auto"/>
                <w:w w:val="99"/>
              </w:rPr>
              <w:t>15%</w:t>
            </w: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D1D2D4"/>
          </w:tcPr>
          <w:p>
            <w:pPr>
              <w:spacing w:after="0"/>
              <w:rPr>
                <w:sz w:val="19"/>
                <w:szCs w:val="19"/>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shd w:val="clear" w:color="auto" w:fill="D1D2D4"/>
          </w:tcPr>
          <w:p>
            <w:pPr>
              <w:spacing w:after="0"/>
              <w:rPr>
                <w:sz w:val="19"/>
                <w:szCs w:val="19"/>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auto"/>
            </w:tcBorders>
            <w:shd w:val="clear" w:color="auto" w:fill="D1D2D4"/>
          </w:tcPr>
          <w:p>
            <w:pPr>
              <w:spacing w:after="0"/>
              <w:rPr>
                <w:sz w:val="19"/>
                <w:szCs w:val="19"/>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center"/>
              <w:ind w:right="90"/>
              <w:spacing w:after="0"/>
              <w:rPr>
                <w:sz w:val="20"/>
                <w:szCs w:val="20"/>
                <w:color w:val="auto"/>
              </w:rPr>
            </w:pPr>
            <w:r>
              <w:rPr>
                <w:rFonts w:ascii="Arial" w:cs="Arial" w:eastAsia="Arial" w:hAnsi="Arial"/>
                <w:sz w:val="18"/>
                <w:szCs w:val="18"/>
                <w:color w:val="auto"/>
                <w:w w:val="99"/>
              </w:rPr>
              <w:t>50%</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78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600" w:type="dxa"/>
            <w:vAlign w:val="bottom"/>
            <w:shd w:val="clear" w:color="auto" w:fill="D1D2D4"/>
          </w:tcPr>
          <w:p>
            <w:pPr>
              <w:jc w:val="center"/>
              <w:ind w:right="110"/>
              <w:spacing w:after="0"/>
              <w:rPr>
                <w:sz w:val="20"/>
                <w:szCs w:val="20"/>
                <w:color w:val="auto"/>
              </w:rPr>
            </w:pPr>
            <w:r>
              <w:rPr>
                <w:rFonts w:ascii="Arial" w:cs="Arial" w:eastAsia="Arial" w:hAnsi="Arial"/>
                <w:sz w:val="18"/>
                <w:szCs w:val="18"/>
                <w:color w:val="auto"/>
                <w:w w:val="99"/>
              </w:rPr>
              <w:t>20%</w:t>
            </w:r>
          </w:p>
        </w:tc>
      </w:tr>
      <w:tr>
        <w:trPr>
          <w:trHeight w:val="223"/>
        </w:trPr>
        <w:tc>
          <w:tcPr>
            <w:tcW w:w="29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w:t>
            </w:r>
          </w:p>
        </w:tc>
        <w:tc>
          <w:tcPr>
            <w:tcW w:w="7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Changes in operating income or loss for each business unit for the second quarter of 2022 as compared to the first quarter of 2022 were as follows:</w:t>
      </w:r>
    </w:p>
    <w:p>
      <w:pPr>
        <w:spacing w:after="0" w:line="180" w:lineRule="exact"/>
        <w:rPr>
          <w:sz w:val="20"/>
          <w:szCs w:val="20"/>
          <w:color w:val="auto"/>
        </w:rPr>
      </w:pPr>
    </w:p>
    <w:p>
      <w:pPr>
        <w:ind w:left="660" w:right="68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CNBU operating income increased primarily due to higher bit shipments and manufacturing cost reductions partially offset by declines in DRAM average selling prices and higher R&amp;D expenses.</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MBU operating income decreased primarily due to declines in mobile DRAM average selling prices and higher R&amp;D expenses, partially offset by manufacturing cost reductions.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SBU operating income increased primarily due to higher margins on SSDs.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EBU operating income was relatively unchanged.</w:t>
      </w:r>
    </w:p>
    <w:p>
      <w:pPr>
        <w:spacing w:after="0" w:line="23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Changes in operating income or loss for each business unit for the second quarter and first six months of 2022 as compared to the corresponding periods of 2021 were as follows:</w:t>
      </w:r>
    </w:p>
    <w:p>
      <w:pPr>
        <w:spacing w:after="0" w:line="180" w:lineRule="exact"/>
        <w:rPr>
          <w:sz w:val="20"/>
          <w:szCs w:val="20"/>
          <w:color w:val="auto"/>
        </w:rPr>
      </w:pPr>
    </w:p>
    <w:p>
      <w:pPr>
        <w:ind w:left="660" w:right="6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CNBU operating income increased primarily due to higher average selling prices, increases in bit shipments, and manufacturing cost reductions.</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mobile DRAM average selling prices and NAND cost reductions, partially offset by higher R&amp;D expenses.</w:t>
      </w:r>
    </w:p>
    <w:p>
      <w:pPr>
        <w:ind w:left="660" w:right="1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SBU operating income increased primarily due to increases in average selling prices, manufacturing cost reductions, and increases in bit shipments, partially offset by higher R&amp;D expenses.</w:t>
      </w:r>
    </w:p>
    <w:p>
      <w:pPr>
        <w:ind w:left="660" w:right="16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EBU operating income increased primarily due to manufacturing cost reductions from an increasing mix of leading edge bits, higher bit shipments, and improved DRAM pricing in industrial and consumer markets.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0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R&amp;D expenses for the second quarter of 2022 were 11% higher as compared to the first quarter of 2022 primarily due to higher employee compensation as a result of increases in headcount and variable pay. R&amp;D expenses for the second quarter and first six months of 2022 were 24% and 17% higher, respectively, as compared to the corresponding periods of 2021, primarily due to increases in employee compensation and higher volumes of development and prequalification wafers.</w:t>
      </w:r>
    </w:p>
    <w:p>
      <w:pPr>
        <w:spacing w:after="0" w:line="20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expenses for the second quarter of 2022 were relatively unchanged as compared to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2022. SG&amp;A expenses for the second quarter and first six months of 2022 increased 23% and 22%, respectively, as compared to the corresponding periods of 2021, primarily due to increases in employee compensation, legal fees, professional services, and advertising.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4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Second Quarter</w:t>
            </w:r>
          </w:p>
        </w:tc>
        <w:tc>
          <w:tcPr>
            <w:tcW w:w="16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First Quarter</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Second Quarter</w:t>
            </w:r>
          </w:p>
        </w:tc>
        <w:tc>
          <w:tcPr>
            <w:tcW w:w="340" w:type="dxa"/>
            <w:vAlign w:val="bottom"/>
            <w:tcBorders>
              <w:bottom w:val="single" w:sz="8" w:color="0090DA"/>
            </w:tcBorders>
          </w:tcPr>
          <w:p>
            <w:pPr>
              <w:spacing w:after="0"/>
              <w:rPr>
                <w:sz w:val="20"/>
                <w:szCs w:val="20"/>
                <w:color w:val="auto"/>
              </w:rPr>
            </w:pPr>
          </w:p>
        </w:tc>
        <w:tc>
          <w:tcPr>
            <w:tcW w:w="2680" w:type="dxa"/>
            <w:vAlign w:val="bottom"/>
            <w:tcBorders>
              <w:bottom w:val="single" w:sz="8" w:color="0090DA"/>
            </w:tcBorders>
            <w:gridSpan w:val="3"/>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3040" w:type="dxa"/>
            <w:vAlign w:val="bottom"/>
            <w:tcBorders>
              <w:bottom w:val="single" w:sz="8" w:color="0090DA"/>
            </w:tcBorders>
          </w:tcPr>
          <w:p>
            <w:pPr>
              <w:spacing w:after="0"/>
              <w:rPr>
                <w:sz w:val="19"/>
                <w:szCs w:val="19"/>
                <w:color w:val="auto"/>
              </w:rPr>
            </w:pPr>
          </w:p>
        </w:tc>
        <w:tc>
          <w:tcPr>
            <w:tcW w:w="9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0090DA"/>
            </w:tcBorders>
          </w:tcPr>
          <w:p>
            <w:pPr>
              <w:spacing w:after="0"/>
              <w:rPr>
                <w:sz w:val="19"/>
                <w:szCs w:val="19"/>
                <w:color w:val="auto"/>
              </w:rPr>
            </w:pPr>
          </w:p>
        </w:tc>
        <w:tc>
          <w:tcPr>
            <w:tcW w:w="13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34"/>
        </w:trPr>
        <w:tc>
          <w:tcPr>
            <w:tcW w:w="3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3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9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2,509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2,521</w:t>
            </w:r>
          </w:p>
        </w:tc>
        <w:tc>
          <w:tcPr>
            <w:tcW w:w="3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635</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5,030</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1,476</w:t>
            </w: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6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(99)</w:t>
            </w:r>
          </w:p>
        </w:tc>
      </w:tr>
      <w:tr>
        <w:trPr>
          <w:trHeight w:val="230"/>
        </w:trPr>
        <w:tc>
          <w:tcPr>
            <w:tcW w:w="3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9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10.2 %</w:t>
            </w:r>
          </w:p>
        </w:tc>
        <w:tc>
          <w:tcPr>
            <w:tcW w:w="16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8.7 %</w:t>
            </w:r>
          </w:p>
        </w:tc>
        <w:tc>
          <w:tcPr>
            <w:tcW w:w="3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7.6 %</w:t>
            </w:r>
          </w:p>
        </w:tc>
        <w:tc>
          <w:tcPr>
            <w:tcW w:w="3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9.4 %</w:t>
            </w:r>
          </w:p>
        </w:tc>
        <w:tc>
          <w:tcPr>
            <w:tcW w:w="3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Changes to our effective tax rate in the periods presented were primarily due to the geographic mix of our earnings.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$304 million (benefiting our diluted earnings per share by $0.27) for the second quarter of 2022, $ 290 million ($0.26 per diluted share) for the first quarter of 2022, $45 million ($0.04 per diluted share) for the second quarter of 2021, $594 million ($0.53 per diluted share) for the first six months of 2022, and $101 million ($0.09 per diluted share) for the first six months of 2021.</w:t>
      </w: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March 16, 2022, the Idaho governor signed a new law that is expected to reduce our Idaho taxable income and as a result, we do not expect to utilize our tax credits in Idaho for the foreseeable future. We are in the process of assessing the impact of the new law but currently estimate it to result in a valuation allowance against Idaho’s net deferred tax assets and an increase to tax expense of approximately $200 million in the third quarter of 2022.</w:t>
      </w:r>
    </w:p>
    <w:p>
      <w:pPr>
        <w:spacing w:after="0" w:line="20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Beginning in 2023, provisions in the Tax Cuts and Jobs Act of 2017 will require us to capitalize and amortize R&amp;D expenditures rather than deducting the costs as incurred. Unless the effective date is deferred or the law is repealed, we expect a low-single-digit increase to our effective tax rate for several years.</w:t>
      </w:r>
    </w:p>
    <w:p>
      <w:pPr>
        <w:spacing w:after="0" w:line="198" w:lineRule="exact"/>
        <w:rPr>
          <w:sz w:val="20"/>
          <w:szCs w:val="20"/>
          <w:color w:val="auto"/>
        </w:rPr>
      </w:pPr>
    </w:p>
    <w:p>
      <w:pPr>
        <w:jc w:val="both"/>
        <w:ind w:right="60"/>
        <w:spacing w:after="0" w:line="318" w:lineRule="auto"/>
        <w:rPr>
          <w:sz w:val="20"/>
          <w:szCs w:val="20"/>
          <w:color w:val="auto"/>
        </w:rPr>
      </w:pPr>
      <w:r>
        <w:rPr>
          <w:rFonts w:ascii="Arial" w:cs="Arial" w:eastAsia="Arial" w:hAnsi="Arial"/>
          <w:sz w:val="17"/>
          <w:szCs w:val="17"/>
          <w:color w:val="auto"/>
        </w:rPr>
        <w:t>Various tax reforms are being considered in multiple jurisdictions that, if enacted, contain provisions that could increase our tax expense. We continue to monitor the potential impact of these various tax reform proposals to our overall global effective tax rate and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discussion of other items can be found in “Item 1. Financial Statements – 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March 3, 2022, $2.50 billion was available to draw under our Revolving Credit Facility.</w:t>
      </w:r>
    </w:p>
    <w:p>
      <w:pPr>
        <w:spacing w:after="0" w:line="20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Cash and marketable investments totaled $11.84 billion as of March 3, 2022 and $10.40 billion as of September 2, 2021.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March 3, 2022, $5.27 billion of our cash and marketable investments was held by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2022 for property, plant, and equipment, net of partner contributions, to be between $11 billion and $12 billion. Capital expenditures for 2022 are driven by our continued 176-layer NAND transition, pilot line enablement for next generation NAND and DRAM, and continued infrastructure and prepayments to support the introduction of EUV lithography. Actual amounts for 2022 will vary depending on market conditions. As of March 3, 2022, we had purchase obligations of approximately $2.96 billion for the acquisition of property, plant, and equipment, of which approximately $2.55 billion is expected to be paid within one year. For a description of other contractual obligations, such as debt and leases, see “Item 1. Financial Statements – Notes to Consolidated Financial Statements – Leases” and “– Debt.”</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November 1, 2021, we issued $1 billion in aggregate principal amount of unsecured 2032 Green Bonds. Over time, we intend to allocate an amount equal to the net proceeds to fund eligible sustainability-focused projects involving renewable energy, green buildings, energy efficiency, water management, pollution control, and a circular economy.</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March 3, 2022, we have repurchased an aggregate of $4.70 billion of the authorized amount. See “Item 1. Financial Statements – Notes to Consolidated Financial Statements – Equity.”</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March 29, 2022, our Board of Directors declared a quarterly dividend of $0.10 per share, payable in cash on April 26, 2022, to shareholders of record as of the close of business on April 11, 2022.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0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expect that our cash and investments, cash flows from operations, and available financing will be sufficient to meet our requirements at least through the next 12 months and thereafter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p>
        </w:tc>
        <w:tc>
          <w:tcPr>
            <w:tcW w:w="320" w:type="dxa"/>
            <w:vAlign w:val="bottom"/>
            <w:tcBorders>
              <w:bottom w:val="single" w:sz="8" w:color="0090DA"/>
            </w:tcBorders>
          </w:tcPr>
          <w:p>
            <w:pPr>
              <w:spacing w:after="0"/>
              <w:rPr>
                <w:sz w:val="20"/>
                <w:szCs w:val="20"/>
                <w:color w:val="auto"/>
              </w:rPr>
            </w:pPr>
          </w:p>
        </w:tc>
        <w:tc>
          <w:tcPr>
            <w:tcW w:w="256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8360" w:type="dxa"/>
            <w:vAlign w:val="bottom"/>
            <w:tcBorders>
              <w:bottom w:val="single" w:sz="8" w:color="0090DA"/>
            </w:tcBorders>
          </w:tcPr>
          <w:p>
            <w:pPr>
              <w:spacing w:after="0"/>
              <w:rPr>
                <w:sz w:val="19"/>
                <w:szCs w:val="19"/>
                <w:color w:val="auto"/>
              </w:rPr>
            </w:pPr>
          </w:p>
        </w:tc>
        <w:tc>
          <w:tcPr>
            <w:tcW w:w="3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7,566</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5,024</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(5,974)</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(979)</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1,395</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(1,116)</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adjusted for certain non-cash items, including depreciation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amortization of intangible assets, asset impairments, and stock-based compensation, and the effects of changes in operating assets and liabilities. The increase in cash provided by operating activities for the first six months of 2022 as compared to the first six months of 2021 was primarily due to higher net income adjusted for non-cash items, partially offset by an increase in inventories.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six months of 2022, net cash used for investing activities consisted primarily of $5.88 billion of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property, plant, and equipment; inflows of $66 million of partner contributions for capital expenditures; $893 million of net inflows from the sale of the Lehi, Utah fab; and $119 million of net outflows from purchases, sales, and maturities of 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first six months of 2021, net cash used for investing activities consisted primarily of $5.76 billion of expenditures for property, plant, and equipment; inflows of $183 million of partner contributions for capital expenditures; and $425 million of net outflows from purchases, sales, and maturities of available-for-sale securities.</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six months of 2022, net cash used for financing activities included $1.98 billion of repayments of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redeem the 2023 Notes and 2024 Notes, $667 million for the acquisition of 8.4 million shares of our common stock under our $10 billion share repurchase authorization, $ 224 million of cash payments of dividends to shareholders, $112 million used for stock repurchases related to tax withholdings for employee equity awards, and $ 105 million of payments on equipment purchase contracts. Cash used for financing activities was partially offset by aggregate proceeds of $2.00 billion from the issuance of the unsecured 2032 Green Bonds, 2041 Notes, and 2051 Notes. See “Item 1. Financial Statements – Notes to Consolidated Financial Statements – Debt.”</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the first six months of 2021, net cash used for financing activities consisted primarily of $123 million for payments on equipment purchase contracts and $103 million for repayments of debt.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a discussion of our critical accounting estimates, see “Part II – Item 7. Management’s Discussion and Analysis of Financial Condition and Results of Operations – Critical Accounting Estimates” of our Annual Report on Form 10-K for the year ended September 2, 2021. There have been no changes to our critical accounting estimates since our Annual Report on Form 10-K for the year ended September 2,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affected by changes in currency exchange and interest rates. We are exposed to interest rate risk related to our indebtedness and our investment portfolio. As of March 3, 2022 and September 2, 2021, we had fixed-rate debt of $4.0 billion and $3.9 billion, respectively, and as a result, the fair value of our debt fluctuates with changes in market interest rates. In the first quarter of 2022, we issued new debt and repaid other debt, which significantly increased the average remaining maturity of our fixed-rate debt resulting in increased variability of its fair value from interest rate changes. We estimate that, as of March 3, 2022 and September 2, 2021, a decrease in market interest rates of 1% would increase the fair value of our fixed-rate debt by approximately $375 million and $200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about market risk and sensitivity analysis related to changes in currency exchange rates and interest rates, see “Part II</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Item 7A. Quantitative and Qualitative Disclosures About Market Risk” in our Annual Report on Form 10-K for the year ended September 2,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During the second quarter of 2022,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3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September 2, 2021 and the sections titled “Part I. Financial Information – Item 1. Financial Statements – Notes to Consolidated Financial Statements – Contingencies” and “Item 1A. Risk Factors” in this Quarterly Report on Form 10-Q, as well as in our Quarterly Report on Form 10-Q for the first quarter of 2022.</w:t>
      </w:r>
    </w:p>
    <w:p>
      <w:pPr>
        <w:spacing w:after="0" w:line="20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or improve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products, and markets;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 for ourselves and our customers;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breaches of our security systems or products,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or maintaining certain performance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acquisitions and/or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proceedings and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allegations of anticompetitive conduct;</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alleged patent infringement complaints in Chinese courts.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environmental, social, and governance (“ESG”)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amount and timing of our common stock repurchases and payment of cash dividends and resulting impacts.</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pandemic could adversely affect our business, results of operations, and financial condition.</w:t>
      </w:r>
    </w:p>
    <w:p>
      <w:pPr>
        <w:spacing w:after="0" w:line="25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effects of the public health crisis caused by the COVID-19 pandemic and the measures being taken to limit COVID-19’s spread are uncertain and difficult to predict, but may include, and in some cases, have included and may continue to include:</w:t>
      </w:r>
    </w:p>
    <w:p>
      <w:pPr>
        <w:spacing w:after="0" w:line="180" w:lineRule="exact"/>
        <w:rPr>
          <w:sz w:val="20"/>
          <w:szCs w:val="20"/>
          <w:color w:val="auto"/>
        </w:rPr>
      </w:pPr>
    </w:p>
    <w:p>
      <w:pPr>
        <w:ind w:left="660" w:right="28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decrease in short-term and/or long-term demand and/or pricing for our products and global economic volatility that could reduce demand and/or pricing for our products, resulting from the spread of COVID-19 and/or the actions taken by governments, businesses, and/or the general public in an effort to limit exposure to and the spread of COVID-19, such as travel restrictions, quarantines, and business shutdowns or slowdowns;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reductions in production levels, R&amp;D activities, product development, technology transitions, yield enhancement activities, and qualification activities with our customers, resulting from our efforts to mitigate the impact of COVID-19 through measures we have enacted at our locations around the world in an effort to protect our employees’ and contractors’ health and well-being, including working from home, limiting the number of meeting attendees, reducing the number of people in certain of our sites at any one time, quarantines of team members, contractors, or vendors who are at risk of contracting, or have contracted, COVID-19, and limiting employee travel;</w:t>
      </w:r>
    </w:p>
    <w:p>
      <w:pPr>
        <w:spacing w:after="0" w:line="2" w:lineRule="exact"/>
        <w:rPr>
          <w:rFonts w:ascii="Arial" w:cs="Arial" w:eastAsia="Arial" w:hAnsi="Arial"/>
          <w:sz w:val="18"/>
          <w:szCs w:val="18"/>
          <w:color w:val="auto"/>
        </w:rPr>
      </w:pPr>
    </w:p>
    <w:p>
      <w:pPr>
        <w:ind w:left="1300" w:right="60" w:hanging="320"/>
        <w:spacing w:after="0" w:line="250"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physical-distancing measures, working from home, upgrades to our sites, COVID-19 testing and vaccination, enhanced cleaning measures, and the increased use of personal protective equipment at our sites;</w:t>
      </w:r>
    </w:p>
    <w:p>
      <w:pPr>
        <w:spacing w:after="0" w:line="1" w:lineRule="exact"/>
        <w:rPr>
          <w:rFonts w:ascii="Arial" w:cs="Arial" w:eastAsia="Arial" w:hAnsi="Arial"/>
          <w:sz w:val="18"/>
          <w:szCs w:val="18"/>
          <w:color w:val="auto"/>
        </w:rPr>
      </w:pPr>
    </w:p>
    <w:p>
      <w:pPr>
        <w:ind w:left="1300" w:right="40" w:hanging="320"/>
        <w:spacing w:after="0" w:line="250"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components, electricity and/or other energy sources, or other inputs necessary for the operation of our business;</w:t>
      </w:r>
    </w:p>
    <w:p>
      <w:pPr>
        <w:ind w:left="1300" w:right="40" w:hanging="320"/>
        <w:spacing w:after="0" w:line="250"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reductions in, or cessation of operations at any site or in any jurisdiction resulting from government restrictions on movement and/or business operations or our measures to prevent and/or mitigate the spread of COVID-19 at one or more of our sites, such as we have experienced at some of our facilities from time to time since the start of the COVID-19 pandemic;</w:t>
      </w:r>
    </w:p>
    <w:p>
      <w:pPr>
        <w:spacing w:after="0" w:line="1" w:lineRule="exact"/>
        <w:rPr>
          <w:rFonts w:ascii="Arial" w:cs="Arial" w:eastAsia="Arial" w:hAnsi="Arial"/>
          <w:sz w:val="18"/>
          <w:szCs w:val="18"/>
          <w:color w:val="auto"/>
        </w:rPr>
      </w:pPr>
    </w:p>
    <w:p>
      <w:pPr>
        <w:ind w:left="1300" w:right="240" w:hanging="320"/>
        <w:spacing w:after="0" w:line="250"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inability to continue, or increased costs of, construction projects due to delays in obtaining materials, equipment, labor, engineering services, government permits, or any other essential aspect of projects, which could impact our ability to introduce new technologies, reduce costs, or meet customer demand; and</w:t>
      </w:r>
    </w:p>
    <w:p>
      <w:pPr>
        <w:spacing w:after="0" w:line="1" w:lineRule="exact"/>
        <w:rPr>
          <w:rFonts w:ascii="Arial" w:cs="Arial" w:eastAsia="Arial" w:hAnsi="Arial"/>
          <w:sz w:val="18"/>
          <w:szCs w:val="18"/>
          <w:color w:val="auto"/>
        </w:rPr>
      </w:pPr>
    </w:p>
    <w:p>
      <w:pPr>
        <w:jc w:val="both"/>
        <w:ind w:left="1300" w:right="140" w:hanging="320"/>
        <w:spacing w:after="0" w:line="258" w:lineRule="auto"/>
        <w:tabs>
          <w:tab w:leader="none" w:pos="12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disruptions to our supply chain in connection with the sourcing and transportation of materials, components, equipment and engineering support, and services from or in geographic areas that have been impacted by COVID-19, by efforts to contain the spread of COVID-19, or by follow-on effects on the worldwide supply chain;</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20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or result in a higher rate of losses on our accounts receivable due to credit defaults.</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While several COVID-19 vaccines have been approved and are available for use in the United States and certain other countries, we are unable to predict how widely utilized the vaccines ultimately will be, whether they will be effective in preventing the symptoms and spread of COVID-19 (including its variant strains), and when or if normal economic activity and business operations will resume.</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or financial condition. The continuation of the pandemic or expanded or recurring outbreaks could exacerbate the adverse impact of such measures.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Pr>
          <w:p>
            <w:pPr>
              <w:spacing w:after="0"/>
              <w:rPr>
                <w:sz w:val="20"/>
                <w:szCs w:val="20"/>
                <w:color w:val="auto"/>
              </w:rPr>
            </w:pPr>
          </w:p>
        </w:tc>
        <w:tc>
          <w:tcPr>
            <w:tcW w:w="1420" w:type="dxa"/>
            <w:vAlign w:val="bottom"/>
            <w:tcBorders>
              <w:bottom w:val="single" w:sz="8" w:color="0090DA"/>
            </w:tcBorders>
          </w:tcPr>
          <w:p>
            <w:pPr>
              <w:ind w:left="760"/>
              <w:spacing w:after="0"/>
              <w:rPr>
                <w:sz w:val="20"/>
                <w:szCs w:val="20"/>
                <w:color w:val="auto"/>
              </w:rPr>
            </w:pPr>
            <w:r>
              <w:rPr>
                <w:rFonts w:ascii="Arial" w:cs="Arial" w:eastAsia="Arial" w:hAnsi="Arial"/>
                <w:sz w:val="18"/>
                <w:szCs w:val="18"/>
                <w:b w:val="1"/>
                <w:bCs w:val="1"/>
                <w:color w:val="auto"/>
              </w:rPr>
              <w:t>DRAM</w:t>
            </w:r>
          </w:p>
        </w:tc>
        <w:tc>
          <w:tcPr>
            <w:tcW w:w="1020" w:type="dxa"/>
            <w:vAlign w:val="bottom"/>
            <w:tcBorders>
              <w:bottom w:val="single" w:sz="8" w:color="0090DA"/>
            </w:tcBorders>
          </w:tcPr>
          <w:p>
            <w:pPr>
              <w:spacing w:after="0"/>
              <w:rPr>
                <w:sz w:val="20"/>
                <w:szCs w:val="20"/>
                <w:color w:val="auto"/>
              </w:rPr>
            </w:pPr>
          </w:p>
        </w:tc>
        <w:tc>
          <w:tcPr>
            <w:tcW w:w="1700" w:type="dxa"/>
            <w:vAlign w:val="bottom"/>
            <w:tcBorders>
              <w:bottom w:val="single" w:sz="8" w:color="0090DA"/>
            </w:tcBorders>
          </w:tcPr>
          <w:p>
            <w:pPr>
              <w:jc w:val="right"/>
              <w:ind w:right="690"/>
              <w:spacing w:after="0"/>
              <w:rPr>
                <w:sz w:val="20"/>
                <w:szCs w:val="20"/>
                <w:color w:val="auto"/>
              </w:rPr>
            </w:pPr>
            <w:r>
              <w:rPr>
                <w:rFonts w:ascii="Arial" w:cs="Arial" w:eastAsia="Arial" w:hAnsi="Arial"/>
                <w:sz w:val="18"/>
                <w:szCs w:val="18"/>
                <w:b w:val="1"/>
                <w:bCs w:val="1"/>
                <w:color w:val="auto"/>
              </w:rPr>
              <w:t>NAND</w:t>
            </w:r>
          </w:p>
        </w:tc>
      </w:tr>
      <w:tr>
        <w:trPr>
          <w:trHeight w:val="223"/>
        </w:trPr>
        <w:tc>
          <w:tcPr>
            <w:tcW w:w="7100" w:type="dxa"/>
            <w:vAlign w:val="bottom"/>
            <w:tcBorders>
              <w:bottom w:val="single" w:sz="8" w:color="0090DA"/>
            </w:tcBorders>
          </w:tcPr>
          <w:p>
            <w:pPr>
              <w:spacing w:after="0"/>
              <w:rPr>
                <w:sz w:val="19"/>
                <w:szCs w:val="19"/>
                <w:color w:val="auto"/>
              </w:rPr>
            </w:pPr>
          </w:p>
        </w:tc>
        <w:tc>
          <w:tcPr>
            <w:tcW w:w="4140" w:type="dxa"/>
            <w:vAlign w:val="bottom"/>
            <w:tcBorders>
              <w:bottom w:val="single" w:sz="8" w:color="0090DA"/>
            </w:tcBorders>
            <w:gridSpan w:val="3"/>
          </w:tcPr>
          <w:p>
            <w:pPr>
              <w:jc w:val="right"/>
              <w:ind w:right="170"/>
              <w:spacing w:after="0"/>
              <w:rPr>
                <w:sz w:val="20"/>
                <w:szCs w:val="20"/>
                <w:color w:val="auto"/>
              </w:rPr>
            </w:pPr>
            <w:r>
              <w:rPr>
                <w:rFonts w:ascii="Arial" w:cs="Arial" w:eastAsia="Arial" w:hAnsi="Arial"/>
                <w:sz w:val="18"/>
                <w:szCs w:val="18"/>
                <w:color w:val="auto"/>
              </w:rPr>
              <w:t>(percentage change in average selling prices)</w:t>
            </w:r>
          </w:p>
        </w:tc>
      </w:tr>
      <w:tr>
        <w:trPr>
          <w:trHeight w:val="34"/>
        </w:trPr>
        <w:tc>
          <w:tcPr>
            <w:tcW w:w="7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2021 from 2020</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8 %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2020 from 2019</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2019 from 2018</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(30)%</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2018 from 2017</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36 %</w:t>
            </w:r>
          </w:p>
        </w:tc>
        <w:tc>
          <w:tcPr>
            <w:tcW w:w="1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2017 from 2016</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18 %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or additional 3D memory layers or NAND cell levels, process complexity including number of mask layers and fabrication steps, manufacturing yield, technological barriers, changes in process technologies, new products that may require relatively larger die sizes, start-up or other costs associated with capacity expansion, and higher costs of goods and services due to inflationary pressures or market conditions.</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declining selling prices, supply chain disruptions, and delays from equipment suppliers. A significant portion of our manufacturing costs are fixed and do not vary proportionally with changes in production output. As a result, lower utilization and corresponding increases in our per gigabit manufacturing costs may adversely affect our gross margins,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Consequently, we may incur charges in connection with obsolete or excess inventories.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1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if we are unable to supply sufficient quantities of products that meet customer design and performance specifications, we may be required to sell such products at lower average selling prices, which may reduce our gross margins. Our gross margins may also be impacted by shifts in product mix, including due to market dynamics.</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inability to maintain or improve gross margins could have a material adverse effect on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Kioxia Holdings Corporation; Samsung Electronics Co., Ltd.; SK hynix Inc.; and Western Digital Corporation. Our competitors may use aggressive pricing to obtain market share or take business of our key customers.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w:t>
      </w:r>
    </w:p>
    <w:p>
      <w:pPr>
        <w:spacing w:after="0" w:line="2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such as Yangtze Memory Technologies Co., Ltd. (“YMTC”) and ChangXin Memory Technologies, Inc. (“CXMT”), that is intended to advance China’s stated national policy objectives. In addition, the Chinese government may restrict us from participating in the China market or may prevent us from competing effectively with Chinese companies.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our competitors generally seek to increase wafer capacity, improve yields, and reduce die size in our and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future success depends on our ability to develop and produce new and competitive memory and storage technologies.</w:t>
      </w:r>
    </w:p>
    <w:p>
      <w:pPr>
        <w:spacing w:after="0" w:line="25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and process technologies, such as EUV lithography, to continue to deliver advanced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0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develop and produce advanced memory and storage technologies and there can be no assurance that our efforts to develop and market new product technologies will be successful. Unsuccessful efforts to develop new memory and storage technologies could have a material adverse effect on our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such as occurred with our former customer, Huawei Technologies, Co. Ltd. (“Huawei”), or any significant reduction in orders from, or a shift in product mix by, customers could have a material adverse effect on our business, results of operations, or financial condition.</w:t>
      </w:r>
    </w:p>
    <w:p>
      <w:pPr>
        <w:spacing w:after="0" w:line="208"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0090DA"/>
        </w:rPr>
        <w:t>We face geopolitical and other risks associated with our international sales and operations that could materially adversely affect our business, results of operations, or financial condition.</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2021, 56% of our revenue was from sales to customers who have headquarters located outside the United States. We ship our products to the locations specified by our customers. Customers with global supply chains and operations may request we deliver products to countries where they own or operate production facilities or to countries where they utilize third-party subcontractors or warehouses. As a result, 89% of our revenue in 2021 was from products shipped to customer locations outside the United States.</w:t>
      </w:r>
    </w:p>
    <w:p>
      <w:pPr>
        <w:spacing w:after="0" w:line="20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substantial portion of our operations are conducted in Taiwan, Singapore, Japan, Malaysia, China, and India, and many of our customers, suppliers, and vendors also operate internationally. Our operations, and the global supply chain of the technology industry, are subject to a number of risks, including the effects of actions and policies of various governments across our global operations and supply chain. For example, political, economic, or other actions may adversely affect our operations in Taiwan. A majority of our DRAM production output in 2021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52" w:lineRule="exact"/>
        <w:rPr>
          <w:sz w:val="20"/>
          <w:szCs w:val="20"/>
          <w:color w:val="auto"/>
        </w:rPr>
      </w:pPr>
    </w:p>
    <w:p>
      <w:pPr>
        <w:ind w:left="660" w:right="10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health issues (for example, an outbreak of a contagious disease such as COVID-19, Severe Acute Respiratory Syndrome (“SARS-CoV”), avian and swine influenza, measles, or Ebola);</w:t>
      </w:r>
    </w:p>
    <w:p>
      <w:pPr>
        <w:ind w:left="660" w:right="2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 and Russia’s invasion of Ukraine;</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3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180"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dependency on third-party service providers.</w:t>
      </w:r>
    </w:p>
    <w:p>
      <w:pPr>
        <w:spacing w:after="0" w:line="16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Various factors could impact the availability of materials or components such as chemicals, silicon wafers, gases, photoresist, controllers, substrates, lead frames, printed circuit boards, targets, and reticle glass blanks.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 carriers, and other service providers. Although we have certain long-term contracts with some of our suppliers, many of these contracts do not provide for long-term capacity commitments. To the extent we do not have firm commitments from our third-party suppliers over a specific time period or for any specific capacity and/or quantity, our suppliers may allocate capacity to their other customers and capacity and/or materials may not be available when we need it or at reasonable prices. Inflationary pressures and shortages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such as COVID-19, may limit our ability to obtain such materials. Although these rare earth and other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06"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We and/or our suppliers and service providers could be affected by regional conflicts, sanctions,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For example, Russia’s invasion of Ukraine as well as sanctions against Russia could result in higher costs or reduced availability of supplies, materials, components, or services.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For example, recently some PC customers adjusted their memory and storage purchases due to shortages of non-memory components that are needed to complete PC builds. In addition, recently several automotive manufacturers have experienced shortages of non-memory semiconductor-based components from other suppliers, forcing a curtailment of their production lines and a reduction in memory and storage purchases from us. Reduction, cancellation, or alteration of the timing of customer purchases could have a material adverse effect on our business, results of operations, or financial condition.</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w:t>
      </w:r>
    </w:p>
    <w:p>
      <w:pPr>
        <w:spacing w:after="0" w:line="200" w:lineRule="exact"/>
        <w:rPr>
          <w:sz w:val="20"/>
          <w:szCs w:val="20"/>
          <w:color w:val="auto"/>
        </w:rPr>
      </w:pPr>
    </w:p>
    <w:p>
      <w:pPr>
        <w:spacing w:after="0" w:line="20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 addition, our ability to successfully introduce new products often requires us to make product specification decisions multiple years in advance of when new products enter the market.</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Such factors have included, and may include in the future, the effects of the public health crisis caused by the COVID-19 pandemic and the measures being taken to limit COVID-19’s spread. In addition, some of our components have long lead-times, requiring us to place orders up to a year in advance of anticipated demand. Such long lead-times increase the risk of excess inventory or loss of sales in the event our forecasts vary substantially from actual demand. There can be no assurance that:</w:t>
      </w:r>
    </w:p>
    <w:p>
      <w:pPr>
        <w:spacing w:after="0" w:line="21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product development efforts will be successful;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successfully market these products;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23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180"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qualify, and manufacture our system solutions.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If we fail to identify or develop products on a timely basis, or at all, that comply with our customers’ specifications or achieve design wins with our customers, we may experience a significant adverse impact on our revenue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Manufacturing system-level solutions, such as SSDs and managed NAND, typically results in higher per-unit manufacturing costs as compared to other products. 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0090DA"/>
        </w:rPr>
        <w:t>Products that fail to meet specifications, are defective, or are otherwise incompatible with end uses could impose significant costs on us.</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9" w:lineRule="exact"/>
        <w:rPr>
          <w:sz w:val="20"/>
          <w:szCs w:val="20"/>
          <w:color w:val="auto"/>
        </w:rPr>
      </w:pPr>
    </w:p>
    <w:p>
      <w:pPr>
        <w:ind w:left="660" w:right="100" w:hanging="328"/>
        <w:spacing w:after="0" w:line="26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52"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including droughts, earthquakes, tsunamis, or other occurrences, such as the drought that occurred in Taiwan in 2021, that could disrupt operations, resulting in increased costs, or disruptions to our or our suppliers’ or customers’ manufacturing operations. In addition, our suppliers and customers also have operations in such locations. Other events, including political or public health crises, such as an outbreak of contagious diseases like COVID-19, SARS-CoV, avian and swine influenza, measles, or Ebola, may also affect our production capabilities or that of our suppliers, including as a result of quarantines, closures of production facilities, lack of supplies, or delays caused by restrictions on travel or shipping. For example, since the start of the COVID-19 pandemic, some of our facilities and some of our subcontractors’ facilities at times have been required to operate at reduced staffing and capacity levels due to COVID-19 quarantines and other public health protocols, which temporarily reduced output levels from those facilities. In addition, climate change may pose physical risks to our manufacturing facilities or our suppliers’ facilities, including increased extreme weather events that could result in supply delays or disruptions. The events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00" w:lineRule="exact"/>
        <w:rPr>
          <w:sz w:val="20"/>
          <w:szCs w:val="20"/>
          <w:color w:val="auto"/>
        </w:rPr>
      </w:pPr>
    </w:p>
    <w:p>
      <w:pPr>
        <w:spacing w:after="0" w:line="22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3"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0090DA"/>
        </w:rPr>
        <w:t>Breaches of our security systems or products, or those of our customers, suppliers, or business partners, could expose us to losses.</w:t>
      </w:r>
    </w:p>
    <w:p>
      <w:pPr>
        <w:spacing w:after="0" w:line="16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Through cyberattacks of varying degrees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such as Russia’s invasion of Ukraine, may create a heightened risk of cyberattacks. Breaches of our physical security,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19"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Our products are also targets for cyberattacks,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cybersecurity risks could have a material adverse effect on our business, results of operations,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or plan for succession for key employees. Competition for experienced employees in our industry continues to be intense. Hiring and retaining qualified executives, engineers, technical staff, sales representatives, and other employees is critical to our business. If other employers are perceived as offering a greater degree of workplace flexibility, greater compensation, or other employment benefits to employees than us, we may experience difficulty in attracting, retaining, and motivating the employees needed for our business operations. If our total compensation programs and workplace culture cease to be viewed as competitive and inclusive, our ability to attract, retain, and motivate employees could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Like many others in our industry, we are experiencing an increase in undesired attrition and increasing compensation costs due to a variety of factors that are influencing a very tight labor market and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numerous countries in which we operate, including the United States, as well as restrictions on global travel as a result of local or global public health crises requiring quarantines, lockdowns, or other precautions to limit exposure to infectious diseases, may limit our ability to hire and/or retain talent in, or transfer talent to, specific locations.</w:t>
      </w:r>
    </w:p>
    <w:p>
      <w:pPr>
        <w:spacing w:after="0" w:line="21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inability to attract, retain, and motivate executives and other employees or effectively manage or plan for succession of key roles may inhibit our ability to maintain or expand our business operations.</w:t>
      </w:r>
    </w:p>
    <w:p>
      <w:pPr>
        <w:spacing w:after="0" w:line="180"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16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may be unable to obtain significant future incentives to continue to fund a portion of our capital expenditures and operating costs, without which our cost structure would be adversely impacted. We also cannot guarantee that we will successfully achieve performance obligations required to qualify for these incentives or that the granting agencies will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8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700" w:hanging="328"/>
        <w:spacing w:after="0" w:line="26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09" w:lineRule="exact"/>
        <w:rPr>
          <w:sz w:val="20"/>
          <w:szCs w:val="20"/>
          <w:color w:val="auto"/>
        </w:rPr>
      </w:pPr>
    </w:p>
    <w:p>
      <w:pPr>
        <w:ind w:right="660"/>
        <w:spacing w:after="0" w:line="296" w:lineRule="auto"/>
        <w:rPr>
          <w:sz w:val="20"/>
          <w:szCs w:val="20"/>
          <w:color w:val="auto"/>
        </w:rPr>
      </w:pPr>
      <w:r>
        <w:rPr>
          <w:rFonts w:ascii="Arial" w:cs="Arial" w:eastAsia="Arial" w:hAnsi="Arial"/>
          <w:sz w:val="18"/>
          <w:szCs w:val="18"/>
          <w:b w:val="1"/>
          <w:bCs w:val="1"/>
          <w:color w:val="0090DA"/>
        </w:rPr>
        <w:t>We may incur restructure charges in future periods and may not realize expected savings or other benefits from restructure activities.</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For example, we recognized significant restructure charges in connection with the sale of our Lehi facility. See “Part I. Financial Information – Item 1. Financial Statements – Notes to Consolidated Financial Statements – Lehi, Utah Fab and 3D XPoint.”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12"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b w:val="1"/>
          <w:bCs w:val="1"/>
          <w:color w:val="0090DA"/>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environmental, social, and governance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 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 effective manner or comply with customers’ responsible sourcing requirements or with any related regulations could have a material adverse effect on our business, results of operations, or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Downturns in the worldwide economy, due to inflation, geopolitics, public health crises, or other factors, have harmed our business in the past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we may experience a decrease in short-term and/or long-term demand and/or pricing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57" w:lineRule="exact"/>
        <w:rPr>
          <w:sz w:val="20"/>
          <w:szCs w:val="20"/>
          <w:color w:val="auto"/>
        </w:rPr>
      </w:pPr>
    </w:p>
    <w:p>
      <w:pPr>
        <w:ind w:right="840"/>
        <w:spacing w:after="0" w:line="296"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1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0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See “Part I. Financial Information – Item 1. Financial Statements – Notes to Consolidated Financial Statements – Contingencies.” 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206" w:lineRule="exact"/>
        <w:rPr>
          <w:sz w:val="20"/>
          <w:szCs w:val="20"/>
          <w:color w:val="auto"/>
        </w:rPr>
      </w:pPr>
    </w:p>
    <w:p>
      <w:pPr>
        <w:ind w:left="660" w:right="520" w:hanging="328"/>
        <w:spacing w:after="0" w:line="26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0" w:lineRule="exact"/>
        <w:rPr>
          <w:sz w:val="20"/>
          <w:szCs w:val="20"/>
          <w:color w:val="auto"/>
        </w:rPr>
      </w:pPr>
    </w:p>
    <w:p>
      <w:pPr>
        <w:spacing w:after="0" w:line="20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 On March 7, 2022, the Court of Appeals affirmed the District Court’s ruling dismissing the plaintiffs’ claims. On May 3, 2021, several plaintiffs filed a substantially identical complaint in the U.S. District Court for the Northern District of California purportedly on behalf of a nationwide class of indirect purchasers of DRAM products. On July 19, 2021, the District Court dismissed the May 3, 2021 complaint pursuant to an agreement between the plaintiffs and Micron providing that the plaintiffs could refile the complaint if the District Court’s December 21, 2020 dismissal order had not been affirmed on appeal.</w:t>
      </w:r>
    </w:p>
    <w:p>
      <w:pPr>
        <w:spacing w:after="0" w:line="2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 On September 3, 2021, the District Court granted Micron’s motion to dismiss the further amended complaint with prejudice. On October 1, 2021, the plaintiffs filed a notice of appeal to the U.S. Court of Appeals for the Ninth Circuit.</w:t>
      </w:r>
    </w:p>
    <w:p>
      <w:pPr>
        <w:spacing w:after="0" w:line="20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19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98"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27"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5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2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unable to predict the outcome of these assertions of infringement made against us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209" w:lineRule="exact"/>
        <w:rPr>
          <w:sz w:val="20"/>
          <w:szCs w:val="20"/>
          <w:color w:val="auto"/>
        </w:rPr>
      </w:pPr>
    </w:p>
    <w:p>
      <w:pPr>
        <w:ind w:right="300"/>
        <w:spacing w:after="0" w:line="296" w:lineRule="auto"/>
        <w:rPr>
          <w:sz w:val="20"/>
          <w:szCs w:val="20"/>
          <w:color w:val="auto"/>
        </w:rPr>
      </w:pPr>
      <w:r>
        <w:rPr>
          <w:rFonts w:ascii="Arial" w:cs="Arial" w:eastAsia="Arial" w:hAnsi="Arial"/>
          <w:sz w:val="18"/>
          <w:szCs w:val="18"/>
          <w:b w:val="1"/>
          <w:bCs w:val="1"/>
          <w:color w:val="0090DA"/>
        </w:rPr>
        <w:t>The acquisition of our ownership interest in Inotera from Qimonda AG (“Qimonda”) has been challenged by the administrator of the insolvency proceedings for Qimonda.</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2011, Dr. Michael Jaffé, administrator for Qimonda’s insolvency proceedings, filed suit against Micron and Micron Semiconductor B.V. (“Micron B.V.”), in the District Court of Munich, Civil Chamber. The complaint seeks to void a share purchase agreement between Micron B.V. and Qimonda signed in 2008, pursuant to which Micron B.V. purchased substantially all of Qimonda’s shares of Inotera,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a patent cross-license between us and Qimonda entered into at the same time as the share purchase agreement. See “Part I. Financial Information – Item 1. Financial Statements – Notes to Consolidated Financial Statements – Contingencies” for further information regarding the matter.</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unable to predict the outcome of the matter and cannot make a reasonable estimate of the potential loss or range of possible losses.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57"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164"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In 2021, 89%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Malaysia, and China.</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United States and other countries have levied tariffs and taxes on certain goods. General trade tensions between the United States and China have been escalating, with U.S. tariffs on Chinese goods and retaliatory Chinese tariffs on U.S. goods. Some of our products are included in these tariffs. Higher duties on existing tariffs and further rounds of tariffs have been announced or threatened by U.S. and Chinese leaders. Additionally, the United States has threatened to impose tariffs on goods imported from other countries, which could also impact certain of our customers’ or our operations. If the United States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United States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09"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0090DA"/>
        </w:rPr>
        <w:t>Trade regulations have restricted our ability to sell our products to several customers, could restrict our ability to sell our products to other customers or in certain markets, or could otherwise restrict our ability to conduct operations.</w:t>
      </w:r>
    </w:p>
    <w:p>
      <w:pPr>
        <w:spacing w:after="0" w:line="16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International trade disputes have led, and may continue to lead, to new and increasing trade barriers and other protectionist measures that can increase our manufacturing costs, make our products less competitive, reduce demand for our products, limit our ability to sell to certain customers or markets, limit our ability to procure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19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Escalating tensions between the United States and China have led to increased trade restrictions and have affected customer ordering patterns. For example, the U.S. Bureau of Industry and Security (“BIS”) enacted broad trade restrictions with respect to Huawei that prevent us and many other companies from shipping products to Huawei. We cannot predict whether the BIS or other U.S. or foreign government entities will enact similar restrictions with respect to other customers, markets, or products. We may not be able to replace the lost revenue opportunities associated with such restrictions.</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United States has also imposed other restrictions on the export of U.S. regulated products and technology to certain Chinese technology companies, including certain of our customers. These restrictions reduced our sales to those customers, and continuing or future restrictions could adversely affect our financial results, result in reputational harm to us due to our relationship with such companies, or lead such companies to develop or adopt technologies that compete with our products. It is difficult to predict what further trade-related actions governments may take, and we may be unable to quickly and effectively react to such actions. For example, U.S. legislation has expanded the power of the U.S. Department of Commerce to restrict the export of “emerging and foundational technologies” yet to be identified, which could impact our current or future products.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trade tensions could lead to long-term changes in global trade and technology supply chains, which could adversely affect our business and growth prospects. Trade restrictions that may be imposed by the United States, China, or other countries may impact our business in ways we cannot reasonably quantify, including that some of our customers’ products which incorporate our solutions may also be impacted. In addition, further increases in trade restrictions or barriers may negatively impact our revenue, and any licenses we have received or could receive in the future could be rendered ineffective. Any such changes may have an adverse effect on our business, results of operations, or financial condition.</w:t>
      </w:r>
    </w:p>
    <w:p>
      <w:pPr>
        <w:spacing w:after="0" w:line="21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mandatory capitalization of R&amp;D expenses beginning in 2023,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For example, our effective tax rate increased from 1.2% for 2018 to 9.8% for 2019 primarily as a result of tax reform by the United States. Additionally, various levels of government are increasingly focused on tax reform and other legislative actions to increase tax revenue. The United States government is considering various tax reform proposals that, if enacted, contain provisions that could increase our tax expense. Further changes in the tax laws of foreign jurisdictions could arise as a result of the base erosion and profit shifting project undertaken by the Organisation for Economic Co-operation and Development, which represents a coalition of member countries and recommended changes to numerous long-standing tax principles. If implemented by taxing authorities,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196"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including with respect to environmental, social, and governance considerations, that may have a material adverse effect on our business, results of operations, or financial condition.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w:t>
      </w:r>
    </w:p>
    <w:p>
      <w:pPr>
        <w:spacing w:after="0" w:line="40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New environmental, social, and governance considerations, including those related to climate change and the potential resulting environmental impact,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items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5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pay our dividend, and make adequate capital investments.</w:t>
      </w:r>
    </w:p>
    <w:p>
      <w:pPr>
        <w:spacing w:after="0" w:line="16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2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estimate capital expenditures in 2022 for property, plant, and equipment, net of partner contributions, will be between approximately $11 billion and $12 billion. Investments in capital expenditures may not generate expected returns or cash flows. In addition, we invest our capital in areas that we believe best align with our business strategy and will yield future profitability.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 which could have a material adverse effect on our business, results of operations, or financial condition.</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or at all.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restructure of our capital structure. As of March 3, 2022 we had debt with a carrying value of $7.08 billion and $2.50 billion of our Revolving Credit Facility was available to us. Our debt obligations could adversely impact us as follows:</w:t>
      </w:r>
    </w:p>
    <w:p>
      <w:pPr>
        <w:spacing w:after="0" w:line="198" w:lineRule="exact"/>
        <w:rPr>
          <w:sz w:val="20"/>
          <w:szCs w:val="20"/>
          <w:color w:val="auto"/>
        </w:rPr>
      </w:pPr>
    </w:p>
    <w:p>
      <w:pPr>
        <w:ind w:left="660" w:right="320" w:hanging="328"/>
        <w:spacing w:after="0" w:line="25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payment of dividends, and other business activities;</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2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8"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Malaysian ringgit,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0" w:lineRule="exact"/>
        <w:rPr>
          <w:sz w:val="20"/>
          <w:szCs w:val="20"/>
          <w:color w:val="auto"/>
        </w:rPr>
      </w:pPr>
    </w:p>
    <w:p>
      <w:pPr>
        <w:spacing w:after="0" w:line="20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1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operating results have fluctuated in the past and will continue to do so, sometimes materially. Many of the matters discussed in this Risk Factors section could impact our operating results in any fiscal quarter or year. If our operating results fall below our forecasts and the expectations of public market analysts and investors, the trading price of our common stock may decline.</w:t>
      </w:r>
    </w:p>
    <w:p>
      <w:pPr>
        <w:spacing w:after="0" w:line="19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3" w:lineRule="exact"/>
        <w:rPr>
          <w:sz w:val="20"/>
          <w:szCs w:val="20"/>
          <w:color w:val="auto"/>
        </w:rPr>
      </w:pPr>
    </w:p>
    <w:p>
      <w:pPr>
        <w:jc w:val="both"/>
        <w:ind w:right="320"/>
        <w:spacing w:after="0" w:line="273"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For example, we repurchased 8.4 million shares for $667 million in the first six months of 2022, 15.6 million shares for $1.2 billion in 2021, 3.6 million shares for $176 million in 2020, and 66.4 million shares for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There can be no assurance that we will continue to declare cash dividends in any particular amounts or at all.</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5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7"/>
                <w:szCs w:val="17"/>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8"/>
              </w:rPr>
              <w:t>Average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purchased as part of</w:t>
            </w:r>
          </w:p>
        </w:tc>
        <w:tc>
          <w:tcPr>
            <w:tcW w:w="3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 under</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price paid</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publicly announced</w:t>
            </w:r>
          </w:p>
        </w:tc>
        <w:tc>
          <w:tcPr>
            <w:tcW w:w="3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 plans or</w:t>
            </w:r>
          </w:p>
        </w:tc>
        <w:tc>
          <w:tcPr>
            <w:tcW w:w="0" w:type="dxa"/>
            <w:vAlign w:val="bottom"/>
          </w:tcPr>
          <w:p>
            <w:pPr>
              <w:spacing w:after="0"/>
              <w:rPr>
                <w:sz w:val="1"/>
                <w:szCs w:val="1"/>
                <w:color w:val="auto"/>
              </w:rPr>
            </w:pPr>
          </w:p>
        </w:tc>
      </w:tr>
      <w:tr>
        <w:trPr>
          <w:trHeight w:val="229"/>
        </w:trPr>
        <w:tc>
          <w:tcPr>
            <w:tcW w:w="158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660" w:type="dxa"/>
            <w:vAlign w:val="bottom"/>
            <w:tcBorders>
              <w:bottom w:val="single" w:sz="8" w:color="0090DA"/>
            </w:tcBorders>
          </w:tcPr>
          <w:p>
            <w:pPr>
              <w:spacing w:after="0"/>
              <w:rPr>
                <w:sz w:val="19"/>
                <w:szCs w:val="19"/>
                <w:color w:val="auto"/>
              </w:rPr>
            </w:pP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8"/>
              </w:rPr>
              <w:t>purchased</w:t>
            </w:r>
          </w:p>
        </w:tc>
        <w:tc>
          <w:tcPr>
            <w:tcW w:w="1000" w:type="dxa"/>
            <w:vAlign w:val="bottom"/>
            <w:tcBorders>
              <w:bottom w:val="single" w:sz="8" w:color="0090DA"/>
            </w:tcBorders>
            <w:gridSpan w:val="2"/>
          </w:tcPr>
          <w:p>
            <w:pPr>
              <w:jc w:val="right"/>
              <w:ind w:right="10"/>
              <w:spacing w:after="0"/>
              <w:rPr>
                <w:sz w:val="20"/>
                <w:szCs w:val="20"/>
                <w:color w:val="auto"/>
              </w:rPr>
            </w:pPr>
            <w:r>
              <w:rPr>
                <w:rFonts w:ascii="Arial" w:cs="Arial" w:eastAsia="Arial" w:hAnsi="Arial"/>
                <w:sz w:val="18"/>
                <w:szCs w:val="18"/>
                <w:b w:val="1"/>
                <w:bCs w:val="1"/>
                <w:color w:val="auto"/>
              </w:rPr>
              <w:t>per share</w:t>
            </w:r>
          </w:p>
        </w:tc>
        <w:tc>
          <w:tcPr>
            <w:tcW w:w="22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2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 xml:space="preserve">programs </w:t>
            </w:r>
            <w:r>
              <w:rPr>
                <w:rFonts w:ascii="Arial" w:cs="Arial" w:eastAsia="Arial" w:hAnsi="Arial"/>
                <w:sz w:val="18"/>
                <w:szCs w:val="18"/>
                <w:color w:val="auto"/>
                <w:w w:val="99"/>
              </w:rPr>
              <w:t>(in millions)</w:t>
            </w: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December 3, 2021</w:t>
            </w:r>
          </w:p>
        </w:tc>
        <w:tc>
          <w:tcPr>
            <w:tcW w:w="1880" w:type="dxa"/>
            <w:vAlign w:val="bottom"/>
            <w:gridSpan w:val="2"/>
            <w:shd w:val="clear" w:color="auto" w:fill="D1D2D4"/>
          </w:tcPr>
          <w:p>
            <w:pPr>
              <w:ind w:left="60"/>
              <w:spacing w:after="0"/>
              <w:rPr>
                <w:sz w:val="20"/>
                <w:szCs w:val="20"/>
                <w:color w:val="auto"/>
              </w:rPr>
            </w:pPr>
            <w:r>
              <w:rPr>
                <w:rFonts w:ascii="Arial" w:cs="Arial" w:eastAsia="Arial" w:hAnsi="Arial"/>
                <w:sz w:val="18"/>
                <w:szCs w:val="18"/>
                <w:color w:val="auto"/>
              </w:rPr>
              <w:t>– January 6, 2022</w:t>
            </w: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821,264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87.67</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821,264</w:t>
            </w:r>
          </w:p>
        </w:tc>
        <w:tc>
          <w:tcPr>
            <w:tcW w:w="32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January 7, 2022</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February 3, 2022</w:t>
            </w:r>
          </w:p>
        </w:tc>
        <w:tc>
          <w:tcPr>
            <w:tcW w:w="1340" w:type="dxa"/>
            <w:vAlign w:val="bottom"/>
          </w:tcPr>
          <w:p>
            <w:pPr>
              <w:jc w:val="right"/>
              <w:spacing w:after="0"/>
              <w:rPr>
                <w:sz w:val="20"/>
                <w:szCs w:val="20"/>
                <w:color w:val="auto"/>
              </w:rPr>
            </w:pPr>
            <w:r>
              <w:rPr>
                <w:rFonts w:ascii="Arial" w:cs="Arial" w:eastAsia="Arial" w:hAnsi="Arial"/>
                <w:sz w:val="18"/>
                <w:szCs w:val="18"/>
                <w:color w:val="auto"/>
              </w:rPr>
              <w:t>1,810,240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83.42</w:t>
            </w:r>
          </w:p>
        </w:tc>
        <w:tc>
          <w:tcPr>
            <w:tcW w:w="2220" w:type="dxa"/>
            <w:vAlign w:val="bottom"/>
          </w:tcPr>
          <w:p>
            <w:pPr>
              <w:jc w:val="right"/>
              <w:spacing w:after="0"/>
              <w:rPr>
                <w:sz w:val="20"/>
                <w:szCs w:val="20"/>
                <w:color w:val="auto"/>
              </w:rPr>
            </w:pPr>
            <w:r>
              <w:rPr>
                <w:rFonts w:ascii="Arial" w:cs="Arial" w:eastAsia="Arial" w:hAnsi="Arial"/>
                <w:sz w:val="18"/>
                <w:szCs w:val="18"/>
                <w:color w:val="auto"/>
              </w:rPr>
              <w:t>1,810,240</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February 4, 2022</w:t>
            </w:r>
          </w:p>
        </w:tc>
        <w:tc>
          <w:tcPr>
            <w:tcW w:w="220" w:type="dxa"/>
            <w:vAlign w:val="bottom"/>
            <w:shd w:val="clear" w:color="auto" w:fill="D1D2D4"/>
          </w:tcPr>
          <w:p>
            <w:pPr>
              <w:ind w:lef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D1D2D4"/>
          </w:tcPr>
          <w:p>
            <w:pPr>
              <w:ind w:left="40"/>
              <w:spacing w:after="0"/>
              <w:rPr>
                <w:sz w:val="20"/>
                <w:szCs w:val="20"/>
                <w:color w:val="auto"/>
              </w:rPr>
            </w:pPr>
            <w:r>
              <w:rPr>
                <w:rFonts w:ascii="Arial" w:cs="Arial" w:eastAsia="Arial" w:hAnsi="Arial"/>
                <w:sz w:val="18"/>
                <w:szCs w:val="18"/>
                <w:color w:val="auto"/>
              </w:rPr>
              <w:t>March 3, 2022</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2,178,014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84.84</w:t>
            </w:r>
          </w:p>
        </w:tc>
        <w:tc>
          <w:tcPr>
            <w:tcW w:w="2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2,178,014</w:t>
            </w:r>
          </w:p>
        </w:tc>
        <w:tc>
          <w:tcPr>
            <w:tcW w:w="32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4,809,518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84.79</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4,809,518</w:t>
            </w:r>
          </w:p>
        </w:tc>
        <w:tc>
          <w:tcPr>
            <w:tcW w:w="322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the amounts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4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1740" w:type="dxa"/>
            <w:vAlign w:val="bottom"/>
          </w:tcPr>
          <w:p>
            <w:pPr>
              <w:ind w:left="100"/>
              <w:spacing w:after="0"/>
              <w:rPr>
                <w:sz w:val="20"/>
                <w:szCs w:val="20"/>
                <w:color w:val="auto"/>
              </w:rPr>
            </w:pPr>
            <w:r>
              <w:rPr>
                <w:rFonts w:ascii="Arial" w:cs="Arial" w:eastAsia="Arial" w:hAnsi="Arial"/>
                <w:sz w:val="18"/>
                <w:szCs w:val="18"/>
                <w:b w:val="1"/>
                <w:bCs w:val="1"/>
                <w:color w:val="auto"/>
              </w:rPr>
              <w:t>Filed</w:t>
            </w:r>
          </w:p>
        </w:tc>
        <w:tc>
          <w:tcPr>
            <w:tcW w:w="94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0"/>
        </w:trPr>
        <w:tc>
          <w:tcPr>
            <w:tcW w:w="9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Number</w:t>
            </w:r>
          </w:p>
        </w:tc>
        <w:tc>
          <w:tcPr>
            <w:tcW w:w="5480" w:type="dxa"/>
            <w:vAlign w:val="bottom"/>
            <w:tcBorders>
              <w:bottom w:val="single" w:sz="8" w:color="0090DA"/>
            </w:tcBorders>
            <w:gridSpan w:val="6"/>
            <w:vMerge w:val="continue"/>
          </w:tcPr>
          <w:p>
            <w:pPr>
              <w:spacing w:after="0"/>
              <w:rPr>
                <w:sz w:val="19"/>
                <w:szCs w:val="19"/>
                <w:color w:val="auto"/>
              </w:rPr>
            </w:pPr>
          </w:p>
        </w:tc>
        <w:tc>
          <w:tcPr>
            <w:tcW w:w="1740" w:type="dxa"/>
            <w:vAlign w:val="bottom"/>
            <w:tcBorders>
              <w:bottom w:val="single" w:sz="8" w:color="0090DA"/>
            </w:tcBorders>
          </w:tcPr>
          <w:p>
            <w:pPr>
              <w:ind w:left="100"/>
              <w:spacing w:after="0"/>
              <w:rPr>
                <w:sz w:val="20"/>
                <w:szCs w:val="20"/>
                <w:color w:val="auto"/>
              </w:rPr>
            </w:pPr>
            <w:r>
              <w:rPr>
                <w:rFonts w:ascii="Arial" w:cs="Arial" w:eastAsia="Arial" w:hAnsi="Arial"/>
                <w:sz w:val="18"/>
                <w:szCs w:val="18"/>
                <w:b w:val="1"/>
                <w:bCs w:val="1"/>
                <w:color w:val="auto"/>
              </w:rPr>
              <w:t>Herewith   Form</w:t>
            </w:r>
          </w:p>
        </w:tc>
        <w:tc>
          <w:tcPr>
            <w:tcW w:w="940" w:type="dxa"/>
            <w:vAlign w:val="bottom"/>
            <w:tcBorders>
              <w:bottom w:val="single" w:sz="8" w:color="0090DA"/>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0090DA"/>
            </w:tcBorders>
          </w:tcPr>
          <w:p>
            <w:pPr>
              <w:ind w:left="140"/>
              <w:spacing w:after="0"/>
              <w:rPr>
                <w:sz w:val="20"/>
                <w:szCs w:val="20"/>
                <w:color w:val="auto"/>
              </w:rPr>
            </w:pPr>
            <w:r>
              <w:rPr>
                <w:rFonts w:ascii="Arial" w:cs="Arial" w:eastAsia="Arial" w:hAnsi="Arial"/>
                <w:sz w:val="18"/>
                <w:szCs w:val="18"/>
                <w:b w:val="1"/>
                <w:bCs w:val="1"/>
                <w:color w:val="auto"/>
              </w:rPr>
              <w:t>Appendix</w:t>
            </w:r>
          </w:p>
        </w:tc>
        <w:tc>
          <w:tcPr>
            <w:tcW w:w="1020" w:type="dxa"/>
            <w:vAlign w:val="bottom"/>
            <w:tcBorders>
              <w:bottom w:val="single" w:sz="8" w:color="0090DA"/>
            </w:tcBorders>
          </w:tcPr>
          <w:p>
            <w:pPr>
              <w:ind w:left="1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5480" w:type="dxa"/>
            <w:vAlign w:val="bottom"/>
            <w:gridSpan w:val="6"/>
            <w:shd w:val="clear" w:color="auto" w:fill="D1D2D4"/>
          </w:tcPr>
          <w:p>
            <w:pPr>
              <w:spacing w:after="0" w:line="189" w:lineRule="exact"/>
              <w:rPr>
                <w:rFonts w:ascii="Arial" w:cs="Arial" w:eastAsia="Arial" w:hAnsi="Arial"/>
                <w:sz w:val="18"/>
                <w:szCs w:val="18"/>
                <w:color w:val="auto"/>
              </w:rPr>
            </w:pPr>
            <w:hyperlink w:anchor="page60">
              <w:r>
                <w:rPr>
                  <w:rFonts w:ascii="Arial" w:cs="Arial" w:eastAsia="Arial" w:hAnsi="Arial"/>
                  <w:sz w:val="18"/>
                  <w:szCs w:val="18"/>
                  <w:color w:val="auto"/>
                </w:rPr>
                <w:t>Rule 13a-14(a) Certification of Chief Executive Officer</w:t>
              </w:r>
            </w:hyperlink>
          </w:p>
        </w:tc>
        <w:tc>
          <w:tcPr>
            <w:tcW w:w="1740" w:type="dxa"/>
            <w:vAlign w:val="bottom"/>
            <w:shd w:val="clear" w:color="auto" w:fill="D1D2D4"/>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auto"/>
            </w:tcBorders>
            <w:shd w:val="clear" w:color="auto" w:fill="D1D2D4"/>
          </w:tcPr>
          <w:p>
            <w:pPr>
              <w:spacing w:after="0" w:line="20" w:lineRule="exact"/>
              <w:rPr>
                <w:sz w:val="1"/>
                <w:szCs w:val="1"/>
                <w:color w:val="auto"/>
              </w:rPr>
            </w:pPr>
          </w:p>
        </w:tc>
        <w:tc>
          <w:tcPr>
            <w:tcW w:w="3880" w:type="dxa"/>
            <w:vAlign w:val="bottom"/>
            <w:tcBorders>
              <w:top w:val="single" w:sz="8" w:color="auto"/>
            </w:tcBorders>
            <w:shd w:val="clear" w:color="auto" w:fill="D1D2D4"/>
          </w:tcPr>
          <w:p>
            <w:pPr>
              <w:spacing w:after="0" w:line="20" w:lineRule="exact"/>
              <w:rPr>
                <w:sz w:val="1"/>
                <w:szCs w:val="1"/>
                <w:color w:val="auto"/>
              </w:rPr>
            </w:pPr>
          </w:p>
        </w:tc>
        <w:tc>
          <w:tcPr>
            <w:tcW w:w="540" w:type="dxa"/>
            <w:vAlign w:val="bottom"/>
            <w:tcBorders>
              <w:top w:val="single" w:sz="8" w:color="D1D2D4"/>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74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5480" w:type="dxa"/>
            <w:vAlign w:val="bottom"/>
            <w:gridSpan w:val="6"/>
          </w:tcPr>
          <w:p>
            <w:pPr>
              <w:spacing w:after="0" w:line="189" w:lineRule="exact"/>
              <w:rPr>
                <w:rFonts w:ascii="Arial" w:cs="Arial" w:eastAsia="Arial" w:hAnsi="Arial"/>
                <w:sz w:val="18"/>
                <w:szCs w:val="18"/>
                <w:color w:val="auto"/>
              </w:rPr>
            </w:pPr>
            <w:hyperlink w:anchor="page61">
              <w:r>
                <w:rPr>
                  <w:rFonts w:ascii="Arial" w:cs="Arial" w:eastAsia="Arial" w:hAnsi="Arial"/>
                  <w:sz w:val="18"/>
                  <w:szCs w:val="18"/>
                  <w:color w:val="auto"/>
                </w:rPr>
                <w:t>Rule 13a-14(a) Certification of Interim Chief Financial Officer</w:t>
              </w:r>
            </w:hyperlink>
          </w:p>
        </w:tc>
        <w:tc>
          <w:tcPr>
            <w:tcW w:w="1740" w:type="dxa"/>
            <w:vAlign w:val="bottom"/>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5480" w:type="dxa"/>
            <w:vAlign w:val="bottom"/>
            <w:gridSpan w:val="6"/>
            <w:shd w:val="clear" w:color="auto" w:fill="D1D2D4"/>
          </w:tcPr>
          <w:p>
            <w:pPr>
              <w:spacing w:after="0" w:line="189" w:lineRule="exact"/>
              <w:rPr>
                <w:rFonts w:ascii="Arial" w:cs="Arial" w:eastAsia="Arial" w:hAnsi="Arial"/>
                <w:sz w:val="18"/>
                <w:szCs w:val="18"/>
                <w:color w:val="auto"/>
              </w:rPr>
            </w:pPr>
            <w:hyperlink w:anchor="page62">
              <w:r>
                <w:rPr>
                  <w:rFonts w:ascii="Arial" w:cs="Arial" w:eastAsia="Arial" w:hAnsi="Arial"/>
                  <w:sz w:val="18"/>
                  <w:szCs w:val="18"/>
                  <w:color w:val="auto"/>
                </w:rPr>
                <w:t>Certification of Chief Executive Officer Pursuant to 18 U.S.C. 1350</w:t>
              </w:r>
            </w:hyperlink>
          </w:p>
        </w:tc>
        <w:tc>
          <w:tcPr>
            <w:tcW w:w="1740" w:type="dxa"/>
            <w:vAlign w:val="bottom"/>
            <w:shd w:val="clear" w:color="auto" w:fill="D1D2D4"/>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auto"/>
            </w:tcBorders>
            <w:shd w:val="clear" w:color="auto" w:fill="D1D2D4"/>
          </w:tcPr>
          <w:p>
            <w:pPr>
              <w:spacing w:after="0" w:line="20" w:lineRule="exact"/>
              <w:rPr>
                <w:sz w:val="1"/>
                <w:szCs w:val="1"/>
                <w:color w:val="auto"/>
              </w:rPr>
            </w:pPr>
          </w:p>
        </w:tc>
        <w:tc>
          <w:tcPr>
            <w:tcW w:w="3880" w:type="dxa"/>
            <w:vAlign w:val="bottom"/>
            <w:tcBorders>
              <w:top w:val="single" w:sz="8" w:color="auto"/>
            </w:tcBorders>
            <w:shd w:val="clear" w:color="auto" w:fill="D1D2D4"/>
          </w:tcPr>
          <w:p>
            <w:pPr>
              <w:spacing w:after="0" w:line="20" w:lineRule="exact"/>
              <w:rPr>
                <w:sz w:val="1"/>
                <w:szCs w:val="1"/>
                <w:color w:val="auto"/>
              </w:rPr>
            </w:pPr>
          </w:p>
        </w:tc>
        <w:tc>
          <w:tcPr>
            <w:tcW w:w="54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1740" w:type="dxa"/>
            <w:vAlign w:val="bottom"/>
            <w:tcBorders>
              <w:top w:val="single" w:sz="8" w:color="D1D2D4"/>
            </w:tcBorders>
            <w:shd w:val="clear" w:color="auto" w:fill="D1D2D4"/>
          </w:tcPr>
          <w:p>
            <w:pPr>
              <w:spacing w:after="0" w:line="20" w:lineRule="exact"/>
              <w:rPr>
                <w:sz w:val="1"/>
                <w:szCs w:val="1"/>
                <w:color w:val="auto"/>
              </w:rPr>
            </w:pPr>
          </w:p>
        </w:tc>
        <w:tc>
          <w:tcPr>
            <w:tcW w:w="94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102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32.2</w:t>
            </w:r>
          </w:p>
        </w:tc>
        <w:tc>
          <w:tcPr>
            <w:tcW w:w="5480" w:type="dxa"/>
            <w:vAlign w:val="bottom"/>
            <w:gridSpan w:val="6"/>
          </w:tcPr>
          <w:p>
            <w:pPr>
              <w:spacing w:after="0" w:line="189" w:lineRule="exact"/>
              <w:rPr>
                <w:rFonts w:ascii="Arial" w:cs="Arial" w:eastAsia="Arial" w:hAnsi="Arial"/>
                <w:sz w:val="18"/>
                <w:szCs w:val="18"/>
                <w:color w:val="auto"/>
              </w:rPr>
            </w:pPr>
            <w:hyperlink w:anchor="page63">
              <w:r>
                <w:rPr>
                  <w:rFonts w:ascii="Arial" w:cs="Arial" w:eastAsia="Arial" w:hAnsi="Arial"/>
                  <w:sz w:val="18"/>
                  <w:szCs w:val="18"/>
                  <w:color w:val="auto"/>
                </w:rPr>
                <w:t>Certification of Interim Chief Financial Officer Pursuant to 18 U.S.C.</w:t>
              </w:r>
            </w:hyperlink>
          </w:p>
        </w:tc>
        <w:tc>
          <w:tcPr>
            <w:tcW w:w="1740" w:type="dxa"/>
            <w:vAlign w:val="bottom"/>
          </w:tcPr>
          <w:p>
            <w:pPr>
              <w:ind w:left="100"/>
              <w:spacing w:after="0" w:line="189" w:lineRule="exact"/>
              <w:rPr>
                <w:sz w:val="20"/>
                <w:szCs w:val="20"/>
                <w:color w:val="auto"/>
              </w:rPr>
            </w:pPr>
            <w:r>
              <w:rPr>
                <w:rFonts w:ascii="Arial" w:cs="Arial" w:eastAsia="Arial" w:hAnsi="Arial"/>
                <w:sz w:val="18"/>
                <w:szCs w:val="18"/>
                <w:color w:val="auto"/>
              </w:rPr>
              <w:t>X</w:t>
            </w: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280" w:type="dxa"/>
            <w:vAlign w:val="bottom"/>
            <w:tcBorders>
              <w:top w:val="single" w:sz="8" w:color="auto"/>
            </w:tcBorders>
            <w:gridSpan w:val="2"/>
          </w:tcPr>
          <w:p>
            <w:pPr>
              <w:spacing w:after="0" w:line="156" w:lineRule="exact"/>
              <w:rPr>
                <w:rFonts w:ascii="Arial" w:cs="Arial" w:eastAsia="Arial" w:hAnsi="Arial"/>
                <w:sz w:val="18"/>
                <w:szCs w:val="18"/>
                <w:color w:val="auto"/>
              </w:rPr>
            </w:pPr>
            <w:hyperlink w:anchor="page63">
              <w:r>
                <w:rPr>
                  <w:rFonts w:ascii="Arial" w:cs="Arial" w:eastAsia="Arial" w:hAnsi="Arial"/>
                  <w:sz w:val="18"/>
                  <w:szCs w:val="18"/>
                  <w:color w:val="auto"/>
                </w:rPr>
                <w:t>1350</w:t>
              </w:r>
            </w:hyperlink>
          </w:p>
        </w:tc>
        <w:tc>
          <w:tcPr>
            <w:tcW w:w="5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101.INS</w:t>
            </w:r>
          </w:p>
        </w:tc>
        <w:tc>
          <w:tcPr>
            <w:tcW w:w="5480" w:type="dxa"/>
            <w:vAlign w:val="bottom"/>
            <w:gridSpan w:val="6"/>
            <w:shd w:val="clear" w:color="auto" w:fill="D1D2D4"/>
          </w:tcPr>
          <w:p>
            <w:pPr>
              <w:spacing w:after="0" w:line="176" w:lineRule="exact"/>
              <w:rPr>
                <w:sz w:val="20"/>
                <w:szCs w:val="20"/>
                <w:color w:val="auto"/>
              </w:rPr>
            </w:pPr>
            <w:r>
              <w:rPr>
                <w:rFonts w:ascii="Arial" w:cs="Arial" w:eastAsia="Arial" w:hAnsi="Arial"/>
                <w:sz w:val="18"/>
                <w:szCs w:val="18"/>
                <w:color w:val="auto"/>
              </w:rPr>
              <w:t>Inline XBRL Instance Document - the instance document does not</w:t>
            </w:r>
          </w:p>
        </w:tc>
        <w:tc>
          <w:tcPr>
            <w:tcW w:w="1740" w:type="dxa"/>
            <w:vAlign w:val="bottom"/>
            <w:shd w:val="clear" w:color="auto" w:fill="D1D2D4"/>
          </w:tcPr>
          <w:p>
            <w:pPr>
              <w:ind w:left="100"/>
              <w:spacing w:after="0" w:line="176"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80" w:type="dxa"/>
            <w:vAlign w:val="bottom"/>
            <w:shd w:val="clear" w:color="auto" w:fill="D1D2D4"/>
          </w:tcPr>
          <w:p>
            <w:pPr>
              <w:spacing w:after="0"/>
              <w:rPr>
                <w:sz w:val="15"/>
                <w:szCs w:val="15"/>
                <w:color w:val="auto"/>
              </w:rPr>
            </w:pPr>
          </w:p>
        </w:tc>
        <w:tc>
          <w:tcPr>
            <w:tcW w:w="5480" w:type="dxa"/>
            <w:vAlign w:val="bottom"/>
            <w:gridSpan w:val="6"/>
            <w:shd w:val="clear" w:color="auto" w:fill="D1D2D4"/>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1740" w:type="dxa"/>
            <w:vAlign w:val="bottom"/>
            <w:shd w:val="clear" w:color="auto" w:fill="D1D2D4"/>
          </w:tcPr>
          <w:p>
            <w:pPr>
              <w:spacing w:after="0"/>
              <w:rPr>
                <w:sz w:val="15"/>
                <w:szCs w:val="15"/>
                <w:color w:val="auto"/>
              </w:rPr>
            </w:pP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spacing w:after="0"/>
              <w:rPr>
                <w:sz w:val="19"/>
                <w:szCs w:val="19"/>
                <w:color w:val="auto"/>
              </w:rPr>
            </w:pPr>
          </w:p>
        </w:tc>
        <w:tc>
          <w:tcPr>
            <w:tcW w:w="5480" w:type="dxa"/>
            <w:vAlign w:val="bottom"/>
            <w:gridSpan w:val="6"/>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174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54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1740" w:type="dxa"/>
            <w:vAlign w:val="bottom"/>
          </w:tcPr>
          <w:p>
            <w:pPr>
              <w:ind w:left="10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480" w:type="dxa"/>
            <w:vAlign w:val="bottom"/>
            <w:gridSpan w:val="6"/>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7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54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740" w:type="dxa"/>
            <w:vAlign w:val="bottom"/>
          </w:tcPr>
          <w:p>
            <w:pPr>
              <w:ind w:left="10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480" w:type="dxa"/>
            <w:vAlign w:val="bottom"/>
            <w:gridSpan w:val="6"/>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7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54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740" w:type="dxa"/>
            <w:vAlign w:val="bottom"/>
          </w:tcPr>
          <w:p>
            <w:pPr>
              <w:ind w:left="100"/>
              <w:spacing w:after="0"/>
              <w:rPr>
                <w:sz w:val="20"/>
                <w:szCs w:val="20"/>
                <w:color w:val="auto"/>
              </w:rPr>
            </w:pPr>
            <w:r>
              <w:rPr>
                <w:rFonts w:ascii="Arial" w:cs="Arial" w:eastAsia="Arial" w:hAnsi="Arial"/>
                <w:sz w:val="18"/>
                <w:szCs w:val="18"/>
                <w:color w:val="auto"/>
              </w:rPr>
              <w:t>X</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8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104</w:t>
            </w:r>
          </w:p>
        </w:tc>
        <w:tc>
          <w:tcPr>
            <w:tcW w:w="5480" w:type="dxa"/>
            <w:vAlign w:val="bottom"/>
            <w:gridSpan w:val="6"/>
            <w:shd w:val="clear" w:color="auto" w:fill="D1D2D4"/>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1740" w:type="dxa"/>
            <w:vAlign w:val="bottom"/>
            <w:shd w:val="clear" w:color="auto" w:fill="D1D2D4"/>
          </w:tcPr>
          <w:p>
            <w:pPr>
              <w:ind w:left="100"/>
              <w:spacing w:after="0" w:line="176" w:lineRule="exact"/>
              <w:rPr>
                <w:sz w:val="20"/>
                <w:szCs w:val="20"/>
                <w:color w:val="auto"/>
              </w:rPr>
            </w:pPr>
            <w:r>
              <w:rPr>
                <w:rFonts w:ascii="Arial" w:cs="Arial" w:eastAsia="Arial" w:hAnsi="Arial"/>
                <w:sz w:val="18"/>
                <w:szCs w:val="18"/>
                <w:color w:val="auto"/>
              </w:rPr>
              <w:t>X</w:t>
            </w: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spacing w:after="0"/>
              <w:rPr>
                <w:sz w:val="19"/>
                <w:szCs w:val="19"/>
                <w:color w:val="auto"/>
              </w:rPr>
            </w:pPr>
          </w:p>
        </w:tc>
        <w:tc>
          <w:tcPr>
            <w:tcW w:w="5480" w:type="dxa"/>
            <w:vAlign w:val="bottom"/>
            <w:gridSpan w:val="6"/>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1740" w:type="dxa"/>
            <w:vAlign w:val="bottom"/>
            <w:shd w:val="clear" w:color="auto" w:fill="D1D2D4"/>
          </w:tcPr>
          <w:p>
            <w:pPr>
              <w:spacing w:after="0"/>
              <w:rPr>
                <w:sz w:val="19"/>
                <w:szCs w:val="19"/>
                <w:color w:val="auto"/>
              </w:rPr>
            </w:pPr>
          </w:p>
        </w:tc>
        <w:tc>
          <w:tcPr>
            <w:tcW w:w="9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rFonts w:ascii="Arial" w:cs="Arial" w:eastAsia="Arial" w:hAnsi="Arial"/>
          <w:sz w:val="16"/>
          <w:szCs w:val="16"/>
          <w:b w:val="1"/>
          <w:bCs w:val="1"/>
          <w:u w:val="single" w:color="auto"/>
          <w:color w:val="0090DA"/>
        </w:rPr>
      </w:pPr>
      <w:hyperlink w:anchor="page2">
        <w:r>
          <w:rPr>
            <w:rFonts w:ascii="Arial" w:cs="Arial" w:eastAsia="Arial" w:hAnsi="Arial"/>
            <w:sz w:val="16"/>
            <w:szCs w:val="16"/>
            <w:b w:val="1"/>
            <w:bCs w:val="1"/>
            <w:u w:val="single" w:color="auto"/>
            <w:color w:val="0090DA"/>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00" w:val="left"/>
          <w:tab w:leader="none" w:pos="5120" w:val="left"/>
          <w:tab w:leader="none" w:pos="5580" w:val="left"/>
        </w:tabs>
        <w:rPr>
          <w:sz w:val="20"/>
          <w:szCs w:val="20"/>
          <w:color w:val="auto"/>
        </w:rPr>
      </w:pPr>
      <w:r>
        <w:rPr>
          <w:rFonts w:ascii="Arial" w:cs="Arial" w:eastAsia="Arial" w:hAnsi="Arial"/>
          <w:sz w:val="18"/>
          <w:szCs w:val="18"/>
          <w:color w:val="auto"/>
        </w:rPr>
        <w:t>Date:</w:t>
        <w:tab/>
        <w:t>March 30,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Sumit Sadana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Sumit Sadana</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Chief Business Officer and Interim Chief</w:t>
      </w:r>
    </w:p>
    <w:p>
      <w:pPr>
        <w:ind w:left="5600"/>
        <w:spacing w:after="0"/>
        <w:rPr>
          <w:sz w:val="20"/>
          <w:szCs w:val="20"/>
          <w:color w:val="auto"/>
        </w:rPr>
      </w:pPr>
      <w:r>
        <w:rPr>
          <w:rFonts w:ascii="Arial" w:cs="Arial" w:eastAsia="Arial" w:hAnsi="Arial"/>
          <w:sz w:val="18"/>
          <w:szCs w:val="18"/>
          <w:color w:val="auto"/>
        </w:rPr>
        <w:t>Financial Officer</w:t>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Financial Officer)</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16510</wp:posOffset>
            </wp:positionV>
            <wp:extent cx="35915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Scott Allen</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Corporate Vice President and Chief Accounting Officer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59</w:t>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31.1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30, 2022</w:t>
      </w:r>
      <w:r>
        <w:rPr>
          <w:sz w:val="20"/>
          <w:szCs w:val="20"/>
          <w:color w:val="auto"/>
        </w:rPr>
        <w:tab/>
      </w:r>
      <w:r>
        <w:rPr>
          <w:rFonts w:ascii="Arial" w:cs="Arial" w:eastAsia="Arial" w:hAnsi="Arial"/>
          <w:sz w:val="17"/>
          <w:szCs w:val="17"/>
          <w:i w:val="1"/>
          <w:iCs w:val="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3261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INTERIM 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Sumit Sadana, certify that:</w:t>
      </w:r>
    </w:p>
    <w:p>
      <w:pPr>
        <w:spacing w:after="0" w:line="171"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March 30, 2022</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Sumit Sadana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572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Sumit Sadana</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Business Officer and Interim Chief</w:t>
      </w:r>
    </w:p>
    <w:p>
      <w:pPr>
        <w:ind w:left="56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240"/>
          </w:cols>
          <w:pgMar w:left="320" w:top="989"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4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March 3, 2022,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March 30, 2022</w:t>
      </w:r>
      <w:r>
        <w:rPr>
          <w:sz w:val="20"/>
          <w:szCs w:val="20"/>
          <w:color w:val="auto"/>
        </w:rPr>
        <w:tab/>
      </w:r>
      <w:r>
        <w:rPr>
          <w:rFonts w:ascii="Arial" w:cs="Arial" w:eastAsia="Arial" w:hAnsi="Arial"/>
          <w:sz w:val="17"/>
          <w:szCs w:val="17"/>
          <w:i w:val="1"/>
          <w:iCs w:val="1"/>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17780</wp:posOffset>
            </wp:positionV>
            <wp:extent cx="35572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9"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ind w:right="5340"/>
        <w:spacing w:after="0" w:line="285" w:lineRule="auto"/>
        <w:rPr>
          <w:sz w:val="20"/>
          <w:szCs w:val="20"/>
          <w:color w:val="auto"/>
        </w:rPr>
      </w:pPr>
      <w:r>
        <w:rPr>
          <w:rFonts w:ascii="Arial" w:cs="Arial" w:eastAsia="Arial" w:hAnsi="Arial"/>
          <w:sz w:val="22"/>
          <w:szCs w:val="22"/>
          <w:b w:val="1"/>
          <w:bCs w:val="1"/>
          <w:color w:val="auto"/>
        </w:rPr>
        <w:t>CERTIFICATION OF INTERIM CHIEF FINANCIAL OFFICER PURSUANT TO 18 U.S.C. 1350</w:t>
      </w:r>
    </w:p>
    <w:p>
      <w:pPr>
        <w:spacing w:after="0" w:line="70"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 Sumit Sadana, certify, pursuant to 18 U.S.C. 1350, as adopted pursuant to Section 906 of the Sarbanes-Oxley Act of 2002, that the Quarterly Report of Micron Technology, Inc. on Form 10-Q for the period ended March 3, 2022,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March 30, 2022</w:t>
      </w:r>
      <w:r>
        <w:rPr>
          <w:sz w:val="20"/>
          <w:szCs w:val="20"/>
          <w:color w:val="auto"/>
        </w:rPr>
        <w:tab/>
      </w:r>
      <w:r>
        <w:rPr>
          <w:rFonts w:ascii="Arial" w:cs="Arial" w:eastAsia="Arial" w:hAnsi="Arial"/>
          <w:sz w:val="17"/>
          <w:szCs w:val="17"/>
          <w:i w:val="1"/>
          <w:iCs w:val="1"/>
          <w:color w:val="auto"/>
        </w:rPr>
        <w:t>/s/ Sumit Sadana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Sumit Sadana</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Chief Business Officer and Interim Chief</w:t>
      </w:r>
    </w:p>
    <w:p>
      <w:pPr>
        <w:ind w:left="562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endash "/>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lvl w:ilvl="1">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2022-03-30T15:26:41Z</dcterms:created>
  <dcterms:modified xsi:type="dcterms:W3CDTF">2022-03-30T15:26:41Z</dcterms:modified>
</cp:coreProperties>
</file>