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9,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47" w:lineRule="exact"/>
        <w:rPr>
          <w:sz w:val="20"/>
          <w:szCs w:val="20"/>
          <w:color w:val="auto"/>
        </w:rPr>
      </w:pPr>
    </w:p>
    <w:p>
      <w:pPr>
        <w:ind w:right="20" w:firstLine="648"/>
        <w:spacing w:after="0" w:line="242" w:lineRule="auto"/>
        <w:rPr>
          <w:sz w:val="20"/>
          <w:szCs w:val="20"/>
          <w:color w:val="auto"/>
        </w:rPr>
      </w:pPr>
      <w:r>
        <w:rPr>
          <w:rFonts w:ascii="Arial" w:cs="Arial" w:eastAsia="Arial" w:hAnsi="Arial"/>
          <w:sz w:val="18"/>
          <w:szCs w:val="18"/>
          <w:color w:val="auto"/>
        </w:rPr>
        <w:t>On February 9, 2023, Micron Technology, Inc. (“Micron”) settled its offering of (i) an additional $500,000,000 aggregate principal amount of 6.750% senior notes due 2029 (the “2029 Notes”) and (ii) $750,000,000 aggregate principal amount of 5.875% senior notes due 2033 (the “2033 Notes” and, together with the 2029 Notes, the “Notes”). The Notes were issued and sold in a public offering pursuant to a registration statement on Form S-3 (File No. 333-249838), including the prospectus contained therein (the “Base Prospectus”), filed with the Securities and Exchange Commission under the Securities Act of 1933, as amended, a preliminary prospectus supplement dated February 6, 2023, a related final prospectus supplement dated February 6, 2023 (together with the Base Prospectus, the “Prospectus”), and a free writing prospectus dated February 6, 2023. The public offering price for the 2029 Notes was 104.487% of the principal amount, representing a yield to maturity of 5.914%, and the public offering price for the 2033 Notes was 99.933% of the principal amount, representing a yield to maturity of 5.884%. Micron previously issued 6.750% senior notes due 2029 in an aggregate principal amount of $750,000,000 on October 31, 2022 (the “Original 2029 Notes”). The 2029 Notes have terms that are identical to the terms of the Original 2029 Notes (other than the initial offering price), are treated as a single series with the Original 2029 Notes, and have the same CUSIP and are fungible with the Original 2029 Notes.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series of Notes was issued pursuant to an indenture, dated as of February 6, 2019 (the “Base Indenture”), between Micron and</w:t>
      </w:r>
    </w:p>
    <w:p>
      <w:pPr>
        <w:spacing w:after="0" w:line="14"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U.S. Bank Trust Company, National Association (as successor in interest to U.S. Bank National Association), as trustee, and, with respect to the 2029 Notes, as supplemented by a fifth supplemental indenture, dated as of October 31, 2022 (the “Fifth Supplemental Indenture”),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with respect to the 2033 Notes, as supplemented by a sixth supplemental indenture, dated as of February 9, 2023 (the “Sixth Supplemental Indenture”). As used herein, “Indenture,” with respect to the 2029 Notes, means the Base Indenture as supplemented by the Fifth Supplemental Indenture, and, with respect to the 2033 Notes, means the Base Indenture as supplemented by the Sixth Supplemental Indenture. The Indenture contains certain covenants, events of default and other customary provisions.</w:t>
      </w:r>
    </w:p>
    <w:p>
      <w:pPr>
        <w:spacing w:after="0" w:line="207" w:lineRule="exact"/>
        <w:rPr>
          <w:sz w:val="20"/>
          <w:szCs w:val="20"/>
          <w:color w:val="auto"/>
        </w:rPr>
      </w:pPr>
    </w:p>
    <w:p>
      <w:pPr>
        <w:ind w:right="140" w:firstLine="648"/>
        <w:spacing w:after="0" w:line="247" w:lineRule="auto"/>
        <w:rPr>
          <w:sz w:val="20"/>
          <w:szCs w:val="20"/>
          <w:color w:val="auto"/>
        </w:rPr>
      </w:pPr>
      <w:r>
        <w:rPr>
          <w:rFonts w:ascii="Arial" w:cs="Arial" w:eastAsia="Arial" w:hAnsi="Arial"/>
          <w:sz w:val="18"/>
          <w:szCs w:val="18"/>
          <w:color w:val="auto"/>
        </w:rPr>
        <w:t>The 2029 Notes bear interest at a rate of 6.750% per year and will mature on November 1, 2029. Interest on the 2029 Notes is payable on May 1 and November 1 of each year, beginning on May 1, 2023. The 2033 Notes bear interest at a rate of 5.875% per year and will mature on February 9, 2033. Interest on the 2033 Notes is payable on February 9 and August 9 of each year, beginning on August 9, 2023.</w:t>
      </w:r>
    </w:p>
    <w:p>
      <w:pPr>
        <w:spacing w:after="0" w:line="201"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Prior to the applicable Par Call Date (as defined below), Micron may redeem the Notes of any series at its option, in whole or in part, at any time and from time to time, at a redemption price equal to the greater of (i)(a) the sum of the present values of the remaining scheduled payments of principal and interest thereon discounted to the redemption date (assuming the Notes of such series matured on the</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applicable Par Call Date) on a semi-annual basis (assuming a 360-day year consisting of twelve 30-day months) at the then current treasury rate plus 40 basis points in the case of the 2029 Notes, and 35 basis points in the case of the 2033 Notes, less (b) interest accrued to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date of redemption, and (ii) 100% of the principal amount of the Notes of the applicable series to be redeemed, and plus, in each case, accrued and unpaid interest, if any, on the amount being redeemed to, but excluding, the date of redemption. In addition, Micron may redeem the 2029 Notes or the 2033 Notes on or after the applicable Par Call Date at a redemption price equal to 100% of the principal amount of the Notes to be redeemed, plus accrued and unpaid interest, if any, to, but excluding, the date of redemption. The “Par Call Date” means September 1, 2029 (two months prior to the maturity date), in the case of the 2029 Notes, and November 9, 2032 (three months prior to the maturity date), in the case of the 2033 Notes.</w:t>
      </w:r>
    </w:p>
    <w:p>
      <w:pPr>
        <w:spacing w:after="0" w:line="208" w:lineRule="exact"/>
        <w:rPr>
          <w:sz w:val="20"/>
          <w:szCs w:val="20"/>
          <w:color w:val="auto"/>
        </w:rPr>
      </w:pPr>
    </w:p>
    <w:p>
      <w:pPr>
        <w:jc w:val="both"/>
        <w:ind w:right="40" w:firstLine="648"/>
        <w:spacing w:after="0" w:line="301" w:lineRule="auto"/>
        <w:rPr>
          <w:sz w:val="20"/>
          <w:szCs w:val="20"/>
          <w:color w:val="auto"/>
        </w:rPr>
      </w:pPr>
      <w:r>
        <w:rPr>
          <w:rFonts w:ascii="Arial" w:cs="Arial" w:eastAsia="Arial" w:hAnsi="Arial"/>
          <w:sz w:val="17"/>
          <w:szCs w:val="17"/>
          <w:color w:val="auto"/>
        </w:rPr>
        <w:t>If Micron experiences specified change of control triggering events with respect to a series of Notes, Micron must offer to repurchase the Notes of such series at a price equal to 101% of the principal amount of the Notes repurchased, plus accrued and unpaid interest, if any.</w:t>
      </w:r>
    </w:p>
    <w:p>
      <w:pPr>
        <w:spacing w:after="0" w:line="158" w:lineRule="exact"/>
        <w:rPr>
          <w:sz w:val="20"/>
          <w:szCs w:val="20"/>
          <w:color w:val="auto"/>
        </w:rPr>
      </w:pPr>
    </w:p>
    <w:p>
      <w:pPr>
        <w:ind w:right="120" w:firstLine="648"/>
        <w:spacing w:after="0" w:line="245" w:lineRule="auto"/>
        <w:rPr>
          <w:sz w:val="20"/>
          <w:szCs w:val="20"/>
          <w:color w:val="auto"/>
        </w:rPr>
      </w:pPr>
      <w:r>
        <w:rPr>
          <w:rFonts w:ascii="Arial" w:cs="Arial" w:eastAsia="Arial" w:hAnsi="Arial"/>
          <w:sz w:val="18"/>
          <w:szCs w:val="18"/>
          <w:color w:val="auto"/>
        </w:rPr>
        <w:t>The Indenture contains limited affirmative and negative covenants of Micron, each of which is subject to a number of limitations and exceptions in the Indenture. The negative covenants restrict the ability of Micron and certain of its subsidiaries to incur liens on Principal</w:t>
      </w:r>
    </w:p>
    <w:p>
      <w:pPr>
        <w:ind w:right="40"/>
        <w:spacing w:after="0" w:line="237" w:lineRule="auto"/>
        <w:rPr>
          <w:sz w:val="20"/>
          <w:szCs w:val="20"/>
          <w:color w:val="auto"/>
        </w:rPr>
      </w:pPr>
      <w:r>
        <w:rPr>
          <w:rFonts w:ascii="Arial" w:cs="Arial" w:eastAsia="Arial" w:hAnsi="Arial"/>
          <w:sz w:val="18"/>
          <w:szCs w:val="18"/>
          <w:color w:val="auto"/>
        </w:rPr>
        <w:t>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208"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ind w:right="720" w:firstLine="648"/>
        <w:spacing w:after="0" w:line="271" w:lineRule="auto"/>
        <w:rPr>
          <w:sz w:val="20"/>
          <w:szCs w:val="20"/>
          <w:color w:val="auto"/>
        </w:rPr>
      </w:pPr>
      <w:r>
        <w:rPr>
          <w:rFonts w:ascii="Arial" w:cs="Arial" w:eastAsia="Arial" w:hAnsi="Arial"/>
          <w:sz w:val="18"/>
          <w:szCs w:val="18"/>
          <w:color w:val="auto"/>
        </w:rPr>
        <w:t>Micron intends to use the net proceeds from the sale of the Notes for general corporate purposes, which may include capital expenditures.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Fifth Supplemental Indenture, the Sixth Supplemental Indenture, the form of the 2029 Notes and the form of the 2033 Notes, which are filed with this report as Exhibits 4.1, 4.2, 4.3, 4.4, and 4.5, respectively.</w:t>
      </w:r>
    </w:p>
    <w:p>
      <w:pPr>
        <w:spacing w:after="0" w:line="2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3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February 9, 2023 regarding the legality of the Notes. A copy of the opinion is filed as Exhibit 5.1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1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15"/>
          </w:tcPr>
          <w:p>
            <w:pPr>
              <w:spacing w:after="0"/>
              <w:rPr>
                <w:sz w:val="20"/>
                <w:szCs w:val="20"/>
                <w:color w:val="auto"/>
              </w:rPr>
            </w:pPr>
            <w:r>
              <w:rPr>
                <w:rFonts w:ascii="Arial" w:cs="Arial" w:eastAsia="Arial" w:hAnsi="Arial"/>
                <w:sz w:val="18"/>
                <w:szCs w:val="18"/>
                <w:color w:val="auto"/>
              </w:rPr>
              <w:t>(d) Exhibits.</w:t>
            </w:r>
          </w:p>
        </w:tc>
      </w:tr>
      <w:tr>
        <w:trPr>
          <w:trHeight w:val="3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3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12"/>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Indenture, dated February 6, 2019, by and between Micron Technology, Inc. and U.S. Bank Trust Company, National</w:t>
              </w:r>
            </w:hyperlink>
          </w:p>
        </w:tc>
        <w:tc>
          <w:tcPr>
            <w:tcW w:w="20" w:type="dxa"/>
            <w:vAlign w:val="bottom"/>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8">
              <w:r>
                <w:rPr>
                  <w:rFonts w:ascii="Arial" w:cs="Arial" w:eastAsia="Arial" w:hAnsi="Arial"/>
                  <w:sz w:val="18"/>
                  <w:szCs w:val="18"/>
                  <w:color w:val="0000FF"/>
                </w:rPr>
                <w:t>Association (as successor in interest to U.S. Bank National Association), as Trustee, filed as Exhibit 4.1 to Micron’s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Form 8-K filed on February 6, 2019</w:t>
              </w:r>
            </w:hyperlink>
          </w:p>
        </w:tc>
        <w:tc>
          <w:tcPr>
            <w:tcW w:w="632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3"/>
          </w:tcPr>
          <w:p>
            <w:pPr>
              <w:spacing w:after="0"/>
              <w:rPr>
                <w:rFonts w:ascii="Arial" w:cs="Arial" w:eastAsia="Arial" w:hAnsi="Arial"/>
                <w:sz w:val="18"/>
                <w:szCs w:val="18"/>
                <w:color w:val="0000FF"/>
              </w:rPr>
            </w:pPr>
            <w:hyperlink r:id="rId19">
              <w:r>
                <w:rPr>
                  <w:rFonts w:ascii="Arial" w:cs="Arial" w:eastAsia="Arial" w:hAnsi="Arial"/>
                  <w:sz w:val="18"/>
                  <w:szCs w:val="18"/>
                  <w:color w:val="0000FF"/>
                </w:rPr>
                <w:t>Fifth Supplemental Indenture, dated as of October 31, 2022, by and between Micron Technology, Inc. and U.S. Bank</w:t>
              </w:r>
            </w:hyperlink>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8"/>
          </w:tcPr>
          <w:p>
            <w:pPr>
              <w:spacing w:after="0" w:line="156"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Trust Company, National Association, as Trustee, filed as Exhibit 4.2 to Micron’s Form 8-K filed on October 31, 2022</w:t>
              </w:r>
            </w:hyperlink>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3"/>
          </w:tcPr>
          <w:p>
            <w:pPr>
              <w:spacing w:after="0"/>
              <w:rPr>
                <w:sz w:val="20"/>
                <w:szCs w:val="20"/>
                <w:color w:val="auto"/>
              </w:rPr>
            </w:pPr>
            <w:r>
              <w:rPr>
                <w:rFonts w:ascii="Arial" w:cs="Arial" w:eastAsia="Arial" w:hAnsi="Arial"/>
                <w:sz w:val="18"/>
                <w:szCs w:val="18"/>
                <w:color w:val="0000FF"/>
              </w:rPr>
              <w:t>Sixth Supplemental Indenture, dated as of February 9, 2023, by and between Micron Technology, Inc. and U.S. Bank</w:t>
            </w:r>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Trust Company, National Association, as Trustee</w:t>
            </w: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3"/>
          </w:tcPr>
          <w:p>
            <w:pPr>
              <w:spacing w:after="0"/>
              <w:rPr>
                <w:rFonts w:ascii="Arial" w:cs="Arial" w:eastAsia="Arial" w:hAnsi="Arial"/>
                <w:sz w:val="18"/>
                <w:szCs w:val="18"/>
                <w:color w:val="0000FF"/>
              </w:rPr>
            </w:pPr>
            <w:hyperlink r:id="rId19">
              <w:r>
                <w:rPr>
                  <w:rFonts w:ascii="Arial" w:cs="Arial" w:eastAsia="Arial" w:hAnsi="Arial"/>
                  <w:sz w:val="18"/>
                  <w:szCs w:val="18"/>
                  <w:color w:val="0000FF"/>
                </w:rPr>
                <w:t>Form of Note for Micron Technology, Inc.’s 6.750% Senior Notes due 2029 (incorporated by reference from Exhibit 4.2</w:t>
              </w:r>
            </w:hyperlink>
          </w:p>
        </w:tc>
      </w:tr>
      <w:tr>
        <w:trPr>
          <w:trHeight w:val="156"/>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19">
              <w:r>
                <w:rPr>
                  <w:rFonts w:ascii="Arial" w:cs="Arial" w:eastAsia="Arial" w:hAnsi="Arial"/>
                  <w:sz w:val="18"/>
                  <w:szCs w:val="18"/>
                  <w:color w:val="0000FF"/>
                </w:rPr>
                <w:t>hereto)</w:t>
              </w:r>
            </w:hyperlink>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3"/>
          </w:tcPr>
          <w:p>
            <w:pPr>
              <w:spacing w:after="0"/>
              <w:rPr>
                <w:sz w:val="20"/>
                <w:szCs w:val="20"/>
                <w:color w:val="auto"/>
              </w:rPr>
            </w:pPr>
            <w:r>
              <w:rPr>
                <w:rFonts w:ascii="Arial" w:cs="Arial" w:eastAsia="Arial" w:hAnsi="Arial"/>
                <w:sz w:val="18"/>
                <w:szCs w:val="18"/>
                <w:color w:val="0000FF"/>
              </w:rPr>
              <w:t>Form of Note for Micron Technology, Inc.’s 5.875% Senior Notes due 2033 (incorporated by reference from Exhibit 4.3</w:t>
            </w:r>
          </w:p>
        </w:tc>
      </w:tr>
      <w:tr>
        <w:trPr>
          <w:trHeight w:val="155"/>
        </w:trPr>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hereto)</w:t>
            </w:r>
          </w:p>
        </w:tc>
        <w:tc>
          <w:tcPr>
            <w:tcW w:w="24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r>
      <w:tr>
        <w:trPr>
          <w:trHeight w:val="223"/>
        </w:trPr>
        <w:tc>
          <w:tcPr>
            <w:tcW w:w="1340" w:type="dxa"/>
            <w:vAlign w:val="bottom"/>
          </w:tcPr>
          <w:p>
            <w:pPr>
              <w:jc w:val="center"/>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Opinion of Wilson Sonsini Goodrich &amp; Rosati, Professional Corporation</w:t>
            </w:r>
          </w:p>
        </w:tc>
        <w:tc>
          <w:tcPr>
            <w:tcW w:w="3980" w:type="dxa"/>
            <w:vAlign w:val="bottom"/>
            <w:gridSpan w:val="9"/>
          </w:tcPr>
          <w:p>
            <w:pPr>
              <w:spacing w:after="0"/>
              <w:rPr>
                <w:sz w:val="19"/>
                <w:szCs w:val="19"/>
                <w:color w:val="auto"/>
              </w:rPr>
            </w:pPr>
          </w:p>
        </w:tc>
      </w:tr>
      <w:tr>
        <w:trPr>
          <w:trHeight w:val="210"/>
        </w:trPr>
        <w:tc>
          <w:tcPr>
            <w:tcW w:w="13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3"/>
          </w:tcPr>
          <w:p>
            <w:pPr>
              <w:spacing w:after="0"/>
              <w:rPr>
                <w:sz w:val="20"/>
                <w:szCs w:val="20"/>
                <w:color w:val="auto"/>
              </w:rPr>
            </w:pPr>
            <w:r>
              <w:rPr>
                <w:rFonts w:ascii="Arial" w:cs="Arial" w:eastAsia="Arial" w:hAnsi="Arial"/>
                <w:sz w:val="18"/>
                <w:szCs w:val="18"/>
                <w:color w:val="0000FF"/>
              </w:rPr>
              <w:t>Consent of Wilson Sonsini Goodrich &amp; Rosati, Professional Corporation (included in Exhibit 5.1)</w:t>
            </w:r>
          </w:p>
        </w:tc>
      </w:tr>
      <w:tr>
        <w:trPr>
          <w:trHeight w:val="254"/>
        </w:trPr>
        <w:tc>
          <w:tcPr>
            <w:tcW w:w="13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020" w:type="dxa"/>
            <w:vAlign w:val="bottom"/>
            <w:gridSpan w:val="8"/>
          </w:tcPr>
          <w:p>
            <w:pPr>
              <w:spacing w:after="0"/>
              <w:rPr>
                <w:sz w:val="22"/>
                <w:szCs w:val="22"/>
                <w:color w:val="auto"/>
              </w:rPr>
            </w:pPr>
          </w:p>
        </w:tc>
      </w:tr>
      <w:tr>
        <w:trPr>
          <w:trHeight w:val="1205"/>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00" w:type="dxa"/>
            <w:vAlign w:val="bottom"/>
          </w:tcPr>
          <w:p>
            <w:pPr>
              <w:spacing w:after="0"/>
              <w:rPr>
                <w:sz w:val="21"/>
                <w:szCs w:val="21"/>
                <w:color w:val="auto"/>
              </w:rPr>
            </w:pPr>
          </w:p>
        </w:tc>
        <w:tc>
          <w:tcPr>
            <w:tcW w:w="684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00" w:type="dxa"/>
            <w:vAlign w:val="bottom"/>
          </w:tcPr>
          <w:p>
            <w:pPr>
              <w:spacing w:after="0"/>
              <w:rPr>
                <w:sz w:val="20"/>
                <w:szCs w:val="20"/>
                <w:color w:val="auto"/>
              </w:rPr>
            </w:pPr>
            <w:r>
              <w:rPr>
                <w:rFonts w:ascii="Arial" w:cs="Arial" w:eastAsia="Arial" w:hAnsi="Arial"/>
                <w:sz w:val="18"/>
                <w:szCs w:val="18"/>
                <w:color w:val="auto"/>
              </w:rPr>
              <w:t>Date:   February 9, 2023</w:t>
            </w:r>
          </w:p>
        </w:tc>
        <w:tc>
          <w:tcPr>
            <w:tcW w:w="2580" w:type="dxa"/>
            <w:vAlign w:val="bottom"/>
          </w:tcPr>
          <w:p>
            <w:pPr>
              <w:ind w:left="168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00" w:type="dxa"/>
            <w:vAlign w:val="bottom"/>
          </w:tcPr>
          <w:p>
            <w:pPr>
              <w:spacing w:after="0"/>
              <w:rPr>
                <w:sz w:val="18"/>
                <w:szCs w:val="18"/>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800" w:type="dxa"/>
            <w:vAlign w:val="bottom"/>
          </w:tcPr>
          <w:p>
            <w:pPr>
              <w:spacing w:after="0"/>
              <w:rPr>
                <w:sz w:val="20"/>
                <w:szCs w:val="20"/>
                <w:color w:val="auto"/>
              </w:rPr>
            </w:pPr>
          </w:p>
        </w:tc>
        <w:tc>
          <w:tcPr>
            <w:tcW w:w="2580" w:type="dxa"/>
            <w:vAlign w:val="bottom"/>
          </w:tcPr>
          <w:p>
            <w:pPr>
              <w:ind w:left="168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00"/>
          </w:cols>
          <w:pgMar w:left="320" w:top="113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MICRON TECHNOLOGY, INC.</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$750,000,000 5.875% SENIOR NOTES DUE 2033</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SIXTH SUPPLEMENTAL INDENTURE</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February 9, 2023</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To</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INDENTURE</w:t>
      </w:r>
    </w:p>
    <w:p>
      <w:pPr>
        <w:spacing w:after="0" w:line="12" w:lineRule="exact"/>
        <w:rPr>
          <w:sz w:val="20"/>
          <w:szCs w:val="20"/>
          <w:color w:val="auto"/>
        </w:rPr>
      </w:pPr>
    </w:p>
    <w:p>
      <w:pPr>
        <w:jc w:val="center"/>
        <w:ind w:left="1620" w:right="2720"/>
        <w:spacing w:after="0" w:line="540" w:lineRule="auto"/>
        <w:rPr>
          <w:sz w:val="20"/>
          <w:szCs w:val="20"/>
          <w:color w:val="auto"/>
        </w:rPr>
      </w:pPr>
      <w:r>
        <w:rPr>
          <w:rFonts w:ascii="Arial" w:cs="Arial" w:eastAsia="Arial" w:hAnsi="Arial"/>
          <w:sz w:val="22"/>
          <w:szCs w:val="22"/>
          <w:b w:val="1"/>
          <w:bCs w:val="1"/>
          <w:color w:val="auto"/>
        </w:rPr>
        <w:t>Dated as of February 6, 2019 U.S. BANK TRUST COMPANY, NATIONAL ASSOCIATION Trustee</w:t>
      </w:r>
    </w:p>
    <w:p>
      <w:pPr>
        <w:sectPr>
          <w:pgSz w:w="11900" w:h="16838" w:orient="portrait"/>
          <w:cols w:equalWidth="0" w:num="1">
            <w:col w:w="10120"/>
          </w:cols>
          <w:pgMar w:left="1440" w:top="14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46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8460" w:type="dxa"/>
            <w:vAlign w:val="bottom"/>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ARTICLE 2. THE NOTES</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p>
        </w:tc>
        <w:tc>
          <w:tcPr>
            <w:tcW w:w="2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p>
        </w:tc>
        <w:tc>
          <w:tcPr>
            <w:tcW w:w="2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Execution and Authentication</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ARTICLE 3. REDEMPTION AND PREPAYMENT</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Optional Redemption</w:t>
            </w:r>
          </w:p>
        </w:tc>
        <w:tc>
          <w:tcPr>
            <w:tcW w:w="27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ARTICLE 4. PARTICULAR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p>
        </w:tc>
        <w:tc>
          <w:tcPr>
            <w:tcW w:w="2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Liens</w:t>
            </w:r>
          </w:p>
        </w:tc>
        <w:tc>
          <w:tcPr>
            <w:tcW w:w="2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Sale and Lease Back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20"/>
                <w:szCs w:val="20"/>
                <w:color w:val="auto"/>
              </w:rPr>
            </w:pPr>
            <w:r>
              <w:rPr>
                <w:rFonts w:ascii="Arial" w:cs="Arial" w:eastAsia="Arial" w:hAnsi="Arial"/>
                <w:sz w:val="18"/>
                <w:szCs w:val="18"/>
                <w:color w:val="auto"/>
              </w:rPr>
              <w:t>ARTICLE 5. SATISFACTION AND DISCHARGE; DEFEASANCE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5.1. Satisfaction and Discharge of Indenture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5.2. Legal Defeasance of Securities of any Series</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5.3. Covenant Defeasance</w:t>
            </w:r>
          </w:p>
        </w:tc>
        <w:tc>
          <w:tcPr>
            <w:tcW w:w="2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ARTICLE 6. MISCELLANEOUS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Trust Indenture Act Controls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6.2. Governing Law</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6.3. Successors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6.4. Severability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6.5. Counterpart Originals</w:t>
            </w:r>
          </w:p>
        </w:tc>
        <w:tc>
          <w:tcPr>
            <w:tcW w:w="2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6.6. Table of Contents, Headings, Etc.</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6.7. Waiver of Jury Trial</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6.8. Interpretation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6.9. Instruction by Electronic Transmissions</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460" w:type="dxa"/>
            <w:vAlign w:val="bottom"/>
          </w:tcPr>
          <w:p>
            <w:pPr>
              <w:ind w:left="660"/>
              <w:spacing w:after="0"/>
              <w:rPr>
                <w:sz w:val="20"/>
                <w:szCs w:val="20"/>
                <w:color w:val="auto"/>
              </w:rPr>
            </w:pPr>
            <w:r>
              <w:rPr>
                <w:rFonts w:ascii="Arial" w:cs="Arial" w:eastAsia="Arial" w:hAnsi="Arial"/>
                <w:sz w:val="18"/>
                <w:szCs w:val="18"/>
                <w:color w:val="auto"/>
              </w:rPr>
              <w:t>Section 6.10. 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460" w:type="dxa"/>
            <w:vAlign w:val="bottom"/>
          </w:tcPr>
          <w:p>
            <w:pPr>
              <w:ind w:left="660"/>
              <w:spacing w:after="0"/>
              <w:rPr>
                <w:sz w:val="20"/>
                <w:szCs w:val="20"/>
                <w:color w:val="auto"/>
              </w:rPr>
            </w:pPr>
            <w:r>
              <w:rPr>
                <w:rFonts w:ascii="Arial" w:cs="Arial" w:eastAsia="Arial" w:hAnsi="Arial"/>
                <w:sz w:val="18"/>
                <w:szCs w:val="18"/>
                <w:color w:val="auto"/>
              </w:rPr>
              <w:t>Section 6.11. Miscellaneous</w:t>
            </w:r>
          </w:p>
        </w:tc>
        <w:tc>
          <w:tcPr>
            <w:tcW w:w="27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1"/>
        </w:trPr>
        <w:tc>
          <w:tcPr>
            <w:tcW w:w="8460" w:type="dxa"/>
            <w:vAlign w:val="bottom"/>
            <w:vMerge w:val="restart"/>
          </w:tcPr>
          <w:p>
            <w:pPr>
              <w:ind w:left="660"/>
              <w:spacing w:after="0"/>
              <w:rPr>
                <w:sz w:val="20"/>
                <w:szCs w:val="20"/>
                <w:color w:val="auto"/>
              </w:rPr>
            </w:pPr>
            <w:r>
              <w:rPr>
                <w:rFonts w:ascii="Arial" w:cs="Arial" w:eastAsia="Arial" w:hAnsi="Arial"/>
                <w:sz w:val="18"/>
                <w:szCs w:val="18"/>
                <w:color w:val="auto"/>
              </w:rPr>
              <w:t>Exhibit A</w:t>
            </w:r>
          </w:p>
        </w:tc>
        <w:tc>
          <w:tcPr>
            <w:tcW w:w="2740" w:type="dxa"/>
            <w:vAlign w:val="bottom"/>
          </w:tcPr>
          <w:p>
            <w:pPr>
              <w:jc w:val="right"/>
              <w:spacing w:after="0" w:line="181" w:lineRule="exact"/>
              <w:rPr>
                <w:sz w:val="20"/>
                <w:szCs w:val="20"/>
                <w:color w:val="auto"/>
              </w:rPr>
            </w:pPr>
            <w:r>
              <w:rPr>
                <w:rFonts w:ascii="Arial" w:cs="Arial" w:eastAsia="Arial" w:hAnsi="Arial"/>
                <w:sz w:val="18"/>
                <w:szCs w:val="18"/>
                <w:color w:val="auto"/>
              </w:rPr>
              <w:t>FORM OF</w:t>
            </w:r>
          </w:p>
        </w:tc>
        <w:tc>
          <w:tcPr>
            <w:tcW w:w="0" w:type="dxa"/>
            <w:vAlign w:val="bottom"/>
          </w:tcPr>
          <w:p>
            <w:pPr>
              <w:spacing w:after="0"/>
              <w:rPr>
                <w:sz w:val="1"/>
                <w:szCs w:val="1"/>
                <w:color w:val="auto"/>
              </w:rPr>
            </w:pPr>
          </w:p>
        </w:tc>
      </w:tr>
      <w:tr>
        <w:trPr>
          <w:trHeight w:val="247"/>
        </w:trPr>
        <w:tc>
          <w:tcPr>
            <w:tcW w:w="8460" w:type="dxa"/>
            <w:vAlign w:val="bottom"/>
            <w:vMerge w:val="continue"/>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NOTE</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17" w:right="359" w:bottom="1440" w:gutter="0" w:footer="0" w:header="0"/>
        </w:sectPr>
      </w:pPr>
    </w:p>
    <w:bookmarkStart w:id="6" w:name="page7"/>
    <w:bookmarkEnd w:id="6"/>
    <w:p>
      <w:pPr>
        <w:ind w:right="100" w:firstLine="648"/>
        <w:spacing w:after="0" w:line="296" w:lineRule="auto"/>
        <w:rPr>
          <w:sz w:val="20"/>
          <w:szCs w:val="20"/>
          <w:color w:val="auto"/>
        </w:rPr>
      </w:pPr>
      <w:r>
        <w:rPr>
          <w:rFonts w:ascii="Arial" w:cs="Arial" w:eastAsia="Arial" w:hAnsi="Arial"/>
          <w:sz w:val="18"/>
          <w:szCs w:val="18"/>
          <w:color w:val="auto"/>
        </w:rPr>
        <w:t>SIXTH SUPPLEMENTAL INDENTURE dated as February 9, 2023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Trust Company,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6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Company has heretofore executed and delivered to the Trustee (as successor in interest to U.S. Bank National Association)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98"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in order to supplement the Base Indenture as, and to the extent, set forth herein to provide for the issuance of and establish the forms and terms and conditions of the Notes (as defined below).</w:t>
      </w:r>
    </w:p>
    <w:p>
      <w:pPr>
        <w:spacing w:after="0" w:line="203"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80"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98"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5.875% Senior Notes due 2033: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i w:val="1"/>
          <w:iCs w:val="1"/>
          <w:color w:val="auto"/>
        </w:rPr>
        <w:t>Relationship with Base Indenture.</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20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7" w:name="page8"/>
    <w:bookmarkEnd w:id="7"/>
    <w:p>
      <w:pPr>
        <w:spacing w:after="0" w:line="22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20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8"/>
          <w:szCs w:val="18"/>
          <w:i w:val="1"/>
          <w:iCs w:val="1"/>
          <w:color w:val="auto"/>
        </w:rPr>
        <w:t>Definitions.</w:t>
      </w:r>
    </w:p>
    <w:p>
      <w:pPr>
        <w:spacing w:after="0" w:line="252" w:lineRule="exact"/>
        <w:rPr>
          <w:sz w:val="20"/>
          <w:szCs w:val="20"/>
          <w:color w:val="auto"/>
        </w:rPr>
      </w:pPr>
    </w:p>
    <w:p>
      <w:pPr>
        <w:ind w:right="340" w:firstLine="648"/>
        <w:spacing w:after="0" w:line="28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80"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Notes (other than the Initial Notes) issued under this Supplemental Indenture in accordance with Section 2.3 hereof, as part of the same Series as the Initial Notes.</w:t>
      </w:r>
    </w:p>
    <w:p>
      <w:pPr>
        <w:spacing w:after="0" w:line="18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Debt</w:t>
      </w:r>
      <w:r>
        <w:rPr>
          <w:rFonts w:ascii="Arial" w:cs="Arial" w:eastAsia="Arial" w:hAnsi="Arial"/>
          <w:sz w:val="18"/>
          <w:szCs w:val="18"/>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 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that Indebtedness relating thereto is included in clause (1) of this definition, provided further, that in no event will the amount of any Indebtedness be required to be included in the calculation of Aggregate Debt more than once despite the fact that more than one person is liable with respect to such Indebtedness and despite the fact that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21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8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Attributable Debt</w:t>
      </w:r>
      <w:r>
        <w:rPr>
          <w:rFonts w:ascii="Arial" w:cs="Arial" w:eastAsia="Arial" w:hAnsi="Arial"/>
          <w:sz w:val="18"/>
          <w:szCs w:val="18"/>
          <w:color w:val="auto"/>
        </w:rPr>
        <w:t>” means in connection with a Sale and Lease Back Transaction the lesser of: (1) the fair value of the assets subject to such transaction, as determined in good faith by a Senior Officer of the Company; and (2) the present value of the minimum rental payments called for during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jc w:val="both"/>
        <w:ind w:right="120"/>
        <w:spacing w:after="0" w:line="318" w:lineRule="auto"/>
        <w:rPr>
          <w:sz w:val="20"/>
          <w:szCs w:val="20"/>
          <w:color w:val="auto"/>
        </w:rPr>
      </w:pPr>
      <w:r>
        <w:rPr>
          <w:rFonts w:ascii="Arial" w:cs="Arial" w:eastAsia="Arial" w:hAnsi="Arial"/>
          <w:sz w:val="17"/>
          <w:szCs w:val="17"/>
          <w:color w:val="auto"/>
        </w:rPr>
        <w:t>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7" w:lineRule="exact"/>
        <w:rPr>
          <w:sz w:val="20"/>
          <w:szCs w:val="20"/>
          <w:color w:val="auto"/>
        </w:rPr>
      </w:pPr>
    </w:p>
    <w:p>
      <w:pPr>
        <w:ind w:right="200" w:firstLine="648"/>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Below Investment Grade Rating Event</w:t>
      </w:r>
      <w:r>
        <w:rPr>
          <w:rFonts w:ascii="Arial" w:cs="Arial" w:eastAsia="Arial" w:hAnsi="Arial"/>
          <w:sz w:val="18"/>
          <w:szCs w:val="18"/>
          <w:color w:val="auto"/>
        </w:rPr>
        <w:t>” means the rating on the Notes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the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Notes are rated Investment Grade by two or more of the Rating Agencies.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52" w:lineRule="exact"/>
        <w:rPr>
          <w:sz w:val="20"/>
          <w:szCs w:val="20"/>
          <w:color w:val="auto"/>
        </w:rPr>
      </w:pPr>
    </w:p>
    <w:p>
      <w:pPr>
        <w:ind w:left="660" w:right="40" w:firstLine="648"/>
        <w:spacing w:after="0" w:line="253" w:lineRule="auto"/>
        <w:rPr>
          <w:sz w:val="20"/>
          <w:szCs w:val="20"/>
          <w:color w:val="auto"/>
        </w:rPr>
      </w:pPr>
      <w:r>
        <w:rPr>
          <w:rFonts w:ascii="Arial" w:cs="Arial" w:eastAsia="Arial" w:hAnsi="Arial"/>
          <w:sz w:val="18"/>
          <w:szCs w:val="18"/>
          <w:color w:val="auto"/>
        </w:rPr>
        <w:t>(i) 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212" w:lineRule="exact"/>
        <w:rPr>
          <w:sz w:val="20"/>
          <w:szCs w:val="20"/>
          <w:color w:val="auto"/>
        </w:rPr>
      </w:pPr>
    </w:p>
    <w:p>
      <w:pPr>
        <w:ind w:left="660" w:firstLine="644"/>
        <w:spacing w:after="0" w:line="259" w:lineRule="auto"/>
        <w:tabs>
          <w:tab w:leader="none" w:pos="15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206" w:lineRule="exact"/>
        <w:rPr>
          <w:rFonts w:ascii="Arial" w:cs="Arial" w:eastAsia="Arial" w:hAnsi="Arial"/>
          <w:sz w:val="18"/>
          <w:szCs w:val="18"/>
          <w:color w:val="auto"/>
        </w:rPr>
      </w:pPr>
    </w:p>
    <w:p>
      <w:pPr>
        <w:ind w:left="1600" w:hanging="296"/>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7" w:right="339" w:bottom="1440" w:gutter="0" w:footer="0" w:header="0"/>
        </w:sectPr>
      </w:pPr>
    </w:p>
    <w:bookmarkStart w:id="9" w:name="page10"/>
    <w:bookmarkEnd w:id="9"/>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the occurrence of both a Change of Control and a Below Investment Grade Rating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Tangible Assets</w:t>
      </w:r>
      <w:r>
        <w:rPr>
          <w:rFonts w:ascii="Arial" w:cs="Arial" w:eastAsia="Arial" w:hAnsi="Arial"/>
          <w:sz w:val="18"/>
          <w:szCs w:val="18"/>
          <w:color w:val="auto"/>
        </w:rPr>
        <w:t>”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08" w:lineRule="exact"/>
        <w:rPr>
          <w:sz w:val="20"/>
          <w:szCs w:val="20"/>
          <w:color w:val="auto"/>
        </w:rPr>
      </w:pPr>
    </w:p>
    <w:p>
      <w:pPr>
        <w:ind w:right="46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8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will not bear the Global Note Legend.</w:t>
      </w:r>
    </w:p>
    <w:p>
      <w:pPr>
        <w:spacing w:after="0" w:line="180"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2.1 hereof as the Depositary with respect to such Notes, and any and all successors thereto appointed as depositary hereunder.</w:t>
      </w:r>
    </w:p>
    <w:p>
      <w:pPr>
        <w:spacing w:after="0" w:line="18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80"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8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Notes</w:t>
      </w:r>
      <w:r>
        <w:rPr>
          <w:rFonts w:ascii="Arial" w:cs="Arial" w:eastAsia="Arial" w:hAnsi="Arial"/>
          <w:sz w:val="18"/>
          <w:szCs w:val="18"/>
          <w:color w:val="auto"/>
        </w:rPr>
        <w:t xml:space="preserve">” means, individually and collectively,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2.1 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the accreted value of the Indebtedness, in the case of any Indebtedness that does not require the current payment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w:t>
      </w:r>
    </w:p>
    <w:p>
      <w:pPr>
        <w:spacing w:after="0" w:line="234" w:lineRule="exact"/>
        <w:rPr>
          <w:sz w:val="20"/>
          <w:szCs w:val="20"/>
          <w:color w:val="auto"/>
        </w:rPr>
      </w:pPr>
    </w:p>
    <w:p>
      <w:pPr>
        <w:ind w:left="1580" w:hanging="276"/>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52" w:lineRule="exact"/>
        <w:rPr>
          <w:rFonts w:ascii="Arial" w:cs="Arial" w:eastAsia="Arial" w:hAnsi="Arial"/>
          <w:sz w:val="18"/>
          <w:szCs w:val="18"/>
          <w:color w:val="auto"/>
        </w:rPr>
      </w:pPr>
    </w:p>
    <w:p>
      <w:pPr>
        <w:jc w:val="both"/>
        <w:ind w:left="660" w:right="220" w:firstLine="644"/>
        <w:spacing w:after="0" w:line="268" w:lineRule="auto"/>
        <w:tabs>
          <w:tab w:leader="none" w:pos="157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98" w:lineRule="exact"/>
        <w:rPr>
          <w:sz w:val="20"/>
          <w:szCs w:val="20"/>
          <w:color w:val="auto"/>
        </w:rPr>
      </w:pPr>
    </w:p>
    <w:p>
      <w:pPr>
        <w:ind w:right="480" w:firstLine="648"/>
        <w:spacing w:after="0" w:line="28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80"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Notes</w:t>
      </w:r>
      <w:r>
        <w:rPr>
          <w:rFonts w:ascii="Arial" w:cs="Arial" w:eastAsia="Arial" w:hAnsi="Arial"/>
          <w:sz w:val="18"/>
          <w:szCs w:val="18"/>
          <w:color w:val="auto"/>
        </w:rPr>
        <w:t>” means the $750,000,000 aggregate principal amount of Notes issued under this Supplemental Indenture on the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34"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w:t>
      </w:r>
      <w:r>
        <w:rPr>
          <w:rFonts w:ascii="Arial" w:cs="Arial" w:eastAsia="Arial" w:hAnsi="Arial"/>
          <w:sz w:val="18"/>
          <w:szCs w:val="18"/>
          <w:color w:val="auto"/>
        </w:rPr>
        <w:t>” means a rating of BBB- or better by Fitch (or its equivalent under any successor rating categories of Fitch), Baa3 or better by Moody’s (or its equivalent under any successor rating categories of Moody’s) and a rating of BBB- or better by S&amp;P (or its equivalent under any successor rating categories of S&amp;P) or the equivalent investment grade credit rating from any additional Rating Agency or Rating Agencies selected by the Company.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5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means Moody’s Investors Service, Inc. and any successor to its rating agency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206"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the Company’s 5.875% Senior Notes due 2033; provided that the Initial Notes and the Additional Notes, if any, will be treated as a single Series for all purposes under this Supplemental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1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Indenture, and unless the context otherwise requires, all references to the Notes will include the Initial Notes and any Additional 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November 9, 2032.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5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52" w:lineRule="exact"/>
        <w:rPr>
          <w:rFonts w:ascii="Arial" w:cs="Arial" w:eastAsia="Arial" w:hAnsi="Arial"/>
          <w:sz w:val="18"/>
          <w:szCs w:val="18"/>
          <w:color w:val="auto"/>
        </w:rPr>
      </w:pPr>
    </w:p>
    <w:p>
      <w:pPr>
        <w:ind w:left="1100" w:right="80" w:hanging="444"/>
        <w:spacing w:after="0" w:line="256"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209" w:lineRule="exact"/>
        <w:rPr>
          <w:rFonts w:ascii="Arial" w:cs="Arial" w:eastAsia="Arial" w:hAnsi="Arial"/>
          <w:sz w:val="18"/>
          <w:szCs w:val="18"/>
          <w:color w:val="auto"/>
        </w:rPr>
      </w:pPr>
    </w:p>
    <w:p>
      <w:pPr>
        <w:ind w:left="1100" w:right="20" w:hanging="444"/>
        <w:spacing w:after="0" w:line="255"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211" w:lineRule="exact"/>
        <w:rPr>
          <w:rFonts w:ascii="Arial" w:cs="Arial" w:eastAsia="Arial" w:hAnsi="Arial"/>
          <w:sz w:val="18"/>
          <w:szCs w:val="18"/>
          <w:color w:val="auto"/>
        </w:rPr>
      </w:pPr>
    </w:p>
    <w:p>
      <w:pPr>
        <w:ind w:left="1100" w:hanging="444"/>
        <w:spacing w:after="0" w:line="255"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207" w:lineRule="exact"/>
        <w:rPr>
          <w:rFonts w:ascii="Arial" w:cs="Arial" w:eastAsia="Arial" w:hAnsi="Arial"/>
          <w:sz w:val="18"/>
          <w:szCs w:val="18"/>
          <w:color w:val="auto"/>
        </w:rPr>
      </w:pPr>
    </w:p>
    <w:p>
      <w:pPr>
        <w:jc w:val="both"/>
        <w:ind w:left="1100" w:right="80" w:hanging="444"/>
        <w:spacing w:after="0" w:line="268" w:lineRule="auto"/>
        <w:tabs>
          <w:tab w:leader="none" w:pos="10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of the Company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17" w:right="379" w:bottom="1440" w:gutter="0" w:footer="0" w:header="0"/>
        </w:sectPr>
      </w:pPr>
    </w:p>
    <w:bookmarkStart w:id="12" w:name="page13"/>
    <w:bookmarkEnd w:id="12"/>
    <w:p>
      <w:pPr>
        <w:spacing w:after="0" w:line="220"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52" w:lineRule="exact"/>
        <w:rPr>
          <w:rFonts w:ascii="Arial" w:cs="Arial" w:eastAsia="Arial" w:hAnsi="Arial"/>
          <w:sz w:val="18"/>
          <w:szCs w:val="18"/>
          <w:color w:val="auto"/>
        </w:rPr>
      </w:pPr>
    </w:p>
    <w:p>
      <w:pPr>
        <w:ind w:left="1100" w:right="140" w:hanging="444"/>
        <w:spacing w:after="0" w:line="268"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97" w:lineRule="exact"/>
        <w:rPr>
          <w:rFonts w:ascii="Arial" w:cs="Arial" w:eastAsia="Arial" w:hAnsi="Arial"/>
          <w:sz w:val="18"/>
          <w:szCs w:val="18"/>
          <w:color w:val="auto"/>
        </w:rPr>
      </w:pPr>
    </w:p>
    <w:p>
      <w:pPr>
        <w:ind w:left="1100" w:right="280" w:hanging="444"/>
        <w:spacing w:after="0" w:line="287" w:lineRule="auto"/>
        <w:tabs>
          <w:tab w:leader="none" w:pos="10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9" w:lineRule="exact"/>
        <w:rPr>
          <w:rFonts w:ascii="Arial" w:cs="Arial" w:eastAsia="Arial" w:hAnsi="Arial"/>
          <w:sz w:val="18"/>
          <w:szCs w:val="18"/>
          <w:color w:val="auto"/>
        </w:rPr>
      </w:pPr>
    </w:p>
    <w:p>
      <w:pPr>
        <w:ind w:left="1100" w:right="60" w:hanging="444"/>
        <w:spacing w:after="0" w:line="257"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09" w:lineRule="exact"/>
        <w:rPr>
          <w:rFonts w:ascii="Arial" w:cs="Arial" w:eastAsia="Arial" w:hAnsi="Arial"/>
          <w:sz w:val="18"/>
          <w:szCs w:val="18"/>
          <w:color w:val="auto"/>
        </w:rPr>
      </w:pPr>
    </w:p>
    <w:p>
      <w:pPr>
        <w:ind w:left="1100" w:hanging="444"/>
        <w:spacing w:after="0" w:line="259" w:lineRule="auto"/>
        <w:tabs>
          <w:tab w:leader="none" w:pos="1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206" w:lineRule="exact"/>
        <w:rPr>
          <w:rFonts w:ascii="Arial" w:cs="Arial" w:eastAsia="Arial" w:hAnsi="Arial"/>
          <w:sz w:val="18"/>
          <w:szCs w:val="18"/>
          <w:color w:val="auto"/>
        </w:rPr>
      </w:pPr>
    </w:p>
    <w:p>
      <w:pPr>
        <w:jc w:val="both"/>
        <w:ind w:left="1100" w:right="160" w:hanging="444"/>
        <w:spacing w:after="0" w:line="268"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created, incurred or assumed in connection with an industrial revenue bond, pollution control bond or similar financing between the Company or any of its Subsidiaries and any federal, state or municipal government or other government body or quasi-governmental agency;</w:t>
      </w:r>
    </w:p>
    <w:p>
      <w:pPr>
        <w:spacing w:after="0" w:line="197" w:lineRule="exact"/>
        <w:rPr>
          <w:rFonts w:ascii="Arial" w:cs="Arial" w:eastAsia="Arial" w:hAnsi="Arial"/>
          <w:sz w:val="18"/>
          <w:szCs w:val="18"/>
          <w:color w:val="auto"/>
        </w:rPr>
      </w:pPr>
    </w:p>
    <w:p>
      <w:pPr>
        <w:ind w:left="1100" w:right="380" w:hanging="444"/>
        <w:spacing w:after="0" w:line="287"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created in connection with the acquisition of assets or a project financed with, and created to secure a Nonrecourse Obligation; and</w:t>
      </w:r>
    </w:p>
    <w:p>
      <w:pPr>
        <w:spacing w:after="0" w:line="179" w:lineRule="exact"/>
        <w:rPr>
          <w:rFonts w:ascii="Arial" w:cs="Arial" w:eastAsia="Arial" w:hAnsi="Arial"/>
          <w:sz w:val="18"/>
          <w:szCs w:val="18"/>
          <w:color w:val="auto"/>
        </w:rPr>
      </w:pPr>
    </w:p>
    <w:p>
      <w:pPr>
        <w:ind w:left="1100" w:hanging="444"/>
        <w:spacing w:after="0" w:line="253" w:lineRule="auto"/>
        <w:tabs>
          <w:tab w:leader="none" w:pos="1166"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w:t>
      </w:r>
    </w:p>
    <w:p>
      <w:pPr>
        <w:spacing w:after="0" w:line="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 through (13).</w:t>
      </w:r>
    </w:p>
    <w:p>
      <w:pPr>
        <w:spacing w:after="0" w:line="23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means any single parcel (or group of contiguous parcels that comprise the same facility, office or plant) of real property or any permanent improvement thereon (1) owned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40" w:right="379" w:bottom="1440" w:gutter="0" w:footer="0" w:header="0"/>
        </w:sectPr>
      </w:pPr>
    </w:p>
    <w:bookmarkStart w:id="13" w:name="page14"/>
    <w:bookmarkEnd w:id="13"/>
    <w:p>
      <w:pPr>
        <w:ind w:right="80"/>
        <w:spacing w:after="0" w:line="257" w:lineRule="auto"/>
        <w:rPr>
          <w:sz w:val="20"/>
          <w:szCs w:val="20"/>
          <w:color w:val="auto"/>
        </w:rPr>
      </w:pPr>
      <w:r>
        <w:rPr>
          <w:rFonts w:ascii="Arial" w:cs="Arial" w:eastAsia="Arial" w:hAnsi="Arial"/>
          <w:sz w:val="18"/>
          <w:szCs w:val="18"/>
          <w:color w:val="auto"/>
        </w:rPr>
        <w:t>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of the Company.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09"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Rating Agency</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203"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Remaining Scheduled Payments</w:t>
      </w:r>
      <w:r>
        <w:rPr>
          <w:rFonts w:ascii="Arial" w:cs="Arial" w:eastAsia="Arial" w:hAnsi="Arial"/>
          <w:sz w:val="18"/>
          <w:szCs w:val="18"/>
          <w:color w:val="auto"/>
        </w:rPr>
        <w:t>” means, with respect to any Notes being redeemed, the sum of the present values of the remaining scheduled payments of the principal and interest thereon discounted to the redemption date (assuming the Notes matured on the Par Call Date) on a semi-annual basis (assuming a 360-day year consisting of twelve 30-day months) at the Treasury Rate plus 40 basis points.</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Subsidiary</w:t>
      </w:r>
      <w:r>
        <w:rPr>
          <w:rFonts w:ascii="Arial" w:cs="Arial" w:eastAsia="Arial" w:hAnsi="Arial"/>
          <w:sz w:val="18"/>
          <w:szCs w:val="18"/>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means S&amp;P Global Ratings, and any successor to its rating agency business.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means an arrangement with any lender or investor or to which such lender or investor is a party providing for the 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209" w:lineRule="exact"/>
        <w:rPr>
          <w:sz w:val="20"/>
          <w:szCs w:val="20"/>
          <w:color w:val="auto"/>
        </w:rPr>
      </w:pPr>
    </w:p>
    <w:p>
      <w:pPr>
        <w:ind w:right="480" w:firstLine="64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80"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Sixth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17" w:right="359" w:bottom="1440" w:gutter="0" w:footer="0" w:header="0"/>
        </w:sectPr>
      </w:pPr>
    </w:p>
    <w:bookmarkStart w:id="14" w:name="page15"/>
    <w:bookmarkEnd w:id="14"/>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means, with respect to any redemption date, the yield determined by the Company in the following manner:</w:t>
      </w:r>
    </w:p>
    <w:p>
      <w:pPr>
        <w:spacing w:after="0" w:line="252"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Arial" w:cs="Arial" w:eastAsia="Arial" w:hAnsi="Arial"/>
          <w:sz w:val="18"/>
          <w:szCs w:val="18"/>
          <w:b w:val="1"/>
          <w:bCs w:val="1"/>
          <w:i w:val="1"/>
          <w:iCs w:val="1"/>
          <w:color w:val="auto"/>
        </w:rPr>
        <w:t>H.15</w:t>
      </w:r>
      <w:r>
        <w:rPr>
          <w:rFonts w:ascii="Arial" w:cs="Arial" w:eastAsia="Arial" w:hAnsi="Arial"/>
          <w:sz w:val="18"/>
          <w:szCs w:val="18"/>
          <w:color w:val="auto"/>
        </w:rPr>
        <w:t>”) under the caption “U.S. government securities – Treasury constant maturities – Nominal” (or any successor caption or heading) (“</w:t>
      </w:r>
      <w:r>
        <w:rPr>
          <w:rFonts w:ascii="Arial" w:cs="Arial" w:eastAsia="Arial" w:hAnsi="Arial"/>
          <w:sz w:val="18"/>
          <w:szCs w:val="18"/>
          <w:b w:val="1"/>
          <w:bCs w:val="1"/>
          <w:i w:val="1"/>
          <w:iCs w:val="1"/>
          <w:color w:val="auto"/>
        </w:rPr>
        <w:t>H.15 TCM</w:t>
      </w:r>
      <w:r>
        <w:rPr>
          <w:rFonts w:ascii="Arial" w:cs="Arial" w:eastAsia="Arial" w:hAnsi="Arial"/>
          <w:sz w:val="18"/>
          <w:szCs w:val="18"/>
          <w:color w:val="auto"/>
        </w:rPr>
        <w:t>”). In determining the Treasury Rate, the Company shall select, as applicable: (1) the yield for the Treasury constant maturity on H.15 exactly equal to the period from the redemption date to the Par Call Date (the “</w:t>
      </w:r>
      <w:r>
        <w:rPr>
          <w:rFonts w:ascii="Arial" w:cs="Arial" w:eastAsia="Arial" w:hAnsi="Arial"/>
          <w:sz w:val="18"/>
          <w:szCs w:val="18"/>
          <w:b w:val="1"/>
          <w:bCs w:val="1"/>
          <w:i w:val="1"/>
          <w:iCs w:val="1"/>
          <w:color w:val="auto"/>
        </w:rPr>
        <w:t>Remaining Life</w:t>
      </w:r>
      <w:r>
        <w:rPr>
          <w:rFonts w:ascii="Arial" w:cs="Arial" w:eastAsia="Arial" w:hAnsi="Arial"/>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10"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1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7"/>
        </w:trPr>
        <w:tc>
          <w:tcPr>
            <w:tcW w:w="9600" w:type="dxa"/>
            <w:vAlign w:val="bottom"/>
            <w:gridSpan w:val="2"/>
          </w:tcPr>
          <w:p>
            <w:pPr>
              <w:ind w:left="660"/>
              <w:spacing w:after="0"/>
              <w:rPr>
                <w:sz w:val="20"/>
                <w:szCs w:val="20"/>
                <w:color w:val="auto"/>
              </w:rPr>
            </w:pPr>
            <w:r>
              <w:rPr>
                <w:rFonts w:ascii="Arial" w:cs="Arial" w:eastAsia="Arial" w:hAnsi="Arial"/>
                <w:sz w:val="18"/>
                <w:szCs w:val="18"/>
                <w:i w:val="1"/>
                <w:iCs w:val="1"/>
                <w:color w:val="auto"/>
              </w:rPr>
              <w:t>Other Definitions</w:t>
            </w:r>
          </w:p>
        </w:tc>
        <w:tc>
          <w:tcPr>
            <w:tcW w:w="1640" w:type="dxa"/>
            <w:vAlign w:val="bottom"/>
          </w:tcPr>
          <w:p>
            <w:pPr>
              <w:spacing w:after="0"/>
              <w:rPr>
                <w:sz w:val="20"/>
                <w:szCs w:val="20"/>
                <w:color w:val="auto"/>
              </w:rPr>
            </w:pPr>
          </w:p>
        </w:tc>
      </w:tr>
      <w:tr>
        <w:trPr>
          <w:trHeight w:val="253"/>
        </w:trPr>
        <w:tc>
          <w:tcPr>
            <w:tcW w:w="9600" w:type="dxa"/>
            <w:vAlign w:val="bottom"/>
            <w:gridSpan w:val="2"/>
          </w:tcPr>
          <w:p>
            <w:pPr>
              <w:ind w:left="4500"/>
              <w:spacing w:after="0"/>
              <w:rPr>
                <w:sz w:val="20"/>
                <w:szCs w:val="20"/>
                <w:color w:val="auto"/>
              </w:rPr>
            </w:pPr>
            <w:r>
              <w:rPr>
                <w:rFonts w:ascii="Arial" w:cs="Arial" w:eastAsia="Arial" w:hAnsi="Arial"/>
                <w:sz w:val="18"/>
                <w:szCs w:val="18"/>
                <w:b w:val="1"/>
                <w:bCs w:val="1"/>
                <w:color w:val="auto"/>
              </w:rPr>
              <w:t>Term</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Defined in Section</w:t>
            </w:r>
          </w:p>
        </w:tc>
      </w:tr>
      <w:tr>
        <w:trPr>
          <w:trHeight w:val="232"/>
        </w:trPr>
        <w:tc>
          <w:tcPr>
            <w:tcW w:w="942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“Change of Control Purchase Date”</w:t>
            </w:r>
          </w:p>
        </w:tc>
        <w:tc>
          <w:tcPr>
            <w:tcW w:w="18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r>
      <w:tr>
        <w:trPr>
          <w:trHeight w:val="251"/>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“Change of Control Purchase Price”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“DTC”</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2.1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“Expiration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20"/>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Payment Date”</w:t>
            </w:r>
          </w:p>
        </w:tc>
        <w:tc>
          <w:tcPr>
            <w:tcW w:w="1640" w:type="dxa"/>
            <w:vAlign w:val="bottom"/>
          </w:tcPr>
          <w:p>
            <w:pPr>
              <w:jc w:val="center"/>
              <w:spacing w:after="0"/>
              <w:rPr>
                <w:sz w:val="20"/>
                <w:szCs w:val="20"/>
                <w:color w:val="auto"/>
              </w:rPr>
            </w:pPr>
            <w:r>
              <w:rPr>
                <w:rFonts w:ascii="Arial" w:cs="Arial" w:eastAsia="Arial" w:hAnsi="Arial"/>
                <w:sz w:val="18"/>
                <w:szCs w:val="18"/>
                <w:color w:val="auto"/>
              </w:rPr>
              <w:t>Paragraph 1 of</w:t>
            </w:r>
          </w:p>
        </w:tc>
      </w:tr>
      <w:tr>
        <w:trPr>
          <w:trHeight w:val="239"/>
        </w:trPr>
        <w:tc>
          <w:tcPr>
            <w:tcW w:w="9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Exhibit A</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“Offer to Purchase”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57"/>
        </w:trPr>
        <w:tc>
          <w:tcPr>
            <w:tcW w:w="9600" w:type="dxa"/>
            <w:vAlign w:val="bottom"/>
            <w:gridSpan w:val="2"/>
          </w:tcPr>
          <w:p>
            <w:pPr>
              <w:ind w:left="20"/>
              <w:spacing w:after="0"/>
              <w:rPr>
                <w:sz w:val="20"/>
                <w:szCs w:val="20"/>
                <w:color w:val="auto"/>
              </w:rPr>
            </w:pPr>
            <w:r>
              <w:rPr>
                <w:rFonts w:ascii="Arial" w:cs="Arial" w:eastAsia="Arial" w:hAnsi="Arial"/>
                <w:sz w:val="18"/>
                <w:szCs w:val="18"/>
                <w:i w:val="1"/>
                <w:iCs w:val="1"/>
                <w:color w:val="auto"/>
              </w:rPr>
              <w:t>“Second Change of Control Purchase Date”</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4.1</w:t>
            </w:r>
          </w:p>
        </w:tc>
      </w:tr>
    </w:tbl>
    <w:p>
      <w:pPr>
        <w:spacing w:after="0" w:line="34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NOTES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8"/>
          <w:szCs w:val="18"/>
          <w:i w:val="1"/>
          <w:iCs w:val="1"/>
          <w:color w:val="auto"/>
        </w:rPr>
        <w:t>Form and Dating.</w:t>
      </w:r>
    </w:p>
    <w:p>
      <w:pPr>
        <w:spacing w:after="0" w:line="252" w:lineRule="exact"/>
        <w:rPr>
          <w:sz w:val="20"/>
          <w:szCs w:val="20"/>
          <w:color w:val="auto"/>
        </w:rPr>
      </w:pPr>
    </w:p>
    <w:p>
      <w:pPr>
        <w:ind w:right="20" w:firstLine="1304"/>
        <w:spacing w:after="0" w:line="262" w:lineRule="auto"/>
        <w:tabs>
          <w:tab w:leader="none" w:pos="171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Notes and the Trustee’s certificate of authentication with respect thereto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203"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205" w:lineRule="exact"/>
        <w:rPr>
          <w:sz w:val="20"/>
          <w:szCs w:val="20"/>
          <w:color w:val="auto"/>
        </w:rPr>
      </w:pPr>
    </w:p>
    <w:p>
      <w:pPr>
        <w:ind w:left="1720" w:hanging="416"/>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50" w:lineRule="exact"/>
        <w:rPr>
          <w:rFonts w:ascii="Arial" w:cs="Arial" w:eastAsia="Arial" w:hAnsi="Arial"/>
          <w:sz w:val="18"/>
          <w:szCs w:val="18"/>
          <w:color w:val="auto"/>
        </w:rPr>
      </w:pPr>
    </w:p>
    <w:p>
      <w:pPr>
        <w:ind w:right="260" w:firstLine="1952"/>
        <w:spacing w:after="0" w:line="268" w:lineRule="auto"/>
        <w:tabs>
          <w:tab w:leader="none" w:pos="23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97" w:lineRule="exact"/>
        <w:rPr>
          <w:rFonts w:ascii="Arial" w:cs="Arial" w:eastAsia="Arial" w:hAnsi="Arial"/>
          <w:sz w:val="18"/>
          <w:szCs w:val="18"/>
          <w:color w:val="auto"/>
        </w:rPr>
      </w:pPr>
    </w:p>
    <w:p>
      <w:pPr>
        <w:ind w:right="20" w:firstLine="1952"/>
        <w:spacing w:after="0" w:line="258" w:lineRule="auto"/>
        <w:tabs>
          <w:tab w:leader="none" w:pos="2364"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act as Depositary with respect to the Global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16" w:name="page17"/>
    <w:bookmarkEnd w:id="16"/>
    <w:p>
      <w:pPr>
        <w:ind w:left="660"/>
        <w:spacing w:after="0"/>
        <w:tabs>
          <w:tab w:leader="none" w:pos="17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i w:val="1"/>
          <w:iCs w:val="1"/>
          <w:color w:val="auto"/>
        </w:rPr>
        <w:t>Transfer and Exchange.</w:t>
      </w:r>
    </w:p>
    <w:p>
      <w:pPr>
        <w:spacing w:after="0" w:line="252" w:lineRule="exact"/>
        <w:rPr>
          <w:sz w:val="20"/>
          <w:szCs w:val="20"/>
          <w:color w:val="auto"/>
        </w:rPr>
      </w:pPr>
    </w:p>
    <w:p>
      <w:pPr>
        <w:ind w:right="60" w:firstLine="1304"/>
        <w:spacing w:after="0" w:line="262" w:lineRule="auto"/>
        <w:tabs>
          <w:tab w:leader="none" w:pos="171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w:t>
      </w:r>
      <w:r>
        <w:rPr>
          <w:rFonts w:ascii="Arial" w:cs="Arial" w:eastAsia="Arial" w:hAnsi="Arial"/>
          <w:sz w:val="18"/>
          <w:szCs w:val="18"/>
          <w:i w:val="1"/>
          <w:iCs w:val="1"/>
          <w:color w:val="auto"/>
        </w:rPr>
        <w:t xml:space="preserve"> </w:t>
      </w:r>
      <w:r>
        <w:rPr>
          <w:rFonts w:ascii="Arial" w:cs="Arial" w:eastAsia="Arial" w:hAnsi="Arial"/>
          <w:sz w:val="18"/>
          <w:szCs w:val="18"/>
          <w:color w:val="auto"/>
        </w:rPr>
        <w:t>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203" w:lineRule="exact"/>
        <w:rPr>
          <w:sz w:val="20"/>
          <w:szCs w:val="20"/>
          <w:color w:val="auto"/>
        </w:rPr>
      </w:pPr>
    </w:p>
    <w:p>
      <w:pPr>
        <w:ind w:right="420" w:firstLine="1304"/>
        <w:spacing w:after="0" w:line="268"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97" w:lineRule="exact"/>
        <w:rPr>
          <w:rFonts w:ascii="Arial" w:cs="Arial" w:eastAsia="Arial" w:hAnsi="Arial"/>
          <w:sz w:val="18"/>
          <w:szCs w:val="18"/>
          <w:color w:val="auto"/>
        </w:rPr>
      </w:pPr>
    </w:p>
    <w:p>
      <w:pPr>
        <w:ind w:right="460" w:firstLine="1304"/>
        <w:spacing w:after="0" w:line="287"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(in whole but not in part) should be exchanged for Definitive Notes; or</w:t>
      </w:r>
    </w:p>
    <w:p>
      <w:pPr>
        <w:spacing w:after="0" w:line="179" w:lineRule="exact"/>
        <w:rPr>
          <w:rFonts w:ascii="Arial" w:cs="Arial" w:eastAsia="Arial" w:hAnsi="Arial"/>
          <w:sz w:val="18"/>
          <w:szCs w:val="18"/>
          <w:color w:val="auto"/>
        </w:rPr>
      </w:pPr>
    </w:p>
    <w:p>
      <w:pPr>
        <w:ind w:right="200" w:firstLine="1304"/>
        <w:spacing w:after="0" w:line="287" w:lineRule="auto"/>
        <w:tabs>
          <w:tab w:leader="none" w:pos="15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in its sole discretion and subject to the procedures of the Depositary determines that the Global Notes (in whole but not in part) should be exchanged for Definitive Notes and delivers a written notice to such effect to the Trustee.</w:t>
      </w:r>
    </w:p>
    <w:p>
      <w:pPr>
        <w:spacing w:after="0" w:line="180"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Upon the occurrence of either of the preceding events in (1), (2) or (3)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210" w:lineRule="exact"/>
        <w:rPr>
          <w:sz w:val="20"/>
          <w:szCs w:val="20"/>
          <w:color w:val="auto"/>
        </w:rPr>
      </w:pPr>
    </w:p>
    <w:p>
      <w:pPr>
        <w:ind w:firstLine="1304"/>
        <w:spacing w:after="0" w:line="262" w:lineRule="auto"/>
        <w:tabs>
          <w:tab w:leader="none" w:pos="17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203" w:lineRule="exact"/>
        <w:rPr>
          <w:rFonts w:ascii="Arial" w:cs="Arial" w:eastAsia="Arial" w:hAnsi="Arial"/>
          <w:sz w:val="18"/>
          <w:szCs w:val="18"/>
          <w:color w:val="auto"/>
        </w:rPr>
      </w:pPr>
    </w:p>
    <w:p>
      <w:pPr>
        <w:ind w:right="180" w:firstLine="1952"/>
        <w:spacing w:after="0" w:line="268" w:lineRule="auto"/>
        <w:tabs>
          <w:tab w:leader="none" w:pos="2364"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persons who take delivery thereof in the form of a beneficial interest in a Global Note. No written orders or instructions will be required to be delivered to the Registrar to effect the transfers described in this Section 2.2(b)(1).</w:t>
      </w:r>
    </w:p>
    <w:p>
      <w:pPr>
        <w:spacing w:after="0" w:line="197" w:lineRule="exact"/>
        <w:rPr>
          <w:rFonts w:ascii="Arial" w:cs="Arial" w:eastAsia="Arial" w:hAnsi="Arial"/>
          <w:sz w:val="18"/>
          <w:szCs w:val="18"/>
          <w:color w:val="auto"/>
        </w:rPr>
      </w:pPr>
    </w:p>
    <w:p>
      <w:pPr>
        <w:jc w:val="both"/>
        <w:ind w:right="120" w:firstLine="1952"/>
        <w:spacing w:after="0" w:line="268" w:lineRule="auto"/>
        <w:tabs>
          <w:tab w:leader="none" w:pos="2357"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exchanges of beneficial interests that are not subject to Section 2.2(b)(1) above, the transferor of such beneficial interest must deliver to the Registrar:</w:t>
      </w:r>
    </w:p>
    <w:p>
      <w:pPr>
        <w:spacing w:after="0" w:line="197" w:lineRule="exact"/>
        <w:rPr>
          <w:rFonts w:ascii="Arial" w:cs="Arial" w:eastAsia="Arial" w:hAnsi="Arial"/>
          <w:sz w:val="18"/>
          <w:szCs w:val="18"/>
          <w:color w:val="auto"/>
        </w:rPr>
      </w:pPr>
    </w:p>
    <w:p>
      <w:pPr>
        <w:ind w:right="60" w:firstLine="2600"/>
        <w:spacing w:after="0" w:line="268" w:lineRule="auto"/>
        <w:tabs>
          <w:tab w:leader="none" w:pos="2952" w:val="left"/>
        </w:tabs>
        <w:numPr>
          <w:ilvl w:val="2"/>
          <w:numId w:val="10"/>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97" w:lineRule="exact"/>
        <w:rPr>
          <w:rFonts w:ascii="Arial" w:cs="Arial" w:eastAsia="Arial" w:hAnsi="Arial"/>
          <w:sz w:val="18"/>
          <w:szCs w:val="18"/>
          <w:color w:val="auto"/>
        </w:rPr>
      </w:pPr>
    </w:p>
    <w:p>
      <w:pPr>
        <w:ind w:right="220" w:firstLine="2600"/>
        <w:spacing w:after="0" w:line="287" w:lineRule="auto"/>
        <w:tabs>
          <w:tab w:leader="none" w:pos="2992" w:val="left"/>
        </w:tabs>
        <w:numPr>
          <w:ilvl w:val="2"/>
          <w:numId w:val="10"/>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17" w:right="359" w:bottom="1440" w:gutter="0" w:footer="0" w:header="0"/>
        </w:sectPr>
      </w:pPr>
    </w:p>
    <w:bookmarkStart w:id="17" w:name="page18"/>
    <w:bookmarkEnd w:id="17"/>
    <w:p>
      <w:pPr>
        <w:ind w:right="140" w:firstLine="648"/>
        <w:spacing w:after="0" w:line="268"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Supplemental Indenture and the Notes, as evidenced by an Officer’s Certificate delivered to the Trustee, the Trustee will adjust the principal amount of the relevant Global Note(s) pursuant to Section 2.2(f) hereof.</w:t>
      </w:r>
    </w:p>
    <w:p>
      <w:pPr>
        <w:spacing w:after="0" w:line="198" w:lineRule="exact"/>
        <w:rPr>
          <w:sz w:val="20"/>
          <w:szCs w:val="20"/>
          <w:color w:val="auto"/>
        </w:rPr>
      </w:pPr>
    </w:p>
    <w:p>
      <w:pPr>
        <w:ind w:left="1720" w:hanging="416"/>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5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applicable Global Notes.</w:t>
      </w:r>
    </w:p>
    <w:p>
      <w:pPr>
        <w:spacing w:after="0" w:line="203"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the previous paragraph at a time when a Global Note has not yet been issued, the Company will issue and, upon receipt of a Company Order, the Trustee will authenticate one or more Global Notes in an aggregate principal amount equal to the principal amount of Definitive Notes so transferred.</w:t>
      </w:r>
    </w:p>
    <w:p>
      <w:pPr>
        <w:spacing w:after="0" w:line="198" w:lineRule="exact"/>
        <w:rPr>
          <w:sz w:val="20"/>
          <w:szCs w:val="20"/>
          <w:color w:val="auto"/>
        </w:rPr>
      </w:pPr>
    </w:p>
    <w:p>
      <w:pPr>
        <w:ind w:firstLine="1223"/>
        <w:spacing w:after="0" w:line="256" w:lineRule="auto"/>
        <w:tabs>
          <w:tab w:leader="none" w:pos="163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A Holder of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 Definitive Note.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209" w:lineRule="exact"/>
        <w:rPr>
          <w:rFonts w:ascii="Arial" w:cs="Arial" w:eastAsia="Arial" w:hAnsi="Arial"/>
          <w:sz w:val="18"/>
          <w:szCs w:val="18"/>
          <w:i w:val="1"/>
          <w:iCs w:val="1"/>
          <w:color w:val="auto"/>
        </w:rPr>
      </w:pPr>
    </w:p>
    <w:p>
      <w:pPr>
        <w:ind w:right="240" w:firstLine="1304"/>
        <w:spacing w:after="0" w:line="287" w:lineRule="auto"/>
        <w:tabs>
          <w:tab w:leader="none" w:pos="1716"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specifically stated otherwise in the applicable provisions of this Supplemental Indenture.</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21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9" w:lineRule="exact"/>
        <w:rPr>
          <w:sz w:val="20"/>
          <w:szCs w:val="20"/>
          <w:color w:val="auto"/>
        </w:rPr>
      </w:pPr>
    </w:p>
    <w:p>
      <w:pPr>
        <w:ind w:right="20" w:firstLine="1304"/>
        <w:spacing w:after="0" w:line="255" w:lineRule="auto"/>
        <w:tabs>
          <w:tab w:leader="none" w:pos="166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209" w:lineRule="exact"/>
        <w:rPr>
          <w:rFonts w:ascii="Arial" w:cs="Arial" w:eastAsia="Arial" w:hAnsi="Arial"/>
          <w:sz w:val="18"/>
          <w:szCs w:val="18"/>
          <w:color w:val="auto"/>
        </w:rPr>
      </w:pPr>
    </w:p>
    <w:p>
      <w:pPr>
        <w:ind w:left="1720" w:hanging="416"/>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50" w:lineRule="exact"/>
        <w:rPr>
          <w:rFonts w:ascii="Arial" w:cs="Arial" w:eastAsia="Arial" w:hAnsi="Arial"/>
          <w:sz w:val="18"/>
          <w:szCs w:val="18"/>
          <w:color w:val="auto"/>
        </w:rPr>
      </w:pPr>
    </w:p>
    <w:p>
      <w:pPr>
        <w:ind w:right="80" w:firstLine="1952"/>
        <w:spacing w:after="0" w:line="287" w:lineRule="auto"/>
        <w:tabs>
          <w:tab w:leader="none" w:pos="23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9" w:lineRule="exact"/>
        <w:rPr>
          <w:rFonts w:ascii="Arial" w:cs="Arial" w:eastAsia="Arial" w:hAnsi="Arial"/>
          <w:sz w:val="18"/>
          <w:szCs w:val="18"/>
          <w:color w:val="auto"/>
        </w:rPr>
      </w:pPr>
    </w:p>
    <w:p>
      <w:pPr>
        <w:ind w:right="20" w:firstLine="1952"/>
        <w:spacing w:after="0" w:line="262" w:lineRule="auto"/>
        <w:tabs>
          <w:tab w:leader="none" w:pos="23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 2.11, Section 3.6 and Section 9.6 of the Base Indenture).</w:t>
      </w:r>
    </w:p>
    <w:p>
      <w:pPr>
        <w:spacing w:after="0" w:line="203" w:lineRule="exact"/>
        <w:rPr>
          <w:rFonts w:ascii="Arial" w:cs="Arial" w:eastAsia="Arial" w:hAnsi="Arial"/>
          <w:sz w:val="18"/>
          <w:szCs w:val="18"/>
          <w:color w:val="auto"/>
        </w:rPr>
      </w:pPr>
    </w:p>
    <w:p>
      <w:pPr>
        <w:ind w:right="260" w:firstLine="1952"/>
        <w:spacing w:after="0" w:line="287" w:lineRule="auto"/>
        <w:tabs>
          <w:tab w:leader="none" w:pos="23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9" w:lineRule="exact"/>
        <w:rPr>
          <w:rFonts w:ascii="Arial" w:cs="Arial" w:eastAsia="Arial" w:hAnsi="Arial"/>
          <w:sz w:val="18"/>
          <w:szCs w:val="18"/>
          <w:color w:val="auto"/>
        </w:rPr>
      </w:pPr>
    </w:p>
    <w:p>
      <w:pPr>
        <w:ind w:right="200" w:firstLine="1952"/>
        <w:spacing w:after="0" w:line="268" w:lineRule="auto"/>
        <w:tabs>
          <w:tab w:leader="none" w:pos="23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97" w:lineRule="exact"/>
        <w:rPr>
          <w:rFonts w:ascii="Arial" w:cs="Arial" w:eastAsia="Arial" w:hAnsi="Arial"/>
          <w:sz w:val="18"/>
          <w:szCs w:val="18"/>
          <w:color w:val="auto"/>
        </w:rPr>
      </w:pPr>
    </w:p>
    <w:p>
      <w:pPr>
        <w:ind w:left="2380" w:hanging="428"/>
        <w:spacing w:after="0"/>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neither the Company nor the Trustee will be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required to:</w:t>
      </w:r>
    </w:p>
    <w:p>
      <w:pPr>
        <w:spacing w:after="0" w:line="234" w:lineRule="exact"/>
        <w:rPr>
          <w:rFonts w:ascii="Arial" w:cs="Arial" w:eastAsia="Arial" w:hAnsi="Arial"/>
          <w:sz w:val="18"/>
          <w:szCs w:val="18"/>
          <w:color w:val="auto"/>
        </w:rPr>
      </w:pPr>
    </w:p>
    <w:p>
      <w:pPr>
        <w:ind w:right="600" w:firstLine="2600"/>
        <w:spacing w:after="0" w:line="268" w:lineRule="auto"/>
        <w:tabs>
          <w:tab w:leader="none" w:pos="2952" w:val="left"/>
        </w:tabs>
        <w:numPr>
          <w:ilvl w:val="2"/>
          <w:numId w:val="13"/>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17" w:right="359" w:bottom="1440" w:gutter="0" w:footer="0" w:header="0"/>
        </w:sectPr>
      </w:pPr>
    </w:p>
    <w:bookmarkStart w:id="19" w:name="page20"/>
    <w:bookmarkEnd w:id="19"/>
    <w:p>
      <w:pPr>
        <w:ind w:right="280" w:firstLine="2600"/>
        <w:spacing w:after="0" w:line="287" w:lineRule="auto"/>
        <w:tabs>
          <w:tab w:leader="none" w:pos="29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register the transfer of or to exchange any Note so selected for redemption or subject to purchase in such Offer to Purchase in whole or in part, except the unredeemed portion of any Note being redeemed or purchased in part; or</w:t>
      </w:r>
    </w:p>
    <w:p>
      <w:pPr>
        <w:spacing w:after="0" w:line="179" w:lineRule="exact"/>
        <w:rPr>
          <w:rFonts w:ascii="Arial" w:cs="Arial" w:eastAsia="Arial" w:hAnsi="Arial"/>
          <w:sz w:val="18"/>
          <w:szCs w:val="18"/>
          <w:color w:val="auto"/>
        </w:rPr>
      </w:pPr>
    </w:p>
    <w:p>
      <w:pPr>
        <w:jc w:val="both"/>
        <w:ind w:right="400" w:firstLine="2600"/>
        <w:spacing w:after="0" w:line="268" w:lineRule="auto"/>
        <w:tabs>
          <w:tab w:leader="none" w:pos="303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on or after the regular record date and before the date of redemption or purchase.</w:t>
      </w:r>
    </w:p>
    <w:p>
      <w:pPr>
        <w:spacing w:after="0" w:line="197" w:lineRule="exact"/>
        <w:rPr>
          <w:rFonts w:ascii="Arial" w:cs="Arial" w:eastAsia="Arial" w:hAnsi="Arial"/>
          <w:sz w:val="18"/>
          <w:szCs w:val="18"/>
          <w:color w:val="auto"/>
        </w:rPr>
      </w:pPr>
    </w:p>
    <w:p>
      <w:pPr>
        <w:ind w:right="20" w:firstLine="1952"/>
        <w:spacing w:after="0" w:line="262" w:lineRule="auto"/>
        <w:tabs>
          <w:tab w:leader="none" w:pos="23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203" w:lineRule="exact"/>
        <w:rPr>
          <w:rFonts w:ascii="Arial" w:cs="Arial" w:eastAsia="Arial" w:hAnsi="Arial"/>
          <w:sz w:val="18"/>
          <w:szCs w:val="18"/>
          <w:color w:val="auto"/>
        </w:rPr>
      </w:pPr>
    </w:p>
    <w:p>
      <w:pPr>
        <w:ind w:left="2360" w:hanging="40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2.3 of the Base Indenture.</w:t>
      </w:r>
    </w:p>
    <w:p>
      <w:pPr>
        <w:spacing w:after="0" w:line="234" w:lineRule="exact"/>
        <w:rPr>
          <w:sz w:val="20"/>
          <w:szCs w:val="20"/>
          <w:color w:val="auto"/>
        </w:rPr>
      </w:pPr>
    </w:p>
    <w:p>
      <w:pPr>
        <w:ind w:left="2380" w:hanging="428"/>
        <w:spacing w:after="0"/>
        <w:tabs>
          <w:tab w:leader="none" w:pos="2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rFonts w:ascii="Arial" w:cs="Arial" w:eastAsia="Arial" w:hAnsi="Arial"/>
          <w:sz w:val="18"/>
          <w:szCs w:val="18"/>
          <w:color w:val="auto"/>
        </w:rPr>
      </w:pPr>
    </w:p>
    <w:p>
      <w:pPr>
        <w:ind w:firstLine="1952"/>
        <w:spacing w:after="0" w:line="287" w:lineRule="auto"/>
        <w:tabs>
          <w:tab w:leader="none" w:pos="23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9" w:lineRule="exact"/>
        <w:rPr>
          <w:rFonts w:ascii="Arial" w:cs="Arial" w:eastAsia="Arial" w:hAnsi="Arial"/>
          <w:sz w:val="18"/>
          <w:szCs w:val="18"/>
          <w:color w:val="auto"/>
        </w:rPr>
      </w:pPr>
    </w:p>
    <w:p>
      <w:pPr>
        <w:ind w:right="80" w:firstLine="1952"/>
        <w:spacing w:after="0" w:line="259" w:lineRule="auto"/>
        <w:tabs>
          <w:tab w:leader="none" w:pos="24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206" w:lineRule="exact"/>
        <w:rPr>
          <w:rFonts w:ascii="Arial" w:cs="Arial" w:eastAsia="Arial" w:hAnsi="Arial"/>
          <w:sz w:val="18"/>
          <w:szCs w:val="18"/>
          <w:color w:val="auto"/>
        </w:rPr>
      </w:pPr>
    </w:p>
    <w:p>
      <w:pPr>
        <w:ind w:left="2460" w:hanging="508"/>
        <w:spacing w:after="0"/>
        <w:tabs>
          <w:tab w:leader="none" w:pos="2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for any actions taken or not taken by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7" w:right="339" w:bottom="1440" w:gutter="0" w:footer="0" w:header="0"/>
        </w:sectPr>
      </w:pPr>
    </w:p>
    <w:bookmarkStart w:id="20" w:name="page21"/>
    <w:bookmarkEnd w:id="20"/>
    <w:p>
      <w:pPr>
        <w:ind w:left="660"/>
        <w:spacing w:after="0"/>
        <w:tabs>
          <w:tab w:leader="none" w:pos="17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8"/>
          <w:szCs w:val="18"/>
          <w:i w:val="1"/>
          <w:iCs w:val="1"/>
          <w:color w:val="auto"/>
        </w:rPr>
        <w:t>Issuance of Additional Notes.</w:t>
      </w:r>
    </w:p>
    <w:p>
      <w:pPr>
        <w:spacing w:after="0" w:line="252" w:lineRule="exact"/>
        <w:rPr>
          <w:sz w:val="20"/>
          <w:szCs w:val="20"/>
          <w:color w:val="auto"/>
        </w:rPr>
      </w:pPr>
    </w:p>
    <w:p>
      <w:pPr>
        <w:ind w:firstLine="1304"/>
        <w:spacing w:after="0" w:line="259" w:lineRule="auto"/>
        <w:tabs>
          <w:tab w:leader="none" w:pos="17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will be entitled, upon delivery of a Company Order, Officer’s Certificate and an Opinion of Counsel, to issue Additional Notes under this Supplemental Indenture which will have identical terms as the Initial Notes issued on the date hereof, other than with respect to the date of issuance and issue price and, if applicable, the first Interest Payment Date and the initial interest accrual date. The Initial Notes issued on the date hereof and any Additional Notes issued will be treated as a single Series for all purposes under this Supplemental Indenture.</w:t>
      </w:r>
    </w:p>
    <w:p>
      <w:pPr>
        <w:spacing w:after="0" w:line="206" w:lineRule="exact"/>
        <w:rPr>
          <w:rFonts w:ascii="Arial" w:cs="Arial" w:eastAsia="Arial" w:hAnsi="Arial"/>
          <w:sz w:val="18"/>
          <w:szCs w:val="18"/>
          <w:color w:val="auto"/>
        </w:rPr>
      </w:pPr>
    </w:p>
    <w:p>
      <w:pPr>
        <w:jc w:val="both"/>
        <w:ind w:right="40" w:firstLine="1304"/>
        <w:spacing w:after="0" w:line="268" w:lineRule="auto"/>
        <w:tabs>
          <w:tab w:leader="none" w:pos="17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197" w:lineRule="exact"/>
        <w:rPr>
          <w:rFonts w:ascii="Arial" w:cs="Arial" w:eastAsia="Arial" w:hAnsi="Arial"/>
          <w:sz w:val="18"/>
          <w:szCs w:val="18"/>
          <w:color w:val="auto"/>
        </w:rPr>
      </w:pPr>
    </w:p>
    <w:p>
      <w:pPr>
        <w:ind w:left="2960" w:hanging="360"/>
        <w:spacing w:after="0"/>
        <w:tabs>
          <w:tab w:leader="none" w:pos="2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this Supplemental Indenture; and</w:t>
      </w:r>
    </w:p>
    <w:p>
      <w:pPr>
        <w:spacing w:after="0" w:line="234" w:lineRule="exact"/>
        <w:rPr>
          <w:rFonts w:ascii="Arial" w:cs="Arial" w:eastAsia="Arial" w:hAnsi="Arial"/>
          <w:sz w:val="18"/>
          <w:szCs w:val="18"/>
          <w:color w:val="auto"/>
        </w:rPr>
      </w:pPr>
    </w:p>
    <w:p>
      <w:pPr>
        <w:ind w:right="380" w:firstLine="2600"/>
        <w:spacing w:after="0" w:line="287" w:lineRule="auto"/>
        <w:tabs>
          <w:tab w:leader="none" w:pos="29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issue price, the issue date, the CUSIP number(s), the first Interest Payment Date and the initial interest accrual date of such Additional Notes.</w:t>
      </w:r>
    </w:p>
    <w:p>
      <w:pPr>
        <w:spacing w:after="0" w:line="179" w:lineRule="exact"/>
        <w:rPr>
          <w:rFonts w:ascii="Arial" w:cs="Arial" w:eastAsia="Arial" w:hAnsi="Arial"/>
          <w:sz w:val="18"/>
          <w:szCs w:val="18"/>
          <w:color w:val="auto"/>
        </w:rPr>
      </w:pPr>
    </w:p>
    <w:p>
      <w:pPr>
        <w:ind w:left="1720" w:hanging="416"/>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avoidance of doubt, the issuance of Additional Notes pursuant to this Section 2.3 is subject to Section 2.3 of the</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Base Indenture.</w:t>
      </w:r>
    </w:p>
    <w:p>
      <w:pPr>
        <w:spacing w:after="0" w:line="234" w:lineRule="exact"/>
        <w:rPr>
          <w:rFonts w:ascii="Arial" w:cs="Arial" w:eastAsia="Arial" w:hAnsi="Arial"/>
          <w:sz w:val="18"/>
          <w:szCs w:val="18"/>
          <w:color w:val="auto"/>
        </w:rPr>
      </w:pPr>
    </w:p>
    <w:p>
      <w:pPr>
        <w:ind w:right="20" w:firstLine="1304"/>
        <w:spacing w:after="0" w:line="287" w:lineRule="auto"/>
        <w:tabs>
          <w:tab w:leader="none" w:pos="170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Notes issued pursuant to this Section 2.3 shall only bear the same CUSIP number as any existing Notes if they would be fungible for United States tax purposes with such existing Notes.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i w:val="1"/>
          <w:iCs w:val="1"/>
          <w:color w:val="auto"/>
        </w:rPr>
        <w:t>Execution and Authentication.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least one Officer shall execute the Notes on behalf of the Company by manual, electronic or facsimile signature.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AND PREPAYMENT</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i w:val="1"/>
          <w:iCs w:val="1"/>
          <w:color w:val="auto"/>
        </w:rPr>
        <w:t>Optional Redemption.</w:t>
      </w:r>
    </w:p>
    <w:p>
      <w:pPr>
        <w:spacing w:after="0" w:line="252" w:lineRule="exact"/>
        <w:rPr>
          <w:sz w:val="20"/>
          <w:szCs w:val="20"/>
          <w:color w:val="auto"/>
        </w:rPr>
      </w:pPr>
    </w:p>
    <w:p>
      <w:pPr>
        <w:ind w:firstLine="1304"/>
        <w:spacing w:after="0" w:line="268" w:lineRule="auto"/>
        <w:tabs>
          <w:tab w:leader="none" w:pos="17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97" w:lineRule="exact"/>
        <w:rPr>
          <w:rFonts w:ascii="Arial" w:cs="Arial" w:eastAsia="Arial" w:hAnsi="Arial"/>
          <w:sz w:val="18"/>
          <w:szCs w:val="18"/>
          <w:color w:val="auto"/>
        </w:rPr>
      </w:pPr>
    </w:p>
    <w:p>
      <w:pPr>
        <w:ind w:left="2320" w:hanging="368"/>
        <w:spacing w:after="0"/>
        <w:tabs>
          <w:tab w:leader="none" w:pos="23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Remaining Scheduled Payments of such Notes to be redeemed, less interest accrued to the date of</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redemption; and</w:t>
      </w:r>
    </w:p>
    <w:p>
      <w:pPr>
        <w:spacing w:after="0" w:line="234" w:lineRule="exact"/>
        <w:rPr>
          <w:rFonts w:ascii="Arial" w:cs="Arial" w:eastAsia="Arial" w:hAnsi="Arial"/>
          <w:sz w:val="18"/>
          <w:szCs w:val="18"/>
          <w:color w:val="auto"/>
        </w:rPr>
      </w:pPr>
    </w:p>
    <w:p>
      <w:pPr>
        <w:ind w:left="2360" w:hanging="408"/>
        <w:spacing w:after="0"/>
        <w:tabs>
          <w:tab w:leader="none" w:pos="2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w:t>
      </w:r>
    </w:p>
    <w:p>
      <w:pPr>
        <w:spacing w:after="0" w:line="252" w:lineRule="exact"/>
        <w:rPr>
          <w:sz w:val="20"/>
          <w:szCs w:val="20"/>
          <w:color w:val="auto"/>
        </w:rPr>
      </w:pPr>
    </w:p>
    <w:p>
      <w:pPr>
        <w:jc w:val="both"/>
        <w:ind w:right="200" w:firstLine="648"/>
        <w:spacing w:after="0" w:line="268" w:lineRule="auto"/>
        <w:rPr>
          <w:sz w:val="20"/>
          <w:szCs w:val="20"/>
          <w:color w:val="auto"/>
        </w:rPr>
      </w:pPr>
      <w:r>
        <w:rPr>
          <w:rFonts w:ascii="Arial" w:cs="Arial" w:eastAsia="Arial" w:hAnsi="Arial"/>
          <w:sz w:val="18"/>
          <w:szCs w:val="18"/>
          <w:color w:val="auto"/>
        </w:rPr>
        <w:t>On or after the Par Call Date, the Company may, at its option, redeem any Notes, in whole or in part, at any time and from time to time, at a redemption price equal to 100% of the principal amount of the Notes redeemed, plus accrued and unpaid interest thereon, if any, to, but excluding, the date of redemption.</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20"/>
          </w:cols>
          <w:pgMar w:left="320" w:top="1417" w:right="359" w:bottom="1440" w:gutter="0" w:footer="0" w:header="0"/>
          <w:type w:val="continuous"/>
        </w:sectPr>
      </w:pPr>
    </w:p>
    <w:bookmarkStart w:id="21" w:name="page22"/>
    <w:bookmarkEnd w:id="21"/>
    <w:p>
      <w:pPr>
        <w:ind w:right="20" w:firstLine="648"/>
        <w:spacing w:after="0" w:line="255" w:lineRule="auto"/>
        <w:rPr>
          <w:sz w:val="20"/>
          <w:szCs w:val="20"/>
          <w:color w:val="auto"/>
        </w:rPr>
      </w:pPr>
      <w:r>
        <w:rPr>
          <w:rFonts w:ascii="Arial" w:cs="Arial" w:eastAsia="Arial" w:hAnsi="Arial"/>
          <w:sz w:val="18"/>
          <w:szCs w:val="18"/>
          <w:color w:val="auto"/>
        </w:rPr>
        <w:t xml:space="preserve">In connection with any redemption of the Notes, calculation of the redemption price therefor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 or any Agent. Notwithstanding Section 3.3 of the Base Indenture, the notice of any redemption of the Notes pursuant to that Section in respect of a redemption date occurring prior to the maturity date of the Notes need not set forth the redemption price but only the manner of calculation thereof. Notice of any redemption will be mailed or electronically delivered (or otherwise transmitted in accordance with the Depositary’s procedures) at least 10 calendar days but not more than 60 calendar days before the redemption date to each Holder of the Notes to be redeemed (with a copy to the Trustee). Any redemption or notice of redemption may, at the Company’s discretion, be subject to one or more conditions precedent.</w:t>
      </w:r>
    </w:p>
    <w:p>
      <w:pPr>
        <w:spacing w:after="0" w:line="21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180"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In the case of a partial redemption of the Notes, selection of the Notes for redemption will be made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deems fair and appropriate (provided that if the Notes are represented by one or more Global Notes, the Notes shall be selected for redemption by the Depositary in accordance with its standard procedures therefor) and may provide for the selection for redemption of a portion of the principal amount of the Notes equal to an authorized denomination.</w:t>
      </w:r>
    </w:p>
    <w:p>
      <w:pPr>
        <w:spacing w:after="0" w:line="20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No Notes of a principal amount of $2,000 or less will be redeemed in part. Notes in denominations larger than $2,000 may be redeemed in part but only in whole multiples of $1,000, unless all of the Notes held by a Holder are to be redeemed.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the Depositary, the redemption of the Notes shall be done in accordance with the policies and procedures of the Depositary.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Mandatory Redemption.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i w:val="1"/>
          <w:iCs w:val="1"/>
          <w:color w:val="auto"/>
        </w:rPr>
        <w:t>Offer to Purchase Upon Change of Control Triggering Event.</w:t>
      </w:r>
    </w:p>
    <w:p>
      <w:pPr>
        <w:spacing w:after="0" w:line="252" w:lineRule="exact"/>
        <w:rPr>
          <w:sz w:val="20"/>
          <w:szCs w:val="20"/>
          <w:color w:val="auto"/>
        </w:rPr>
      </w:pPr>
    </w:p>
    <w:p>
      <w:pPr>
        <w:ind w:firstLine="1304"/>
        <w:spacing w:after="0" w:line="271" w:lineRule="auto"/>
        <w:tabs>
          <w:tab w:leader="none" w:pos="17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 Change of Control Triggering Event occurs, unless the Company has exercised its option to redeem all Notes in full pursuant to Section 3.1 or has defeased the Notes or satisfied and discharged the Notes, the Company shall be required to make an offer (an “</w:t>
      </w:r>
      <w:r>
        <w:rPr>
          <w:rFonts w:ascii="Arial" w:cs="Arial" w:eastAsia="Arial" w:hAnsi="Arial"/>
          <w:sz w:val="17"/>
          <w:szCs w:val="17"/>
          <w:b w:val="1"/>
          <w:bCs w:val="1"/>
          <w:i w:val="1"/>
          <w:iCs w:val="1"/>
          <w:color w:val="auto"/>
        </w:rPr>
        <w:t>Offer to Purchase</w:t>
      </w:r>
      <w:r>
        <w:rPr>
          <w:rFonts w:ascii="Arial" w:cs="Arial" w:eastAsia="Arial" w:hAnsi="Arial"/>
          <w:sz w:val="17"/>
          <w:szCs w:val="17"/>
          <w:color w:val="auto"/>
        </w:rPr>
        <w:t>”) to each Holder of the Notes to purchase all or any part (equal to $2,000 and in integral multiples of $1,000 in excess thereof) of that Holder’s Notes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7"/>
          <w:szCs w:val="17"/>
          <w:b w:val="1"/>
          <w:bCs w:val="1"/>
          <w:i w:val="1"/>
          <w:iCs w:val="1"/>
          <w:color w:val="auto"/>
        </w:rPr>
        <w:t>Change of Control Purchase Price</w:t>
      </w:r>
      <w:r>
        <w:rPr>
          <w:rFonts w:ascii="Arial" w:cs="Arial" w:eastAsia="Arial" w:hAnsi="Arial"/>
          <w:sz w:val="17"/>
          <w:szCs w:val="17"/>
          <w:color w:val="auto"/>
        </w:rPr>
        <w:t>”). Not later than 60 days following any Change of Control Triggering Event, the Company shall deliver or cause to be delivered (or if the Notes are represented by one or more Global Notes, transmitted in accordance with the Depositary’s standard procedures therefor) a notice to Holders of the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7"/>
          <w:szCs w:val="17"/>
          <w:b w:val="1"/>
          <w:bCs w:val="1"/>
          <w:i w:val="1"/>
          <w:iCs w:val="1"/>
          <w:color w:val="auto"/>
        </w:rPr>
        <w:t>Expiration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and a settlement date for purchase (a “</w:t>
      </w:r>
      <w:r>
        <w:rPr>
          <w:rFonts w:ascii="Arial" w:cs="Arial" w:eastAsia="Arial" w:hAnsi="Arial"/>
          <w:sz w:val="17"/>
          <w:szCs w:val="17"/>
          <w:b w:val="1"/>
          <w:bCs w:val="1"/>
          <w:i w:val="1"/>
          <w:iCs w:val="1"/>
          <w:color w:val="auto"/>
        </w:rPr>
        <w:t>Change of Control Purchase Date</w:t>
      </w:r>
      <w:r>
        <w:rPr>
          <w:rFonts w:ascii="Arial" w:cs="Arial" w:eastAsia="Arial" w:hAnsi="Arial"/>
          <w:sz w:val="17"/>
          <w:szCs w:val="17"/>
          <w:color w:val="auto"/>
        </w:rPr>
        <w:t>”) for such Offer to Purchase of not more than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17" w:right="359" w:bottom="1440" w:gutter="0" w:footer="0" w:header="0"/>
        </w:sectPr>
      </w:pPr>
    </w:p>
    <w:bookmarkStart w:id="22" w:name="page23"/>
    <w:bookmarkEnd w:id="22"/>
    <w:p>
      <w:pPr>
        <w:ind w:right="20"/>
        <w:spacing w:after="0" w:line="268" w:lineRule="auto"/>
        <w:rPr>
          <w:sz w:val="20"/>
          <w:szCs w:val="20"/>
          <w:color w:val="auto"/>
        </w:rPr>
      </w:pPr>
      <w:r>
        <w:rPr>
          <w:rFonts w:ascii="Arial" w:cs="Arial" w:eastAsia="Arial" w:hAnsi="Arial"/>
          <w:sz w:val="18"/>
          <w:szCs w:val="18"/>
          <w:color w:val="auto"/>
        </w:rPr>
        <w:t>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198" w:lineRule="exact"/>
        <w:rPr>
          <w:sz w:val="20"/>
          <w:szCs w:val="20"/>
          <w:color w:val="auto"/>
        </w:rPr>
      </w:pPr>
    </w:p>
    <w:p>
      <w:pPr>
        <w:ind w:left="1720" w:hanging="416"/>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52" w:lineRule="exact"/>
        <w:rPr>
          <w:rFonts w:ascii="Arial" w:cs="Arial" w:eastAsia="Arial" w:hAnsi="Arial"/>
          <w:sz w:val="18"/>
          <w:szCs w:val="18"/>
          <w:color w:val="auto"/>
        </w:rPr>
      </w:pPr>
    </w:p>
    <w:p>
      <w:pPr>
        <w:ind w:right="60" w:firstLine="1871"/>
        <w:spacing w:after="0" w:line="287"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or portion of such Notes validly tendered and not withdrawn will be accepted for payment;</w:t>
      </w:r>
    </w:p>
    <w:p>
      <w:pPr>
        <w:spacing w:after="0" w:line="179"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252" w:lineRule="exact"/>
        <w:rPr>
          <w:rFonts w:ascii="Arial" w:cs="Arial" w:eastAsia="Arial" w:hAnsi="Arial"/>
          <w:sz w:val="18"/>
          <w:szCs w:val="18"/>
          <w:color w:val="auto"/>
        </w:rPr>
      </w:pPr>
    </w:p>
    <w:p>
      <w:pPr>
        <w:jc w:val="both"/>
        <w:ind w:right="80" w:firstLine="1871"/>
        <w:spacing w:after="0" w:line="262"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any Note accepted for payment pursuant to the Offer to Purchase shall cease to accrue interest after the Change of Control Purchase Date unless the Company shall default in the payment of the Change of Control Purchase Price of the Notes and the only remaining right of the Holder is to receive payment of the Change of Control Purchase Price upon surrender of the Notes to the Paying Agent;</w:t>
      </w:r>
    </w:p>
    <w:p>
      <w:pPr>
        <w:spacing w:after="0" w:line="203" w:lineRule="exact"/>
        <w:rPr>
          <w:rFonts w:ascii="Arial" w:cs="Arial" w:eastAsia="Arial" w:hAnsi="Arial"/>
          <w:sz w:val="18"/>
          <w:szCs w:val="18"/>
          <w:color w:val="auto"/>
        </w:rPr>
      </w:pPr>
    </w:p>
    <w:p>
      <w:pPr>
        <w:ind w:right="180" w:firstLine="1871"/>
        <w:spacing w:after="0" w:line="268"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97" w:lineRule="exact"/>
        <w:rPr>
          <w:rFonts w:ascii="Arial" w:cs="Arial" w:eastAsia="Arial" w:hAnsi="Arial"/>
          <w:sz w:val="18"/>
          <w:szCs w:val="18"/>
          <w:color w:val="auto"/>
        </w:rPr>
      </w:pPr>
    </w:p>
    <w:p>
      <w:pPr>
        <w:ind w:right="20" w:firstLine="1871"/>
        <w:spacing w:after="0" w:line="262"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if a Holder elects to have a Note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203" w:lineRule="exact"/>
        <w:rPr>
          <w:rFonts w:ascii="Arial" w:cs="Arial" w:eastAsia="Arial" w:hAnsi="Arial"/>
          <w:sz w:val="18"/>
          <w:szCs w:val="18"/>
          <w:color w:val="auto"/>
        </w:rPr>
      </w:pPr>
    </w:p>
    <w:p>
      <w:pPr>
        <w:ind w:firstLine="1871"/>
        <w:spacing w:after="0" w:line="268"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97" w:lineRule="exact"/>
        <w:rPr>
          <w:rFonts w:ascii="Arial" w:cs="Arial" w:eastAsia="Arial" w:hAnsi="Arial"/>
          <w:sz w:val="18"/>
          <w:szCs w:val="18"/>
          <w:color w:val="auto"/>
        </w:rPr>
      </w:pPr>
    </w:p>
    <w:p>
      <w:pPr>
        <w:ind w:right="80" w:firstLine="1871"/>
        <w:spacing w:after="0" w:line="287"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that if Notes are purchased only in part by the Company, a new Note of the same type will be issued in principal amount equal to the unpurchased portion of the Notes surrendered.</w:t>
      </w:r>
    </w:p>
    <w:p>
      <w:pPr>
        <w:spacing w:after="0" w:line="179" w:lineRule="exact"/>
        <w:rPr>
          <w:rFonts w:ascii="Arial" w:cs="Arial" w:eastAsia="Arial" w:hAnsi="Arial"/>
          <w:sz w:val="18"/>
          <w:szCs w:val="18"/>
          <w:color w:val="auto"/>
        </w:rPr>
      </w:pPr>
    </w:p>
    <w:p>
      <w:pPr>
        <w:ind w:left="1720" w:hanging="416"/>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52" w:lineRule="exact"/>
        <w:rPr>
          <w:rFonts w:ascii="Arial" w:cs="Arial" w:eastAsia="Arial" w:hAnsi="Arial"/>
          <w:sz w:val="18"/>
          <w:szCs w:val="18"/>
          <w:color w:val="auto"/>
        </w:rPr>
      </w:pPr>
    </w:p>
    <w:p>
      <w:pPr>
        <w:ind w:left="2300" w:hanging="429"/>
        <w:spacing w:after="0"/>
        <w:tabs>
          <w:tab w:leader="none" w:pos="2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accept for payment all Notes or portions of such Notes properly tendered pursuant to the Offer to Purchase;</w:t>
      </w:r>
    </w:p>
    <w:p>
      <w:pPr>
        <w:spacing w:after="0" w:line="252" w:lineRule="exact"/>
        <w:rPr>
          <w:rFonts w:ascii="Arial" w:cs="Arial" w:eastAsia="Arial" w:hAnsi="Arial"/>
          <w:sz w:val="18"/>
          <w:szCs w:val="18"/>
          <w:color w:val="auto"/>
        </w:rPr>
      </w:pPr>
    </w:p>
    <w:p>
      <w:pPr>
        <w:ind w:right="100" w:firstLine="1871"/>
        <w:spacing w:after="0" w:line="287" w:lineRule="auto"/>
        <w:tabs>
          <w:tab w:leader="none" w:pos="22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or portions of such Notes properly tendered;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17" w:right="359" w:bottom="1440" w:gutter="0" w:footer="0" w:header="0"/>
        </w:sectPr>
      </w:pPr>
    </w:p>
    <w:bookmarkStart w:id="23" w:name="page24"/>
    <w:bookmarkEnd w:id="23"/>
    <w:p>
      <w:pPr>
        <w:ind w:left="-8" w:right="80" w:firstLine="1871"/>
        <w:spacing w:after="0" w:line="287" w:lineRule="auto"/>
        <w:tabs>
          <w:tab w:leader="none" w:pos="2275" w:val="left"/>
        </w:tabs>
        <w:numPr>
          <w:ilvl w:val="2"/>
          <w:numId w:val="2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such Notes or portions of such Notes being repurchased.</w:t>
      </w:r>
    </w:p>
    <w:p>
      <w:pPr>
        <w:spacing w:after="0" w:line="179" w:lineRule="exact"/>
        <w:rPr>
          <w:rFonts w:ascii="Arial" w:cs="Arial" w:eastAsia="Arial" w:hAnsi="Arial"/>
          <w:sz w:val="18"/>
          <w:szCs w:val="18"/>
          <w:color w:val="auto"/>
        </w:rPr>
      </w:pPr>
    </w:p>
    <w:p>
      <w:pPr>
        <w:ind w:left="-8" w:right="60" w:firstLine="1304"/>
        <w:spacing w:after="0" w:line="268" w:lineRule="auto"/>
        <w:tabs>
          <w:tab w:leader="none" w:pos="1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97" w:lineRule="exact"/>
        <w:rPr>
          <w:rFonts w:ascii="Arial" w:cs="Arial" w:eastAsia="Arial" w:hAnsi="Arial"/>
          <w:sz w:val="18"/>
          <w:szCs w:val="18"/>
          <w:color w:val="auto"/>
        </w:rPr>
      </w:pPr>
    </w:p>
    <w:p>
      <w:pPr>
        <w:ind w:left="-8" w:firstLine="1304"/>
        <w:spacing w:after="0" w:line="272" w:lineRule="auto"/>
        <w:tabs>
          <w:tab w:leader="none" w:pos="1705"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shall not be required to make an Offer to Purchase upon the occurrence of a Change of Control Triggering Event with respect to Notes if (i) a third party makes such an offer in the manner, at the times and otherwise in compliance with the requirements for an offer made by the Company and the third party purchases all Notes validly tendered and not withdrawn under its offer or</w:t>
      </w:r>
    </w:p>
    <w:p>
      <w:pPr>
        <w:spacing w:after="0" w:line="1" w:lineRule="exact"/>
        <w:rPr>
          <w:rFonts w:ascii="Arial" w:cs="Arial" w:eastAsia="Arial" w:hAnsi="Arial"/>
          <w:sz w:val="17"/>
          <w:szCs w:val="17"/>
          <w:color w:val="auto"/>
        </w:rPr>
      </w:pPr>
    </w:p>
    <w:p>
      <w:pPr>
        <w:ind w:left="252" w:hanging="252"/>
        <w:spacing w:after="0"/>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sent a notice of redemption pursuant to Section 3.1 of this Supplemental Indenture.</w:t>
      </w:r>
    </w:p>
    <w:p>
      <w:pPr>
        <w:spacing w:after="0" w:line="234" w:lineRule="exact"/>
        <w:rPr>
          <w:rFonts w:ascii="Arial" w:cs="Arial" w:eastAsia="Arial" w:hAnsi="Arial"/>
          <w:sz w:val="18"/>
          <w:szCs w:val="18"/>
          <w:color w:val="auto"/>
        </w:rPr>
      </w:pPr>
    </w:p>
    <w:p>
      <w:pPr>
        <w:ind w:left="-8" w:right="140" w:firstLine="1304"/>
        <w:spacing w:after="0" w:line="259" w:lineRule="auto"/>
        <w:tabs>
          <w:tab w:leader="none" w:pos="1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all other applicable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206" w:lineRule="exact"/>
        <w:rPr>
          <w:rFonts w:ascii="Arial" w:cs="Arial" w:eastAsia="Arial" w:hAnsi="Arial"/>
          <w:sz w:val="18"/>
          <w:szCs w:val="18"/>
          <w:color w:val="auto"/>
        </w:rPr>
      </w:pPr>
    </w:p>
    <w:p>
      <w:pPr>
        <w:ind w:left="-8" w:firstLine="1304"/>
        <w:spacing w:after="0" w:line="268" w:lineRule="auto"/>
        <w:tabs>
          <w:tab w:leader="none" w:pos="1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7" w:lineRule="exact"/>
        <w:rPr>
          <w:rFonts w:ascii="Arial" w:cs="Arial" w:eastAsia="Arial" w:hAnsi="Arial"/>
          <w:sz w:val="18"/>
          <w:szCs w:val="18"/>
          <w:color w:val="auto"/>
        </w:rPr>
      </w:pPr>
    </w:p>
    <w:p>
      <w:pPr>
        <w:ind w:left="-8" w:right="60" w:firstLine="1304"/>
        <w:spacing w:after="0" w:line="318" w:lineRule="auto"/>
        <w:tabs>
          <w:tab w:leader="none" w:pos="1708"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56" w:lineRule="exact"/>
        <w:rPr>
          <w:rFonts w:ascii="Arial" w:cs="Arial" w:eastAsia="Arial" w:hAnsi="Arial"/>
          <w:sz w:val="17"/>
          <w:szCs w:val="17"/>
          <w:color w:val="auto"/>
        </w:rPr>
      </w:pPr>
    </w:p>
    <w:p>
      <w:pPr>
        <w:ind w:left="-8" w:firstLine="1304"/>
        <w:spacing w:after="0" w:line="255" w:lineRule="auto"/>
        <w:tabs>
          <w:tab w:leader="none" w:pos="14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Holders of not less than 90% in aggregate principal amount of the outstanding Notes validly tender and do not withdraw such Notes in an Offer to Purchase and the Company, or any third party approved in writing by the Company making an Offer to Purchase in lieu of the Company pursuant to Section 4.1(e) above, purchases all of the Notes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that remain outstanding following such purchase on a date (the “</w:t>
      </w:r>
      <w:r>
        <w:rPr>
          <w:rFonts w:ascii="Arial" w:cs="Arial" w:eastAsia="Arial" w:hAnsi="Arial"/>
          <w:sz w:val="18"/>
          <w:szCs w:val="18"/>
          <w:b w:val="1"/>
          <w:bCs w:val="1"/>
          <w:i w:val="1"/>
          <w:iCs w:val="1"/>
          <w:color w:val="auto"/>
        </w:rPr>
        <w:t>Second Change of Control Purchase Date</w:t>
      </w:r>
      <w:r>
        <w:rPr>
          <w:rFonts w:ascii="Arial" w:cs="Arial" w:eastAsia="Arial" w:hAnsi="Arial"/>
          <w:sz w:val="18"/>
          <w:szCs w:val="18"/>
          <w:color w:val="auto"/>
        </w:rPr>
        <w:t>”) at a purchase price equal to 101% of the principal amount thereof plus accrued and unpaid interest, if any, to, but excluding, the Second Change of Control Purchase Date.</w:t>
      </w:r>
    </w:p>
    <w:p>
      <w:pPr>
        <w:spacing w:after="0" w:line="212" w:lineRule="exact"/>
        <w:rPr>
          <w:sz w:val="20"/>
          <w:szCs w:val="20"/>
          <w:color w:val="auto"/>
        </w:rPr>
      </w:pPr>
    </w:p>
    <w:p>
      <w:pPr>
        <w:ind w:left="652"/>
        <w:spacing w:after="0"/>
        <w:tabs>
          <w:tab w:leader="none" w:pos="1772"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7"/>
          <w:szCs w:val="17"/>
          <w:i w:val="1"/>
          <w:iCs w:val="1"/>
          <w:color w:val="auto"/>
        </w:rPr>
        <w:t>Liens.</w:t>
      </w:r>
    </w:p>
    <w:p>
      <w:pPr>
        <w:spacing w:after="0" w:line="252" w:lineRule="exact"/>
        <w:rPr>
          <w:sz w:val="20"/>
          <w:szCs w:val="20"/>
          <w:color w:val="auto"/>
        </w:rPr>
      </w:pPr>
    </w:p>
    <w:p>
      <w:pPr>
        <w:ind w:left="-8" w:firstLine="1304"/>
        <w:spacing w:after="0" w:line="257" w:lineRule="auto"/>
        <w:tabs>
          <w:tab w:leader="none" w:pos="15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12"/>
          </w:cols>
          <w:pgMar w:left="328" w:top="1417" w:right="359" w:bottom="1440" w:gutter="0" w:footer="0" w:header="0"/>
        </w:sectPr>
      </w:pPr>
    </w:p>
    <w:bookmarkStart w:id="24" w:name="page25"/>
    <w:bookmarkEnd w:id="24"/>
    <w:p>
      <w:pPr>
        <w:spacing w:after="0" w:line="220" w:lineRule="exact"/>
        <w:rPr>
          <w:sz w:val="20"/>
          <w:szCs w:val="20"/>
          <w:color w:val="auto"/>
        </w:rPr>
      </w:pPr>
    </w:p>
    <w:p>
      <w:pPr>
        <w:ind w:right="60" w:firstLine="1304"/>
        <w:spacing w:after="0" w:line="253" w:lineRule="auto"/>
        <w:tabs>
          <w:tab w:leader="none" w:pos="15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Section 4.2(a) above, the Company or any Restricted Subsidiary of the Company may, without equally and ratably securing the Notes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Section 4.2(a) above or this Section 4.2(b).</w:t>
      </w:r>
    </w:p>
    <w:p>
      <w:pPr>
        <w:spacing w:after="0" w:line="216" w:lineRule="exact"/>
        <w:rPr>
          <w:rFonts w:ascii="Arial" w:cs="Arial" w:eastAsia="Arial" w:hAnsi="Arial"/>
          <w:sz w:val="18"/>
          <w:szCs w:val="18"/>
          <w:color w:val="auto"/>
        </w:rPr>
      </w:pPr>
    </w:p>
    <w:p>
      <w:pPr>
        <w:ind w:right="80" w:firstLine="1304"/>
        <w:spacing w:after="0" w:line="253" w:lineRule="auto"/>
        <w:tabs>
          <w:tab w:leader="none" w:pos="15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216" w:lineRule="exact"/>
        <w:rPr>
          <w:rFonts w:ascii="Arial" w:cs="Arial" w:eastAsia="Arial" w:hAnsi="Arial"/>
          <w:sz w:val="18"/>
          <w:szCs w:val="18"/>
          <w:color w:val="auto"/>
        </w:rPr>
      </w:pPr>
    </w:p>
    <w:p>
      <w:pPr>
        <w:ind w:right="140" w:firstLine="1304"/>
        <w:spacing w:after="0" w:line="268" w:lineRule="auto"/>
        <w:tabs>
          <w:tab w:leader="none" w:pos="15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pursuant to Section 4.2(a) above may provide by its terms that such Lien shall be automatically and unconditionally released and discharged upon the release and discharge of the Lien that gave rise to the obligation to secure the Notes.</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7"/>
          <w:szCs w:val="17"/>
          <w:i w:val="1"/>
          <w:iCs w:val="1"/>
          <w:color w:val="auto"/>
        </w:rPr>
        <w:t>Sale and Lease Back Transactions.</w:t>
      </w:r>
    </w:p>
    <w:p>
      <w:pPr>
        <w:spacing w:after="0" w:line="25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 Back Transaction with respect to any Principal Property owned by the Company or any Restricted Subsidiary, whether now owned or hereafter acquired, unless:</w:t>
      </w:r>
    </w:p>
    <w:p>
      <w:pPr>
        <w:spacing w:after="0" w:line="180" w:lineRule="exact"/>
        <w:rPr>
          <w:sz w:val="20"/>
          <w:szCs w:val="20"/>
          <w:color w:val="auto"/>
        </w:rPr>
      </w:pPr>
    </w:p>
    <w:p>
      <w:pPr>
        <w:ind w:left="1720" w:hanging="416"/>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firstLine="1304"/>
        <w:spacing w:after="0" w:line="287" w:lineRule="auto"/>
        <w:tabs>
          <w:tab w:leader="none" w:pos="1741"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79" w:lineRule="exact"/>
        <w:rPr>
          <w:rFonts w:ascii="Arial" w:cs="Arial" w:eastAsia="Arial" w:hAnsi="Arial"/>
          <w:sz w:val="18"/>
          <w:szCs w:val="18"/>
          <w:color w:val="auto"/>
        </w:rPr>
      </w:pPr>
    </w:p>
    <w:p>
      <w:pPr>
        <w:jc w:val="both"/>
        <w:ind w:firstLine="1304"/>
        <w:spacing w:after="0" w:line="268" w:lineRule="auto"/>
        <w:tabs>
          <w:tab w:leader="none" w:pos="17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8"/>
          <w:szCs w:val="18"/>
          <w:color w:val="auto"/>
        </w:rPr>
        <w:t>placing into commercial operation of such Principal Property after the acquisition or completion of any such development, operation, construction, alteration, repair or improvement;</w:t>
      </w:r>
    </w:p>
    <w:p>
      <w:pPr>
        <w:spacing w:after="0" w:line="180" w:lineRule="exact"/>
        <w:rPr>
          <w:sz w:val="20"/>
          <w:szCs w:val="20"/>
          <w:color w:val="auto"/>
        </w:rPr>
      </w:pPr>
    </w:p>
    <w:p>
      <w:pPr>
        <w:ind w:firstLine="1304"/>
        <w:spacing w:after="0" w:line="287" w:lineRule="auto"/>
        <w:tabs>
          <w:tab w:leader="none" w:pos="17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179" w:lineRule="exact"/>
        <w:rPr>
          <w:rFonts w:ascii="Arial" w:cs="Arial" w:eastAsia="Arial" w:hAnsi="Arial"/>
          <w:sz w:val="18"/>
          <w:szCs w:val="18"/>
          <w:color w:val="auto"/>
        </w:rPr>
      </w:pPr>
    </w:p>
    <w:p>
      <w:pPr>
        <w:jc w:val="both"/>
        <w:ind w:firstLine="1304"/>
        <w:spacing w:after="0" w:line="268" w:lineRule="auto"/>
        <w:tabs>
          <w:tab w:leader="none" w:pos="17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97" w:lineRule="exact"/>
        <w:rPr>
          <w:rFonts w:ascii="Arial" w:cs="Arial" w:eastAsia="Arial" w:hAnsi="Arial"/>
          <w:sz w:val="18"/>
          <w:szCs w:val="18"/>
          <w:color w:val="auto"/>
        </w:rPr>
      </w:pPr>
    </w:p>
    <w:p>
      <w:pPr>
        <w:jc w:val="both"/>
        <w:ind w:firstLine="1304"/>
        <w:spacing w:after="0" w:line="259" w:lineRule="auto"/>
        <w:tabs>
          <w:tab w:leader="none" w:pos="16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206"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20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8"/>
          <w:szCs w:val="18"/>
          <w:i w:val="1"/>
          <w:iCs w:val="1"/>
          <w:color w:val="auto"/>
        </w:rPr>
        <w:t>Covenants.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covenants set forth in Sections 4.2 and 4.3 above are and are intended solely for the benefit of the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7"/>
          <w:szCs w:val="17"/>
          <w:i w:val="1"/>
          <w:iCs w:val="1"/>
          <w:color w:val="auto"/>
        </w:rPr>
        <w:t>Satisfaction and Discharge of Indenture.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satisfy and discharge the Notes in accordance with and subject to the terms of Section 8.1 of the Base Indenture.</w:t>
      </w:r>
    </w:p>
    <w:p>
      <w:pPr>
        <w:spacing w:after="0" w:line="2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7"/>
          <w:szCs w:val="17"/>
          <w:i w:val="1"/>
          <w:iCs w:val="1"/>
          <w:color w:val="auto"/>
        </w:rPr>
        <w:t>Legal Defeasance of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the Notes.</w:t>
      </w:r>
    </w:p>
    <w:p>
      <w:pPr>
        <w:spacing w:after="0" w:line="2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8"/>
          <w:szCs w:val="18"/>
          <w:i w:val="1"/>
          <w:iCs w:val="1"/>
          <w:color w:val="auto"/>
        </w:rPr>
        <w:t>Covenant Defeasance.</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any term, provision or condition set forth in Section 4.1, Section 4.2 and Section 4.3 of this Supplemental Indenture by complying with the requirements of Section 8.4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i w:val="1"/>
          <w:iCs w:val="1"/>
          <w:color w:val="auto"/>
        </w:rPr>
        <w:t>Trust Indenture Act Controls.</w:t>
      </w:r>
    </w:p>
    <w:p>
      <w:pPr>
        <w:spacing w:after="0" w:line="25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7"/>
          <w:szCs w:val="17"/>
          <w:i w:val="1"/>
          <w:iCs w:val="1"/>
          <w:color w:val="auto"/>
        </w:rPr>
        <w:t>Governing Law</w:t>
      </w:r>
      <w:r>
        <w:rPr>
          <w:rFonts w:ascii="Arial" w:cs="Arial" w:eastAsia="Arial" w:hAnsi="Arial"/>
          <w:sz w:val="17"/>
          <w:szCs w:val="17"/>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w:t>
      </w:r>
    </w:p>
    <w:p>
      <w:pPr>
        <w:spacing w:after="0" w:line="25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7"/>
          <w:szCs w:val="17"/>
          <w:i w:val="1"/>
          <w:iCs w:val="1"/>
          <w:color w:val="auto"/>
        </w:rPr>
        <w:t>Successors.</w:t>
      </w:r>
    </w:p>
    <w:p>
      <w:pPr>
        <w:spacing w:after="0" w:line="252" w:lineRule="exact"/>
        <w:rPr>
          <w:sz w:val="20"/>
          <w:szCs w:val="20"/>
          <w:color w:val="auto"/>
        </w:rPr>
      </w:pPr>
    </w:p>
    <w:p>
      <w:pPr>
        <w:ind w:right="620" w:firstLine="648"/>
        <w:spacing w:after="0" w:line="28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7"/>
          <w:szCs w:val="17"/>
          <w:i w:val="1"/>
          <w:iCs w:val="1"/>
          <w:color w:val="auto"/>
        </w:rPr>
        <w:t>Severability</w:t>
      </w:r>
      <w:r>
        <w:rPr>
          <w:rFonts w:ascii="Arial" w:cs="Arial" w:eastAsia="Arial" w:hAnsi="Arial"/>
          <w:sz w:val="17"/>
          <w:szCs w:val="17"/>
          <w:color w:val="auto"/>
        </w:rPr>
        <w:t>.</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5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2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notices, approvals, consents, requests and any communications hereunder must be in writing (provided that any such communication sent to the Trustee hereunder must be in the form of a document that is signed manually or by way of a digital signature provided by Adobe Sign (or such other digital signature provider as specified in writing to Trustee by the authorized representative) or by way of an electronic signature provided in another manner acceptable to Trustee, in English. The Company agrees to assume all risks arising out of the use of using digital signatures, electronic signatures and electronic methods to submit communications to the Trustee, including without limitation the risk of the Trustee acting on unauthorized instructions, and the risk of interception and misuse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7" w:right="339" w:bottom="1440" w:gutter="0" w:footer="0" w:header="0"/>
        </w:sectPr>
      </w:pPr>
    </w:p>
    <w:bookmarkStart w:id="27" w:name="page28"/>
    <w:bookmarkEnd w:id="27"/>
    <w:p>
      <w:pPr>
        <w:ind w:left="660"/>
        <w:spacing w:after="0"/>
        <w:tabs>
          <w:tab w:leader="none" w:pos="178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7"/>
          <w:szCs w:val="17"/>
          <w:i w:val="1"/>
          <w:iCs w:val="1"/>
          <w:color w:val="auto"/>
        </w:rPr>
        <w:t>Table of Contents, Headings, Etc</w:t>
      </w:r>
      <w:r>
        <w:rPr>
          <w:rFonts w:ascii="Arial" w:cs="Arial" w:eastAsia="Arial" w:hAnsi="Arial"/>
          <w:sz w:val="17"/>
          <w:szCs w:val="17"/>
          <w:color w:val="auto"/>
        </w:rPr>
        <w:t>.</w:t>
      </w:r>
    </w:p>
    <w:p>
      <w:pPr>
        <w:spacing w:after="0" w:line="2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i w:val="1"/>
          <w:iCs w:val="1"/>
          <w:color w:val="auto"/>
        </w:rPr>
        <w:t>Waiver of Jury Trial.</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9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8"/>
          <w:szCs w:val="18"/>
          <w:i w:val="1"/>
          <w:iCs w:val="1"/>
          <w:color w:val="auto"/>
        </w:rPr>
        <w:t>Interpretation.</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20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7"/>
          <w:szCs w:val="17"/>
          <w:i w:val="1"/>
          <w:iCs w:val="1"/>
          <w:color w:val="auto"/>
        </w:rPr>
        <w:t>Instruction by Electronic Transmissions.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1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8"/>
          <w:szCs w:val="18"/>
          <w:i w:val="1"/>
          <w:iCs w:val="1"/>
          <w:color w:val="auto"/>
        </w:rPr>
        <w:t>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Trustee set forth in Section 10.2 of the Base Indenture is amended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Trust Company, National Association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555 SW Oak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PD-OR-P7TD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17" w:right="35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Portland, OR 97204</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 Nelson (Micron Technology, Inc. Notes).</w:t>
      </w:r>
    </w:p>
    <w:p>
      <w:pPr>
        <w:spacing w:after="0" w:line="23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i w:val="1"/>
          <w:iCs w:val="1"/>
          <w:color w:val="auto"/>
        </w:rPr>
        <w:t>Miscellaneous.</w:t>
      </w:r>
    </w:p>
    <w:p>
      <w:pPr>
        <w:spacing w:after="0" w:line="25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7" w:right="339" w:bottom="1440" w:gutter="0" w:footer="0" w:header="0"/>
        </w:sectPr>
      </w:pPr>
    </w:p>
    <w:bookmarkStart w:id="29" w:name="page30"/>
    <w:bookmarkEnd w:id="29"/>
    <w:p>
      <w:pPr>
        <w:ind w:left="5040"/>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9, 2023</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MICRON TECHNOLOGY, INC.</w:t>
      </w:r>
    </w:p>
    <w:p>
      <w:pPr>
        <w:spacing w:after="0" w:line="239"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tab/>
        <w:t>/s/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-7620</wp:posOffset>
            </wp:positionV>
            <wp:extent cx="800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ind w:left="4540"/>
        <w:spacing w:after="0"/>
        <w:tabs>
          <w:tab w:leader="none" w:pos="5300" w:val="left"/>
        </w:tabs>
        <w:rPr>
          <w:sz w:val="20"/>
          <w:szCs w:val="20"/>
          <w:color w:val="auto"/>
        </w:rPr>
      </w:pPr>
      <w:r>
        <w:rPr>
          <w:rFonts w:ascii="Arial" w:cs="Arial" w:eastAsia="Arial" w:hAnsi="Arial"/>
          <w:sz w:val="18"/>
          <w:szCs w:val="18"/>
          <w:color w:val="auto"/>
        </w:rPr>
        <w:t>Name:</w:t>
        <w:tab/>
        <w:t>Greg Routin</w:t>
      </w: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 and Treasurer</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U.S. BANK TRUST COMPANY, NATIONAL</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ASSOCIATION, as Trustee</w:t>
      </w:r>
    </w:p>
    <w:p>
      <w:pPr>
        <w:spacing w:after="0" w:line="167"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Cheryl Nelson</w:t>
      </w:r>
    </w:p>
    <w:p>
      <w:pPr>
        <w:spacing w:after="0" w:line="9" w:lineRule="exact"/>
        <w:rPr>
          <w:sz w:val="20"/>
          <w:szCs w:val="20"/>
          <w:color w:val="auto"/>
        </w:rPr>
      </w:pPr>
    </w:p>
    <w:p>
      <w:pPr>
        <w:ind w:left="4540"/>
        <w:spacing w:after="0"/>
        <w:tabs>
          <w:tab w:leader="none" w:pos="5300" w:val="left"/>
        </w:tabs>
        <w:rPr>
          <w:sz w:val="20"/>
          <w:szCs w:val="20"/>
          <w:color w:val="auto"/>
        </w:rPr>
      </w:pPr>
      <w:r>
        <w:rPr>
          <w:rFonts w:ascii="Arial" w:cs="Arial" w:eastAsia="Arial" w:hAnsi="Arial"/>
          <w:sz w:val="18"/>
          <w:szCs w:val="18"/>
          <w:color w:val="auto"/>
        </w:rPr>
        <w:t>Name:</w:t>
        <w:tab/>
        <w:t>Cheryl Nelson</w:t>
      </w:r>
    </w:p>
    <w:p>
      <w:pPr>
        <w:ind w:left="4540"/>
        <w:spacing w:after="0"/>
        <w:tabs>
          <w:tab w:leader="none" w:pos="51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to Supplemental Indenture]</w:t>
      </w:r>
    </w:p>
    <w:p>
      <w:pPr>
        <w:sectPr>
          <w:pgSz w:w="11900" w:h="16838" w:orient="portrait"/>
          <w:cols w:equalWidth="0" w:num="1">
            <w:col w:w="10139"/>
          </w:cols>
          <w:pgMar w:left="320" w:top="1403"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3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w:t>
      </w:r>
    </w:p>
    <w:p>
      <w:pPr>
        <w:ind w:right="180"/>
        <w:spacing w:after="0"/>
        <w:rPr>
          <w:sz w:val="20"/>
          <w:szCs w:val="20"/>
          <w:color w:val="auto"/>
        </w:rPr>
      </w:pPr>
      <w:r>
        <w:rPr>
          <w:rFonts w:ascii="Arial" w:cs="Arial" w:eastAsia="Arial" w:hAnsi="Arial"/>
          <w:sz w:val="17"/>
          <w:szCs w:val="17"/>
          <w:color w:val="auto"/>
        </w:rPr>
        <w:t>THIS GLOBAL NOTE MAY BE EXCHANGED IN WHOLE BUT NOT IN PART PURSUANT TO SECTION 2.2(a) OF THE SUPPLEMENTAL INDENTURE, (III) THIS GLOBAL NOTE MAY BE DELIVERED TO THE TRUSTEE FOR CANCELLATION PURSUANT TO SECTION 2.12</w:t>
      </w:r>
    </w:p>
    <w:p>
      <w:pPr>
        <w:spacing w:after="0" w:line="1" w:lineRule="exact"/>
        <w:rPr>
          <w:sz w:val="20"/>
          <w:szCs w:val="20"/>
          <w:color w:val="auto"/>
        </w:rPr>
      </w:pPr>
    </w:p>
    <w:p>
      <w:pPr>
        <w:jc w:val="both"/>
        <w:ind w:right="1160"/>
        <w:spacing w:after="0" w:line="279" w:lineRule="auto"/>
        <w:rPr>
          <w:sz w:val="20"/>
          <w:szCs w:val="20"/>
          <w:color w:val="auto"/>
        </w:rPr>
      </w:pPr>
      <w:r>
        <w:rPr>
          <w:rFonts w:ascii="Arial" w:cs="Arial" w:eastAsia="Arial" w:hAnsi="Arial"/>
          <w:sz w:val="17"/>
          <w:szCs w:val="17"/>
          <w:color w:val="auto"/>
        </w:rPr>
        <w:t>OF THE BASE INDENTURE HEREINAFTER REFERRED TO AND (IV) THIS GLOBAL NOTE MAY BE TRANSFERRED TO A SUCCESSOR DEPOSITARY WITH THE PRIOR WRITTEN CONSENT OF THE COMPANY HEREINAFTER REFERRED 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GLOBAL NOTE IS A GLOBAL NOTE WITHIN THE MEANING OF THE SUPPLEMENTAL INDENTURE HEREINAFTER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REFERRED TO AND IS REGISTERED IN THE NAME OF THE DEPOSITARY OR A NOMINEE OF THE DEPOSITARY. THIS GLOBAL</w:t>
      </w:r>
    </w:p>
    <w:p>
      <w:pPr>
        <w:spacing w:after="0" w:line="234" w:lineRule="auto"/>
        <w:rPr>
          <w:sz w:val="20"/>
          <w:szCs w:val="20"/>
          <w:color w:val="auto"/>
        </w:rPr>
      </w:pPr>
      <w:r>
        <w:rPr>
          <w:rFonts w:ascii="Arial" w:cs="Arial" w:eastAsia="Arial" w:hAnsi="Arial"/>
          <w:sz w:val="18"/>
          <w:szCs w:val="18"/>
          <w:color w:val="auto"/>
        </w:rPr>
        <w:t>NOTE IS EXCHANGEABLE FOR NOTES REGISTERED IN THE NAME OF A PERSON OTHER THAN THE DEPOSITARY OR ITS</w:t>
      </w:r>
    </w:p>
    <w:p>
      <w:pPr>
        <w:spacing w:after="0" w:line="235" w:lineRule="auto"/>
        <w:rPr>
          <w:sz w:val="20"/>
          <w:szCs w:val="20"/>
          <w:color w:val="auto"/>
        </w:rPr>
      </w:pPr>
      <w:r>
        <w:rPr>
          <w:rFonts w:ascii="Arial" w:cs="Arial" w:eastAsia="Arial" w:hAnsi="Arial"/>
          <w:sz w:val="18"/>
          <w:szCs w:val="18"/>
          <w:color w:val="auto"/>
        </w:rPr>
        <w:t>NOMINEE ONLY IN THE LIMITED CIRCUMSTANCES DESCRIBED IN THE INDENTURE, AND MAY NOT BE TRANSFERRED EXCEPT</w:t>
      </w:r>
    </w:p>
    <w:p>
      <w:pPr>
        <w:spacing w:after="0" w:line="235" w:lineRule="auto"/>
        <w:rPr>
          <w:sz w:val="20"/>
          <w:szCs w:val="20"/>
          <w:color w:val="auto"/>
        </w:rPr>
      </w:pPr>
      <w:r>
        <w:rPr>
          <w:rFonts w:ascii="Arial" w:cs="Arial" w:eastAsia="Arial" w:hAnsi="Arial"/>
          <w:sz w:val="18"/>
          <w:szCs w:val="18"/>
          <w:color w:val="auto"/>
        </w:rPr>
        <w:t>AS A WHOLE BY THE DEPOSITARY TO A NOMINEE OF THE DEPOSITARY, BY A NOMINEE OF THE DEPOSITARY TO THE</w:t>
      </w:r>
    </w:p>
    <w:p>
      <w:pPr>
        <w:spacing w:after="0" w:line="235" w:lineRule="auto"/>
        <w:rPr>
          <w:sz w:val="20"/>
          <w:szCs w:val="20"/>
          <w:color w:val="auto"/>
        </w:rPr>
      </w:pPr>
      <w:r>
        <w:rPr>
          <w:rFonts w:ascii="Arial" w:cs="Arial" w:eastAsia="Arial" w:hAnsi="Arial"/>
          <w:sz w:val="18"/>
          <w:szCs w:val="18"/>
          <w:color w:val="auto"/>
        </w:rPr>
        <w:t>DEPOSITARY OR ANOTHER NOMINEE OF THE DEPOSITARY OR BY THE DEPOSITARY OR ANY SUCH NOMINEE TO A</w:t>
      </w:r>
    </w:p>
    <w:p>
      <w:pPr>
        <w:spacing w:after="0" w:line="235" w:lineRule="auto"/>
        <w:rPr>
          <w:sz w:val="20"/>
          <w:szCs w:val="20"/>
          <w:color w:val="auto"/>
        </w:rPr>
      </w:pPr>
      <w:r>
        <w:rPr>
          <w:rFonts w:ascii="Arial" w:cs="Arial" w:eastAsia="Arial" w:hAnsi="Arial"/>
          <w:sz w:val="18"/>
          <w:szCs w:val="18"/>
          <w:color w:val="auto"/>
        </w:rPr>
        <w:t>SUCCESSOR DEPOSITARY OR A NOMINEE OF SUCH A SUCCESSOR DEPOSITARY. UNLESS THIS CERTIFICATE IS PRESENTED</w:t>
      </w:r>
    </w:p>
    <w:p>
      <w:pPr>
        <w:spacing w:after="0" w:line="234" w:lineRule="auto"/>
        <w:rPr>
          <w:sz w:val="20"/>
          <w:szCs w:val="20"/>
          <w:color w:val="auto"/>
        </w:rPr>
      </w:pPr>
      <w:r>
        <w:rPr>
          <w:rFonts w:ascii="Arial" w:cs="Arial" w:eastAsia="Arial" w:hAnsi="Arial"/>
          <w:sz w:val="18"/>
          <w:szCs w:val="18"/>
          <w:color w:val="auto"/>
        </w:rPr>
        <w:t>BY AN AUTHORIZED REPRESENTATIVE OF THE DEPOSITORY TRUST COMPANY (55 WATER STREET, NEW YORK, NEW YORK)</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ISSUED IS REGISTERED IN THE NAME OF CEDE &amp; CO. OR SUCH OTHER NAME AS MAY BE REQUESTED BY AN AUTHORIZED REPRESENTATIVE OF DTC (AND ANY PAYMENT IS MADE TO CEDE &amp; CO. OR SUCH OTHER ENTITY AS MAY BE REQUESTED BY</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AN AUTHORIZED REPRESENTATIVE OF DTC), ANY TRANSFER, PLEDGE OR OTHER USE HEREOF FOR VALUE OR OTHERWISE BY OR TO ANY PERSON IS WRONGFUL INASMUCH AS THE REGISTERED OWNER HEREOF, CEDE &amp; CO., HAS AN INTEREST HEREIN.</w:t>
      </w:r>
    </w:p>
    <w:p>
      <w:pPr>
        <w:spacing w:after="0" w:line="2"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CUSIP:[_______]</w:t>
      </w:r>
    </w:p>
    <w:p>
      <w:pPr>
        <w:spacing w:after="0" w:line="7"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ISIN:[_______]</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ind w:left="4420"/>
        <w:spacing w:after="0" w:line="234" w:lineRule="auto"/>
        <w:rPr>
          <w:sz w:val="20"/>
          <w:szCs w:val="20"/>
          <w:color w:val="auto"/>
        </w:rPr>
      </w:pPr>
      <w:r>
        <w:rPr>
          <w:rFonts w:ascii="Arial" w:cs="Arial" w:eastAsia="Arial" w:hAnsi="Arial"/>
          <w:sz w:val="18"/>
          <w:szCs w:val="18"/>
          <w:color w:val="auto"/>
        </w:rPr>
        <w:t>5.875% Senior Note due 2033</w:t>
      </w:r>
    </w:p>
    <w:p>
      <w:pPr>
        <w:spacing w:after="0" w:line="235" w:lineRule="auto"/>
        <w:rPr>
          <w:sz w:val="20"/>
          <w:szCs w:val="20"/>
          <w:color w:val="auto"/>
        </w:rPr>
      </w:pPr>
      <w:r>
        <w:rPr>
          <w:rFonts w:ascii="Arial" w:cs="Arial" w:eastAsia="Arial" w:hAnsi="Arial"/>
          <w:sz w:val="18"/>
          <w:szCs w:val="18"/>
          <w:color w:val="auto"/>
        </w:rPr>
        <w:t>No. [_____] $__________</w:t>
      </w:r>
    </w:p>
    <w:p>
      <w:pPr>
        <w:spacing w:after="0" w:line="1" w:lineRule="exact"/>
        <w:rPr>
          <w:sz w:val="20"/>
          <w:szCs w:val="20"/>
          <w:color w:val="auto"/>
        </w:rPr>
      </w:pPr>
    </w:p>
    <w:p>
      <w:pPr>
        <w:jc w:val="right"/>
        <w:ind w:left="4800"/>
        <w:spacing w:after="0" w:line="250" w:lineRule="auto"/>
        <w:rPr>
          <w:sz w:val="20"/>
          <w:szCs w:val="20"/>
          <w:color w:val="auto"/>
        </w:rPr>
      </w:pPr>
      <w:r>
        <w:rPr>
          <w:rFonts w:ascii="Arial" w:cs="Arial" w:eastAsia="Arial" w:hAnsi="Arial"/>
          <w:sz w:val="18"/>
          <w:szCs w:val="18"/>
          <w:color w:val="auto"/>
        </w:rPr>
        <w:t>(as revised by the Schedule of Increases and Decreases in Global Note attached hereto)</w:t>
      </w:r>
    </w:p>
    <w:p>
      <w:pPr>
        <w:spacing w:after="0" w:line="19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Micron Technology, Inc., a Delaware corporation, promises to pay to CEDE &amp; CO. or registered assigns, the principal sum of $[ ] (as revised by the Schedule of Increases and Decreases in Global Note attached hereto) on February 9, 2033.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9 and August 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26 and July 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4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Date:</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MICRON TECHNOLOGY, INC.</w:t>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ind w:left="4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0139"/>
          </w:cols>
          <w:pgMar w:left="320" w:top="1403" w:right="1440" w:bottom="1440" w:gutter="0" w:footer="0" w:header="0"/>
        </w:sectPr>
      </w:pPr>
    </w:p>
    <w:bookmarkStart w:id="32" w:name="page33"/>
    <w:bookmarkEnd w:id="32"/>
    <w:p>
      <w:pPr>
        <w:ind w:left="3560"/>
        <w:spacing w:after="0"/>
        <w:rPr>
          <w:sz w:val="20"/>
          <w:szCs w:val="20"/>
          <w:color w:val="auto"/>
        </w:rPr>
      </w:pPr>
      <w:r>
        <w:rPr>
          <w:rFonts w:ascii="Arial" w:cs="Arial" w:eastAsia="Arial" w:hAnsi="Arial"/>
          <w:sz w:val="17"/>
          <w:szCs w:val="17"/>
          <w:color w:val="auto"/>
        </w:rPr>
        <w:t>TRUSTEE’S CERTIFICATE OF AUTHENTICATION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 BANK TRUST COMPANY, NATIONAL ASSOCIATION as Trustee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0139"/>
          </w:cols>
          <w:pgMar w:left="320" w:top="1403" w:right="1440"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(Back of Note)</w:t>
      </w:r>
    </w:p>
    <w:p>
      <w:pPr>
        <w:spacing w:after="0" w:line="23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MICRON TECHNOLOGY, INC.</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5.875% Senior Note due 2033</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39" w:lineRule="exact"/>
        <w:rPr>
          <w:sz w:val="20"/>
          <w:szCs w:val="20"/>
          <w:color w:val="auto"/>
        </w:rPr>
      </w:pPr>
    </w:p>
    <w:p>
      <w:pPr>
        <w:ind w:right="100" w:firstLine="737"/>
        <w:spacing w:after="0" w:line="237"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promises to pay interest on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this Note at 5.875% per annum. The Company will pay interest semi-annually on February 9 and August 9 of each year, commencing August 9, 2023,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xml:space="preserve">”). Interest on the Notes will accrue from the most recent date to which interest has been paid or provided for or, if no interest has been paid or provided for, from February 9, 2023;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208" w:lineRule="exact"/>
        <w:rPr>
          <w:rFonts w:ascii="Arial" w:cs="Arial" w:eastAsia="Arial" w:hAnsi="Arial"/>
          <w:sz w:val="18"/>
          <w:szCs w:val="18"/>
          <w:color w:val="auto"/>
        </w:rPr>
      </w:pPr>
    </w:p>
    <w:p>
      <w:pPr>
        <w:ind w:firstLine="737"/>
        <w:spacing w:after="0" w:line="237"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 The Company will pay interest on the Notes (except defaulted interest) to the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registered Holders of Notes at the close of business on the January 26 or July 26 (whether or not a Business Day) next preceding the Interest Payment Date, even if such Notes are canceled after such record date and on or before such Interest Payment Date, except as provided in Section 2.13 of the Base Indenture with respect to defaulted interest. Principal and interest on the Notes will be made by (a) check mailed to the Holders of the Notes at their respective addresses set forth in the register of Holders of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on all Global Securities and all other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208" w:lineRule="exact"/>
        <w:rPr>
          <w:rFonts w:ascii="Arial" w:cs="Arial" w:eastAsia="Arial" w:hAnsi="Arial"/>
          <w:sz w:val="18"/>
          <w:szCs w:val="18"/>
          <w:color w:val="auto"/>
        </w:rPr>
      </w:pPr>
    </w:p>
    <w:p>
      <w:pPr>
        <w:ind w:right="340" w:firstLine="737"/>
        <w:spacing w:after="0" w:line="253" w:lineRule="auto"/>
        <w:tabs>
          <w:tab w:leader="none" w:pos="128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Company, National Association, the Trustee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will act as Paying Agent and Registrar. The Company may change any Paying Agent or Registrar without notice to any Holder. The Company or any of its Subsidiaries may act in any such capacity.</w:t>
      </w:r>
    </w:p>
    <w:p>
      <w:pPr>
        <w:spacing w:after="0" w:line="195" w:lineRule="exact"/>
        <w:rPr>
          <w:rFonts w:ascii="Arial" w:cs="Arial" w:eastAsia="Arial" w:hAnsi="Arial"/>
          <w:sz w:val="18"/>
          <w:szCs w:val="18"/>
          <w:color w:val="auto"/>
        </w:rPr>
      </w:pPr>
    </w:p>
    <w:p>
      <w:pPr>
        <w:ind w:right="40" w:firstLine="737"/>
        <w:spacing w:after="0" w:line="253" w:lineRule="auto"/>
        <w:tabs>
          <w:tab w:leader="none" w:pos="1284"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Note is one of a duly authenticated Series of securities of the Company issued and to be issued in one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Series under an indenture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dated as of February 6, 2019, between the Company and the Trustee (as successor in interest to U.S. Bank National Association), as amended by the Sixth Supplemental Indenture, dated as of February 9, 2023,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403" w:right="339" w:bottom="1440" w:gutter="0" w:footer="0" w:header="0"/>
        </w:sectPr>
      </w:pPr>
    </w:p>
    <w:bookmarkStart w:id="34" w:name="page35"/>
    <w:bookmarkEnd w:id="34"/>
    <w:p>
      <w:pPr>
        <w:spacing w:after="0" w:line="207" w:lineRule="exact"/>
        <w:rPr>
          <w:sz w:val="20"/>
          <w:szCs w:val="20"/>
          <w:color w:val="auto"/>
        </w:rPr>
      </w:pPr>
    </w:p>
    <w:p>
      <w:pPr>
        <w:ind w:left="-40" w:firstLine="737"/>
        <w:spacing w:after="0" w:line="253"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95" w:lineRule="exact"/>
        <w:rPr>
          <w:rFonts w:ascii="Arial" w:cs="Arial" w:eastAsia="Arial" w:hAnsi="Arial"/>
          <w:sz w:val="18"/>
          <w:szCs w:val="18"/>
          <w:color w:val="auto"/>
        </w:rPr>
      </w:pPr>
    </w:p>
    <w:p>
      <w:pPr>
        <w:ind w:left="-40" w:right="200" w:firstLine="737"/>
        <w:spacing w:after="0" w:line="271"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MANDATORY REDEMPTION. </w:t>
      </w:r>
      <w:r>
        <w:rPr>
          <w:rFonts w:ascii="Arial" w:cs="Arial" w:eastAsia="Arial" w:hAnsi="Arial"/>
          <w:sz w:val="18"/>
          <w:szCs w:val="18"/>
          <w:color w:val="auto"/>
        </w:rPr>
        <w:t>The Company is not required to make any mandatory redemption or sinking fund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Notes.</w:t>
      </w:r>
    </w:p>
    <w:p>
      <w:pPr>
        <w:spacing w:after="0" w:line="180" w:lineRule="exact"/>
        <w:rPr>
          <w:rFonts w:ascii="Arial" w:cs="Arial" w:eastAsia="Arial" w:hAnsi="Arial"/>
          <w:sz w:val="18"/>
          <w:szCs w:val="18"/>
          <w:color w:val="auto"/>
        </w:rPr>
      </w:pPr>
    </w:p>
    <w:p>
      <w:pPr>
        <w:jc w:val="both"/>
        <w:ind w:left="-40" w:right="280" w:firstLine="737"/>
        <w:spacing w:after="0" w:line="245"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 TRIGGERING EVENT</w:t>
      </w:r>
      <w:r>
        <w:rPr>
          <w:rFonts w:ascii="Arial" w:cs="Arial" w:eastAsia="Arial" w:hAnsi="Arial"/>
          <w:sz w:val="18"/>
          <w:szCs w:val="18"/>
          <w:color w:val="auto"/>
        </w:rPr>
        <w:t>. If a Change of Control Triggering Event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 Notes occurs, the Company may be required to make an offer to purchase the Notes in the manner and with the effect provided in the Indenture.</w:t>
      </w:r>
    </w:p>
    <w:p>
      <w:pPr>
        <w:spacing w:after="0" w:line="203" w:lineRule="exact"/>
        <w:rPr>
          <w:rFonts w:ascii="Arial" w:cs="Arial" w:eastAsia="Arial" w:hAnsi="Arial"/>
          <w:sz w:val="18"/>
          <w:szCs w:val="18"/>
          <w:color w:val="auto"/>
        </w:rPr>
      </w:pPr>
    </w:p>
    <w:p>
      <w:pPr>
        <w:ind w:left="-40" w:right="20" w:firstLine="737"/>
        <w:spacing w:after="0"/>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minimum denominations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$2,000 and integral multiples of $1,000 in excess thereof.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neither the Trustee nor the Company need exchange or register the transfer of any Notes for a period of 15 days before the day of any selection of Notes to be redeemed or during the period between a record date and the corresponding Interest Payment Date.</w:t>
      </w:r>
    </w:p>
    <w:p>
      <w:pPr>
        <w:spacing w:after="0" w:line="207" w:lineRule="exact"/>
        <w:rPr>
          <w:rFonts w:ascii="Arial" w:cs="Arial" w:eastAsia="Arial" w:hAnsi="Arial"/>
          <w:sz w:val="18"/>
          <w:szCs w:val="18"/>
          <w:color w:val="auto"/>
        </w:rPr>
      </w:pPr>
    </w:p>
    <w:p>
      <w:pPr>
        <w:ind w:left="-40" w:right="560" w:firstLine="737"/>
        <w:spacing w:after="0" w:line="271" w:lineRule="auto"/>
        <w:tabs>
          <w:tab w:leader="none" w:pos="124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Note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its owner for all purposes.</w:t>
      </w:r>
    </w:p>
    <w:p>
      <w:pPr>
        <w:spacing w:after="0" w:line="180" w:lineRule="exact"/>
        <w:rPr>
          <w:rFonts w:ascii="Arial" w:cs="Arial" w:eastAsia="Arial" w:hAnsi="Arial"/>
          <w:sz w:val="18"/>
          <w:szCs w:val="18"/>
          <w:color w:val="auto"/>
        </w:rPr>
      </w:pPr>
    </w:p>
    <w:p>
      <w:pPr>
        <w:ind w:left="-40" w:right="40" w:firstLine="737"/>
        <w:spacing w:after="0" w:line="239"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AMENDMENT, SUPPLEMENT AND WAIVER</w:t>
      </w:r>
      <w:r>
        <w:rPr>
          <w:rFonts w:ascii="Arial" w:cs="Arial" w:eastAsia="Arial" w:hAnsi="Arial"/>
          <w:sz w:val="18"/>
          <w:szCs w:val="18"/>
          <w:color w:val="auto"/>
        </w:rPr>
        <w:t>. Subject to certain exceptions, the Indenture or the Notes may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with the 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The Indenture or the Notes may be amended or supplemented without the consent of any Holder of a Note as described in the Indenture.</w:t>
      </w:r>
    </w:p>
    <w:p>
      <w:pPr>
        <w:spacing w:after="0" w:line="207" w:lineRule="exact"/>
        <w:rPr>
          <w:rFonts w:ascii="Arial" w:cs="Arial" w:eastAsia="Arial" w:hAnsi="Arial"/>
          <w:sz w:val="18"/>
          <w:szCs w:val="18"/>
          <w:color w:val="auto"/>
        </w:rPr>
      </w:pPr>
    </w:p>
    <w:p>
      <w:pPr>
        <w:jc w:val="both"/>
        <w:ind w:left="-40" w:right="40" w:firstLine="737"/>
        <w:spacing w:after="0" w:line="253"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Notes shall occur and be continuing, the principal of,</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accrued and unpaid interest on, the outstanding Notes may be declared due and payable in the manner and with the effect provided in the Indenture.</w:t>
      </w:r>
    </w:p>
    <w:p>
      <w:pPr>
        <w:spacing w:after="0" w:line="195" w:lineRule="exact"/>
        <w:rPr>
          <w:rFonts w:ascii="Arial" w:cs="Arial" w:eastAsia="Arial" w:hAnsi="Arial"/>
          <w:sz w:val="18"/>
          <w:szCs w:val="18"/>
          <w:color w:val="auto"/>
        </w:rPr>
      </w:pPr>
    </w:p>
    <w:p>
      <w:pPr>
        <w:ind w:left="-40" w:right="220" w:firstLine="737"/>
        <w:spacing w:after="0" w:line="253"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become the owner or</w:t>
      </w:r>
      <w:r>
        <w:rPr>
          <w:rFonts w:ascii="Arial" w:cs="Arial" w:eastAsia="Arial" w:hAnsi="Arial"/>
          <w:sz w:val="18"/>
          <w:szCs w:val="18"/>
          <w:i w:val="1"/>
          <w:iCs w:val="1"/>
          <w:color w:val="auto"/>
        </w:rPr>
        <w:t xml:space="preserve"> </w:t>
      </w:r>
      <w:r>
        <w:rPr>
          <w:rFonts w:ascii="Arial" w:cs="Arial" w:eastAsia="Arial" w:hAnsi="Arial"/>
          <w:sz w:val="18"/>
          <w:szCs w:val="18"/>
          <w:color w:val="auto"/>
        </w:rPr>
        <w:t>pledgee of the Notes and may otherwise deal with the Company or an Affiliate of the Company with the same rights it would have if it were not Trustee.</w:t>
      </w:r>
    </w:p>
    <w:p>
      <w:pPr>
        <w:spacing w:after="0" w:line="195" w:lineRule="exact"/>
        <w:rPr>
          <w:rFonts w:ascii="Arial" w:cs="Arial" w:eastAsia="Arial" w:hAnsi="Arial"/>
          <w:sz w:val="18"/>
          <w:szCs w:val="18"/>
          <w:color w:val="auto"/>
        </w:rPr>
      </w:pPr>
    </w:p>
    <w:p>
      <w:pPr>
        <w:ind w:left="-40" w:right="40" w:firstLine="737"/>
        <w:spacing w:after="0" w:line="241"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as such, will have any liability for any of the Company’s obligations under the Notes or the Indenture or for any claim based on, or in respect or by reason of, such obligations or their creation. By accepting a Note, each Holder waives and releases all such liability. This waiver and release is part of the consideration for the issue of the Notes.</w:t>
      </w:r>
    </w:p>
    <w:p>
      <w:pPr>
        <w:spacing w:after="0" w:line="208" w:lineRule="exact"/>
        <w:rPr>
          <w:rFonts w:ascii="Arial" w:cs="Arial" w:eastAsia="Arial" w:hAnsi="Arial"/>
          <w:sz w:val="18"/>
          <w:szCs w:val="18"/>
          <w:color w:val="auto"/>
        </w:rPr>
      </w:pPr>
    </w:p>
    <w:p>
      <w:pPr>
        <w:ind w:left="-40" w:right="1120" w:firstLine="737"/>
        <w:spacing w:after="0" w:line="271"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will not be valid until authenticated by the manual signature of the Trustee or an</w:t>
      </w:r>
      <w:r>
        <w:rPr>
          <w:rFonts w:ascii="Arial" w:cs="Arial" w:eastAsia="Arial" w:hAnsi="Arial"/>
          <w:sz w:val="18"/>
          <w:szCs w:val="18"/>
          <w:i w:val="1"/>
          <w:iCs w:val="1"/>
          <w:color w:val="auto"/>
        </w:rPr>
        <w:t xml:space="preserve"> </w:t>
      </w:r>
      <w:r>
        <w:rPr>
          <w:rFonts w:ascii="Arial" w:cs="Arial" w:eastAsia="Arial" w:hAnsi="Arial"/>
          <w:sz w:val="18"/>
          <w:szCs w:val="18"/>
          <w:color w:val="auto"/>
        </w:rPr>
        <w:t>authenticating agent.</w:t>
      </w:r>
    </w:p>
    <w:p>
      <w:pPr>
        <w:spacing w:after="0" w:line="180" w:lineRule="exact"/>
        <w:rPr>
          <w:rFonts w:ascii="Arial" w:cs="Arial" w:eastAsia="Arial" w:hAnsi="Arial"/>
          <w:sz w:val="18"/>
          <w:szCs w:val="18"/>
          <w:color w:val="auto"/>
        </w:rPr>
      </w:pPr>
    </w:p>
    <w:p>
      <w:pPr>
        <w:ind w:left="-40" w:right="40" w:firstLine="737"/>
        <w:spacing w:after="0" w:line="253" w:lineRule="auto"/>
        <w:tabs>
          <w:tab w:leader="none" w:pos="1249"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w:t>
      </w:r>
      <w:r>
        <w:rPr>
          <w:rFonts w:ascii="Arial" w:cs="Arial" w:eastAsia="Arial" w:hAnsi="Arial"/>
          <w:sz w:val="18"/>
          <w:szCs w:val="18"/>
          <w:i w:val="1"/>
          <w:iCs w:val="1"/>
          <w:color w:val="auto"/>
        </w:rPr>
        <w:t xml:space="preserve"> </w:t>
      </w:r>
      <w:r>
        <w:rPr>
          <w:rFonts w:ascii="Arial" w:cs="Arial" w:eastAsia="Arial" w:hAnsi="Arial"/>
          <w:sz w:val="18"/>
          <w:szCs w:val="18"/>
          <w:color w:val="auto"/>
        </w:rPr>
        <w:t>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180"/>
          </w:cols>
          <w:pgMar w:left="360" w:top="1440" w:right="359" w:bottom="1440" w:gutter="0" w:footer="0" w:header="0"/>
        </w:sectPr>
      </w:pPr>
    </w:p>
    <w:bookmarkStart w:id="35" w:name="page36"/>
    <w:bookmarkEnd w:id="35"/>
    <w:p>
      <w:pPr>
        <w:ind w:firstLine="737"/>
        <w:spacing w:after="0" w:line="244" w:lineRule="auto"/>
        <w:tabs>
          <w:tab w:leader="none" w:pos="1289"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Notes and the Trustee shall use CUSIP</w:t>
      </w:r>
      <w:r>
        <w:rPr>
          <w:rFonts w:ascii="Arial" w:cs="Arial" w:eastAsia="Arial" w:hAnsi="Arial"/>
          <w:sz w:val="18"/>
          <w:szCs w:val="18"/>
          <w:i w:val="1"/>
          <w:iCs w:val="1"/>
          <w:color w:val="auto"/>
        </w:rPr>
        <w:t xml:space="preserve"> </w:t>
      </w:r>
      <w:r>
        <w:rPr>
          <w:rFonts w:ascii="Arial" w:cs="Arial" w:eastAsia="Arial" w:hAnsi="Arial"/>
          <w:sz w:val="18"/>
          <w:szCs w:val="18"/>
          <w:color w:val="auto"/>
        </w:rPr>
        <w:t>numbers in notices of 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ind w:left="660"/>
        <w:spacing w:after="0" w:line="234" w:lineRule="auto"/>
        <w:rPr>
          <w:sz w:val="20"/>
          <w:szCs w:val="20"/>
          <w:color w:val="auto"/>
        </w:rPr>
      </w:pPr>
      <w:r>
        <w:rPr>
          <w:rFonts w:ascii="Arial" w:cs="Arial" w:eastAsia="Arial" w:hAnsi="Arial"/>
          <w:sz w:val="18"/>
          <w:szCs w:val="18"/>
          <w:color w:val="auto"/>
        </w:rPr>
        <w:t>8000 South Federal Way</w:t>
      </w:r>
    </w:p>
    <w:p>
      <w:pPr>
        <w:ind w:left="660"/>
        <w:spacing w:after="0" w:line="235" w:lineRule="auto"/>
        <w:rPr>
          <w:sz w:val="20"/>
          <w:szCs w:val="20"/>
          <w:color w:val="auto"/>
        </w:rPr>
      </w:pPr>
      <w:r>
        <w:rPr>
          <w:rFonts w:ascii="Arial" w:cs="Arial" w:eastAsia="Arial" w:hAnsi="Arial"/>
          <w:sz w:val="18"/>
          <w:szCs w:val="18"/>
          <w:color w:val="auto"/>
        </w:rPr>
        <w:t>Boise, Idaho 83716-9632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180"/>
          </w:cols>
          <w:pgMar w:left="320" w:top="1403" w:right="399" w:bottom="1440" w:gutter="0" w:footer="0" w:header="0"/>
        </w:sectPr>
      </w:pPr>
    </w:p>
    <w:bookmarkStart w:id="36" w:name="page37"/>
    <w:bookmarkEnd w:id="36"/>
    <w:p>
      <w:pPr>
        <w:ind w:left="28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NOTE</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of decrease or</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decrease in</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of increase in</w:t>
            </w:r>
          </w:p>
        </w:tc>
        <w:tc>
          <w:tcPr>
            <w:tcW w:w="2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Principal amount of this Note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Signature of authorized signatory</w:t>
            </w:r>
          </w:p>
        </w:tc>
      </w:tr>
      <w:tr>
        <w:trPr>
          <w:trHeight w:val="162"/>
        </w:trPr>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increase</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principal amount of this Note</w:t>
            </w:r>
          </w:p>
        </w:tc>
        <w:tc>
          <w:tcPr>
            <w:tcW w:w="2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following such decrease or</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of Trustee or Security Custodian</w:t>
            </w:r>
          </w:p>
        </w:tc>
      </w:tr>
      <w:tr>
        <w:trPr>
          <w:trHeight w:val="205"/>
        </w:trPr>
        <w:tc>
          <w:tcPr>
            <w:tcW w:w="1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40"/>
          </w:cols>
          <w:pgMar w:left="320" w:top="1403" w:right="33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ASSIGNMENT FORM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39" w:lineRule="exact"/>
        <w:rPr>
          <w:sz w:val="20"/>
          <w:szCs w:val="20"/>
          <w:color w:val="auto"/>
        </w:rPr>
      </w:pPr>
    </w:p>
    <w:p>
      <w:pPr>
        <w:ind w:right="8760" w:firstLine="8"/>
        <w:spacing w:after="0" w:line="524"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 w:lineRule="exact"/>
        <w:rPr>
          <w:sz w:val="20"/>
          <w:szCs w:val="20"/>
          <w:color w:val="auto"/>
        </w:rPr>
      </w:pPr>
    </w:p>
    <w:p>
      <w:pPr>
        <w:ind w:left="120"/>
        <w:spacing w:after="0"/>
        <w:tabs>
          <w:tab w:leader="none" w:pos="8700" w:val="left"/>
        </w:tabs>
        <w:rPr>
          <w:sz w:val="20"/>
          <w:szCs w:val="20"/>
          <w:color w:val="auto"/>
        </w:rPr>
      </w:pPr>
      <w:r>
        <w:rPr>
          <w:rFonts w:ascii="Arial" w:cs="Arial" w:eastAsia="Arial" w:hAnsi="Arial"/>
          <w:sz w:val="17"/>
          <w:szCs w:val="17"/>
          <w:color w:val="auto"/>
        </w:rPr>
        <w:t>____________________________________________________________________________________</w:t>
        <w:tab/>
        <w:t>(Insert assignee’s legal name)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(Print or type assignee’s name, address and zip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_____________________________________________ to transfer this Note on the books of the Company.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agent may substitute another to act for him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367" w:lineRule="exact"/>
        <w:rPr>
          <w:sz w:val="20"/>
          <w:szCs w:val="20"/>
          <w:color w:val="auto"/>
        </w:rPr>
      </w:pPr>
    </w:p>
    <w:p>
      <w:pPr>
        <w:ind w:right="80" w:firstLine="648"/>
        <w:spacing w:after="0" w:line="251"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120"/>
          </w:cols>
          <w:pgMar w:left="320" w:top="1403" w:right="459" w:bottom="1440" w:gutter="0" w:footer="0" w:header="0"/>
        </w:sectPr>
      </w:pPr>
    </w:p>
    <w:bookmarkStart w:id="38" w:name="page39"/>
    <w:bookmarkEnd w:id="38"/>
    <w:p>
      <w:pPr>
        <w:jc w:val="center"/>
        <w:ind w:left="620"/>
        <w:spacing w:after="0"/>
        <w:rPr>
          <w:sz w:val="20"/>
          <w:szCs w:val="20"/>
          <w:color w:val="auto"/>
        </w:rPr>
      </w:pPr>
      <w:r>
        <w:rPr>
          <w:rFonts w:ascii="Arial" w:cs="Arial" w:eastAsia="Arial" w:hAnsi="Arial"/>
          <w:sz w:val="18"/>
          <w:szCs w:val="18"/>
          <w:b w:val="1"/>
          <w:bCs w:val="1"/>
          <w:color w:val="auto"/>
        </w:rPr>
        <w:t>OPTION OF HOLDER TO ELECT PURCHASE</w:t>
      </w:r>
    </w:p>
    <w:p>
      <w:pPr>
        <w:spacing w:after="0" w:line="239"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If you want to elect to have this Note purchased by the Company pursuant to Section 4.1 of the Supplemental Indenture, check the box below:</w:t>
      </w:r>
    </w:p>
    <w:p>
      <w:pPr>
        <w:spacing w:after="0" w:line="181" w:lineRule="exact"/>
        <w:rPr>
          <w:sz w:val="20"/>
          <w:szCs w:val="20"/>
          <w:color w:val="auto"/>
        </w:rPr>
      </w:pPr>
    </w:p>
    <w:p>
      <w:pPr>
        <w:ind w:left="860" w:hanging="204"/>
        <w:spacing w:after="0"/>
        <w:tabs>
          <w:tab w:leader="none" w:pos="860" w:val="left"/>
        </w:tabs>
        <w:numPr>
          <w:ilvl w:val="0"/>
          <w:numId w:val="32"/>
        </w:numPr>
        <w:rPr>
          <w:rFonts w:ascii="MS PGothic" w:cs="MS PGothic" w:eastAsia="MS PGothic" w:hAnsi="MS PGothic"/>
          <w:sz w:val="18"/>
          <w:szCs w:val="18"/>
          <w:color w:val="auto"/>
        </w:rPr>
      </w:pPr>
      <w:r>
        <w:rPr>
          <w:rFonts w:ascii="Arial" w:cs="Arial" w:eastAsia="Arial" w:hAnsi="Arial"/>
          <w:sz w:val="18"/>
          <w:szCs w:val="18"/>
          <w:color w:val="auto"/>
        </w:rPr>
        <w:t>Section 4.1</w:t>
      </w:r>
    </w:p>
    <w:p>
      <w:pPr>
        <w:spacing w:after="0" w:line="23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you want to elect to have only part of the Note purchased by the Company pursuant to Section 4.1 of the Supplemental Indenture, state the amount you elect to have purchased ($2,000 or integral multiples of $1,000 in excess thereof; provided that the unrepurchased portion of a Note must be in a minimum principal amount of $2,000): $________________</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00" w:lineRule="exact"/>
        <w:rPr>
          <w:sz w:val="20"/>
          <w:szCs w:val="20"/>
          <w:color w:val="auto"/>
        </w:rPr>
      </w:pPr>
    </w:p>
    <w:p>
      <w:pPr>
        <w:spacing w:after="0" w:line="3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Your Signature:________________________________</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Tax Identification No: ___________________________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Guarantee: 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60" w:right="120"/>
        <w:spacing w:after="0" w:line="250" w:lineRule="auto"/>
        <w:rPr>
          <w:sz w:val="20"/>
          <w:szCs w:val="20"/>
          <w:color w:val="auto"/>
        </w:rPr>
      </w:pPr>
      <w:r>
        <w:rPr>
          <w:rFonts w:ascii="Arial" w:cs="Arial" w:eastAsia="Arial" w:hAnsi="Arial"/>
          <w:sz w:val="18"/>
          <w:szCs w:val="18"/>
          <w:b w:val="1"/>
          <w:bCs w:val="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i w:val="1"/>
          <w:iCs w:val="1"/>
          <w:color w:val="auto"/>
        </w:rPr>
        <w:t>STAMP</w:t>
      </w:r>
      <w:r>
        <w:rPr>
          <w:rFonts w:ascii="Arial" w:cs="Arial" w:eastAsia="Arial" w:hAnsi="Arial"/>
          <w:sz w:val="18"/>
          <w:szCs w:val="18"/>
          <w:b w:val="1"/>
          <w:bCs w:val="1"/>
          <w:color w:val="auto"/>
        </w:rPr>
        <w:t>”) or such other “signature guarantee program” as may be determined by the Registrar in addition to, or in substitution for, STAMP, all in accordance with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120"/>
          </w:cols>
          <w:pgMar w:left="320" w:top="1403"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9, 2023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8000 South Federal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Boise, Idaho 83716-9632</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 Registration Statement on Form S-3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We have acted as counsel to Micron Technology, Inc., a Delaware corporation (the “Company”), in connection with the filing by the Company with the Securities and Exchange Commission (the “Commission”) on November 4, 2020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the Registration Statement, the Company issued $</w:t>
      </w:r>
      <w:r>
        <w:rPr>
          <w:rFonts w:ascii="Arial" w:cs="Arial" w:eastAsia="Arial" w:hAnsi="Arial"/>
          <w:sz w:val="19"/>
          <w:szCs w:val="19"/>
          <w:color w:val="auto"/>
        </w:rPr>
        <w:t>750,000,000</w:t>
      </w:r>
      <w:r>
        <w:rPr>
          <w:rFonts w:ascii="Arial" w:cs="Arial" w:eastAsia="Arial" w:hAnsi="Arial"/>
          <w:sz w:val="22"/>
          <w:szCs w:val="22"/>
          <w:color w:val="auto"/>
        </w:rPr>
        <w:t xml:space="preserve"> aggregate principal amount of </w:t>
      </w:r>
      <w:r>
        <w:rPr>
          <w:rFonts w:ascii="Arial" w:cs="Arial" w:eastAsia="Arial" w:hAnsi="Arial"/>
          <w:sz w:val="19"/>
          <w:szCs w:val="19"/>
          <w:color w:val="auto"/>
        </w:rPr>
        <w:t>6.750</w:t>
      </w:r>
      <w:r>
        <w:rPr>
          <w:rFonts w:ascii="Arial" w:cs="Arial" w:eastAsia="Arial" w:hAnsi="Arial"/>
          <w:sz w:val="21"/>
          <w:szCs w:val="21"/>
          <w:color w:val="auto"/>
        </w:rPr>
        <w:t>% Senior Notes due 20</w:t>
      </w:r>
      <w:r>
        <w:rPr>
          <w:rFonts w:ascii="Arial" w:cs="Arial" w:eastAsia="Arial" w:hAnsi="Arial"/>
          <w:sz w:val="19"/>
          <w:szCs w:val="19"/>
          <w:color w:val="auto"/>
        </w:rPr>
        <w:t>29 on October 31, 2022</w:t>
      </w:r>
      <w:r>
        <w:rPr>
          <w:rFonts w:ascii="Arial" w:cs="Arial" w:eastAsia="Arial" w:hAnsi="Arial"/>
          <w:sz w:val="21"/>
          <w:szCs w:val="21"/>
          <w:color w:val="auto"/>
        </w:rPr>
        <w:t>. Pursuant to the Registration Statement, the Company has issued</w:t>
      </w:r>
    </w:p>
    <w:p>
      <w:pPr>
        <w:ind w:left="260" w:hanging="252"/>
        <w:spacing w:after="0"/>
        <w:tabs>
          <w:tab w:leader="none" w:pos="2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 additional $500,000,000 aggregate principal amount of 6.750% Senior Notes due 2029 (the “2029 Notes”) and</w:t>
      </w:r>
    </w:p>
    <w:p>
      <w:pPr>
        <w:spacing w:after="0" w:line="1" w:lineRule="exact"/>
        <w:rPr>
          <w:rFonts w:ascii="Arial" w:cs="Arial" w:eastAsia="Arial" w:hAnsi="Arial"/>
          <w:sz w:val="21"/>
          <w:szCs w:val="21"/>
          <w:color w:val="auto"/>
        </w:rPr>
      </w:pPr>
    </w:p>
    <w:p>
      <w:pPr>
        <w:jc w:val="both"/>
        <w:ind w:firstLine="8"/>
        <w:spacing w:after="0" w:line="234" w:lineRule="auto"/>
        <w:tabs>
          <w:tab w:leader="none" w:pos="31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$750,000,000 aggregate principal amount of 5.875% Senior Notes due 2033 (the “2033 Notes” and together with the 2029 Notes, the “Notes”), which have been sold pursuant to that certain Underwriting Agreement (the “Underwriting Agreement”), dated as of </w:t>
      </w:r>
      <w:r>
        <w:rPr>
          <w:rFonts w:ascii="Arial" w:cs="Arial" w:eastAsia="Arial" w:hAnsi="Arial"/>
          <w:sz w:val="19"/>
          <w:szCs w:val="19"/>
          <w:color w:val="auto"/>
        </w:rPr>
        <w:t>February 6, 2023</w:t>
      </w:r>
      <w:r>
        <w:rPr>
          <w:rFonts w:ascii="Arial" w:cs="Arial" w:eastAsia="Arial" w:hAnsi="Arial"/>
          <w:sz w:val="22"/>
          <w:szCs w:val="22"/>
          <w:color w:val="auto"/>
        </w:rPr>
        <w:t>, among the Company, Morgan Stanley &amp; Co. LLC, BofA Securities, Inc. and Wells Fargo Securities, LLC, as representatives of the other several underwriters named in Schedule I thereto.</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The Notes have been issued in the form set forth in the Indenture, dated as of February 6, 2019 (the “Base Indenture”), between the Company and U.S. Bank Trust Company, National Association (as successor in interest to U.S. Bank National Association), as trustee (the “Trustee”) and, with respect to the 2029 Notes, as supplemented by that certain Fifth Supplemental Indenture, dated as of October 31, 2022 (the “Fifth Supplemental Indenture”), and, with respect to the 2033 Notes, as supplemented by that certain Sixth Supplemental Indenture, dated as of February 9, 2023 (the “Sixth Supplemental Indenture”), between the Company and the Trustee. As used herein, “Indenture,” with respect to the 2029 Notes, means the Base Indenture, as</w:t>
      </w:r>
    </w:p>
    <w:p>
      <w:pPr>
        <w:sectPr>
          <w:pgSz w:w="11900" w:h="16838" w:orient="portrait"/>
          <w:cols w:equalWidth="0" w:num="1">
            <w:col w:w="11240"/>
          </w:cols>
          <w:pgMar w:left="320" w:top="14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Micron Technology,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supplemented by the Fifth Supplemental Indenture, and, with respect to the 2033 Notes, means the Base Indenture, as supplemented by the Sixth Supplemental Indenture.</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examined the Registration Statement, together with the exhibits thereto and the documents incorporated by reference therein; the prospectus, dated November 4, 2020, together with the documents incorporated by reference therein, filed with the Registration Statement (the “Prospectus”); the preliminary prospectus supplement, dated February 6, 2023, in the form filed with the Commission pursuant to Rule 424(b) of the Securities Act relating to the offering of the Notes; the free writing prospectus, dated February 6, 2023, in the form filed with the Commission pursuant to Rule 433 of the Securities Act; the final prospectus supplement, dated February 6, 2023,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20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21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Micron Technology,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Very truly yours,</w:t>
      </w:r>
    </w:p>
    <w:p>
      <w:pPr>
        <w:spacing w:after="0" w:line="311"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WILSON SONSINI GOODRICH &amp; ROSATI</w:t>
      </w:r>
    </w:p>
    <w:p>
      <w:pPr>
        <w:ind w:left="3940"/>
        <w:spacing w:after="0"/>
        <w:rPr>
          <w:sz w:val="20"/>
          <w:szCs w:val="20"/>
          <w:color w:val="auto"/>
        </w:rPr>
      </w:pPr>
      <w:r>
        <w:rPr>
          <w:rFonts w:ascii="Arial" w:cs="Arial" w:eastAsia="Arial" w:hAnsi="Arial"/>
          <w:sz w:val="22"/>
          <w:szCs w:val="22"/>
          <w:color w:val="auto"/>
        </w:rPr>
        <w:t>Professional Corporation</w:t>
      </w:r>
    </w:p>
    <w:p>
      <w:pPr>
        <w:spacing w:after="0" w:line="267"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19050</wp:posOffset>
            </wp:positionV>
            <wp:extent cx="2863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Roman"/>
      <w:start w:val="2"/>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7"/>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2"/>
    </w:lvl>
    <w:lvl w:ilvl="1">
      <w:lvlJc w:val="left"/>
      <w:lvlText w:val="(%2)"/>
      <w:numFmt w:val="decimal"/>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1)"/>
      <w:numFmt w:val="lowerLetter"/>
      <w:start w:val="4"/>
    </w:lvl>
    <w:lvl w:ilvl="1">
      <w:lvlJc w:val="left"/>
      <w:lvlText w:val="(%2)"/>
      <w:numFmt w:val="lowerLetter"/>
      <w:start w:val="5"/>
    </w:lvl>
  </w:abstractNum>
  <w:abstractNum w:abstractNumId="12">
    <w:nsid w:val="2D1D5AE9"/>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9"/>
    </w:lvl>
  </w:abstractNum>
  <w:abstractNum w:abstractNumId="13">
    <w:nsid w:val="6763845E"/>
    <w:multiLevelType w:val="hybridMultilevel"/>
    <w:lvl w:ilvl="0">
      <w:lvlJc w:val="left"/>
      <w:lvlText w:val="%1"/>
      <w:numFmt w:val="decimal"/>
      <w:start w:val="1"/>
    </w:lvl>
    <w:lvl w:ilvl="1">
      <w:lvlJc w:val="left"/>
      <w:lvlText w:val="(%2)"/>
      <w:numFmt w:val="lowerRoman"/>
      <w:start w:val="2"/>
    </w:lvl>
  </w:abstractNum>
  <w:abstractNum w:abstractNumId="14">
    <w:nsid w:val="75A2A8D4"/>
    <w:multiLevelType w:val="hybridMultilevel"/>
    <w:lvl w:ilvl="0">
      <w:lvlJc w:val="left"/>
      <w:lvlText w:val="(%1)"/>
      <w:numFmt w:val="decimal"/>
      <w:start w:val="6"/>
    </w:lvl>
    <w:lvl w:ilvl="1">
      <w:lvlJc w:val="left"/>
      <w:lvlText w:val="%2"/>
      <w:numFmt w:val="lowerRoman"/>
      <w:start w:val="1"/>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lowerLetter"/>
      <w:start w:val="1"/>
    </w:lvl>
    <w:lvl w:ilvl="1">
      <w:lvlJc w:val="left"/>
      <w:lvlText w:val="(%2)"/>
      <w:numFmt w:val="lowerRoman"/>
      <w:start w:val="1"/>
    </w:lvl>
  </w:abstractNum>
  <w:abstractNum w:abstractNumId="17">
    <w:nsid w:val="4353D0CD"/>
    <w:multiLevelType w:val="hybridMultilevel"/>
    <w:lvl w:ilvl="0">
      <w:lvlJc w:val="left"/>
      <w:lvlText w:val="(%1)"/>
      <w:numFmt w:val="lowerLetter"/>
      <w:start w:val="1"/>
    </w:lvl>
    <w:lvl w:ilvl="1">
      <w:lvlJc w:val="left"/>
      <w:lvlText w:val="(%2)"/>
      <w:numFmt w:val="lowerRoman"/>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2"/>
    </w:lvl>
    <w:lvl w:ilvl="1">
      <w:lvlJc w:val="left"/>
      <w:lvlText w:val="(%2)"/>
      <w:numFmt w:val="decimal"/>
      <w:start w:val="1"/>
    </w:lvl>
  </w:abstractNum>
  <w:abstractNum w:abstractNumId="20">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1">
    <w:nsid w:val="71F32454"/>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22">
    <w:nsid w:val="2CA88611"/>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4"/>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5"/>
    </w:lvl>
  </w:abstractNum>
  <w:abstractNum w:abstractNumId="29">
    <w:nsid w:val="737B8DDC"/>
    <w:multiLevelType w:val="hybridMultilevel"/>
    <w:lvl w:ilvl="0">
      <w:lvlJc w:val="left"/>
      <w:lvlText w:val="%1."/>
      <w:numFmt w:val="decimal"/>
      <w:start w:val="16"/>
    </w:lvl>
  </w:abstractNum>
  <w:abstractNum w:abstractNumId="30">
    <w:nsid w:val="6CEAF087"/>
    <w:multiLevelType w:val="hybridMultilevel"/>
    <w:lvl w:ilvl="0">
      <w:lvlJc w:val="left"/>
      <w:lvlText w:val="(%1)"/>
      <w:numFmt w:val="upperLetter"/>
      <w:start w:val="9"/>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8" Type="http://schemas.openxmlformats.org/officeDocument/2006/relationships/hyperlink" Target="https://www.sec.gov/Archives/edgar/data/723125/000110465919006069/a18-36862_4ex4d1.htm" TargetMode="External"/><Relationship Id="rId19" Type="http://schemas.openxmlformats.org/officeDocument/2006/relationships/hyperlink" Target="https://www.sec.gov/Archives/edgar/data/723125/000072312522000051/a2023q1ex42-supplemental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2023-02-09T16:39:01Z</dcterms:created>
  <dcterms:modified xsi:type="dcterms:W3CDTF">2023-02-09T16:39:01Z</dcterms:modified>
</cp:coreProperties>
</file>