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-614680</wp:posOffset>
            </wp:positionV>
            <wp:extent cx="57785" cy="628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13335</wp:posOffset>
            </wp:positionV>
            <wp:extent cx="6996430" cy="6843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684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Sadana Sumit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3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Chief Business Officer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41"/>
            <w:col w:w="3339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83716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4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6,962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214,945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9,748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224,693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24,278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248,971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10,341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67.68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238,630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4,604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67.68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234,026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9,783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67.68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224,243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3,289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67.68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220,954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11,467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67.68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209,487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8,588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67.68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200,899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9,748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2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4,874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24,278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2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9,093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6,962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10/16/2021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2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10,391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-2501900</wp:posOffset>
            </wp:positionV>
            <wp:extent cx="28575" cy="2506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0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40" w:hanging="1"/>
        <w:spacing w:after="0" w:line="234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67% of the total target shares under the FCF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00" w:hanging="1"/>
        <w:spacing w:after="0" w:line="234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PE Ratio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60" w:hanging="1"/>
        <w:spacing w:after="0" w:line="234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NAND delivery and solutions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2007 Equity Incentive Plan.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2004 Equity Incentive Plan.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hanging="1"/>
        <w:spacing w:after="0" w:line="261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PE Ratio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hanging="1"/>
        <w:spacing w:after="0" w:line="261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NAND delivery and solutions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hanging="1"/>
        <w:spacing w:after="0" w:line="234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shares of common stock based upon the achievement of pre-established performance metrics related to FCF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Rob Beard, Attorney-in-fact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10/19/2021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1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" w:right="2659" w:hanging="1"/>
        <w:spacing w:after="0" w:line="326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0"/>
      </w:cols>
      <w:pgMar w:left="499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2021-10-19T17:32:59Z</dcterms:created>
  <dcterms:modified xsi:type="dcterms:W3CDTF">2021-10-19T17:32:59Z</dcterms:modified>
</cp:coreProperties>
</file>