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157480</wp:posOffset>
            </wp:positionV>
            <wp:extent cx="10458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209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143510</wp:posOffset>
            </wp:positionV>
            <wp:extent cx="1045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209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380" w:right="400" w:hanging="781"/>
        <w:spacing w:after="0" w:line="254"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November 28, 2002</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22" w:lineRule="exact"/>
        <w:rPr>
          <w:sz w:val="24"/>
          <w:szCs w:val="24"/>
          <w:color w:val="auto"/>
        </w:rPr>
      </w:pPr>
    </w:p>
    <w:p>
      <w:pPr>
        <w:ind w:left="1380" w:right="440" w:hanging="741"/>
        <w:spacing w:after="0" w:line="254"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156210</wp:posOffset>
            </wp:positionV>
            <wp:extent cx="1045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209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 or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152400</wp:posOffset>
            </wp:positionV>
            <wp:extent cx="10458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209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Internal Revenue Service—Employer Identification No. 75-1618004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8000 S. Federal Way, P.O. Box 6, Boise, Idaho 83707-0006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(208) 368-4000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147955</wp:posOffset>
            </wp:positionV>
            <wp:extent cx="104584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209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right="440" w:firstLine="349"/>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8" w:lineRule="exact"/>
        <w:rPr>
          <w:sz w:val="24"/>
          <w:szCs w:val="24"/>
          <w:color w:val="auto"/>
        </w:rPr>
      </w:pPr>
    </w:p>
    <w:p>
      <w:pPr>
        <w:ind w:left="360"/>
        <w:spacing w:after="0" w:line="196" w:lineRule="exact"/>
        <w:tabs>
          <w:tab w:leader="none" w:pos="918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No o</w:t>
      </w:r>
    </w:p>
    <w:p>
      <w:pPr>
        <w:spacing w:after="0" w:line="267" w:lineRule="exact"/>
        <w:rPr>
          <w:sz w:val="24"/>
          <w:szCs w:val="24"/>
          <w:color w:val="auto"/>
        </w:rPr>
      </w:pPr>
    </w:p>
    <w:p>
      <w:pPr>
        <w:ind w:left="360"/>
        <w:spacing w:after="0"/>
        <w:rPr>
          <w:sz w:val="20"/>
          <w:szCs w:val="20"/>
          <w:color w:val="auto"/>
        </w:rPr>
      </w:pPr>
      <w:r>
        <w:rPr>
          <w:rFonts w:ascii="Arial" w:cs="Arial" w:eastAsia="Arial" w:hAnsi="Arial"/>
          <w:sz w:val="17"/>
          <w:szCs w:val="17"/>
          <w:color w:val="auto"/>
        </w:rPr>
        <w:t>The number of outstanding shares of the registrant's common stock as of January 8, 2003 was 607,592,779.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323215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Part I. FINANCIAL INFORMATION</w:t>
      </w: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(Amounts in millions except per share amounts)</w:t>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left="373"/>
              <w:spacing w:after="0"/>
              <w:rPr>
                <w:sz w:val="20"/>
                <w:szCs w:val="20"/>
                <w:color w:val="auto"/>
              </w:rPr>
            </w:pPr>
            <w:r>
              <w:rPr>
                <w:rFonts w:ascii="Arial" w:cs="Arial" w:eastAsia="Arial" w:hAnsi="Arial"/>
                <w:sz w:val="13"/>
                <w:szCs w:val="13"/>
                <w:b w:val="1"/>
                <w:bCs w:val="1"/>
                <w:color w:val="auto"/>
                <w:w w:val="93"/>
              </w:rPr>
              <w:t>November 28,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November 29,</w:t>
            </w:r>
          </w:p>
        </w:tc>
      </w:tr>
      <w:tr>
        <w:trPr>
          <w:trHeight w:val="174"/>
        </w:trPr>
        <w:tc>
          <w:tcPr>
            <w:tcW w:w="7380" w:type="dxa"/>
            <w:vAlign w:val="bottom"/>
          </w:tcPr>
          <w:p>
            <w:pPr>
              <w:spacing w:after="0"/>
              <w:rPr>
                <w:sz w:val="20"/>
                <w:szCs w:val="20"/>
                <w:color w:val="auto"/>
              </w:rPr>
            </w:pPr>
            <w:r>
              <w:rPr>
                <w:rFonts w:ascii="Arial" w:cs="Arial" w:eastAsia="Arial" w:hAnsi="Arial"/>
                <w:sz w:val="13"/>
                <w:szCs w:val="13"/>
                <w:b w:val="1"/>
                <w:bCs w:val="1"/>
                <w:color w:val="auto"/>
              </w:rPr>
              <w:t>For the quarter ended</w:t>
            </w:r>
          </w:p>
        </w:tc>
        <w:tc>
          <w:tcPr>
            <w:tcW w:w="152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658"/>
              <w:spacing w:after="0"/>
              <w:rPr>
                <w:sz w:val="20"/>
                <w:szCs w:val="20"/>
                <w:color w:val="auto"/>
              </w:rPr>
            </w:pPr>
            <w:r>
              <w:rPr>
                <w:rFonts w:ascii="Arial" w:cs="Arial" w:eastAsia="Arial" w:hAnsi="Arial"/>
                <w:sz w:val="13"/>
                <w:szCs w:val="13"/>
                <w:b w:val="1"/>
                <w:bCs w:val="1"/>
                <w:color w:val="auto"/>
              </w:rPr>
              <w:t>2001</w:t>
            </w:r>
          </w:p>
        </w:tc>
        <w:tc>
          <w:tcPr>
            <w:tcW w:w="120" w:type="dxa"/>
            <w:vAlign w:val="bottom"/>
          </w:tcPr>
          <w:p>
            <w:pPr>
              <w:spacing w:after="0"/>
              <w:rPr>
                <w:sz w:val="15"/>
                <w:szCs w:val="15"/>
                <w:color w:val="auto"/>
              </w:rPr>
            </w:pPr>
          </w:p>
        </w:tc>
      </w:tr>
      <w:tr>
        <w:trPr>
          <w:trHeight w:val="105"/>
        </w:trPr>
        <w:tc>
          <w:tcPr>
            <w:tcW w:w="7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4"/>
        </w:trPr>
        <w:tc>
          <w:tcPr>
            <w:tcW w:w="7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520" w:type="dxa"/>
            <w:vAlign w:val="bottom"/>
            <w:gridSpan w:val="2"/>
            <w:shd w:val="clear" w:color="auto" w:fill="CCEEFF"/>
          </w:tcPr>
          <w:p>
            <w:pPr>
              <w:jc w:val="right"/>
              <w:ind w:right="115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685.1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423.9</w:t>
            </w:r>
          </w:p>
        </w:tc>
        <w:tc>
          <w:tcPr>
            <w:tcW w:w="120" w:type="dxa"/>
            <w:vAlign w:val="bottom"/>
            <w:shd w:val="clear" w:color="auto" w:fill="CCEEFF"/>
          </w:tcPr>
          <w:p>
            <w:pPr>
              <w:spacing w:after="0"/>
              <w:rPr>
                <w:sz w:val="18"/>
                <w:szCs w:val="18"/>
                <w:color w:val="auto"/>
              </w:rPr>
            </w:pPr>
          </w:p>
        </w:tc>
      </w:tr>
      <w:tr>
        <w:trPr>
          <w:trHeight w:val="222"/>
        </w:trPr>
        <w:tc>
          <w:tcPr>
            <w:tcW w:w="7380" w:type="dxa"/>
            <w:vAlign w:val="bottom"/>
          </w:tcPr>
          <w:p>
            <w:pPr>
              <w:spacing w:after="0"/>
              <w:rPr>
                <w:sz w:val="20"/>
                <w:szCs w:val="20"/>
                <w:color w:val="auto"/>
              </w:rPr>
            </w:pPr>
            <w:r>
              <w:rPr>
                <w:rFonts w:ascii="Arial" w:cs="Arial" w:eastAsia="Arial" w:hAnsi="Arial"/>
                <w:sz w:val="17"/>
                <w:szCs w:val="17"/>
                <w:color w:val="auto"/>
              </w:rPr>
              <w:t>Cost of goods sold</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722.4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636.5</w:t>
            </w:r>
          </w:p>
        </w:tc>
        <w:tc>
          <w:tcPr>
            <w:tcW w:w="120" w:type="dxa"/>
            <w:vAlign w:val="bottom"/>
          </w:tcPr>
          <w:p>
            <w:pPr>
              <w:spacing w:after="0"/>
              <w:rPr>
                <w:sz w:val="19"/>
                <w:szCs w:val="19"/>
                <w:color w:val="auto"/>
              </w:rPr>
            </w:pPr>
          </w:p>
        </w:tc>
      </w:tr>
      <w:tr>
        <w:trPr>
          <w:trHeight w:val="111"/>
        </w:trPr>
        <w:tc>
          <w:tcPr>
            <w:tcW w:w="7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4"/>
        </w:trPr>
        <w:tc>
          <w:tcPr>
            <w:tcW w:w="7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22"/>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Gross margin</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(212.6)</w:t>
            </w:r>
          </w:p>
        </w:tc>
      </w:tr>
      <w:tr>
        <w:trPr>
          <w:trHeight w:val="215"/>
        </w:trPr>
        <w:tc>
          <w:tcPr>
            <w:tcW w:w="73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96.4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79.9</w:t>
            </w:r>
          </w:p>
        </w:tc>
        <w:tc>
          <w:tcPr>
            <w:tcW w:w="120" w:type="dxa"/>
            <w:vAlign w:val="bottom"/>
          </w:tcPr>
          <w:p>
            <w:pPr>
              <w:spacing w:after="0"/>
              <w:rPr>
                <w:sz w:val="18"/>
                <w:szCs w:val="18"/>
                <w:color w:val="auto"/>
              </w:rPr>
            </w:pPr>
          </w:p>
        </w:tc>
      </w:tr>
      <w:tr>
        <w:trPr>
          <w:trHeight w:val="21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154.5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2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4671695</wp:posOffset>
            </wp:positionH>
            <wp:positionV relativeFrom="paragraph">
              <wp:posOffset>-934085</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-934085</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-934085</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-934085</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-934085</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-934085</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-507365</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-507365</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-507365</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-507365</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8"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7580" w:type="dxa"/>
            <w:vAlign w:val="bottom"/>
          </w:tcPr>
          <w:p>
            <w:pPr>
              <w:spacing w:after="0"/>
              <w:rPr>
                <w:sz w:val="20"/>
                <w:szCs w:val="20"/>
                <w:color w:val="auto"/>
              </w:rPr>
            </w:pPr>
            <w:r>
              <w:rPr>
                <w:rFonts w:ascii="Arial" w:cs="Arial" w:eastAsia="Arial" w:hAnsi="Arial"/>
                <w:sz w:val="17"/>
                <w:szCs w:val="17"/>
                <w:color w:val="auto"/>
              </w:rPr>
              <w:t>Other operating expense</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loss</w:t>
            </w:r>
          </w:p>
        </w:tc>
        <w:tc>
          <w:tcPr>
            <w:tcW w:w="7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(296.6)</w:t>
            </w:r>
          </w:p>
        </w:tc>
        <w:tc>
          <w:tcPr>
            <w:tcW w:w="7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(452.0)</w:t>
            </w:r>
          </w:p>
        </w:tc>
        <w:tc>
          <w:tcPr>
            <w:tcW w:w="0" w:type="dxa"/>
            <w:vAlign w:val="bottom"/>
          </w:tcPr>
          <w:p>
            <w:pPr>
              <w:spacing w:after="0"/>
              <w:rPr>
                <w:sz w:val="1"/>
                <w:szCs w:val="1"/>
                <w:color w:val="auto"/>
              </w:rPr>
            </w:pPr>
          </w:p>
        </w:tc>
      </w:tr>
      <w:tr>
        <w:trPr>
          <w:trHeight w:val="215"/>
        </w:trPr>
        <w:tc>
          <w:tcPr>
            <w:tcW w:w="7580" w:type="dxa"/>
            <w:vAlign w:val="bottom"/>
          </w:tcPr>
          <w:p>
            <w:pPr>
              <w:spacing w:after="0"/>
              <w:rPr>
                <w:sz w:val="20"/>
                <w:szCs w:val="20"/>
                <w:color w:val="auto"/>
              </w:rPr>
            </w:pPr>
            <w:r>
              <w:rPr>
                <w:rFonts w:ascii="Arial" w:cs="Arial" w:eastAsia="Arial" w:hAnsi="Arial"/>
                <w:sz w:val="17"/>
                <w:szCs w:val="17"/>
                <w:color w:val="auto"/>
              </w:rPr>
              <w:t>Interest income</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7"/>
                <w:szCs w:val="17"/>
                <w:color w:val="auto"/>
              </w:rPr>
              <w:t>Other non-operating income (expense)</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11"/>
        </w:trPr>
        <w:tc>
          <w:tcPr>
            <w:tcW w:w="7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Loss before income taxes</w:t>
            </w:r>
          </w:p>
        </w:tc>
        <w:tc>
          <w:tcPr>
            <w:tcW w:w="7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(294.5)</w:t>
            </w:r>
          </w:p>
        </w:tc>
        <w:tc>
          <w:tcPr>
            <w:tcW w:w="7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(443.1)</w:t>
            </w:r>
          </w:p>
        </w:tc>
        <w:tc>
          <w:tcPr>
            <w:tcW w:w="0" w:type="dxa"/>
            <w:vAlign w:val="bottom"/>
          </w:tcPr>
          <w:p>
            <w:pPr>
              <w:spacing w:after="0"/>
              <w:rPr>
                <w:sz w:val="1"/>
                <w:szCs w:val="1"/>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7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(21.4)</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75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(315.9)</w:t>
            </w:r>
          </w:p>
        </w:tc>
        <w:tc>
          <w:tcPr>
            <w:tcW w:w="70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(265.9)</w:t>
            </w:r>
          </w:p>
        </w:tc>
        <w:tc>
          <w:tcPr>
            <w:tcW w:w="0" w:type="dxa"/>
            <w:vAlign w:val="bottom"/>
          </w:tcPr>
          <w:p>
            <w:pPr>
              <w:spacing w:after="0"/>
              <w:rPr>
                <w:sz w:val="1"/>
                <w:szCs w:val="1"/>
                <w:color w:val="auto"/>
              </w:rPr>
            </w:pPr>
          </w:p>
        </w:tc>
      </w:tr>
      <w:tr>
        <w:trPr>
          <w:trHeight w:val="104"/>
        </w:trPr>
        <w:tc>
          <w:tcPr>
            <w:tcW w:w="7580" w:type="dxa"/>
            <w:vAlign w:val="bottom"/>
            <w:vMerge w:val="restart"/>
          </w:tcPr>
          <w:p>
            <w:pPr>
              <w:spacing w:after="0"/>
              <w:rPr>
                <w:sz w:val="20"/>
                <w:szCs w:val="20"/>
                <w:color w:val="auto"/>
              </w:rPr>
            </w:pPr>
            <w:r>
              <w:rPr>
                <w:rFonts w:ascii="Arial" w:cs="Arial" w:eastAsia="Arial" w:hAnsi="Arial"/>
                <w:sz w:val="17"/>
                <w:szCs w:val="17"/>
                <w:color w:val="auto"/>
              </w:rPr>
              <w:t>Loss per share: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7580" w:type="dxa"/>
            <w:vAlign w:val="bottom"/>
            <w:vMerge w:val="continue"/>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7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(0.52)</w:t>
            </w:r>
          </w:p>
        </w:tc>
        <w:tc>
          <w:tcPr>
            <w:tcW w:w="700" w:type="dxa"/>
            <w:vAlign w:val="bottom"/>
            <w:tcBorders>
              <w:bottom w:val="single" w:sz="8" w:color="CCEEFF"/>
            </w:tcBorders>
            <w:shd w:val="clear" w:color="auto" w:fill="CCEEFF"/>
          </w:tcPr>
          <w:p>
            <w:pPr>
              <w:jc w:val="right"/>
              <w:ind w:right="5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222"/>
        </w:trPr>
        <w:tc>
          <w:tcPr>
            <w:tcW w:w="7580" w:type="dxa"/>
            <w:vAlign w:val="bottom"/>
          </w:tcPr>
          <w:p>
            <w:pPr>
              <w:ind w:left="220"/>
              <w:spacing w:after="0"/>
              <w:rPr>
                <w:sz w:val="20"/>
                <w:szCs w:val="20"/>
                <w:color w:val="auto"/>
              </w:rPr>
            </w:pPr>
            <w:r>
              <w:rPr>
                <w:rFonts w:ascii="Arial" w:cs="Arial" w:eastAsia="Arial" w:hAnsi="Arial"/>
                <w:sz w:val="17"/>
                <w:szCs w:val="17"/>
                <w:color w:val="auto"/>
              </w:rPr>
              <w:t>Diluted</w:t>
            </w:r>
          </w:p>
        </w:tc>
        <w:tc>
          <w:tcPr>
            <w:tcW w:w="7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(0.52)</w:t>
            </w:r>
          </w:p>
        </w:tc>
        <w:tc>
          <w:tcPr>
            <w:tcW w:w="7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 used in per share calculations:</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tcPr>
          <w:p>
            <w:pPr>
              <w:ind w:left="220"/>
              <w:spacing w:after="0"/>
              <w:rPr>
                <w:sz w:val="20"/>
                <w:szCs w:val="20"/>
                <w:color w:val="auto"/>
              </w:rPr>
            </w:pPr>
            <w:r>
              <w:rPr>
                <w:rFonts w:ascii="Arial" w:cs="Arial" w:eastAsia="Arial" w:hAnsi="Arial"/>
                <w:sz w:val="17"/>
                <w:szCs w:val="17"/>
                <w:color w:val="auto"/>
              </w:rPr>
              <w:t>Basic</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605.2</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-2436495</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-2436495</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-2436495</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-2436495</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-1719580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-1719580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-1719580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-1719580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-1275715</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-1275715</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-1275715</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-1275715</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millions except par value amounts)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414"/>
              <w:spacing w:after="0"/>
              <w:rPr>
                <w:sz w:val="20"/>
                <w:szCs w:val="20"/>
                <w:color w:val="auto"/>
              </w:rPr>
            </w:pPr>
            <w:r>
              <w:rPr>
                <w:rFonts w:ascii="Arial" w:cs="Arial" w:eastAsia="Arial" w:hAnsi="Arial"/>
                <w:sz w:val="13"/>
                <w:szCs w:val="13"/>
                <w:b w:val="1"/>
                <w:bCs w:val="1"/>
                <w:color w:val="auto"/>
              </w:rPr>
              <w:t>November 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374"/>
              <w:spacing w:after="0"/>
              <w:rPr>
                <w:sz w:val="20"/>
                <w:szCs w:val="20"/>
                <w:color w:val="auto"/>
              </w:rPr>
            </w:pPr>
            <w:r>
              <w:rPr>
                <w:rFonts w:ascii="Arial" w:cs="Arial" w:eastAsia="Arial" w:hAnsi="Arial"/>
                <w:sz w:val="13"/>
                <w:szCs w:val="13"/>
                <w:b w:val="1"/>
                <w:bCs w:val="1"/>
                <w:color w:val="auto"/>
              </w:rPr>
              <w:t>August 29,</w:t>
            </w:r>
          </w:p>
        </w:tc>
        <w:tc>
          <w:tcPr>
            <w:tcW w:w="0" w:type="dxa"/>
            <w:vAlign w:val="bottom"/>
          </w:tcPr>
          <w:p>
            <w:pPr>
              <w:spacing w:after="0"/>
              <w:rPr>
                <w:sz w:val="1"/>
                <w:szCs w:val="1"/>
                <w:color w:val="auto"/>
              </w:rPr>
            </w:pPr>
          </w:p>
        </w:tc>
      </w:tr>
      <w:tr>
        <w:trPr>
          <w:trHeight w:val="174"/>
        </w:trPr>
        <w:tc>
          <w:tcPr>
            <w:tcW w:w="7640" w:type="dxa"/>
            <w:vAlign w:val="bottom"/>
          </w:tcPr>
          <w:p>
            <w:pPr>
              <w:spacing w:after="0"/>
              <w:rPr>
                <w:sz w:val="20"/>
                <w:szCs w:val="20"/>
                <w:color w:val="auto"/>
              </w:rPr>
            </w:pPr>
            <w:r>
              <w:rPr>
                <w:rFonts w:ascii="Arial" w:cs="Arial" w:eastAsia="Arial" w:hAnsi="Arial"/>
                <w:sz w:val="13"/>
                <w:szCs w:val="13"/>
                <w:b w:val="1"/>
                <w:bCs w:val="1"/>
                <w:color w:val="auto"/>
              </w:rPr>
              <w:t>As of</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94"/>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534"/>
              <w:spacing w:after="0"/>
              <w:rPr>
                <w:sz w:val="20"/>
                <w:szCs w:val="20"/>
                <w:color w:val="auto"/>
              </w:rPr>
            </w:pPr>
            <w:r>
              <w:rPr>
                <w:rFonts w:ascii="Arial" w:cs="Arial" w:eastAsia="Arial" w:hAnsi="Arial"/>
                <w:sz w:val="13"/>
                <w:szCs w:val="13"/>
                <w:b w:val="1"/>
                <w:bCs w:val="1"/>
                <w:color w:val="auto"/>
              </w:rPr>
              <w:t>2002</w:t>
            </w:r>
          </w:p>
        </w:tc>
        <w:tc>
          <w:tcPr>
            <w:tcW w:w="0" w:type="dxa"/>
            <w:vAlign w:val="bottom"/>
          </w:tcPr>
          <w:p>
            <w:pPr>
              <w:spacing w:after="0"/>
              <w:rPr>
                <w:sz w:val="1"/>
                <w:szCs w:val="1"/>
                <w:color w:val="auto"/>
              </w:rPr>
            </w:pPr>
          </w:p>
        </w:tc>
      </w:tr>
      <w:tr>
        <w:trPr>
          <w:trHeight w:val="105"/>
        </w:trPr>
        <w:tc>
          <w:tcPr>
            <w:tcW w:w="7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Cash and equivalents</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401.3</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398.2</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w:t>
            </w: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Receivables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443.5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537.9</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Prepaid expenses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18"/>
        </w:trPr>
        <w:tc>
          <w:tcPr>
            <w:tcW w:w="7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764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1,731.3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2,118.8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317.0</w:t>
            </w: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4,882.4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4,699.5</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353.3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295.3</w:t>
            </w:r>
          </w:p>
        </w:tc>
        <w:tc>
          <w:tcPr>
            <w:tcW w:w="0" w:type="dxa"/>
            <w:vAlign w:val="bottom"/>
          </w:tcPr>
          <w:p>
            <w:pPr>
              <w:spacing w:after="0"/>
              <w:rPr>
                <w:sz w:val="1"/>
                <w:szCs w:val="1"/>
                <w:color w:val="auto"/>
              </w:rPr>
            </w:pPr>
          </w:p>
        </w:tc>
      </w:tr>
      <w:tr>
        <w:trPr>
          <w:trHeight w:val="111"/>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assets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7,385.2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7,555.4</w:t>
            </w:r>
          </w:p>
        </w:tc>
        <w:tc>
          <w:tcPr>
            <w:tcW w:w="0" w:type="dxa"/>
            <w:vAlign w:val="bottom"/>
          </w:tcPr>
          <w:p>
            <w:pPr>
              <w:spacing w:after="0"/>
              <w:rPr>
                <w:sz w:val="1"/>
                <w:szCs w:val="1"/>
                <w:color w:val="auto"/>
              </w:rPr>
            </w:pPr>
          </w:p>
        </w:tc>
      </w:tr>
      <w:tr>
        <w:trPr>
          <w:trHeight w:val="104"/>
        </w:trPr>
        <w:tc>
          <w:tcPr>
            <w:tcW w:w="76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7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674.3</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554.1</w:t>
            </w: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Deferred income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Equipment purchase contracts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95.8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111"/>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752.7</w:t>
            </w: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Long-term debt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340.2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360.8</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118"/>
        </w:trPr>
        <w:tc>
          <w:tcPr>
            <w:tcW w:w="7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7640" w:type="dxa"/>
            <w:vAlign w:val="bottom"/>
          </w:tcPr>
          <w:p>
            <w:pPr>
              <w:ind w:left="22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1,305.5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1,188.8</w:t>
            </w:r>
          </w:p>
        </w:tc>
        <w:tc>
          <w:tcPr>
            <w:tcW w:w="0" w:type="dxa"/>
            <w:vAlign w:val="bottom"/>
          </w:tcPr>
          <w:p>
            <w:pPr>
              <w:spacing w:after="0"/>
              <w:rPr>
                <w:sz w:val="1"/>
                <w:szCs w:val="1"/>
                <w:color w:val="auto"/>
              </w:rPr>
            </w:pPr>
          </w:p>
        </w:tc>
      </w:tr>
      <w:tr>
        <w:trPr>
          <w:trHeight w:val="119"/>
        </w:trPr>
        <w:tc>
          <w:tcPr>
            <w:tcW w:w="7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7640" w:type="dxa"/>
            <w:vAlign w:val="bottom"/>
          </w:tcPr>
          <w:p>
            <w:pPr>
              <w:spacing w:after="0"/>
              <w:rPr>
                <w:sz w:val="20"/>
                <w:szCs w:val="20"/>
                <w:color w:val="auto"/>
              </w:rPr>
            </w:pPr>
            <w:r>
              <w:rPr>
                <w:rFonts w:ascii="Arial" w:cs="Arial" w:eastAsia="Arial" w:hAnsi="Arial"/>
                <w:sz w:val="17"/>
                <w:szCs w:val="17"/>
                <w:color w:val="auto"/>
              </w:rPr>
              <w:t>Redeemable common stock</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61.7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423"/>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w w:val="97"/>
              </w:rPr>
              <w:t>Common stock, $0.10 par value, authorized 3.0 billion shares, issued and outstanding 606.5 million and</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602.9 million shares, respectively</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Additional capital</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4,260.3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4,229.6</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2,015.5</w:t>
            </w:r>
          </w:p>
        </w:tc>
        <w:tc>
          <w:tcPr>
            <w:tcW w:w="0" w:type="dxa"/>
            <w:vAlign w:val="bottom"/>
          </w:tcPr>
          <w:p>
            <w:pPr>
              <w:spacing w:after="0"/>
              <w:rPr>
                <w:sz w:val="1"/>
                <w:szCs w:val="1"/>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11"/>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shareholders' equity</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6,018.0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6,306.4</w:t>
            </w:r>
          </w:p>
        </w:tc>
        <w:tc>
          <w:tcPr>
            <w:tcW w:w="0" w:type="dxa"/>
            <w:vAlign w:val="bottom"/>
          </w:tcPr>
          <w:p>
            <w:pPr>
              <w:spacing w:after="0"/>
              <w:rPr>
                <w:sz w:val="1"/>
                <w:szCs w:val="1"/>
                <w:color w:val="auto"/>
              </w:rPr>
            </w:pPr>
          </w:p>
        </w:tc>
      </w:tr>
      <w:tr>
        <w:trPr>
          <w:trHeight w:val="118"/>
        </w:trPr>
        <w:tc>
          <w:tcPr>
            <w:tcW w:w="7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-5716270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-5716270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-5716270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-5716270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-5716270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-5716270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-4606925</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-4606925</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-4606925</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-4606925</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-3752850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-3752850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-3752850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-3752850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-2592070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-2592070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-2592070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-2592070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-2011680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-2011680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-2011680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-2011680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-1704340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-1704340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-1704340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-1704340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-321310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-321310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-321310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-321310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 w:name="page3"/>
    <w:bookmarkEnd w:id="2"/>
    <w:p>
      <w:pPr>
        <w:ind w:left="220"/>
        <w:spacing w:after="0"/>
        <w:tabs>
          <w:tab w:leader="none" w:pos="7840" w:val="left"/>
          <w:tab w:leader="none" w:pos="9140" w:val="left"/>
          <w:tab w:leader="none" w:pos="9880" w:val="left"/>
          <w:tab w:leader="none" w:pos="10880" w:val="left"/>
        </w:tabs>
        <w:rPr>
          <w:sz w:val="20"/>
          <w:szCs w:val="20"/>
          <w:color w:val="auto"/>
        </w:rPr>
      </w:pPr>
      <w:r>
        <w:rPr>
          <w:rFonts w:ascii="Arial" w:cs="Arial" w:eastAsia="Arial" w:hAnsi="Arial"/>
          <w:sz w:val="17"/>
          <w:szCs w:val="17"/>
          <w:color w:val="auto"/>
        </w:rPr>
        <w:t>Total liabilities and shareholders' equity</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7,385.2</w:t>
        <w:tab/>
        <w:t>$</w:t>
      </w:r>
      <w:r>
        <w:rPr>
          <w:sz w:val="20"/>
          <w:szCs w:val="20"/>
          <w:color w:val="auto"/>
        </w:rPr>
        <w:tab/>
      </w:r>
      <w:r>
        <w:rPr>
          <w:rFonts w:ascii="Arial" w:cs="Arial" w:eastAsia="Arial" w:hAnsi="Arial"/>
          <w:sz w:val="15"/>
          <w:szCs w:val="15"/>
          <w:color w:val="auto"/>
        </w:rPr>
        <w:t>7,555.4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100965</wp:posOffset>
            </wp:positionV>
            <wp:extent cx="226631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66315" cy="3810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2"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(Amounts in millions)</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November 28,</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November 29,</w:t>
            </w:r>
          </w:p>
        </w:tc>
        <w:tc>
          <w:tcPr>
            <w:tcW w:w="0" w:type="dxa"/>
            <w:vAlign w:val="bottom"/>
          </w:tcPr>
          <w:p>
            <w:pPr>
              <w:spacing w:after="0"/>
              <w:rPr>
                <w:sz w:val="1"/>
                <w:szCs w:val="1"/>
                <w:color w:val="auto"/>
              </w:rPr>
            </w:pPr>
          </w:p>
        </w:tc>
      </w:tr>
      <w:tr>
        <w:trPr>
          <w:trHeight w:val="174"/>
        </w:trPr>
        <w:tc>
          <w:tcPr>
            <w:tcW w:w="7360" w:type="dxa"/>
            <w:vAlign w:val="bottom"/>
          </w:tcPr>
          <w:p>
            <w:pPr>
              <w:spacing w:after="0"/>
              <w:rPr>
                <w:sz w:val="20"/>
                <w:szCs w:val="20"/>
                <w:color w:val="auto"/>
              </w:rPr>
            </w:pPr>
            <w:r>
              <w:rPr>
                <w:rFonts w:ascii="Arial" w:cs="Arial" w:eastAsia="Arial" w:hAnsi="Arial"/>
                <w:sz w:val="13"/>
                <w:szCs w:val="13"/>
                <w:b w:val="1"/>
                <w:bCs w:val="1"/>
                <w:color w:val="auto"/>
              </w:rPr>
              <w:t>For the quarter ended</w:t>
            </w:r>
          </w:p>
        </w:tc>
        <w:tc>
          <w:tcPr>
            <w:tcW w:w="150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2002</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654"/>
              <w:spacing w:after="0"/>
              <w:rPr>
                <w:sz w:val="20"/>
                <w:szCs w:val="20"/>
                <w:color w:val="auto"/>
              </w:rPr>
            </w:pPr>
            <w:r>
              <w:rPr>
                <w:rFonts w:ascii="Arial" w:cs="Arial" w:eastAsia="Arial" w:hAnsi="Arial"/>
                <w:sz w:val="13"/>
                <w:szCs w:val="13"/>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7"/>
                <w:szCs w:val="17"/>
                <w:color w:val="auto"/>
              </w:rPr>
              <w:t>Net loss</w:t>
            </w:r>
          </w:p>
        </w:tc>
        <w:tc>
          <w:tcPr>
            <w:tcW w:w="1500" w:type="dxa"/>
            <w:vAlign w:val="bottom"/>
            <w:gridSpan w:val="2"/>
          </w:tcPr>
          <w:p>
            <w:pPr>
              <w:jc w:val="right"/>
              <w:ind w:right="113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(315.9)</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(265.9)</w:t>
            </w: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6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to write down inventories to estimated market values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360" w:type="dxa"/>
            <w:vAlign w:val="bottom"/>
          </w:tcPr>
          <w:p>
            <w:pPr>
              <w:ind w:left="220"/>
              <w:spacing w:after="0"/>
              <w:rPr>
                <w:sz w:val="20"/>
                <w:szCs w:val="20"/>
                <w:color w:val="auto"/>
              </w:rPr>
            </w:pPr>
            <w:r>
              <w:rPr>
                <w:rFonts w:ascii="Arial" w:cs="Arial" w:eastAsia="Arial" w:hAnsi="Arial"/>
                <w:sz w:val="17"/>
                <w:szCs w:val="17"/>
                <w:color w:val="auto"/>
              </w:rPr>
              <w:t>Loss from write-down or disposition of equipment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from write-down or disposition of investments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360" w:type="dxa"/>
            <w:vAlign w:val="bottom"/>
          </w:tcPr>
          <w:p>
            <w:pPr>
              <w:ind w:left="220"/>
              <w:spacing w:after="0"/>
              <w:rPr>
                <w:sz w:val="20"/>
                <w:szCs w:val="20"/>
                <w:color w:val="auto"/>
              </w:rPr>
            </w:pPr>
            <w:r>
              <w:rPr>
                <w:rFonts w:ascii="Arial" w:cs="Arial" w:eastAsia="Arial" w:hAnsi="Arial"/>
                <w:sz w:val="17"/>
                <w:szCs w:val="17"/>
                <w:color w:val="auto"/>
              </w:rPr>
              <w:t>Additional capital tax effect of stock plans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operating assets and liabilities: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360" w:type="dxa"/>
            <w:vAlign w:val="bottom"/>
          </w:tcPr>
          <w:p>
            <w:pPr>
              <w:ind w:left="440"/>
              <w:spacing w:after="0"/>
              <w:rPr>
                <w:sz w:val="20"/>
                <w:szCs w:val="20"/>
                <w:color w:val="auto"/>
              </w:rPr>
            </w:pPr>
            <w:r>
              <w:rPr>
                <w:rFonts w:ascii="Arial" w:cs="Arial" w:eastAsia="Arial" w:hAnsi="Arial"/>
                <w:sz w:val="17"/>
                <w:szCs w:val="17"/>
                <w:color w:val="auto"/>
              </w:rPr>
              <w:t>Decrease in receivables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94.1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Increase in inventories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(119.4)</w:t>
            </w:r>
          </w:p>
        </w:tc>
        <w:tc>
          <w:tcPr>
            <w:tcW w:w="2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41"/>
        </w:trPr>
        <w:tc>
          <w:tcPr>
            <w:tcW w:w="7360" w:type="dxa"/>
            <w:vAlign w:val="bottom"/>
          </w:tcPr>
          <w:p>
            <w:pPr>
              <w:ind w:left="440"/>
              <w:spacing w:after="0"/>
              <w:rPr>
                <w:sz w:val="20"/>
                <w:szCs w:val="20"/>
                <w:color w:val="auto"/>
              </w:rPr>
            </w:pPr>
            <w:r>
              <w:rPr>
                <w:rFonts w:ascii="Arial" w:cs="Arial" w:eastAsia="Arial" w:hAnsi="Arial"/>
                <w:sz w:val="17"/>
                <w:szCs w:val="17"/>
                <w:color w:val="auto"/>
              </w:rPr>
              <w:t>Increase (decrease) in accounts payable and accrued 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(164.5)</w:t>
            </w:r>
          </w:p>
        </w:tc>
        <w:tc>
          <w:tcPr>
            <w:tcW w:w="0" w:type="dxa"/>
            <w:vAlign w:val="bottom"/>
          </w:tcPr>
          <w:p>
            <w:pPr>
              <w:spacing w:after="0"/>
              <w:rPr>
                <w:sz w:val="1"/>
                <w:szCs w:val="1"/>
                <w:color w:val="auto"/>
              </w:rPr>
            </w:pPr>
          </w:p>
        </w:tc>
      </w:tr>
      <w:tr>
        <w:trPr>
          <w:trHeight w:val="240"/>
        </w:trPr>
        <w:tc>
          <w:tcPr>
            <w:tcW w:w="7360" w:type="dxa"/>
            <w:vAlign w:val="bottom"/>
          </w:tcPr>
          <w:p>
            <w:pPr>
              <w:ind w:left="44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(12.6)</w:t>
            </w:r>
          </w:p>
        </w:tc>
        <w:tc>
          <w:tcPr>
            <w:tcW w:w="28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119"/>
        </w:trPr>
        <w:tc>
          <w:tcPr>
            <w:tcW w:w="7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360" w:type="dxa"/>
            <w:vAlign w:val="bottom"/>
            <w:vMerge w:val="restart"/>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7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Expenditures for property, plant and equipment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(326.4)</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(182.6)</w:t>
            </w: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7"/>
                <w:szCs w:val="17"/>
                <w:color w:val="auto"/>
              </w:rPr>
              <w:t>Purchase of available-for-sale securities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(122.8)</w:t>
            </w:r>
          </w:p>
        </w:tc>
        <w:tc>
          <w:tcPr>
            <w:tcW w:w="2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(769.7)</w:t>
            </w: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maturities of available-for-sale securities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7"/>
                <w:szCs w:val="17"/>
                <w:color w:val="auto"/>
              </w:rPr>
              <w:t>Proceeds from sales of available-for-sale securities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18"/>
        </w:trPr>
        <w:tc>
          <w:tcPr>
            <w:tcW w:w="7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7360" w:type="dxa"/>
            <w:vAlign w:val="bottom"/>
          </w:tcPr>
          <w:p>
            <w:pPr>
              <w:ind w:left="220"/>
              <w:spacing w:after="0"/>
              <w:rPr>
                <w:sz w:val="20"/>
                <w:szCs w:val="20"/>
                <w:color w:val="auto"/>
              </w:rPr>
            </w:pPr>
            <w:r>
              <w:rPr>
                <w:rFonts w:ascii="Arial" w:cs="Arial" w:eastAsia="Arial" w:hAnsi="Arial"/>
                <w:sz w:val="17"/>
                <w:szCs w:val="17"/>
                <w:color w:val="auto"/>
              </w:rPr>
              <w:t>Net cash used for investing activities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(59.1)</w:t>
            </w:r>
          </w:p>
        </w:tc>
        <w:tc>
          <w:tcPr>
            <w:tcW w:w="280" w:type="dxa"/>
            <w:vAlign w:val="bottom"/>
          </w:tcPr>
          <w:p>
            <w:pPr>
              <w:spacing w:after="0"/>
              <w:rPr>
                <w:sz w:val="24"/>
                <w:szCs w:val="24"/>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(478.7)</w:t>
            </w:r>
          </w:p>
        </w:tc>
        <w:tc>
          <w:tcPr>
            <w:tcW w:w="0" w:type="dxa"/>
            <w:vAlign w:val="bottom"/>
          </w:tcPr>
          <w:p>
            <w:pPr>
              <w:spacing w:after="0"/>
              <w:rPr>
                <w:sz w:val="1"/>
                <w:szCs w:val="1"/>
                <w:color w:val="auto"/>
              </w:rPr>
            </w:pPr>
          </w:p>
        </w:tc>
      </w:tr>
      <w:tr>
        <w:trPr>
          <w:trHeight w:val="119"/>
        </w:trPr>
        <w:tc>
          <w:tcPr>
            <w:tcW w:w="7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7"/>
                <w:szCs w:val="17"/>
                <w:color w:val="auto"/>
              </w:rPr>
              <w:t>Proceeds from issuance of common stock</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equipment sale-leaseback transaction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7"/>
                <w:szCs w:val="17"/>
                <w:color w:val="auto"/>
              </w:rPr>
              <w:t>Payments on equipment purchase contracts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(53.6)</w:t>
            </w:r>
          </w:p>
        </w:tc>
        <w:tc>
          <w:tcPr>
            <w:tcW w:w="2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Repayments of debt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(37.2)</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1"/>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used for financing activities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(37.5)</w:t>
            </w:r>
          </w:p>
        </w:tc>
        <w:tc>
          <w:tcPr>
            <w:tcW w:w="2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118"/>
        </w:trPr>
        <w:tc>
          <w:tcPr>
            <w:tcW w:w="7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7360" w:type="dxa"/>
            <w:vAlign w:val="bottom"/>
          </w:tcPr>
          <w:p>
            <w:pPr>
              <w:ind w:left="220"/>
              <w:spacing w:after="0"/>
              <w:rPr>
                <w:sz w:val="20"/>
                <w:szCs w:val="20"/>
                <w:color w:val="auto"/>
              </w:rPr>
            </w:pPr>
            <w:r>
              <w:rPr>
                <w:rFonts w:ascii="Arial" w:cs="Arial" w:eastAsia="Arial" w:hAnsi="Arial"/>
                <w:sz w:val="17"/>
                <w:szCs w:val="17"/>
                <w:color w:val="auto"/>
              </w:rPr>
              <w:t>Net increase (decrease) in cash and equivalents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 at beginning of period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7360" w:type="dxa"/>
            <w:vAlign w:val="bottom"/>
          </w:tcPr>
          <w:p>
            <w:pPr>
              <w:spacing w:after="0"/>
              <w:rPr>
                <w:sz w:val="20"/>
                <w:szCs w:val="20"/>
                <w:color w:val="auto"/>
              </w:rPr>
            </w:pPr>
            <w:r>
              <w:rPr>
                <w:rFonts w:ascii="Arial" w:cs="Arial" w:eastAsia="Arial" w:hAnsi="Arial"/>
                <w:sz w:val="17"/>
                <w:szCs w:val="17"/>
                <w:color w:val="auto"/>
              </w:rPr>
              <w:t>Cash and equivalents at end of period</w:t>
            </w:r>
          </w:p>
        </w:tc>
        <w:tc>
          <w:tcPr>
            <w:tcW w:w="1500" w:type="dxa"/>
            <w:vAlign w:val="bottom"/>
            <w:gridSpan w:val="2"/>
          </w:tcPr>
          <w:p>
            <w:pPr>
              <w:jc w:val="right"/>
              <w:ind w:right="1133"/>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401.3</w:t>
            </w:r>
          </w:p>
        </w:tc>
        <w:tc>
          <w:tcPr>
            <w:tcW w:w="220" w:type="dxa"/>
            <w:vAlign w:val="bottom"/>
          </w:tcPr>
          <w:p>
            <w:pPr>
              <w:spacing w:after="0"/>
              <w:rPr>
                <w:sz w:val="24"/>
                <w:szCs w:val="24"/>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357.9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7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7"/>
                <w:szCs w:val="17"/>
                <w:color w:val="auto"/>
              </w:rPr>
              <w:t>Income taxes refunded, net</w:t>
            </w:r>
          </w:p>
        </w:tc>
        <w:tc>
          <w:tcPr>
            <w:tcW w:w="1500" w:type="dxa"/>
            <w:vAlign w:val="bottom"/>
            <w:gridSpan w:val="2"/>
          </w:tcPr>
          <w:p>
            <w:pPr>
              <w:jc w:val="right"/>
              <w:ind w:right="1133"/>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106.3</w:t>
            </w:r>
          </w:p>
        </w:tc>
        <w:tc>
          <w:tcPr>
            <w:tcW w:w="2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544.0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Interest paid, net of amounts capitalized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Equipment acquisitions on contracts payable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360" w:type="dxa"/>
            <w:vAlign w:val="bottom"/>
          </w:tcPr>
          <w:p>
            <w:pPr>
              <w:ind w:left="220"/>
              <w:spacing w:after="0"/>
              <w:rPr>
                <w:sz w:val="20"/>
                <w:szCs w:val="20"/>
                <w:color w:val="auto"/>
              </w:rPr>
            </w:pPr>
            <w:r>
              <w:rPr>
                <w:rFonts w:ascii="Arial" w:cs="Arial" w:eastAsia="Arial" w:hAnsi="Arial"/>
                <w:sz w:val="17"/>
                <w:szCs w:val="17"/>
                <w:color w:val="auto"/>
              </w:rPr>
              <w:t>Equipment acquisitions on capital leases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24.1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-6805930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-6805930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-6805930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-6805930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-6805930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-6805930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-4552315</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-4552315</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-4552315</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-4552315</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-4244975</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-4244975</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-4244975</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-4244975</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-3272155</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-3272155</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-3272155</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-3272155</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-2964815</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-2964815</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-2964815</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-2964815</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-1991360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-1991360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-1991360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-1991360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-1684020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-1684020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-1684020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-1684020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-1240155</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-1240155</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-1240155</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-1240155</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ectPr>
          <w:pgSz w:w="11900" w:h="16838" w:orient="portrait"/>
          <w:cols w:equalWidth="0" w:num="1">
            <w:col w:w="11420"/>
          </w:cols>
          <w:pgMar w:left="240" w:top="131" w:right="23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(All tabular amounts in millions except per share amounts)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Statements</w:t>
      </w:r>
    </w:p>
    <w:p>
      <w:pPr>
        <w:spacing w:after="0" w:line="235" w:lineRule="exact"/>
        <w:rPr>
          <w:sz w:val="20"/>
          <w:szCs w:val="20"/>
          <w:color w:val="auto"/>
        </w:rPr>
      </w:pPr>
    </w:p>
    <w:p>
      <w:pPr>
        <w:ind w:right="140" w:firstLine="349"/>
        <w:spacing w:after="0" w:line="271"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Micron Technology, Inc., and its subsidiaries (hereinafter referred to collectively as the "Company") principally design, develop,</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and market semiconductor memory products. All significant intercompany accounts and transactions have been eliminated. The Company's fiscal year is the 52 or 53-week period ending on the Thursday closest to August 31. The Company's first quarter of fiscal 2003 and 2002 ended on November 28, 2002 and November 29, 2001, respectively. The Company's fiscal 2002 ended on August 29, 2002.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87" w:lineRule="exact"/>
        <w:rPr>
          <w:sz w:val="20"/>
          <w:szCs w:val="20"/>
          <w:color w:val="auto"/>
        </w:rPr>
      </w:pPr>
    </w:p>
    <w:p>
      <w:pPr>
        <w:ind w:right="720" w:firstLine="346"/>
        <w:spacing w:after="0" w:line="296" w:lineRule="auto"/>
        <w:rPr>
          <w:sz w:val="20"/>
          <w:szCs w:val="20"/>
          <w:color w:val="auto"/>
        </w:rPr>
      </w:pPr>
      <w:r>
        <w:rPr>
          <w:rFonts w:ascii="Arial" w:cs="Arial" w:eastAsia="Arial" w:hAnsi="Arial"/>
          <w:sz w:val="17"/>
          <w:szCs w:val="17"/>
          <w:color w:val="auto"/>
        </w:rPr>
        <w:t>These interim financial statements should be read in conjunction with the consolidated financial statements and accompanying notes included in the Company's Form 10-K for the year ended August 29, 2002.</w:t>
      </w:r>
    </w:p>
    <w:p>
      <w:pPr>
        <w:spacing w:after="0" w:line="157" w:lineRule="exact"/>
        <w:rPr>
          <w:sz w:val="20"/>
          <w:szCs w:val="20"/>
          <w:color w:val="auto"/>
        </w:rPr>
      </w:pPr>
    </w:p>
    <w:p>
      <w:pPr>
        <w:ind w:firstLine="349"/>
        <w:spacing w:after="0" w:line="269"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December 2002, the Financial Accounting Standards Board ("FASB") issued Statement of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Standards ("SFAS") No. 148, "Accounting for Stock-Based Compensation—Transition and Disclosure—an amendment of FASB Statement No. 123." SFAS No. 148 amends FASB Statement No. 123, "Accounting for Stock-Based Compensation," to provide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 and the effect of the method used on reported results. SFAS No. 148 is effective for the Company in the third quarter of 2003. The Company does not expect to effect a voluntary change in accounting to the fair value method, and, accordingly, does not expect the adoption of SFAS No. 148 to have a significant impact on the Company's future results of operations or financial position.</w:t>
      </w:r>
    </w:p>
    <w:p>
      <w:pPr>
        <w:spacing w:after="0" w:line="189" w:lineRule="exact"/>
        <w:rPr>
          <w:sz w:val="20"/>
          <w:szCs w:val="20"/>
          <w:color w:val="auto"/>
        </w:rPr>
      </w:pPr>
    </w:p>
    <w:p>
      <w:pPr>
        <w:ind w:right="40" w:firstLine="349"/>
        <w:spacing w:after="0" w:line="270" w:lineRule="auto"/>
        <w:rPr>
          <w:sz w:val="20"/>
          <w:szCs w:val="20"/>
          <w:color w:val="auto"/>
        </w:rPr>
      </w:pPr>
      <w:r>
        <w:rPr>
          <w:rFonts w:ascii="Arial" w:cs="Arial" w:eastAsia="Arial" w:hAnsi="Arial"/>
          <w:sz w:val="17"/>
          <w:szCs w:val="17"/>
          <w:color w:val="auto"/>
        </w:rPr>
        <w:t>In November 2002, the FASB issued Interpretation No. 45, "Guarantor's Accounting and Disclosure Requirements for Guarantees, Including Indirect Guarantees of Indebtedness of Others." Interpretation No. 45 requires a Company, at the time it issues a guarantee, to recognize an initial liability for the fair value of obligations assumed under the guarantee and elaborates on existing disclosure requirements. The initial recognition requirements of Interpretation No. 45 are effective for guarantees issued or modified after December 31, 2002 and adoption of disclosure requirements is effective for the Company in the second quarter of 2003. The Company does not expect the adoption of Interpretation No. 45 to have a significant impact on the Company's future results of operations or financial position.</w:t>
      </w:r>
    </w:p>
    <w:p>
      <w:pPr>
        <w:spacing w:after="0" w:line="186" w:lineRule="exact"/>
        <w:rPr>
          <w:sz w:val="20"/>
          <w:szCs w:val="20"/>
          <w:color w:val="auto"/>
        </w:rPr>
      </w:pPr>
    </w:p>
    <w:p>
      <w:pPr>
        <w:ind w:right="460" w:firstLine="349"/>
        <w:spacing w:after="0" w:line="274" w:lineRule="auto"/>
        <w:rPr>
          <w:sz w:val="20"/>
          <w:szCs w:val="20"/>
          <w:color w:val="auto"/>
        </w:rPr>
      </w:pPr>
      <w:r>
        <w:rPr>
          <w:rFonts w:ascii="Arial" w:cs="Arial" w:eastAsia="Arial" w:hAnsi="Arial"/>
          <w:sz w:val="17"/>
          <w:szCs w:val="17"/>
          <w:color w:val="auto"/>
        </w:rPr>
        <w:t>In June 2002, the FASB issued SFAS No. 146, "Accounting for Costs Associated with Exit or Disposal Activities." SFAS No. 146 addresses financial accounting and reporting for costs associated with exit or disposal activities. The adoption of SFAS No. 146 is effective for exit or disposal activities that are initiated after December 31, 2002, and nullifies Emerging Issues Task Force ("EITF"), Issue No. 94-3. The Company does not expect the adoption of SFAS No. 146 to have a significant impact on the Company's future results of operations or financial position.</w:t>
      </w:r>
    </w:p>
    <w:p>
      <w:pPr>
        <w:spacing w:after="0" w:line="177" w:lineRule="exact"/>
        <w:rPr>
          <w:sz w:val="20"/>
          <w:szCs w:val="20"/>
          <w:color w:val="auto"/>
        </w:rPr>
      </w:pPr>
    </w:p>
    <w:p>
      <w:pPr>
        <w:ind w:right="460" w:firstLine="349"/>
        <w:spacing w:after="0" w:line="303"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The Company has determined, based on the nature of its operations and products offered to customers, that its only reportable</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is Semiconductor Operations. The Semiconductor Operations segment's primary product is DRAM.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Balance Sheet Information</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left="353"/>
              <w:spacing w:after="0"/>
              <w:rPr>
                <w:sz w:val="20"/>
                <w:szCs w:val="20"/>
                <w:color w:val="auto"/>
              </w:rPr>
            </w:pPr>
            <w:r>
              <w:rPr>
                <w:rFonts w:ascii="Arial" w:cs="Arial" w:eastAsia="Arial" w:hAnsi="Arial"/>
                <w:sz w:val="13"/>
                <w:szCs w:val="13"/>
                <w:b w:val="1"/>
                <w:bCs w:val="1"/>
                <w:color w:val="auto"/>
                <w:w w:val="93"/>
              </w:rPr>
              <w:t>November 28,</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August 29,</w:t>
            </w:r>
          </w:p>
        </w:tc>
      </w:tr>
      <w:tr>
        <w:trPr>
          <w:trHeight w:val="174"/>
        </w:trPr>
        <w:tc>
          <w:tcPr>
            <w:tcW w:w="5080" w:type="dxa"/>
            <w:vAlign w:val="bottom"/>
          </w:tcPr>
          <w:p>
            <w:pPr>
              <w:spacing w:after="0"/>
              <w:rPr>
                <w:sz w:val="20"/>
                <w:szCs w:val="20"/>
                <w:color w:val="auto"/>
              </w:rPr>
            </w:pPr>
            <w:r>
              <w:rPr>
                <w:rFonts w:ascii="Arial" w:cs="Arial" w:eastAsia="Arial" w:hAnsi="Arial"/>
                <w:sz w:val="13"/>
                <w:szCs w:val="13"/>
                <w:b w:val="1"/>
                <w:bCs w:val="1"/>
                <w:color w:val="auto"/>
              </w:rPr>
              <w:t>Receivables</w:t>
            </w:r>
          </w:p>
        </w:tc>
        <w:tc>
          <w:tcPr>
            <w:tcW w:w="1480" w:type="dxa"/>
            <w:vAlign w:val="bottom"/>
            <w:gridSpan w:val="2"/>
          </w:tcPr>
          <w:p>
            <w:pPr>
              <w:jc w:val="center"/>
              <w:ind w:left="599"/>
              <w:spacing w:after="0"/>
              <w:rPr>
                <w:sz w:val="20"/>
                <w:szCs w:val="20"/>
                <w:color w:val="auto"/>
              </w:rPr>
            </w:pPr>
            <w:r>
              <w:rPr>
                <w:rFonts w:ascii="Arial" w:cs="Arial" w:eastAsia="Arial" w:hAnsi="Arial"/>
                <w:sz w:val="13"/>
                <w:szCs w:val="13"/>
                <w:b w:val="1"/>
                <w:bCs w:val="1"/>
                <w:color w:val="auto"/>
                <w:w w:val="96"/>
              </w:rPr>
              <w:t>2002</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Arial" w:cs="Arial" w:eastAsia="Arial" w:hAnsi="Arial"/>
                <w:sz w:val="13"/>
                <w:szCs w:val="13"/>
                <w:b w:val="1"/>
                <w:bCs w:val="1"/>
                <w:color w:val="auto"/>
                <w:w w:val="96"/>
              </w:rPr>
              <w:t>2002</w:t>
            </w:r>
          </w:p>
        </w:tc>
        <w:tc>
          <w:tcPr>
            <w:tcW w:w="60" w:type="dxa"/>
            <w:vAlign w:val="bottom"/>
          </w:tcPr>
          <w:p>
            <w:pPr>
              <w:spacing w:after="0"/>
              <w:rPr>
                <w:sz w:val="15"/>
                <w:szCs w:val="15"/>
                <w:color w:val="auto"/>
              </w:rPr>
            </w:pPr>
          </w:p>
        </w:tc>
      </w:tr>
      <w:tr>
        <w:trPr>
          <w:trHeight w:val="105"/>
        </w:trPr>
        <w:tc>
          <w:tcPr>
            <w:tcW w:w="50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Trade receivables</w:t>
            </w:r>
          </w:p>
        </w:tc>
        <w:tc>
          <w:tcPr>
            <w:tcW w:w="1480" w:type="dxa"/>
            <w:vAlign w:val="bottom"/>
            <w:tcBorders>
              <w:bottom w:val="single" w:sz="8" w:color="CCEEFF"/>
            </w:tcBorders>
            <w:gridSpan w:val="2"/>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378.5</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080" w:type="dxa"/>
            <w:vAlign w:val="bottom"/>
          </w:tcPr>
          <w:p>
            <w:pPr>
              <w:ind w:left="140"/>
              <w:spacing w:after="0"/>
              <w:rPr>
                <w:sz w:val="20"/>
                <w:szCs w:val="20"/>
                <w:color w:val="auto"/>
              </w:rPr>
            </w:pPr>
            <w:r>
              <w:rPr>
                <w:rFonts w:ascii="Arial" w:cs="Arial" w:eastAsia="Arial" w:hAnsi="Arial"/>
                <w:sz w:val="17"/>
                <w:szCs w:val="17"/>
                <w:color w:val="auto"/>
              </w:rPr>
              <w:t>Joint venture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10.5</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Taxes other than income</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080" w:type="dxa"/>
            <w:vAlign w:val="bottom"/>
          </w:tcPr>
          <w:p>
            <w:pPr>
              <w:ind w:left="140"/>
              <w:spacing w:after="0"/>
              <w:rPr>
                <w:sz w:val="20"/>
                <w:szCs w:val="20"/>
                <w:color w:val="auto"/>
              </w:rPr>
            </w:pPr>
            <w:r>
              <w:rPr>
                <w:rFonts w:ascii="Arial" w:cs="Arial" w:eastAsia="Arial" w:hAnsi="Arial"/>
                <w:sz w:val="17"/>
                <w:szCs w:val="17"/>
                <w:color w:val="auto"/>
              </w:rPr>
              <w:t>Income taxes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122.2</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080" w:type="dxa"/>
            <w:vAlign w:val="bottom"/>
          </w:tcPr>
          <w:p>
            <w:pPr>
              <w:ind w:left="140"/>
              <w:spacing w:after="0"/>
              <w:rPr>
                <w:sz w:val="20"/>
                <w:szCs w:val="20"/>
                <w:color w:val="auto"/>
              </w:rPr>
            </w:pPr>
            <w:r>
              <w:rPr>
                <w:rFonts w:ascii="Arial" w:cs="Arial" w:eastAsia="Arial" w:hAnsi="Arial"/>
                <w:sz w:val="17"/>
                <w:szCs w:val="17"/>
                <w:color w:val="auto"/>
              </w:rPr>
              <w:t>Allowance for doubtful accounts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(6.2)</w:t>
            </w:r>
          </w:p>
        </w:tc>
      </w:tr>
      <w:tr>
        <w:trPr>
          <w:trHeight w:val="138"/>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r>
        <w:trPr>
          <w:trHeight w:val="104"/>
        </w:trPr>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5"/>
        </w:trPr>
        <w:tc>
          <w:tcPr>
            <w:tcW w:w="50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443.5</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537.9</w:t>
            </w:r>
          </w:p>
        </w:tc>
        <w:tc>
          <w:tcPr>
            <w:tcW w:w="60" w:type="dxa"/>
            <w:vAlign w:val="bottom"/>
            <w:shd w:val="clear" w:color="auto" w:fill="CCEEFF"/>
          </w:tcPr>
          <w:p>
            <w:pPr>
              <w:spacing w:after="0"/>
              <w:rPr>
                <w:sz w:val="18"/>
                <w:szCs w:val="18"/>
                <w:color w:val="auto"/>
              </w:rPr>
            </w:pPr>
          </w:p>
        </w:tc>
      </w:tr>
      <w:tr>
        <w:trPr>
          <w:trHeight w:val="104"/>
        </w:trPr>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0"/>
        </w:trPr>
        <w:tc>
          <w:tcPr>
            <w:tcW w:w="5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239"/>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left="353"/>
              <w:spacing w:after="0"/>
              <w:rPr>
                <w:sz w:val="20"/>
                <w:szCs w:val="20"/>
                <w:color w:val="auto"/>
              </w:rPr>
            </w:pPr>
            <w:r>
              <w:rPr>
                <w:rFonts w:ascii="Arial" w:cs="Arial" w:eastAsia="Arial" w:hAnsi="Arial"/>
                <w:sz w:val="13"/>
                <w:szCs w:val="13"/>
                <w:b w:val="1"/>
                <w:bCs w:val="1"/>
                <w:color w:val="auto"/>
                <w:w w:val="93"/>
              </w:rPr>
              <w:t>November 28,</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August 29,</w:t>
            </w:r>
          </w:p>
        </w:tc>
      </w:tr>
      <w:tr>
        <w:trPr>
          <w:trHeight w:val="174"/>
        </w:trPr>
        <w:tc>
          <w:tcPr>
            <w:tcW w:w="5080" w:type="dxa"/>
            <w:vAlign w:val="bottom"/>
          </w:tcPr>
          <w:p>
            <w:pPr>
              <w:spacing w:after="0"/>
              <w:rPr>
                <w:sz w:val="20"/>
                <w:szCs w:val="20"/>
                <w:color w:val="auto"/>
              </w:rPr>
            </w:pPr>
            <w:r>
              <w:rPr>
                <w:rFonts w:ascii="Arial" w:cs="Arial" w:eastAsia="Arial" w:hAnsi="Arial"/>
                <w:sz w:val="13"/>
                <w:szCs w:val="13"/>
                <w:b w:val="1"/>
                <w:bCs w:val="1"/>
                <w:color w:val="auto"/>
              </w:rPr>
              <w:t>Inventories</w:t>
            </w:r>
          </w:p>
        </w:tc>
        <w:tc>
          <w:tcPr>
            <w:tcW w:w="1480" w:type="dxa"/>
            <w:vAlign w:val="bottom"/>
            <w:gridSpan w:val="2"/>
          </w:tcPr>
          <w:p>
            <w:pPr>
              <w:jc w:val="center"/>
              <w:ind w:left="599"/>
              <w:spacing w:after="0"/>
              <w:rPr>
                <w:sz w:val="20"/>
                <w:szCs w:val="20"/>
                <w:color w:val="auto"/>
              </w:rPr>
            </w:pPr>
            <w:r>
              <w:rPr>
                <w:rFonts w:ascii="Arial" w:cs="Arial" w:eastAsia="Arial" w:hAnsi="Arial"/>
                <w:sz w:val="13"/>
                <w:szCs w:val="13"/>
                <w:b w:val="1"/>
                <w:bCs w:val="1"/>
                <w:color w:val="auto"/>
                <w:w w:val="96"/>
              </w:rPr>
              <w:t>2002</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Arial" w:cs="Arial" w:eastAsia="Arial" w:hAnsi="Arial"/>
                <w:sz w:val="13"/>
                <w:szCs w:val="13"/>
                <w:b w:val="1"/>
                <w:bCs w:val="1"/>
                <w:color w:val="auto"/>
                <w:w w:val="96"/>
              </w:rPr>
              <w:t>2002</w:t>
            </w:r>
          </w:p>
        </w:tc>
        <w:tc>
          <w:tcPr>
            <w:tcW w:w="60" w:type="dxa"/>
            <w:vAlign w:val="bottom"/>
          </w:tcPr>
          <w:p>
            <w:pPr>
              <w:spacing w:after="0"/>
              <w:rPr>
                <w:sz w:val="15"/>
                <w:szCs w:val="15"/>
                <w:color w:val="auto"/>
              </w:rPr>
            </w:pPr>
          </w:p>
        </w:tc>
      </w:tr>
      <w:tr>
        <w:trPr>
          <w:trHeight w:val="105"/>
        </w:trPr>
        <w:tc>
          <w:tcPr>
            <w:tcW w:w="50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Finished goods</w:t>
            </w:r>
          </w:p>
        </w:tc>
        <w:tc>
          <w:tcPr>
            <w:tcW w:w="1480" w:type="dxa"/>
            <w:vAlign w:val="bottom"/>
            <w:tcBorders>
              <w:bottom w:val="single" w:sz="8" w:color="CCEEFF"/>
            </w:tcBorders>
            <w:gridSpan w:val="2"/>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235.2</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080" w:type="dxa"/>
            <w:vAlign w:val="bottom"/>
          </w:tcPr>
          <w:p>
            <w:pPr>
              <w:ind w:left="140"/>
              <w:spacing w:after="0"/>
              <w:rPr>
                <w:sz w:val="20"/>
                <w:szCs w:val="20"/>
                <w:color w:val="auto"/>
              </w:rPr>
            </w:pPr>
            <w:r>
              <w:rPr>
                <w:rFonts w:ascii="Arial" w:cs="Arial" w:eastAsia="Arial" w:hAnsi="Arial"/>
                <w:sz w:val="17"/>
                <w:szCs w:val="17"/>
                <w:color w:val="auto"/>
              </w:rPr>
              <w:t>Work in process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Raw materials and supplies</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113.1</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080" w:type="dxa"/>
            <w:vAlign w:val="bottom"/>
          </w:tcPr>
          <w:p>
            <w:pPr>
              <w:ind w:left="140"/>
              <w:spacing w:after="0"/>
              <w:rPr>
                <w:sz w:val="20"/>
                <w:szCs w:val="20"/>
                <w:color w:val="auto"/>
              </w:rPr>
            </w:pPr>
            <w:r>
              <w:rPr>
                <w:rFonts w:ascii="Arial" w:cs="Arial" w:eastAsia="Arial" w:hAnsi="Arial"/>
                <w:sz w:val="17"/>
                <w:szCs w:val="17"/>
                <w:color w:val="auto"/>
              </w:rPr>
              <w:t>Allowance for obsolescence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(34.3)</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(27.1)</w:t>
            </w:r>
          </w:p>
        </w:tc>
      </w:tr>
      <w:tr>
        <w:trPr>
          <w:trHeight w:val="138"/>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r>
        <w:trPr>
          <w:trHeight w:val="104"/>
        </w:trPr>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5"/>
        </w:trPr>
        <w:tc>
          <w:tcPr>
            <w:tcW w:w="50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574.0</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w:t>
            </w:r>
          </w:p>
        </w:tc>
        <w:tc>
          <w:tcPr>
            <w:tcW w:w="60" w:type="dxa"/>
            <w:vAlign w:val="bottom"/>
            <w:shd w:val="clear" w:color="auto" w:fill="CCEEFF"/>
          </w:tcPr>
          <w:p>
            <w:pPr>
              <w:spacing w:after="0"/>
              <w:rPr>
                <w:sz w:val="18"/>
                <w:szCs w:val="18"/>
                <w:color w:val="auto"/>
              </w:rPr>
            </w:pPr>
          </w:p>
        </w:tc>
      </w:tr>
      <w:tr>
        <w:trPr>
          <w:trHeight w:val="104"/>
        </w:trPr>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0"/>
        </w:trPr>
        <w:tc>
          <w:tcPr>
            <w:tcW w:w="5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-2814320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-2814320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-2814320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-2814320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-2814320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-2814320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-1738630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-1738630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-1738630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-1738630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-1089660</wp:posOffset>
            </wp:positionV>
            <wp:extent cx="12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-1089660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-1089660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-1089660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-1089660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-1089660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-321310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-321310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-321310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-321310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91" w:lineRule="exact"/>
        <w:rPr>
          <w:sz w:val="20"/>
          <w:szCs w:val="20"/>
          <w:color w:val="auto"/>
        </w:rPr>
      </w:pPr>
    </w:p>
    <w:p>
      <w:pPr>
        <w:ind w:right="1040" w:firstLine="349"/>
        <w:spacing w:after="0" w:line="296" w:lineRule="auto"/>
        <w:rPr>
          <w:sz w:val="20"/>
          <w:szCs w:val="20"/>
          <w:color w:val="auto"/>
        </w:rPr>
      </w:pPr>
      <w:r>
        <w:rPr>
          <w:rFonts w:ascii="Arial" w:cs="Arial" w:eastAsia="Arial" w:hAnsi="Arial"/>
          <w:sz w:val="17"/>
          <w:szCs w:val="17"/>
          <w:color w:val="auto"/>
        </w:rPr>
        <w:t>In the first quarter of 2003, the Company recognized a write-down of $90.8 million to record work in process and finished goods inventories of semiconductor products at their estimated market values.</w:t>
      </w:r>
    </w:p>
    <w:p>
      <w:pPr>
        <w:spacing w:after="0" w:line="163" w:lineRule="exact"/>
        <w:rPr>
          <w:sz w:val="20"/>
          <w:szCs w:val="20"/>
          <w:color w:val="auto"/>
        </w:rPr>
      </w:pPr>
    </w:p>
    <w:p>
      <w:pPr>
        <w:ind w:right="1100" w:firstLine="349"/>
        <w:spacing w:after="0" w:line="329" w:lineRule="auto"/>
        <w:rPr>
          <w:sz w:val="20"/>
          <w:szCs w:val="20"/>
          <w:color w:val="auto"/>
        </w:rPr>
      </w:pPr>
      <w:r>
        <w:rPr>
          <w:rFonts w:ascii="Arial" w:cs="Arial" w:eastAsia="Arial" w:hAnsi="Arial"/>
          <w:sz w:val="16"/>
          <w:szCs w:val="16"/>
          <w:color w:val="auto"/>
        </w:rPr>
        <w:t>In the fourth, third, second and first quarters of 2002, the Company recognized write-downs of $173.6 million, $25.9 million, $3.8 million and $172.8 million, respectively, to record work in process and finished goods inventories of semiconductor products at their estimated market values.</w:t>
      </w:r>
    </w:p>
    <w:p>
      <w:pPr>
        <w:sectPr>
          <w:pgSz w:w="11900" w:h="16838" w:orient="portrait"/>
          <w:cols w:equalWidth="0" w:num="1">
            <w:col w:w="11420"/>
          </w:cols>
          <w:pgMar w:left="240" w:top="125" w:right="239" w:bottom="0" w:gutter="0" w:footer="0" w:header="0"/>
        </w:sectPr>
      </w:pPr>
    </w:p>
    <w:p>
      <w:pPr>
        <w:spacing w:after="0" w:line="136" w:lineRule="exact"/>
        <w:rPr>
          <w:sz w:val="20"/>
          <w:szCs w:val="20"/>
          <w:color w:val="auto"/>
        </w:rPr>
      </w:pPr>
    </w:p>
    <w:p>
      <w:pPr>
        <w:ind w:left="1440"/>
        <w:spacing w:after="0"/>
        <w:tabs>
          <w:tab w:leader="none" w:pos="7080" w:val="left"/>
          <w:tab w:leader="none" w:pos="8920" w:val="left"/>
        </w:tabs>
        <w:rPr>
          <w:sz w:val="20"/>
          <w:szCs w:val="20"/>
          <w:color w:val="auto"/>
        </w:rPr>
      </w:pPr>
      <w:r>
        <w:rPr>
          <w:rFonts w:ascii="Arial" w:cs="Arial" w:eastAsia="Arial" w:hAnsi="Arial"/>
          <w:sz w:val="13"/>
          <w:szCs w:val="13"/>
          <w:b w:val="1"/>
          <w:bCs w:val="1"/>
          <w:color w:val="auto"/>
        </w:rPr>
        <w:t>Property, Plant and Equipment</w:t>
      </w:r>
      <w:r>
        <w:rPr>
          <w:sz w:val="20"/>
          <w:szCs w:val="20"/>
          <w:color w:val="auto"/>
        </w:rPr>
        <w:tab/>
      </w:r>
      <w:r>
        <w:rPr>
          <w:rFonts w:ascii="Arial" w:cs="Arial" w:eastAsia="Arial" w:hAnsi="Arial"/>
          <w:sz w:val="13"/>
          <w:szCs w:val="13"/>
          <w:b w:val="1"/>
          <w:bCs w:val="1"/>
          <w:color w:val="auto"/>
        </w:rPr>
        <w:t>November 28,</w:t>
      </w:r>
      <w:r>
        <w:rPr>
          <w:sz w:val="20"/>
          <w:szCs w:val="20"/>
          <w:color w:val="auto"/>
        </w:rPr>
        <w:tab/>
      </w:r>
      <w:r>
        <w:rPr>
          <w:rFonts w:ascii="Arial" w:cs="Arial" w:eastAsia="Arial" w:hAnsi="Arial"/>
          <w:sz w:val="11"/>
          <w:szCs w:val="11"/>
          <w:b w:val="1"/>
          <w:bCs w:val="1"/>
          <w:color w:val="auto"/>
        </w:rPr>
        <w:t>August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73025</wp:posOffset>
            </wp:positionV>
            <wp:extent cx="3179445" cy="9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79445" cy="952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6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Arial" w:cs="Arial" w:eastAsia="Arial" w:hAnsi="Arial"/>
                <w:sz w:val="13"/>
                <w:szCs w:val="13"/>
                <w:b w:val="1"/>
                <w:bCs w:val="1"/>
                <w:color w:val="auto"/>
              </w:rPr>
              <w:t>2002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Arial" w:cs="Arial" w:eastAsia="Arial" w:hAnsi="Arial"/>
                <w:sz w:val="13"/>
                <w:szCs w:val="13"/>
                <w:b w:val="1"/>
                <w:bCs w:val="1"/>
                <w:color w:val="auto"/>
              </w:rPr>
              <w:t>2002</w:t>
            </w:r>
          </w:p>
        </w:tc>
        <w:tc>
          <w:tcPr>
            <w:tcW w:w="60" w:type="dxa"/>
            <w:vAlign w:val="bottom"/>
          </w:tcPr>
          <w:p>
            <w:pPr>
              <w:spacing w:after="0"/>
              <w:rPr>
                <w:sz w:val="15"/>
                <w:szCs w:val="15"/>
                <w:color w:val="auto"/>
              </w:rPr>
            </w:pPr>
          </w:p>
        </w:tc>
      </w:tr>
      <w:tr>
        <w:trPr>
          <w:trHeight w:val="105"/>
        </w:trPr>
        <w:tc>
          <w:tcPr>
            <w:tcW w:w="5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5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2"/>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Land</w:t>
            </w: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260" w:type="dxa"/>
            <w:vAlign w:val="bottom"/>
          </w:tcPr>
          <w:p>
            <w:pPr>
              <w:ind w:left="140"/>
              <w:spacing w:after="0"/>
              <w:rPr>
                <w:sz w:val="20"/>
                <w:szCs w:val="20"/>
                <w:color w:val="auto"/>
              </w:rPr>
            </w:pPr>
            <w:r>
              <w:rPr>
                <w:rFonts w:ascii="Arial" w:cs="Arial" w:eastAsia="Arial" w:hAnsi="Arial"/>
                <w:sz w:val="17"/>
                <w:szCs w:val="17"/>
                <w:color w:val="auto"/>
              </w:rPr>
              <w:t>Buildings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2,259.0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2,219.8</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Equipment</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6,345.0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6,024.9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5260" w:type="dxa"/>
            <w:vAlign w:val="bottom"/>
          </w:tcPr>
          <w:p>
            <w:pPr>
              <w:ind w:left="140"/>
              <w:spacing w:after="0"/>
              <w:rPr>
                <w:sz w:val="20"/>
                <w:szCs w:val="20"/>
                <w:color w:val="auto"/>
              </w:rPr>
            </w:pPr>
            <w:r>
              <w:rPr>
                <w:rFonts w:ascii="Arial" w:cs="Arial" w:eastAsia="Arial" w:hAnsi="Arial"/>
                <w:sz w:val="17"/>
                <w:szCs w:val="17"/>
                <w:color w:val="auto"/>
              </w:rPr>
              <w:t>Construction in progress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294.2</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Software</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18"/>
        </w:trPr>
        <w:tc>
          <w:tcPr>
            <w:tcW w:w="52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8"/>
        </w:trPr>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9,209.4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8,839.8</w:t>
            </w:r>
          </w:p>
        </w:tc>
        <w:tc>
          <w:tcPr>
            <w:tcW w:w="60" w:type="dxa"/>
            <w:vAlign w:val="bottom"/>
          </w:tcPr>
          <w:p>
            <w:pPr>
              <w:spacing w:after="0"/>
              <w:rPr>
                <w:sz w:val="24"/>
                <w:szCs w:val="24"/>
                <w:color w:val="auto"/>
              </w:rPr>
            </w:pPr>
          </w:p>
        </w:tc>
      </w:tr>
      <w:tr>
        <w:trPr>
          <w:trHeight w:val="223"/>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Accumulated depreciation</w:t>
            </w:r>
          </w:p>
        </w:tc>
        <w:tc>
          <w:tcPr>
            <w:tcW w:w="3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(4,327.0)</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(4,140.3)</w:t>
            </w:r>
          </w:p>
        </w:tc>
      </w:tr>
      <w:tr>
        <w:trPr>
          <w:trHeight w:val="118"/>
        </w:trPr>
        <w:tc>
          <w:tcPr>
            <w:tcW w:w="52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8"/>
        </w:trPr>
        <w:tc>
          <w:tcPr>
            <w:tcW w:w="526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4,882.4</w:t>
            </w:r>
          </w:p>
        </w:tc>
        <w:tc>
          <w:tcPr>
            <w:tcW w:w="1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4,699.5</w:t>
            </w:r>
          </w:p>
        </w:tc>
        <w:tc>
          <w:tcPr>
            <w:tcW w:w="60" w:type="dxa"/>
            <w:vAlign w:val="bottom"/>
          </w:tcPr>
          <w:p>
            <w:pPr>
              <w:spacing w:after="0"/>
              <w:rPr>
                <w:sz w:val="24"/>
                <w:szCs w:val="24"/>
                <w:color w:val="auto"/>
              </w:rPr>
            </w:pPr>
          </w:p>
        </w:tc>
      </w:tr>
      <w:tr>
        <w:trPr>
          <w:trHeight w:val="106"/>
        </w:trPr>
        <w:tc>
          <w:tcPr>
            <w:tcW w:w="5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0"/>
        </w:trPr>
        <w:tc>
          <w:tcPr>
            <w:tcW w:w="52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5269230</wp:posOffset>
            </wp:positionH>
            <wp:positionV relativeFrom="paragraph">
              <wp:posOffset>-1687195</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-1687195</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-1687195</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-1687195</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-765175</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-765175</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-765175</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-765175</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-321310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-321310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-321310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-321310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91" w:lineRule="exact"/>
        <w:rPr>
          <w:sz w:val="20"/>
          <w:szCs w:val="20"/>
          <w:color w:val="auto"/>
        </w:rPr>
      </w:pPr>
    </w:p>
    <w:p>
      <w:pPr>
        <w:ind w:right="40" w:firstLine="346"/>
        <w:spacing w:after="0" w:line="292" w:lineRule="auto"/>
        <w:rPr>
          <w:sz w:val="20"/>
          <w:szCs w:val="20"/>
          <w:color w:val="auto"/>
        </w:rPr>
      </w:pPr>
      <w:r>
        <w:rPr>
          <w:rFonts w:ascii="Arial" w:cs="Arial" w:eastAsia="Arial" w:hAnsi="Arial"/>
          <w:sz w:val="16"/>
          <w:szCs w:val="16"/>
          <w:color w:val="auto"/>
        </w:rPr>
        <w:t>The Company's Lehi, Utah facility, the construction of which was initiated in 1995, is at present only partially utilized by the Company for component test operations. As of November 28, 2002, construction in progress included costs of $197.0 million related to its Lehi facilities, which are not ready for their intended use and are not being depreciated. Timing for completion of the Lehi facility is dependent upon market conditions, including, but not limited to, worldwide market supply of, and demand for, semiconductor products and the Company's operations, cash flows and alternative capacity expansion opportunities. As of November 28, 2002, the Company had assets in Lehi with a net book value of approximately $181.5 million, which were not in use but were being depreciated.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Depreciation expense was $287.1 million and $284.8 million for the first quarter of 2003 and 2002, respectively.</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November 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August 29,</w:t>
            </w:r>
          </w:p>
        </w:tc>
      </w:tr>
      <w:tr>
        <w:trPr>
          <w:trHeight w:val="174"/>
        </w:trPr>
        <w:tc>
          <w:tcPr>
            <w:tcW w:w="5280" w:type="dxa"/>
            <w:vAlign w:val="bottom"/>
            <w:gridSpan w:val="3"/>
          </w:tcPr>
          <w:p>
            <w:pPr>
              <w:ind w:left="120"/>
              <w:spacing w:after="0"/>
              <w:rPr>
                <w:sz w:val="20"/>
                <w:szCs w:val="20"/>
                <w:color w:val="auto"/>
              </w:rPr>
            </w:pPr>
            <w:r>
              <w:rPr>
                <w:rFonts w:ascii="Arial" w:cs="Arial" w:eastAsia="Arial" w:hAnsi="Arial"/>
                <w:sz w:val="13"/>
                <w:szCs w:val="13"/>
                <w:b w:val="1"/>
                <w:bCs w:val="1"/>
                <w:color w:val="auto"/>
              </w:rPr>
              <w:t>Accounts Payable and Accrued Expenses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418"/>
              <w:spacing w:after="0"/>
              <w:rPr>
                <w:sz w:val="20"/>
                <w:szCs w:val="20"/>
                <w:color w:val="auto"/>
              </w:rPr>
            </w:pPr>
            <w:r>
              <w:rPr>
                <w:rFonts w:ascii="Arial" w:cs="Arial" w:eastAsia="Arial" w:hAnsi="Arial"/>
                <w:sz w:val="13"/>
                <w:szCs w:val="13"/>
                <w:b w:val="1"/>
                <w:bCs w:val="1"/>
                <w:color w:val="auto"/>
              </w:rPr>
              <w:t>2002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8"/>
              <w:spacing w:after="0"/>
              <w:rPr>
                <w:sz w:val="20"/>
                <w:szCs w:val="20"/>
                <w:color w:val="auto"/>
              </w:rPr>
            </w:pPr>
            <w:r>
              <w:rPr>
                <w:rFonts w:ascii="Arial" w:cs="Arial" w:eastAsia="Arial" w:hAnsi="Arial"/>
                <w:sz w:val="13"/>
                <w:szCs w:val="13"/>
                <w:b w:val="1"/>
                <w:bCs w:val="1"/>
                <w:color w:val="auto"/>
              </w:rPr>
              <w:t>2002</w:t>
            </w:r>
          </w:p>
        </w:tc>
        <w:tc>
          <w:tcPr>
            <w:tcW w:w="100" w:type="dxa"/>
            <w:vAlign w:val="bottom"/>
          </w:tcPr>
          <w:p>
            <w:pPr>
              <w:spacing w:after="0"/>
              <w:rPr>
                <w:sz w:val="15"/>
                <w:szCs w:val="15"/>
                <w:color w:val="auto"/>
              </w:rPr>
            </w:pPr>
          </w:p>
        </w:tc>
      </w:tr>
      <w:tr>
        <w:trPr>
          <w:trHeight w:val="105"/>
        </w:trPr>
        <w:tc>
          <w:tcPr>
            <w:tcW w:w="1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4"/>
        </w:trPr>
        <w:tc>
          <w:tcPr>
            <w:tcW w:w="1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22"/>
        </w:trPr>
        <w:tc>
          <w:tcPr>
            <w:tcW w:w="1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367.9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278.9</w:t>
            </w:r>
          </w:p>
        </w:tc>
        <w:tc>
          <w:tcPr>
            <w:tcW w:w="100" w:type="dxa"/>
            <w:vAlign w:val="bottom"/>
          </w:tcPr>
          <w:p>
            <w:pPr>
              <w:spacing w:after="0"/>
              <w:rPr>
                <w:sz w:val="19"/>
                <w:szCs w:val="19"/>
                <w:color w:val="auto"/>
              </w:rPr>
            </w:pPr>
          </w:p>
        </w:tc>
      </w:tr>
      <w:tr>
        <w:trPr>
          <w:trHeight w:val="222"/>
        </w:trPr>
        <w:tc>
          <w:tcPr>
            <w:tcW w:w="120" w:type="dxa"/>
            <w:vAlign w:val="bottom"/>
          </w:tcPr>
          <w:p>
            <w:pPr>
              <w:spacing w:after="0"/>
              <w:rPr>
                <w:sz w:val="19"/>
                <w:szCs w:val="19"/>
                <w:color w:val="auto"/>
              </w:rPr>
            </w:pPr>
          </w:p>
        </w:tc>
        <w:tc>
          <w:tcPr>
            <w:tcW w:w="5160" w:type="dxa"/>
            <w:vAlign w:val="bottom"/>
            <w:gridSpan w:val="2"/>
          </w:tcPr>
          <w:p>
            <w:pPr>
              <w:ind w:left="240"/>
              <w:spacing w:after="0"/>
              <w:rPr>
                <w:sz w:val="20"/>
                <w:szCs w:val="20"/>
                <w:color w:val="auto"/>
              </w:rPr>
            </w:pPr>
            <w:r>
              <w:rPr>
                <w:rFonts w:ascii="Arial" w:cs="Arial" w:eastAsia="Arial" w:hAnsi="Arial"/>
                <w:sz w:val="17"/>
                <w:szCs w:val="17"/>
                <w:color w:val="auto"/>
              </w:rPr>
              <w:t>Salaries, wages and benefits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134.9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106.2</w:t>
            </w: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Taxes other than income</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42.4</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ind w:left="618"/>
              <w:spacing w:after="0"/>
              <w:rPr>
                <w:sz w:val="20"/>
                <w:szCs w:val="20"/>
                <w:color w:val="auto"/>
              </w:rPr>
            </w:pPr>
            <w:r>
              <w:rPr>
                <w:rFonts w:ascii="Arial" w:cs="Arial" w:eastAsia="Arial" w:hAnsi="Arial"/>
                <w:sz w:val="17"/>
                <w:szCs w:val="17"/>
                <w:color w:val="auto"/>
                <w:w w:val="96"/>
              </w:rPr>
              <w:t>38.6</w:t>
            </w:r>
          </w:p>
        </w:tc>
        <w:tc>
          <w:tcPr>
            <w:tcW w:w="100" w:type="dxa"/>
            <w:vAlign w:val="bottom"/>
          </w:tcPr>
          <w:p>
            <w:pPr>
              <w:spacing w:after="0"/>
              <w:rPr>
                <w:sz w:val="19"/>
                <w:szCs w:val="19"/>
                <w:color w:val="auto"/>
              </w:rPr>
            </w:pPr>
          </w:p>
        </w:tc>
      </w:tr>
      <w:tr>
        <w:trPr>
          <w:trHeight w:val="222"/>
        </w:trPr>
        <w:tc>
          <w:tcPr>
            <w:tcW w:w="120" w:type="dxa"/>
            <w:vAlign w:val="bottom"/>
          </w:tcPr>
          <w:p>
            <w:pPr>
              <w:spacing w:after="0"/>
              <w:rPr>
                <w:sz w:val="19"/>
                <w:szCs w:val="19"/>
                <w:color w:val="auto"/>
              </w:rPr>
            </w:pPr>
          </w:p>
        </w:tc>
        <w:tc>
          <w:tcPr>
            <w:tcW w:w="5160" w:type="dxa"/>
            <w:vAlign w:val="bottom"/>
            <w:gridSpan w:val="2"/>
          </w:tcPr>
          <w:p>
            <w:pPr>
              <w:ind w:left="240"/>
              <w:spacing w:after="0"/>
              <w:rPr>
                <w:sz w:val="20"/>
                <w:szCs w:val="20"/>
                <w:color w:val="auto"/>
              </w:rPr>
            </w:pPr>
            <w:r>
              <w:rPr>
                <w:rFonts w:ascii="Arial" w:cs="Arial" w:eastAsia="Arial" w:hAnsi="Arial"/>
                <w:sz w:val="17"/>
                <w:szCs w:val="17"/>
                <w:color w:val="auto"/>
              </w:rPr>
              <w:t>Joint venture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40.1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left="618"/>
              <w:spacing w:after="0"/>
              <w:rPr>
                <w:sz w:val="20"/>
                <w:szCs w:val="20"/>
                <w:color w:val="auto"/>
              </w:rPr>
            </w:pPr>
            <w:r>
              <w:rPr>
                <w:rFonts w:ascii="Arial" w:cs="Arial" w:eastAsia="Arial" w:hAnsi="Arial"/>
                <w:sz w:val="17"/>
                <w:szCs w:val="17"/>
                <w:color w:val="auto"/>
                <w:w w:val="96"/>
              </w:rPr>
              <w:t>52.8</w:t>
            </w: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Other</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89.0</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ind w:left="618"/>
              <w:spacing w:after="0"/>
              <w:rPr>
                <w:sz w:val="20"/>
                <w:szCs w:val="20"/>
                <w:color w:val="auto"/>
              </w:rPr>
            </w:pPr>
            <w:r>
              <w:rPr>
                <w:rFonts w:ascii="Arial" w:cs="Arial" w:eastAsia="Arial" w:hAnsi="Arial"/>
                <w:sz w:val="17"/>
                <w:szCs w:val="17"/>
                <w:color w:val="auto"/>
                <w:w w:val="96"/>
              </w:rPr>
              <w:t>77.6</w:t>
            </w:r>
          </w:p>
        </w:tc>
        <w:tc>
          <w:tcPr>
            <w:tcW w:w="100" w:type="dxa"/>
            <w:vAlign w:val="bottom"/>
          </w:tcPr>
          <w:p>
            <w:pPr>
              <w:spacing w:after="0"/>
              <w:rPr>
                <w:sz w:val="19"/>
                <w:szCs w:val="19"/>
                <w:color w:val="auto"/>
              </w:rPr>
            </w:pPr>
          </w:p>
        </w:tc>
      </w:tr>
      <w:tr>
        <w:trPr>
          <w:trHeight w:val="118"/>
        </w:trPr>
        <w:tc>
          <w:tcPr>
            <w:tcW w:w="1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8"/>
        </w:trPr>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674.3</w:t>
            </w:r>
          </w:p>
        </w:tc>
        <w:tc>
          <w:tcPr>
            <w:tcW w:w="3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554.1</w:t>
            </w:r>
          </w:p>
        </w:tc>
        <w:tc>
          <w:tcPr>
            <w:tcW w:w="100" w:type="dxa"/>
            <w:vAlign w:val="bottom"/>
          </w:tcPr>
          <w:p>
            <w:pPr>
              <w:spacing w:after="0"/>
              <w:rPr>
                <w:sz w:val="24"/>
                <w:szCs w:val="24"/>
                <w:color w:val="auto"/>
              </w:rPr>
            </w:pPr>
          </w:p>
        </w:tc>
      </w:tr>
      <w:tr>
        <w:trPr>
          <w:trHeight w:val="106"/>
        </w:trPr>
        <w:tc>
          <w:tcPr>
            <w:tcW w:w="1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0"/>
        </w:trPr>
        <w:tc>
          <w:tcPr>
            <w:tcW w:w="1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r>
        <w:trPr>
          <w:trHeight w:val="239"/>
        </w:trPr>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November 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9"/>
              </w:rPr>
              <w:t>August 29,</w:t>
            </w:r>
          </w:p>
        </w:tc>
      </w:tr>
      <w:tr>
        <w:trPr>
          <w:trHeight w:val="174"/>
        </w:trPr>
        <w:tc>
          <w:tcPr>
            <w:tcW w:w="5280" w:type="dxa"/>
            <w:vAlign w:val="bottom"/>
            <w:gridSpan w:val="3"/>
          </w:tcPr>
          <w:p>
            <w:pPr>
              <w:spacing w:after="0"/>
              <w:rPr>
                <w:sz w:val="20"/>
                <w:szCs w:val="20"/>
                <w:color w:val="auto"/>
              </w:rPr>
            </w:pPr>
            <w:r>
              <w:rPr>
                <w:rFonts w:ascii="Arial" w:cs="Arial" w:eastAsia="Arial" w:hAnsi="Arial"/>
                <w:sz w:val="13"/>
                <w:szCs w:val="13"/>
                <w:b w:val="1"/>
                <w:bCs w:val="1"/>
                <w:color w:val="auto"/>
              </w:rPr>
              <w:t>Debt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98"/>
              <w:spacing w:after="0"/>
              <w:rPr>
                <w:sz w:val="20"/>
                <w:szCs w:val="20"/>
                <w:color w:val="auto"/>
              </w:rPr>
            </w:pPr>
            <w:r>
              <w:rPr>
                <w:rFonts w:ascii="Arial" w:cs="Arial" w:eastAsia="Arial" w:hAnsi="Arial"/>
                <w:sz w:val="13"/>
                <w:szCs w:val="13"/>
                <w:b w:val="1"/>
                <w:bCs w:val="1"/>
                <w:color w:val="auto"/>
              </w:rPr>
              <w:t>2002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b w:val="1"/>
                <w:bCs w:val="1"/>
                <w:color w:val="auto"/>
              </w:rPr>
              <w:t>2002</w:t>
            </w:r>
          </w:p>
        </w:tc>
        <w:tc>
          <w:tcPr>
            <w:tcW w:w="100" w:type="dxa"/>
            <w:vAlign w:val="bottom"/>
          </w:tcPr>
          <w:p>
            <w:pPr>
              <w:spacing w:after="0"/>
              <w:rPr>
                <w:sz w:val="15"/>
                <w:szCs w:val="15"/>
                <w:color w:val="auto"/>
              </w:rPr>
            </w:pPr>
          </w:p>
        </w:tc>
      </w:tr>
      <w:tr>
        <w:trPr>
          <w:trHeight w:val="105"/>
        </w:trPr>
        <w:tc>
          <w:tcPr>
            <w:tcW w:w="120" w:type="dxa"/>
            <w:vAlign w:val="bottom"/>
            <w:tcBorders>
              <w:bottom w:val="single" w:sz="8" w:color="808080"/>
            </w:tcBorders>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4"/>
        </w:trPr>
        <w:tc>
          <w:tcPr>
            <w:tcW w:w="1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7"/>
        </w:trPr>
        <w:tc>
          <w:tcPr>
            <w:tcW w:w="1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 payable in periodic installments through July 2015, weighted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r>
      <w:tr>
        <w:trPr>
          <w:trHeight w:val="223"/>
        </w:trPr>
        <w:tc>
          <w:tcPr>
            <w:tcW w:w="1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average interest rate of 2.2% and 2.3%, respectively</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w:t>
            </w:r>
          </w:p>
        </w:tc>
        <w:tc>
          <w:tcPr>
            <w:tcW w:w="180" w:type="dxa"/>
            <w:vAlign w:val="bottom"/>
            <w:shd w:val="clear" w:color="auto" w:fill="CCEEFF"/>
          </w:tcPr>
          <w:p>
            <w:pPr>
              <w:spacing w:after="0"/>
              <w:rPr>
                <w:sz w:val="19"/>
                <w:szCs w:val="19"/>
                <w:color w:val="auto"/>
              </w:rPr>
            </w:pPr>
          </w:p>
        </w:tc>
        <w:tc>
          <w:tcPr>
            <w:tcW w:w="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38"/>
              <w:spacing w:after="0"/>
              <w:rPr>
                <w:sz w:val="20"/>
                <w:szCs w:val="20"/>
                <w:color w:val="auto"/>
              </w:rPr>
            </w:pPr>
            <w:r>
              <w:rPr>
                <w:rFonts w:ascii="Arial" w:cs="Arial" w:eastAsia="Arial" w:hAnsi="Arial"/>
                <w:sz w:val="17"/>
                <w:szCs w:val="17"/>
                <w:color w:val="auto"/>
                <w:w w:val="93"/>
              </w:rPr>
              <w:t>241.7</w:t>
            </w:r>
          </w:p>
        </w:tc>
        <w:tc>
          <w:tcPr>
            <w:tcW w:w="100" w:type="dxa"/>
            <w:vAlign w:val="bottom"/>
            <w:tcBorders>
              <w:left w:val="single" w:sz="8" w:color="CCEEFF"/>
            </w:tcBorders>
            <w:shd w:val="clear" w:color="auto" w:fill="CCEEFF"/>
          </w:tcPr>
          <w:p>
            <w:pPr>
              <w:spacing w:after="0"/>
              <w:rPr>
                <w:sz w:val="19"/>
                <w:szCs w:val="19"/>
                <w:color w:val="auto"/>
              </w:rPr>
            </w:pPr>
          </w:p>
        </w:tc>
      </w:tr>
      <w:tr>
        <w:trPr>
          <w:trHeight w:val="207"/>
        </w:trPr>
        <w:tc>
          <w:tcPr>
            <w:tcW w:w="120" w:type="dxa"/>
            <w:vAlign w:val="bottom"/>
          </w:tcPr>
          <w:p>
            <w:pPr>
              <w:spacing w:after="0"/>
              <w:rPr>
                <w:sz w:val="17"/>
                <w:szCs w:val="17"/>
                <w:color w:val="auto"/>
              </w:rPr>
            </w:pPr>
          </w:p>
        </w:tc>
        <w:tc>
          <w:tcPr>
            <w:tcW w:w="5160" w:type="dxa"/>
            <w:vAlign w:val="bottom"/>
            <w:gridSpan w:val="2"/>
          </w:tcPr>
          <w:p>
            <w:pPr>
              <w:ind w:left="20"/>
              <w:spacing w:after="0"/>
              <w:rPr>
                <w:sz w:val="20"/>
                <w:szCs w:val="20"/>
                <w:color w:val="auto"/>
              </w:rPr>
            </w:pPr>
            <w:r>
              <w:rPr>
                <w:rFonts w:ascii="Arial" w:cs="Arial" w:eastAsia="Arial" w:hAnsi="Arial"/>
                <w:sz w:val="17"/>
                <w:szCs w:val="17"/>
                <w:color w:val="auto"/>
                <w:w w:val="97"/>
              </w:rPr>
              <w:t>Subordinated notes payable, face amount of $210.0 million and stated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12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Arial" w:cs="Arial" w:eastAsia="Arial" w:hAnsi="Arial"/>
                <w:sz w:val="17"/>
                <w:szCs w:val="17"/>
                <w:color w:val="auto"/>
              </w:rPr>
              <w:t>interest rate of 6.5%, due October 2005, with an effective yield to</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Arial" w:cs="Arial" w:eastAsia="Arial" w:hAnsi="Arial"/>
                <w:sz w:val="17"/>
                <w:szCs w:val="17"/>
                <w:color w:val="auto"/>
              </w:rPr>
              <w:t>maturity of 10.7%, net of unamortized discount of $20.7 million and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7"/>
                <w:szCs w:val="17"/>
                <w:color w:val="auto"/>
              </w:rPr>
              <w:t>$22.2 million, respectively</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189.3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left="538"/>
              <w:spacing w:after="0"/>
              <w:rPr>
                <w:sz w:val="20"/>
                <w:szCs w:val="20"/>
                <w:color w:val="auto"/>
              </w:rPr>
            </w:pPr>
            <w:r>
              <w:rPr>
                <w:rFonts w:ascii="Arial" w:cs="Arial" w:eastAsia="Arial" w:hAnsi="Arial"/>
                <w:sz w:val="17"/>
                <w:szCs w:val="17"/>
                <w:color w:val="auto"/>
                <w:w w:val="93"/>
              </w:rPr>
              <w:t>187.8</w:t>
            </w:r>
          </w:p>
        </w:tc>
        <w:tc>
          <w:tcPr>
            <w:tcW w:w="100" w:type="dxa"/>
            <w:vAlign w:val="bottom"/>
          </w:tcPr>
          <w:p>
            <w:pPr>
              <w:spacing w:after="0"/>
              <w:rPr>
                <w:sz w:val="19"/>
                <w:szCs w:val="19"/>
                <w:color w:val="auto"/>
              </w:rPr>
            </w:pPr>
          </w:p>
        </w:tc>
      </w:tr>
      <w:tr>
        <w:trPr>
          <w:trHeight w:val="208"/>
        </w:trPr>
        <w:tc>
          <w:tcPr>
            <w:tcW w:w="1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Capital lease obligations payable in monthly installments through</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5"/>
        </w:trPr>
        <w:tc>
          <w:tcPr>
            <w:tcW w:w="1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December 2007, weighted average imputed interest rate of 4.9%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23"/>
        </w:trPr>
        <w:tc>
          <w:tcPr>
            <w:tcW w:w="1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2.4%, respectively</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Borders>
              <w:left w:val="single" w:sz="8" w:color="CCEEFF"/>
            </w:tcBorders>
            <w:shd w:val="clear" w:color="auto" w:fill="CCEEFF"/>
          </w:tcPr>
          <w:p>
            <w:pPr>
              <w:spacing w:after="0"/>
              <w:rPr>
                <w:sz w:val="19"/>
                <w:szCs w:val="19"/>
                <w:color w:val="auto"/>
              </w:rPr>
            </w:pPr>
          </w:p>
        </w:tc>
      </w:tr>
      <w:tr>
        <w:trPr>
          <w:trHeight w:val="118"/>
        </w:trPr>
        <w:tc>
          <w:tcPr>
            <w:tcW w:w="1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8"/>
        </w:trPr>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436.0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left="538"/>
              <w:spacing w:after="0"/>
              <w:rPr>
                <w:sz w:val="20"/>
                <w:szCs w:val="20"/>
                <w:color w:val="auto"/>
              </w:rPr>
            </w:pPr>
            <w:r>
              <w:rPr>
                <w:rFonts w:ascii="Arial" w:cs="Arial" w:eastAsia="Arial" w:hAnsi="Arial"/>
                <w:sz w:val="17"/>
                <w:szCs w:val="17"/>
                <w:color w:val="auto"/>
                <w:w w:val="93"/>
              </w:rPr>
              <w:t>453.9</w:t>
            </w:r>
          </w:p>
        </w:tc>
        <w:tc>
          <w:tcPr>
            <w:tcW w:w="100" w:type="dxa"/>
            <w:vAlign w:val="bottom"/>
          </w:tcPr>
          <w:p>
            <w:pPr>
              <w:spacing w:after="0"/>
              <w:rPr>
                <w:sz w:val="24"/>
                <w:szCs w:val="24"/>
                <w:color w:val="auto"/>
              </w:rPr>
            </w:pPr>
          </w:p>
        </w:tc>
      </w:tr>
      <w:tr>
        <w:trPr>
          <w:trHeight w:val="243"/>
        </w:trPr>
        <w:tc>
          <w:tcPr>
            <w:tcW w:w="120" w:type="dxa"/>
            <w:vAlign w:val="bottom"/>
            <w:shd w:val="clear" w:color="auto" w:fill="CCEEFF"/>
          </w:tcPr>
          <w:p>
            <w:pPr>
              <w:spacing w:after="0"/>
              <w:rPr>
                <w:sz w:val="21"/>
                <w:szCs w:val="21"/>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(95.8)</w:t>
            </w:r>
          </w:p>
        </w:tc>
        <w:tc>
          <w:tcPr>
            <w:tcW w:w="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(93.1)</w:t>
            </w:r>
          </w:p>
        </w:tc>
      </w:tr>
      <w:tr>
        <w:trPr>
          <w:trHeight w:val="118"/>
        </w:trPr>
        <w:tc>
          <w:tcPr>
            <w:tcW w:w="1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8"/>
        </w:trPr>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340.2</w:t>
            </w:r>
          </w:p>
        </w:tc>
        <w:tc>
          <w:tcPr>
            <w:tcW w:w="18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020" w:type="dxa"/>
            <w:vAlign w:val="bottom"/>
          </w:tcPr>
          <w:p>
            <w:pPr>
              <w:jc w:val="center"/>
              <w:ind w:left="538"/>
              <w:spacing w:after="0"/>
              <w:rPr>
                <w:sz w:val="20"/>
                <w:szCs w:val="20"/>
                <w:color w:val="auto"/>
              </w:rPr>
            </w:pPr>
            <w:r>
              <w:rPr>
                <w:rFonts w:ascii="Arial" w:cs="Arial" w:eastAsia="Arial" w:hAnsi="Arial"/>
                <w:sz w:val="17"/>
                <w:szCs w:val="17"/>
                <w:color w:val="auto"/>
                <w:w w:val="93"/>
              </w:rPr>
              <w:t>360.8</w:t>
            </w:r>
          </w:p>
        </w:tc>
        <w:tc>
          <w:tcPr>
            <w:tcW w:w="100" w:type="dxa"/>
            <w:vAlign w:val="bottom"/>
          </w:tcPr>
          <w:p>
            <w:pPr>
              <w:spacing w:after="0"/>
              <w:rPr>
                <w:sz w:val="24"/>
                <w:szCs w:val="24"/>
                <w:color w:val="auto"/>
              </w:rPr>
            </w:pPr>
          </w:p>
        </w:tc>
      </w:tr>
      <w:tr>
        <w:trPr>
          <w:trHeight w:val="106"/>
        </w:trPr>
        <w:tc>
          <w:tcPr>
            <w:tcW w:w="1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0"/>
        </w:trPr>
        <w:tc>
          <w:tcPr>
            <w:tcW w:w="1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-3719195</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-3719195</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-3719195</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-3719195</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-3719195</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-3719195</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-2797175</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-2797175</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-2797175</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-2797175</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-2148205</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-2148205</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-2148205</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-2148205</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-2148205</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-2148205</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-765175</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-765175</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-765175</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-765175</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-321310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-321310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-321310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-321310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91" w:lineRule="exact"/>
        <w:rPr>
          <w:sz w:val="20"/>
          <w:szCs w:val="20"/>
          <w:color w:val="auto"/>
        </w:rPr>
      </w:pPr>
    </w:p>
    <w:p>
      <w:pPr>
        <w:ind w:right="200" w:firstLine="340"/>
        <w:spacing w:after="0" w:line="296" w:lineRule="auto"/>
        <w:rPr>
          <w:sz w:val="20"/>
          <w:szCs w:val="20"/>
          <w:color w:val="auto"/>
        </w:rPr>
      </w:pPr>
      <w:r>
        <w:rPr>
          <w:rFonts w:ascii="Arial" w:cs="Arial" w:eastAsia="Arial" w:hAnsi="Arial"/>
          <w:sz w:val="17"/>
          <w:szCs w:val="17"/>
          <w:color w:val="auto"/>
        </w:rPr>
        <w:t>As of November 28, 2002, notes payable and capital lease obligations of $179.4 million and $17.2 million, respectively, were denominated in Japanese Yen and had weighted average interest rates of 1.5% and 1.8%, respectively.</w:t>
      </w:r>
    </w:p>
    <w:p>
      <w:pPr>
        <w:spacing w:after="0" w:line="163" w:lineRule="exact"/>
        <w:rPr>
          <w:sz w:val="20"/>
          <w:szCs w:val="20"/>
          <w:color w:val="auto"/>
        </w:rPr>
      </w:pPr>
    </w:p>
    <w:p>
      <w:pPr>
        <w:ind w:firstLine="346"/>
        <w:spacing w:after="0" w:line="296" w:lineRule="auto"/>
        <w:rPr>
          <w:sz w:val="20"/>
          <w:szCs w:val="20"/>
          <w:color w:val="auto"/>
        </w:rPr>
      </w:pPr>
      <w:r>
        <w:rPr>
          <w:rFonts w:ascii="Arial" w:cs="Arial" w:eastAsia="Arial" w:hAnsi="Arial"/>
          <w:sz w:val="17"/>
          <w:szCs w:val="17"/>
          <w:color w:val="auto"/>
        </w:rPr>
        <w:t>The Company has pledged $50.0 million, which is included in other noncurrent assets in the accompanying consolidated balance sheet, as cash collateral for a fully-drawn revolving line of credit for TECH Semiconductor Singapore Pte. Ltd. (See "Joint Venture" note.)</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2002, the Company entered into financing arrangements aggregating $70.0 million payable in periodic installments through January 2007.</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6"/>
          </w:tcPr>
          <w:p>
            <w:pPr>
              <w:jc w:val="right"/>
              <w:ind w:right="1020"/>
              <w:spacing w:after="0"/>
              <w:rPr>
                <w:sz w:val="20"/>
                <w:szCs w:val="20"/>
                <w:color w:val="auto"/>
              </w:rPr>
            </w:pPr>
            <w:r>
              <w:rPr>
                <w:rFonts w:ascii="Arial" w:cs="Arial" w:eastAsia="Arial" w:hAnsi="Arial"/>
                <w:sz w:val="13"/>
                <w:szCs w:val="13"/>
                <w:b w:val="1"/>
                <w:bCs w:val="1"/>
                <w:color w:val="auto"/>
              </w:rPr>
              <w:t>November 28, 2002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5"/>
          </w:tcPr>
          <w:p>
            <w:pPr>
              <w:jc w:val="right"/>
              <w:ind w:right="1100"/>
              <w:spacing w:after="0"/>
              <w:rPr>
                <w:sz w:val="20"/>
                <w:szCs w:val="20"/>
                <w:color w:val="auto"/>
              </w:rPr>
            </w:pPr>
            <w:r>
              <w:rPr>
                <w:rFonts w:ascii="Arial" w:cs="Arial" w:eastAsia="Arial" w:hAnsi="Arial"/>
                <w:sz w:val="13"/>
                <w:szCs w:val="13"/>
                <w:b w:val="1"/>
                <w:bCs w:val="1"/>
                <w:color w:val="auto"/>
              </w:rPr>
              <w:t>August 29, 2002</w:t>
            </w:r>
          </w:p>
        </w:tc>
      </w:tr>
      <w:tr>
        <w:trPr>
          <w:trHeight w:val="105"/>
        </w:trPr>
        <w:tc>
          <w:tcPr>
            <w:tcW w:w="5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239"/>
        </w:trPr>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8"/>
        </w:trPr>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right"/>
              <w:ind w:right="520"/>
              <w:spacing w:after="0" w:line="148"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2"/>
                <w:szCs w:val="12"/>
                <w:color w:val="auto"/>
              </w:rPr>
            </w:pPr>
          </w:p>
        </w:tc>
        <w:tc>
          <w:tcPr>
            <w:tcW w:w="1420" w:type="dxa"/>
            <w:vAlign w:val="bottom"/>
            <w:gridSpan w:val="2"/>
          </w:tcPr>
          <w:p>
            <w:pPr>
              <w:jc w:val="right"/>
              <w:ind w:right="500"/>
              <w:spacing w:after="0" w:line="148" w:lineRule="exact"/>
              <w:rPr>
                <w:sz w:val="20"/>
                <w:szCs w:val="20"/>
                <w:color w:val="auto"/>
              </w:rPr>
            </w:pPr>
            <w:r>
              <w:rPr>
                <w:rFonts w:ascii="Arial" w:cs="Arial" w:eastAsia="Arial" w:hAnsi="Arial"/>
                <w:sz w:val="13"/>
                <w:szCs w:val="13"/>
                <w:b w:val="1"/>
                <w:bCs w:val="1"/>
                <w:color w:val="auto"/>
              </w:rPr>
              <w:t>Accumulated</w:t>
            </w:r>
          </w:p>
        </w:tc>
      </w:tr>
      <w:tr>
        <w:trPr>
          <w:trHeight w:val="174"/>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Amortization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5"/>
                <w:szCs w:val="15"/>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Amortization</w:t>
            </w:r>
          </w:p>
        </w:tc>
      </w:tr>
      <w:tr>
        <w:trPr>
          <w:trHeight w:val="105"/>
        </w:trPr>
        <w:tc>
          <w:tcPr>
            <w:tcW w:w="5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4"/>
        </w:trPr>
        <w:tc>
          <w:tcPr>
            <w:tcW w:w="5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Product and process technology</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320.5</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(91.5)</w:t>
            </w:r>
          </w:p>
        </w:tc>
      </w:tr>
      <w:tr>
        <w:trPr>
          <w:trHeight w:val="215"/>
        </w:trPr>
        <w:tc>
          <w:tcPr>
            <w:tcW w:w="5340" w:type="dxa"/>
            <w:vAlign w:val="bottom"/>
          </w:tcPr>
          <w:p>
            <w:pPr>
              <w:spacing w:after="0"/>
              <w:rPr>
                <w:sz w:val="20"/>
                <w:szCs w:val="20"/>
                <w:color w:val="auto"/>
              </w:rPr>
            </w:pPr>
            <w:r>
              <w:rPr>
                <w:rFonts w:ascii="Arial" w:cs="Arial" w:eastAsia="Arial" w:hAnsi="Arial"/>
                <w:sz w:val="17"/>
                <w:szCs w:val="17"/>
                <w:color w:val="auto"/>
              </w:rPr>
              <w:t>Joint venture supply arrangement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(23.0)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98.0</w:t>
            </w: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(20.6)</w:t>
            </w:r>
          </w:p>
        </w:tc>
      </w:tr>
      <w:tr>
        <w:trPr>
          <w:trHeight w:val="21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r>
      <w:tr>
        <w:trPr>
          <w:trHeight w:val="104"/>
        </w:trPr>
        <w:tc>
          <w:tcPr>
            <w:tcW w:w="5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-1001395</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-1001395</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-1001395</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-1001395</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-565785</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-565785</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-565785</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-565785</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-565785</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-565785</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-565785</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-565785</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-2540</wp:posOffset>
            </wp:positionV>
            <wp:extent cx="12700" cy="4763"/>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-2540</wp:posOffset>
            </wp:positionV>
            <wp:extent cx="12700" cy="4763"/>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-2540</wp:posOffset>
            </wp:positionV>
            <wp:extent cx="12700" cy="4763"/>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-2540</wp:posOffset>
            </wp:positionV>
            <wp:extent cx="12700" cy="4763"/>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-2540</wp:posOffset>
            </wp:positionV>
            <wp:extent cx="12700" cy="4763"/>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-2540</wp:posOffset>
            </wp:positionV>
            <wp:extent cx="12700" cy="4763"/>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7164705</wp:posOffset>
            </wp:positionH>
            <wp:positionV relativeFrom="paragraph">
              <wp:posOffset>-2540</wp:posOffset>
            </wp:positionV>
            <wp:extent cx="12700" cy="4763"/>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4763"/>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-2540</wp:posOffset>
            </wp:positionV>
            <wp:extent cx="12700" cy="4763"/>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4763"/>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5" w:name="page6"/>
    <w:bookmarkEnd w:id="5"/>
    <w:p>
      <w:pPr>
        <w:ind w:left="5340"/>
        <w:spacing w:after="0"/>
        <w:tabs>
          <w:tab w:leader="none" w:pos="6060" w:val="left"/>
          <w:tab w:leader="none" w:pos="6660" w:val="left"/>
          <w:tab w:leader="none" w:pos="7720" w:val="left"/>
          <w:tab w:leader="none" w:pos="8380" w:val="left"/>
          <w:tab w:leader="none" w:pos="9140" w:val="left"/>
          <w:tab w:leader="none" w:pos="9740" w:val="left"/>
          <w:tab w:leader="none" w:pos="10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441.8</w:t>
        <w:tab/>
        <w:t>$</w:t>
      </w:r>
      <w:r>
        <w:rPr>
          <w:sz w:val="20"/>
          <w:szCs w:val="20"/>
          <w:color w:val="auto"/>
        </w:rPr>
        <w:tab/>
      </w:r>
      <w:r>
        <w:rPr>
          <w:rFonts w:ascii="Arial" w:cs="Arial" w:eastAsia="Arial" w:hAnsi="Arial"/>
          <w:sz w:val="17"/>
          <w:szCs w:val="17"/>
          <w:color w:val="auto"/>
        </w:rPr>
        <w:t>(129.1)</w:t>
        <w:tab/>
        <w:t>$</w:t>
      </w:r>
      <w:r>
        <w:rPr>
          <w:sz w:val="20"/>
          <w:szCs w:val="20"/>
          <w:color w:val="auto"/>
        </w:rPr>
        <w:tab/>
      </w:r>
      <w:r>
        <w:rPr>
          <w:rFonts w:ascii="Arial" w:cs="Arial" w:eastAsia="Arial" w:hAnsi="Arial"/>
          <w:sz w:val="17"/>
          <w:szCs w:val="17"/>
          <w:color w:val="auto"/>
        </w:rPr>
        <w:t>433.5</w:t>
        <w:tab/>
        <w:t>$</w:t>
      </w:r>
      <w:r>
        <w:rPr>
          <w:sz w:val="20"/>
          <w:szCs w:val="20"/>
          <w:color w:val="auto"/>
        </w:rPr>
        <w:tab/>
      </w:r>
      <w:r>
        <w:rPr>
          <w:rFonts w:ascii="Arial" w:cs="Arial" w:eastAsia="Arial" w:hAnsi="Arial"/>
          <w:sz w:val="15"/>
          <w:szCs w:val="15"/>
          <w:color w:val="auto"/>
        </w:rPr>
        <w:t>(116.5)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83820</wp:posOffset>
            </wp:positionV>
            <wp:extent cx="378587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785870" cy="381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320" w:firstLine="349"/>
        <w:spacing w:after="0" w:line="280" w:lineRule="auto"/>
        <w:rPr>
          <w:sz w:val="20"/>
          <w:szCs w:val="20"/>
          <w:color w:val="auto"/>
        </w:rPr>
      </w:pPr>
      <w:r>
        <w:rPr>
          <w:rFonts w:ascii="Arial" w:cs="Arial" w:eastAsia="Arial" w:hAnsi="Arial"/>
          <w:sz w:val="17"/>
          <w:szCs w:val="17"/>
          <w:color w:val="auto"/>
        </w:rPr>
        <w:t>During the first quarter of 2003, the Company expended $8.3 million for product and process technology with a weighted average useful life of ten years. During the first quarter of 2002, the Company expended $24.9 million for product and process technology and $3.8 million of other intangible assets with weighted average useful lives of nine and two years, respectively.</w:t>
      </w:r>
    </w:p>
    <w:p>
      <w:pPr>
        <w:spacing w:after="0" w:line="176" w:lineRule="exact"/>
        <w:rPr>
          <w:sz w:val="20"/>
          <w:szCs w:val="20"/>
          <w:color w:val="auto"/>
        </w:rPr>
      </w:pPr>
    </w:p>
    <w:p>
      <w:pPr>
        <w:ind w:right="120" w:firstLine="340"/>
        <w:spacing w:after="0" w:line="280" w:lineRule="auto"/>
        <w:rPr>
          <w:sz w:val="20"/>
          <w:szCs w:val="20"/>
          <w:color w:val="auto"/>
        </w:rPr>
      </w:pPr>
      <w:r>
        <w:rPr>
          <w:rFonts w:ascii="Arial" w:cs="Arial" w:eastAsia="Arial" w:hAnsi="Arial"/>
          <w:sz w:val="17"/>
          <w:szCs w:val="17"/>
          <w:color w:val="auto"/>
        </w:rPr>
        <w:t>Amortization expense for intangible assets was $12.6 million and $11.0 million for the first quarter of 2003 and 2002, respectively. Annual amortization expense for intangible assets held as of November 28, 2002 is estimated to be $50.5 million for 2003, $47.3 million in 2004, $44.0 million in 2005, $42.1 million in 2006, and $41.2 million in 2007.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41" w:lineRule="exact"/>
        <w:rPr>
          <w:sz w:val="20"/>
          <w:szCs w:val="20"/>
          <w:color w:val="auto"/>
        </w:rPr>
      </w:pPr>
    </w:p>
    <w:p>
      <w:pPr>
        <w:ind w:right="60" w:firstLine="340"/>
        <w:spacing w:after="0" w:line="288"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its processes infringe their product or process technology rights.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 Rambus suits or of other assertions of infringements made against the Company.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75" w:lineRule="exact"/>
        <w:rPr>
          <w:sz w:val="20"/>
          <w:szCs w:val="20"/>
          <w:color w:val="auto"/>
        </w:rPr>
      </w:pPr>
    </w:p>
    <w:p>
      <w:pPr>
        <w:ind w:right="80" w:firstLine="349"/>
        <w:spacing w:after="0" w:line="286"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with the DOJ in its investigation. Subsequent to the commencement of the DOJ investigation, 23 purported class action lawsuits were filed against the Company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A court determination that the Company has violated federal or state antitrust laws could result in significant liability and could have a material adverse effect on the Company's results of operations and financial condition.</w:t>
      </w:r>
    </w:p>
    <w:p>
      <w:pPr>
        <w:spacing w:after="0" w:line="173" w:lineRule="exact"/>
        <w:rPr>
          <w:sz w:val="20"/>
          <w:szCs w:val="20"/>
          <w:color w:val="auto"/>
        </w:rPr>
      </w:pPr>
    </w:p>
    <w:p>
      <w:pPr>
        <w:ind w:right="180" w:firstLine="346"/>
        <w:spacing w:after="0" w:line="29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as appropriate, of asserted and unasserted contingencies existing as of the balance sheet date.</w:t>
      </w:r>
    </w:p>
    <w:p>
      <w:pPr>
        <w:spacing w:after="0" w:line="163" w:lineRule="exact"/>
        <w:rPr>
          <w:sz w:val="20"/>
          <w:szCs w:val="20"/>
          <w:color w:val="auto"/>
        </w:rPr>
      </w:pPr>
    </w:p>
    <w:p>
      <w:pPr>
        <w:ind w:right="340" w:firstLine="346"/>
        <w:spacing w:after="0" w:line="296" w:lineRule="auto"/>
        <w:rPr>
          <w:sz w:val="20"/>
          <w:szCs w:val="20"/>
          <w:color w:val="auto"/>
        </w:rPr>
      </w:pPr>
      <w:r>
        <w:rPr>
          <w:rFonts w:ascii="Arial" w:cs="Arial" w:eastAsia="Arial" w:hAnsi="Arial"/>
          <w:sz w:val="17"/>
          <w:szCs w:val="17"/>
          <w:color w:val="auto"/>
        </w:rPr>
        <w:t>The Company is currently a party to various other legal actions arising out of the normal course of business, none of which is expected to have a material adverse effect on the Company's financial position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Common Stock</w:t>
      </w:r>
    </w:p>
    <w:p>
      <w:pPr>
        <w:spacing w:after="0" w:line="241" w:lineRule="exact"/>
        <w:rPr>
          <w:sz w:val="20"/>
          <w:szCs w:val="20"/>
          <w:color w:val="auto"/>
        </w:rPr>
      </w:pPr>
    </w:p>
    <w:p>
      <w:pPr>
        <w:ind w:right="280" w:firstLine="349"/>
        <w:spacing w:after="0" w:line="329" w:lineRule="auto"/>
        <w:rPr>
          <w:sz w:val="20"/>
          <w:szCs w:val="20"/>
          <w:color w:val="auto"/>
        </w:rPr>
      </w:pPr>
      <w:r>
        <w:rPr>
          <w:rFonts w:ascii="Arial" w:cs="Arial" w:eastAsia="Arial" w:hAnsi="Arial"/>
          <w:sz w:val="16"/>
          <w:szCs w:val="16"/>
          <w:color w:val="auto"/>
        </w:rPr>
        <w:t>In connection with the issuance of the 1.5 million shares of common stock for the Toshiba DRAM Acquisition, the Company granted Toshiba an option to require the Company to repurchase on October 21, 2003, all of these shares for $67.5 million in cash. The option expires if the closing price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the Company's common stock is at or above $45.05 per share for 20 consecutive trading days. The carrying value of the redeemable common stock is accreted to its redemption amount of $67.5 million by a charge directly to retained earnings and is included in the computations of earning per share. Accretion of redeemable common stock was $1.5 million in the first quarter of 2003. (See "Acquisition of Toshiba Corporation DRAM Assets" note.)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1" w:lineRule="exact"/>
        <w:rPr>
          <w:sz w:val="20"/>
          <w:szCs w:val="20"/>
          <w:color w:val="auto"/>
        </w:rPr>
      </w:pPr>
    </w:p>
    <w:p>
      <w:pPr>
        <w:ind w:firstLine="349"/>
        <w:spacing w:after="0" w:line="268" w:lineRule="auto"/>
        <w:rPr>
          <w:sz w:val="20"/>
          <w:szCs w:val="20"/>
          <w:color w:val="auto"/>
        </w:rPr>
      </w:pPr>
      <w:r>
        <w:rPr>
          <w:rFonts w:ascii="Arial" w:cs="Arial" w:eastAsia="Arial" w:hAnsi="Arial"/>
          <w:sz w:val="17"/>
          <w:szCs w:val="17"/>
          <w:color w:val="auto"/>
        </w:rPr>
        <w:t>Income taxes for the first quarter of 2003 do not reflect any tax benefit from losses on the Company's U.S. operations and primarily reflect taxes on the Company's non-U.S. operations. During the fourth quarter of 2002, the Company recorded a valuation allowance of $347.8 million against its net deferred tax asset in accordance with Statement of Financial Accounting Standards No. 109. Consistent with the treatment in the fourth quarter of 2002, the Company increased the valuation allowance in the first quarter of 2003 by $144.8 million against its U.S. deferred tax assets resulting from losses on the Company's U.S. operations. As of November 28, 2002, the Company's U.S. deferred tax assets consisted primarily of $1.5 billion of U.S. net operating loss carryforwards. Until the Company utilizes these operating loss carryforwards the income tax provision will only reflect modest levels of taxes from the Company's non-U.S. operations. The Company's effective tax rate excluding the valuation allowance, approximating 42% in the first quarter of 2003, primarily reflects the U.S. statutory income tax rate, the net effect of state taxes and the effect of income at non-U.S. tax rates.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(Loss) Per Share</w:t>
      </w:r>
    </w:p>
    <w:p>
      <w:pPr>
        <w:spacing w:after="0" w:line="241" w:lineRule="exact"/>
        <w:rPr>
          <w:sz w:val="20"/>
          <w:szCs w:val="20"/>
          <w:color w:val="auto"/>
        </w:rPr>
      </w:pPr>
    </w:p>
    <w:p>
      <w:pPr>
        <w:ind w:right="40" w:firstLine="349"/>
        <w:spacing w:after="0" w:line="274" w:lineRule="auto"/>
        <w:rPr>
          <w:sz w:val="20"/>
          <w:szCs w:val="20"/>
          <w:color w:val="auto"/>
        </w:rPr>
      </w:pPr>
      <w:r>
        <w:rPr>
          <w:rFonts w:ascii="Arial" w:cs="Arial" w:eastAsia="Arial" w:hAnsi="Arial"/>
          <w:sz w:val="17"/>
          <w:szCs w:val="17"/>
          <w:color w:val="auto"/>
        </w:rPr>
        <w:t>Basic earnings per share is computed based on the weighted average number of common shares outstanding. Diluted earnings per share is computed based on the weighted average number of common shares outstanding plus the dilutive effects of stock options and warrants. The potential common shares that were antidilutive for the first quarter of 2003 and 2002 amounted to 120.8 million shares and 64.7 million shares, respectively. Basic and diluted earnings per share computations reflect the effect of accretion of redeemable common stock.</w:t>
      </w:r>
    </w:p>
    <w:p>
      <w:pPr>
        <w:spacing w:after="0" w:line="178" w:lineRule="exact"/>
        <w:rPr>
          <w:sz w:val="20"/>
          <w:szCs w:val="20"/>
          <w:color w:val="auto"/>
        </w:rPr>
      </w:pPr>
    </w:p>
    <w:p>
      <w:pPr>
        <w:ind w:left="7800"/>
        <w:spacing w:after="0"/>
        <w:rPr>
          <w:sz w:val="20"/>
          <w:szCs w:val="20"/>
          <w:color w:val="auto"/>
        </w:rPr>
      </w:pPr>
      <w:r>
        <w:rPr>
          <w:rFonts w:ascii="Arial" w:cs="Arial" w:eastAsia="Arial" w:hAnsi="Arial"/>
          <w:sz w:val="13"/>
          <w:szCs w:val="13"/>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73025</wp:posOffset>
            </wp:positionV>
            <wp:extent cx="224917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49170" cy="20955"/>
                    </a:xfrm>
                    <a:prstGeom prst="rect">
                      <a:avLst/>
                    </a:prstGeom>
                    <a:noFill/>
                  </pic:spPr>
                </pic:pic>
              </a:graphicData>
            </a:graphic>
          </wp:anchor>
        </w:drawing>
      </w:r>
    </w:p>
    <w:p>
      <w:pPr>
        <w:spacing w:after="0" w:line="220" w:lineRule="exact"/>
        <w:rPr>
          <w:sz w:val="20"/>
          <w:szCs w:val="20"/>
          <w:color w:val="auto"/>
        </w:rPr>
      </w:pPr>
    </w:p>
    <w:p>
      <w:pPr>
        <w:ind w:left="6860"/>
        <w:spacing w:after="0"/>
        <w:tabs>
          <w:tab w:leader="none" w:pos="8740" w:val="left"/>
        </w:tabs>
        <w:rPr>
          <w:sz w:val="20"/>
          <w:szCs w:val="20"/>
          <w:color w:val="auto"/>
        </w:rPr>
      </w:pPr>
      <w:r>
        <w:rPr>
          <w:rFonts w:ascii="Arial" w:cs="Arial" w:eastAsia="Arial" w:hAnsi="Arial"/>
          <w:sz w:val="13"/>
          <w:szCs w:val="13"/>
          <w:b w:val="1"/>
          <w:bCs w:val="1"/>
          <w:color w:val="auto"/>
        </w:rPr>
        <w:t>November 28,</w:t>
      </w:r>
      <w:r>
        <w:rPr>
          <w:sz w:val="20"/>
          <w:szCs w:val="20"/>
          <w:color w:val="auto"/>
        </w:rPr>
        <w:tab/>
      </w:r>
      <w:r>
        <w:rPr>
          <w:rFonts w:ascii="Arial" w:cs="Arial" w:eastAsia="Arial" w:hAnsi="Arial"/>
          <w:sz w:val="12"/>
          <w:szCs w:val="12"/>
          <w:b w:val="1"/>
          <w:bCs w:val="1"/>
          <w:color w:val="auto"/>
        </w:rPr>
        <w:t>November 29,</w:t>
      </w:r>
    </w:p>
    <w:p>
      <w:pPr>
        <w:sectPr>
          <w:pgSz w:w="11900" w:h="16838" w:orient="portrait"/>
          <w:cols w:equalWidth="0" w:num="1">
            <w:col w:w="11420"/>
          </w:cols>
          <w:pgMar w:left="240" w:top="346" w:right="239" w:bottom="0" w:gutter="0" w:footer="0" w:header="0"/>
        </w:sectPr>
      </w:pPr>
    </w:p>
    <w:bookmarkStart w:id="6" w:name="page7"/>
    <w:bookmarkEnd w:id="6"/>
    <w:p>
      <w:pPr>
        <w:spacing w:after="0" w:line="133"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1080" w:type="dxa"/>
            <w:vAlign w:val="bottom"/>
          </w:tcPr>
          <w:p>
            <w:pPr>
              <w:jc w:val="right"/>
              <w:ind w:right="38"/>
              <w:spacing w:after="0"/>
              <w:rPr>
                <w:sz w:val="20"/>
                <w:szCs w:val="20"/>
                <w:color w:val="auto"/>
              </w:rPr>
            </w:pPr>
            <w:r>
              <w:rPr>
                <w:rFonts w:ascii="Arial" w:cs="Arial" w:eastAsia="Arial" w:hAnsi="Arial"/>
                <w:sz w:val="13"/>
                <w:szCs w:val="13"/>
                <w:b w:val="1"/>
                <w:bCs w:val="1"/>
                <w:color w:val="auto"/>
              </w:rPr>
              <w:t>2002</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6"/>
              <w:spacing w:after="0"/>
              <w:rPr>
                <w:sz w:val="20"/>
                <w:szCs w:val="20"/>
                <w:color w:val="auto"/>
              </w:rPr>
            </w:pPr>
            <w:r>
              <w:rPr>
                <w:rFonts w:ascii="Arial" w:cs="Arial" w:eastAsia="Arial" w:hAnsi="Arial"/>
                <w:sz w:val="13"/>
                <w:szCs w:val="13"/>
                <w:b w:val="1"/>
                <w:bCs w:val="1"/>
                <w:color w:val="auto"/>
              </w:rPr>
              <w:t>2001</w:t>
            </w:r>
          </w:p>
        </w:tc>
        <w:tc>
          <w:tcPr>
            <w:tcW w:w="60" w:type="dxa"/>
            <w:vAlign w:val="bottom"/>
          </w:tcPr>
          <w:p>
            <w:pPr>
              <w:spacing w:after="0"/>
              <w:rPr>
                <w:sz w:val="15"/>
                <w:szCs w:val="15"/>
                <w:color w:val="auto"/>
              </w:rPr>
            </w:pPr>
          </w:p>
        </w:tc>
      </w:tr>
      <w:tr>
        <w:trPr>
          <w:trHeight w:val="105"/>
        </w:trPr>
        <w:tc>
          <w:tcPr>
            <w:tcW w:w="506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5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(315.9)</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(265.9)</w:t>
            </w:r>
          </w:p>
        </w:tc>
      </w:tr>
      <w:tr>
        <w:trPr>
          <w:trHeight w:val="222"/>
        </w:trPr>
        <w:tc>
          <w:tcPr>
            <w:tcW w:w="5060" w:type="dxa"/>
            <w:vAlign w:val="bottom"/>
          </w:tcPr>
          <w:p>
            <w:pPr>
              <w:spacing w:after="0"/>
              <w:rPr>
                <w:sz w:val="20"/>
                <w:szCs w:val="20"/>
                <w:color w:val="auto"/>
              </w:rPr>
            </w:pPr>
            <w:r>
              <w:rPr>
                <w:rFonts w:ascii="Arial" w:cs="Arial" w:eastAsia="Arial" w:hAnsi="Arial"/>
                <w:sz w:val="17"/>
                <w:szCs w:val="17"/>
                <w:color w:val="auto"/>
              </w:rPr>
              <w:t>Redeemable common stock accretion</w:t>
            </w:r>
          </w:p>
        </w:tc>
        <w:tc>
          <w:tcPr>
            <w:tcW w:w="10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(1.5)</w:t>
            </w:r>
          </w:p>
        </w:tc>
        <w:tc>
          <w:tcPr>
            <w:tcW w:w="3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11"/>
        </w:trPr>
        <w:tc>
          <w:tcPr>
            <w:tcW w:w="506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5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Net loss available to common shareholders</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(317.4)</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(265.9)</w:t>
            </w:r>
          </w:p>
        </w:tc>
      </w:tr>
      <w:tr>
        <w:trPr>
          <w:trHeight w:val="118"/>
        </w:trPr>
        <w:tc>
          <w:tcPr>
            <w:tcW w:w="506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7"/>
                <w:szCs w:val="17"/>
                <w:color w:val="auto"/>
              </w:rPr>
              <w:t>Weighted average common shares outstanding</w:t>
            </w:r>
          </w:p>
        </w:tc>
        <w:tc>
          <w:tcPr>
            <w:tcW w:w="10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605.2</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599.2</w:t>
            </w:r>
          </w:p>
        </w:tc>
        <w:tc>
          <w:tcPr>
            <w:tcW w:w="60" w:type="dxa"/>
            <w:vAlign w:val="bottom"/>
          </w:tcPr>
          <w:p>
            <w:pPr>
              <w:spacing w:after="0"/>
              <w:rPr>
                <w:sz w:val="24"/>
                <w:szCs w:val="24"/>
                <w:color w:val="auto"/>
              </w:rPr>
            </w:pPr>
          </w:p>
        </w:tc>
      </w:tr>
      <w:tr>
        <w:trPr>
          <w:trHeight w:val="106"/>
        </w:trPr>
        <w:tc>
          <w:tcPr>
            <w:tcW w:w="5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0"/>
        </w:trPr>
        <w:tc>
          <w:tcPr>
            <w:tcW w:w="5060" w:type="dxa"/>
            <w:vAlign w:val="bottom"/>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104"/>
        </w:trPr>
        <w:tc>
          <w:tcPr>
            <w:tcW w:w="5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Loss per share:</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060" w:type="dxa"/>
            <w:vAlign w:val="bottom"/>
          </w:tcPr>
          <w:p>
            <w:pPr>
              <w:ind w:left="140"/>
              <w:spacing w:after="0"/>
              <w:rPr>
                <w:sz w:val="20"/>
                <w:szCs w:val="20"/>
                <w:color w:val="auto"/>
              </w:rPr>
            </w:pPr>
            <w:r>
              <w:rPr>
                <w:rFonts w:ascii="Arial" w:cs="Arial" w:eastAsia="Arial" w:hAnsi="Arial"/>
                <w:sz w:val="17"/>
                <w:szCs w:val="17"/>
                <w:color w:val="auto"/>
              </w:rPr>
              <w:t>Basic</w:t>
            </w:r>
          </w:p>
        </w:tc>
        <w:tc>
          <w:tcPr>
            <w:tcW w:w="1080" w:type="dxa"/>
            <w:vAlign w:val="bottom"/>
          </w:tcPr>
          <w:p>
            <w:pPr>
              <w:jc w:val="right"/>
              <w:ind w:right="898"/>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(0.52)</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(0.44)</w:t>
            </w:r>
          </w:p>
        </w:tc>
      </w:tr>
      <w:tr>
        <w:trPr>
          <w:trHeight w:val="20"/>
        </w:trPr>
        <w:tc>
          <w:tcPr>
            <w:tcW w:w="5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(0.52)</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(0.44)</w:t>
            </w:r>
          </w:p>
        </w:tc>
      </w:tr>
      <w:tr>
        <w:trPr>
          <w:trHeight w:val="20"/>
        </w:trPr>
        <w:tc>
          <w:tcPr>
            <w:tcW w:w="50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5124450</wp:posOffset>
            </wp:positionH>
            <wp:positionV relativeFrom="paragraph">
              <wp:posOffset>-1548765</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-1548765</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-1548765</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-1548765</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-1122045</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-1122045</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-1122045</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-1122045</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-831850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-831850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-831850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-831850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(Loss)</w:t>
      </w:r>
    </w:p>
    <w:p>
      <w:pPr>
        <w:spacing w:after="0" w:line="241" w:lineRule="exact"/>
        <w:rPr>
          <w:sz w:val="20"/>
          <w:szCs w:val="20"/>
          <w:color w:val="auto"/>
        </w:rPr>
      </w:pPr>
    </w:p>
    <w:p>
      <w:pPr>
        <w:ind w:right="260" w:firstLine="349"/>
        <w:spacing w:after="0" w:line="296" w:lineRule="auto"/>
        <w:rPr>
          <w:sz w:val="20"/>
          <w:szCs w:val="20"/>
          <w:color w:val="auto"/>
        </w:rPr>
      </w:pPr>
      <w:r>
        <w:rPr>
          <w:rFonts w:ascii="Arial" w:cs="Arial" w:eastAsia="Arial" w:hAnsi="Arial"/>
          <w:sz w:val="17"/>
          <w:szCs w:val="17"/>
          <w:color w:val="auto"/>
        </w:rPr>
        <w:t>Comprehensive loss for the first quarter of 2003 and 2002 was $315.5 million and $260.4 million, respectively, and included $0.4 million and $5.5 million net of tax, respectively, of net unrealized gains on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Toshiba Corporation DRAM Assets</w:t>
      </w:r>
    </w:p>
    <w:p>
      <w:pPr>
        <w:spacing w:after="0" w:line="241" w:lineRule="exact"/>
        <w:rPr>
          <w:sz w:val="20"/>
          <w:szCs w:val="20"/>
          <w:color w:val="auto"/>
        </w:rPr>
      </w:pPr>
    </w:p>
    <w:p>
      <w:pPr>
        <w:ind w:right="320" w:firstLine="349"/>
        <w:spacing w:after="0" w:line="329" w:lineRule="auto"/>
        <w:rPr>
          <w:sz w:val="20"/>
          <w:szCs w:val="20"/>
          <w:color w:val="auto"/>
        </w:rPr>
      </w:pPr>
      <w:r>
        <w:rPr>
          <w:rFonts w:ascii="Arial" w:cs="Arial" w:eastAsia="Arial" w:hAnsi="Arial"/>
          <w:sz w:val="16"/>
          <w:szCs w:val="16"/>
          <w:color w:val="auto"/>
        </w:rPr>
        <w:t>On April 22, 2002, the Company acquired substantially all of the assets of Toshiba Corporation's ("Toshiba") DRAM business as conducted by Dominion Semiconductor L.L.C., a wholly-owned subsidiary of Toshiba located in Virginia (the "Toshiba DRAM Acquisition"). The total purchase price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of $327.9 million included cash and 1.5 million shares of the Company's common stock, which was valued at $58.1 million on the date of acquisition. The purchase price was allocated to the assets acquired and liabilities assumed based on their estimated fair values. In connection with the purchase, the Company recorded total assets of $363.3 million, including property, plant and equipment of $292.8 million and intangible assets of $7.8 million, and total liabilities of $35.4 million. (See "Redeemable Common Stock" note.)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w:t>
      </w:r>
    </w:p>
    <w:p>
      <w:pPr>
        <w:spacing w:after="0" w:line="241" w:lineRule="exact"/>
        <w:rPr>
          <w:sz w:val="20"/>
          <w:szCs w:val="20"/>
          <w:color w:val="auto"/>
        </w:rPr>
      </w:pPr>
    </w:p>
    <w:p>
      <w:pPr>
        <w:ind w:right="180" w:firstLine="346"/>
        <w:spacing w:after="0" w:line="266" w:lineRule="auto"/>
        <w:rPr>
          <w:sz w:val="20"/>
          <w:szCs w:val="20"/>
          <w:color w:val="auto"/>
        </w:rPr>
      </w:pPr>
      <w:r>
        <w:rPr>
          <w:rFonts w:ascii="Arial" w:cs="Arial" w:eastAsia="Arial" w:hAnsi="Arial"/>
          <w:sz w:val="17"/>
          <w:szCs w:val="17"/>
          <w:color w:val="auto"/>
        </w:rPr>
        <w:t>TECH Semiconductor Singapore Pte. Ltd. ("TECH") is a memory manufacturing joint venture in Singapore among Micron 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$60.6 million and $26.0 million for the first quarter of 2003 and 2002, respectively. In 2000, as part of an equity capital infusion by the majority of TECH's shareholders, the Company funded TECH with $98.0 million as support for continuing the TECH supply arrangement. The Company amortizes the value of the TECH supply arrangement on a straight-line basis over the remaining contractual life of the TECH shareholders' agreement. Amortization expense resulting from the TECH supply arrangement, included in the cost of product purchased from TECH, was $2.4 million and $2.6 million for the first quarter of 2003 and 2002, respectively. Receivables from TECH were $26.5 million and payables to TECH were $40.1 million as of November 28, 2002. Receivables from TECH were $10.5 million and payables to TECH were $52.8 million as of August 29, 2002.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1" w:lineRule="exact"/>
        <w:rPr>
          <w:sz w:val="20"/>
          <w:szCs w:val="20"/>
          <w:color w:val="auto"/>
        </w:rPr>
      </w:pPr>
    </w:p>
    <w:p>
      <w:pPr>
        <w:ind w:right="320" w:firstLine="349"/>
        <w:spacing w:after="0" w:line="296" w:lineRule="auto"/>
        <w:rPr>
          <w:sz w:val="20"/>
          <w:szCs w:val="20"/>
          <w:color w:val="auto"/>
        </w:rPr>
      </w:pPr>
      <w:r>
        <w:rPr>
          <w:rFonts w:ascii="Arial" w:cs="Arial" w:eastAsia="Arial" w:hAnsi="Arial"/>
          <w:sz w:val="17"/>
          <w:szCs w:val="17"/>
          <w:color w:val="auto"/>
        </w:rPr>
        <w:t>Micron Technology, Inc., and its subsidiaries (hereinafter referred to collectively as the "Company") principally design, develop, manufacture and market semiconductor products.</w:t>
      </w:r>
    </w:p>
    <w:p>
      <w:pPr>
        <w:spacing w:after="0" w:line="163" w:lineRule="exact"/>
        <w:rPr>
          <w:sz w:val="20"/>
          <w:szCs w:val="20"/>
          <w:color w:val="auto"/>
        </w:rPr>
      </w:pPr>
    </w:p>
    <w:p>
      <w:pPr>
        <w:ind w:firstLine="349"/>
        <w:spacing w:after="0" w:line="267"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"Critical Accounting Policies—Income Taxes" and "Income Taxes" regarding the modest levels of taxes from the Company's non-U.S. operations; in "Gross Margin" regarding the estimated amount of write-down remaining in inventory at the end of the second quarter of 2003, relative gross margins on TECH products in the second quarter of 2003, and timing of the Company's transition of product and process technology into its Virginia facility; in "Research and Development" regarding the level of research and development expense in future periods and "Liquidity and Capital Resources" regarding capital spending in 2003.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August 29, 2002. All period references are to the Company's fiscal periods unless otherwise indicated. All per share amounts are presented on a diluted basis.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1" w:lineRule="exact"/>
        <w:rPr>
          <w:sz w:val="20"/>
          <w:szCs w:val="20"/>
          <w:color w:val="auto"/>
        </w:rPr>
      </w:pPr>
    </w:p>
    <w:p>
      <w:pPr>
        <w:ind w:right="80" w:firstLine="346"/>
        <w:spacing w:after="0" w:line="322" w:lineRule="auto"/>
        <w:rPr>
          <w:sz w:val="20"/>
          <w:szCs w:val="20"/>
          <w:color w:val="auto"/>
        </w:rPr>
      </w:pPr>
      <w:r>
        <w:rPr>
          <w:rFonts w:ascii="Arial" w:cs="Arial" w:eastAsia="Arial" w:hAnsi="Arial"/>
          <w:sz w:val="15"/>
          <w:szCs w:val="15"/>
          <w:color w:val="auto"/>
        </w:rPr>
        <w:t>The preparation of financial statements and related disclosures in conformity with United States generally accepted accounting principles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w:t>
      </w:r>
    </w:p>
    <w:p>
      <w:pPr>
        <w:sectPr>
          <w:pgSz w:w="11900" w:h="16972" w:orient="portrait"/>
          <w:cols w:equalWidth="0" w:num="1">
            <w:col w:w="11420"/>
          </w:cols>
          <w:pgMar w:left="240" w:top="127" w:right="239" w:bottom="0" w:gutter="0" w:footer="0" w:header="0"/>
        </w:sectPr>
      </w:pPr>
    </w:p>
    <w:bookmarkStart w:id="7" w:name="page8"/>
    <w:bookmarkEnd w:id="7"/>
    <w:p>
      <w:pPr>
        <w:ind w:right="440"/>
        <w:spacing w:after="0" w:line="296" w:lineRule="auto"/>
        <w:rPr>
          <w:sz w:val="20"/>
          <w:szCs w:val="20"/>
          <w:color w:val="auto"/>
        </w:rPr>
      </w:pPr>
      <w:r>
        <w:rPr>
          <w:rFonts w:ascii="Arial" w:cs="Arial" w:eastAsia="Arial" w:hAnsi="Arial"/>
          <w:sz w:val="17"/>
          <w:szCs w:val="17"/>
          <w:color w:val="auto"/>
        </w:rPr>
        <w:t>basis. Management believes the critical accounting policies below are the most important to the portrayal of the Company's financial condition and results of operations and require management's most difficult, subjective or complex judgments.</w:t>
      </w:r>
    </w:p>
    <w:p>
      <w:pPr>
        <w:spacing w:after="0" w:line="157" w:lineRule="exact"/>
        <w:rPr>
          <w:sz w:val="20"/>
          <w:szCs w:val="20"/>
          <w:color w:val="auto"/>
        </w:rPr>
      </w:pPr>
    </w:p>
    <w:p>
      <w:pPr>
        <w:ind w:right="40" w:firstLine="349"/>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established a valuation allowance against its deferred tax assets arising from net operating loss carryforwards of its U.S.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The Company expects that until it utilizes these operating loss carryforwards the consolidated income tax provision will only reflect modest levels of taxes from the Company's non-U.S. operations. The Company evaluates the realizability of its deferred tax assets on an ongoing basis in accordance with U.S. GAAP, which requires the assessment of the Company's performance and other relevant factors when determining the need for a valuation allowance with respect to these deferred tax assets. The Company's ability to realize deferred tax assets is dependent on its ability to generate future taxable income sufficient to utilize loss carryforwards or tax credits before their expiration. In the evaluation of realizability of deferred tax assets, factors such as recent losses are given substantially more weight than forecasted future profitability.</w:t>
      </w:r>
    </w:p>
    <w:p>
      <w:pPr>
        <w:spacing w:after="0" w:line="187" w:lineRule="exact"/>
        <w:rPr>
          <w:sz w:val="20"/>
          <w:szCs w:val="20"/>
          <w:color w:val="auto"/>
        </w:rPr>
      </w:pPr>
    </w:p>
    <w:p>
      <w:pPr>
        <w:ind w:right="140" w:firstLine="346"/>
        <w:spacing w:after="0" w:line="280" w:lineRule="auto"/>
        <w:rPr>
          <w:sz w:val="20"/>
          <w:szCs w:val="20"/>
          <w:color w:val="auto"/>
        </w:rPr>
      </w:pPr>
      <w:r>
        <w:rPr>
          <w:rFonts w:ascii="Arial" w:cs="Arial" w:eastAsia="Arial" w:hAnsi="Arial"/>
          <w:sz w:val="17"/>
          <w:szCs w:val="17"/>
          <w:color w:val="auto"/>
        </w:rPr>
        <w:t>The Company is required to estimate its provision for income taxes and amounts ultimately payable or recoverable in numerous jurisdictions around the world. Such estimates involve interpretations of regulations and are inherently very complex. Resolution of income tax treatments in individual jurisdictions may not be known for many years after completion of any fiscal year.</w:t>
      </w:r>
    </w:p>
    <w:p>
      <w:pPr>
        <w:spacing w:after="0" w:line="170" w:lineRule="exact"/>
        <w:rPr>
          <w:sz w:val="20"/>
          <w:szCs w:val="20"/>
          <w:color w:val="auto"/>
        </w:rPr>
      </w:pPr>
    </w:p>
    <w:p>
      <w:pPr>
        <w:ind w:right="300" w:firstLine="349"/>
        <w:spacing w:after="0" w:line="283"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technology costs. Determining market value of inventories involves judgment in that it requires the Company to project average selling prices, sales volumes for future periods and completion costs for products in work in process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inventories. To project average selling prices and sales volumes for future periods, the Company reviews recent sales volumes, existing customer orders, current contract prices, industry analysis of supply and demand, seasonal factors, general economic trends and other information. When these analyses reflect market values that are below the Company's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As a result, the timing of when product costs are charged to operations can vary significantly.</w:t>
      </w:r>
    </w:p>
    <w:p>
      <w:pPr>
        <w:spacing w:after="0" w:line="187" w:lineRule="exact"/>
        <w:rPr>
          <w:sz w:val="20"/>
          <w:szCs w:val="20"/>
          <w:color w:val="auto"/>
        </w:rPr>
      </w:pPr>
    </w:p>
    <w:p>
      <w:pPr>
        <w:ind w:right="260" w:firstLine="349"/>
        <w:spacing w:after="0" w:line="305"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A majority of the Company's inventory has been categorized as volatile (DRAM and SRAM) or non-volatile (Flash). The major characteristics the Company considers in determining inventory categories are product type and markets.</w:t>
      </w:r>
    </w:p>
    <w:p>
      <w:pPr>
        <w:spacing w:after="0" w:line="153" w:lineRule="exact"/>
        <w:rPr>
          <w:sz w:val="20"/>
          <w:szCs w:val="20"/>
          <w:color w:val="auto"/>
        </w:rPr>
      </w:pPr>
    </w:p>
    <w:p>
      <w:pPr>
        <w:ind w:right="200" w:firstLine="349"/>
        <w:spacing w:after="0" w:line="277"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 issuance rates. Capitalized product and process technology costs are amortized over the shorter of (i) the estimated useful life of the technology, (ii) the patent term or (iii) the term of the technology agreement.</w:t>
      </w:r>
    </w:p>
    <w:p>
      <w:pPr>
        <w:spacing w:after="0" w:line="173" w:lineRule="exact"/>
        <w:rPr>
          <w:sz w:val="20"/>
          <w:szCs w:val="20"/>
          <w:color w:val="auto"/>
        </w:rPr>
      </w:pPr>
    </w:p>
    <w:p>
      <w:pPr>
        <w:ind w:right="200" w:firstLine="349"/>
        <w:spacing w:after="0" w:line="27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individual asset or groups of assets may not be recoverable from the estimated future cash flows expected to result from their use and/or eventual disposition. In cases where undiscounted expected future cash flows are less than the carrying value, an impairment loss would be recognized equal to an amount by which the carrying value exceeds the indicated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sales volumes.</w:t>
      </w:r>
    </w:p>
    <w:p>
      <w:pPr>
        <w:spacing w:after="0" w:line="181" w:lineRule="exact"/>
        <w:rPr>
          <w:sz w:val="20"/>
          <w:szCs w:val="20"/>
          <w:color w:val="auto"/>
        </w:rPr>
      </w:pPr>
    </w:p>
    <w:p>
      <w:pPr>
        <w:ind w:right="100" w:firstLine="349"/>
        <w:spacing w:after="0" w:line="277"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Determining when product development is deemed complete requires judgment by the Company. The Company deems that development of a product is complete once the product has been thoroughly reviewed, tested for performance and reliability and is internally qualified for sale to customers. Subsequent to product qualification, product costs are valued in inventory.</w:t>
      </w:r>
    </w:p>
    <w:p>
      <w:pPr>
        <w:spacing w:after="0" w:line="173" w:lineRule="exact"/>
        <w:rPr>
          <w:sz w:val="20"/>
          <w:szCs w:val="20"/>
          <w:color w:val="auto"/>
        </w:rPr>
      </w:pPr>
    </w:p>
    <w:p>
      <w:pPr>
        <w:ind w:right="20" w:firstLine="349"/>
        <w:spacing w:after="0" w:line="273"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The Company is subject to the possibility of various loss contingencies. The Company considers the likelihood of the loss or impairment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 asset or the incurrence of a liability as well as its ability to reasonably estimate the amount of loss in determining loss contingencies. An estimated loss contingency is accrued when it is probable that a liability has been incurred or an asset has been impaired and the amount of loss can be reasonably estimated. The Company has accrued a liability and charged operations for the estimated cost to resolve certain litigation and other contingency matters. The Company regularly evaluates current information available to determine whether such accruals should be adjusted.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First Quarter</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Fourth Quarter</w:t>
            </w:r>
          </w:p>
        </w:tc>
      </w:tr>
      <w:tr>
        <w:trPr>
          <w:trHeight w:val="105"/>
        </w:trPr>
        <w:tc>
          <w:tcPr>
            <w:tcW w:w="3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239"/>
        </w:trPr>
        <w:tc>
          <w:tcPr>
            <w:tcW w:w="3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 of net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 of net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 of net</w:t>
            </w:r>
          </w:p>
        </w:tc>
      </w:tr>
      <w:tr>
        <w:trPr>
          <w:trHeight w:val="174"/>
        </w:trPr>
        <w:tc>
          <w:tcPr>
            <w:tcW w:w="3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5"/>
                <w:szCs w:val="15"/>
                <w:color w:val="auto"/>
              </w:rPr>
            </w:pPr>
          </w:p>
        </w:tc>
        <w:tc>
          <w:tcPr>
            <w:tcW w:w="128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sales</w:t>
            </w:r>
          </w:p>
        </w:tc>
        <w:tc>
          <w:tcPr>
            <w:tcW w:w="700" w:type="dxa"/>
            <w:vAlign w:val="bottom"/>
          </w:tcPr>
          <w:p>
            <w:pPr>
              <w:jc w:val="right"/>
              <w:ind w:right="316"/>
              <w:spacing w:after="0"/>
              <w:rPr>
                <w:sz w:val="20"/>
                <w:szCs w:val="20"/>
                <w:color w:val="auto"/>
              </w:rPr>
            </w:pPr>
            <w:r>
              <w:rPr>
                <w:rFonts w:ascii="Arial" w:cs="Arial" w:eastAsia="Arial" w:hAnsi="Arial"/>
                <w:sz w:val="13"/>
                <w:szCs w:val="13"/>
                <w:b w:val="1"/>
                <w:bCs w:val="1"/>
                <w:color w:val="auto"/>
                <w:w w:val="96"/>
              </w:rPr>
              <w:t>2002</w:t>
            </w:r>
          </w:p>
        </w:tc>
        <w:tc>
          <w:tcPr>
            <w:tcW w:w="2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sales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8"/>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sales</w:t>
            </w:r>
          </w:p>
        </w:tc>
      </w:tr>
      <w:tr>
        <w:trPr>
          <w:trHeight w:val="105"/>
        </w:trPr>
        <w:tc>
          <w:tcPr>
            <w:tcW w:w="3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104"/>
        </w:trPr>
        <w:tc>
          <w:tcPr>
            <w:tcW w:w="3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685.1</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100.0%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423.9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r>
      <w:tr>
        <w:trPr>
          <w:trHeight w:val="215"/>
        </w:trPr>
        <w:tc>
          <w:tcPr>
            <w:tcW w:w="3540" w:type="dxa"/>
            <w:vAlign w:val="bottom"/>
          </w:tcPr>
          <w:p>
            <w:pPr>
              <w:spacing w:after="0"/>
              <w:rPr>
                <w:sz w:val="20"/>
                <w:szCs w:val="20"/>
                <w:color w:val="auto"/>
              </w:rPr>
            </w:pPr>
            <w:r>
              <w:rPr>
                <w:rFonts w:ascii="Arial" w:cs="Arial" w:eastAsia="Arial" w:hAnsi="Arial"/>
                <w:sz w:val="17"/>
                <w:szCs w:val="17"/>
                <w:color w:val="auto"/>
              </w:rPr>
              <w:t>Gross margin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(37.3)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(212.6)</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(50.2)%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(209.2)</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(28.0)%</w:t>
            </w: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w:t>
            </w:r>
          </w:p>
        </w:tc>
      </w:tr>
      <w:tr>
        <w:trPr>
          <w:trHeight w:val="215"/>
        </w:trPr>
        <w:tc>
          <w:tcPr>
            <w:tcW w:w="35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154.5</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22.6%</w:t>
            </w:r>
          </w:p>
        </w:tc>
        <w:tc>
          <w:tcPr>
            <w:tcW w:w="3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154.5</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36.4%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136.5</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18.2%</w:t>
            </w: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(452.0)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-1104900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-1104900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7087870</wp:posOffset>
            </wp:positionH>
            <wp:positionV relativeFrom="paragraph">
              <wp:posOffset>-1104900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-1104900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-763270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-763270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-763270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-763270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-763270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-763270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5662295</wp:posOffset>
            </wp:positionH>
            <wp:positionV relativeFrom="paragraph">
              <wp:posOffset>-763270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-763270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-763270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-763270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7087870</wp:posOffset>
            </wp:positionH>
            <wp:positionV relativeFrom="paragraph">
              <wp:posOffset>-763270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-763270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43" w:gutter="0" w:footer="0" w:header="0"/>
        </w:sectPr>
      </w:pPr>
    </w:p>
    <w:bookmarkStart w:id="8" w:name="page9"/>
    <w:bookmarkEnd w:id="8"/>
    <w:p>
      <w:pPr>
        <w:ind w:right="40" w:firstLine="349"/>
        <w:spacing w:after="0" w:line="274" w:lineRule="auto"/>
        <w:rPr>
          <w:sz w:val="20"/>
          <w:szCs w:val="20"/>
          <w:color w:val="auto"/>
        </w:rPr>
      </w:pPr>
      <w:r>
        <w:rPr>
          <w:rFonts w:ascii="Arial" w:cs="Arial" w:eastAsia="Arial" w:hAnsi="Arial"/>
          <w:sz w:val="17"/>
          <w:szCs w:val="17"/>
          <w:color w:val="auto"/>
        </w:rPr>
        <w:t>Results of operations include charges of $91 million for the first quarter of 2003, $173 million for the first quarter of 2002 and $174 million for the fourth quarter of 2002, for write-downs of inventories to their estimated market values. Absent the effect of these write-downs and the estimated offsetting effects of previous write-downs of products sold in these quarters, the Company's operating loss would have been $345 million for the first quarter of 2003, $592 million for the first quarter of 2002 and $337 million for the fourth quarter of 2002.</w:t>
      </w:r>
    </w:p>
    <w:p>
      <w:pPr>
        <w:spacing w:after="0" w:line="183" w:lineRule="exact"/>
        <w:rPr>
          <w:sz w:val="20"/>
          <w:szCs w:val="20"/>
          <w:color w:val="auto"/>
        </w:rPr>
      </w:pPr>
    </w:p>
    <w:p>
      <w:pPr>
        <w:ind w:right="300" w:firstLine="349"/>
        <w:spacing w:after="0" w:line="274" w:lineRule="auto"/>
        <w:rPr>
          <w:sz w:val="20"/>
          <w:szCs w:val="20"/>
          <w:color w:val="auto"/>
        </w:rPr>
      </w:pPr>
      <w:r>
        <w:rPr>
          <w:rFonts w:ascii="Arial" w:cs="Arial" w:eastAsia="Arial" w:hAnsi="Arial"/>
          <w:sz w:val="17"/>
          <w:szCs w:val="17"/>
          <w:color w:val="auto"/>
        </w:rPr>
        <w:t>Results of operations for the first quarter of 2002 do not reflect the assets of Toshiba Corporation's ("Toshiba") DRAM operations at Dominion Semiconductor L.L.C. in Virginia, which were acquired on April 22, 2002. The total purchase price of $328 million included cash and 1.5 million shares of the Company's common stock. (See "Item 1. Financial Statements—Notes to Consolidated Financial Statements—Acquisition of Toshiba Corporation DRAM Assets.")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Net Sales</w:t>
      </w:r>
    </w:p>
    <w:p>
      <w:pPr>
        <w:spacing w:after="0" w:line="235" w:lineRule="exact"/>
        <w:rPr>
          <w:sz w:val="20"/>
          <w:szCs w:val="20"/>
          <w:color w:val="auto"/>
        </w:rPr>
      </w:pPr>
    </w:p>
    <w:p>
      <w:pPr>
        <w:ind w:right="100" w:firstLine="349"/>
        <w:spacing w:after="0" w:line="269" w:lineRule="auto"/>
        <w:rPr>
          <w:sz w:val="20"/>
          <w:szCs w:val="20"/>
          <w:color w:val="auto"/>
        </w:rPr>
      </w:pPr>
      <w:r>
        <w:rPr>
          <w:rFonts w:ascii="Arial" w:cs="Arial" w:eastAsia="Arial" w:hAnsi="Arial"/>
          <w:sz w:val="17"/>
          <w:szCs w:val="17"/>
          <w:color w:val="auto"/>
        </w:rPr>
        <w:t>Net sales for the first quarter of 2003 decreased by 8% as compared to the fourth quarter of 2002 as a result of a 12% decrease in average selling prices for the Company's semiconductor memory products. The decrease in average selling prices reflects a decrease in average selling prices for the Company's Synchronous DRAM ("SDRAM") products, partially offset by an increase in the average selling prices for the Company's Double Data Rate ("DDR") SDRAM products. SDRAM products had generally lower selling prices than DDR SDRAMs in the first quarter of 2003. SDRAM products constituted approximately 60% of the first quarter sales as measured in megabits resulting in reduced inventories of SDRAM devices. First quarter sales as measured in dollars was comprised of 50% DDR SDRAM and 44% SDRAM as compared to 34% DDR SDRAM and 58% SDRAM in the fourth quarter of 2002. Overall megabit sales volumes increased by 3% comparing the first quarter to the immediately preceding quarter.</w:t>
      </w:r>
    </w:p>
    <w:p>
      <w:pPr>
        <w:spacing w:after="0" w:line="187" w:lineRule="exact"/>
        <w:rPr>
          <w:sz w:val="20"/>
          <w:szCs w:val="20"/>
          <w:color w:val="auto"/>
        </w:rPr>
      </w:pPr>
    </w:p>
    <w:p>
      <w:pPr>
        <w:ind w:right="20" w:firstLine="349"/>
        <w:spacing w:after="0" w:line="280" w:lineRule="auto"/>
        <w:rPr>
          <w:sz w:val="20"/>
          <w:szCs w:val="20"/>
          <w:color w:val="auto"/>
        </w:rPr>
      </w:pPr>
      <w:r>
        <w:rPr>
          <w:rFonts w:ascii="Arial" w:cs="Arial" w:eastAsia="Arial" w:hAnsi="Arial"/>
          <w:sz w:val="17"/>
          <w:szCs w:val="17"/>
          <w:color w:val="auto"/>
        </w:rPr>
        <w:t>Net sales for the first quarter of 2003 increased by 62% compared to the first quarter of 2002, primarily due to a 52% increase in average selling prices for the Company's semiconductor memory products and a 6% increase in total megabits of memory sold. The increase in average selling prices reflects generally higher prices for DRAM products as well as the Company's transition from SDRAM to higher priced DDR SDRAM.</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Gross Margin</w:t>
      </w:r>
    </w:p>
    <w:p>
      <w:pPr>
        <w:spacing w:after="0" w:line="235" w:lineRule="exact"/>
        <w:rPr>
          <w:sz w:val="20"/>
          <w:szCs w:val="20"/>
          <w:color w:val="auto"/>
        </w:rPr>
      </w:pPr>
    </w:p>
    <w:p>
      <w:pPr>
        <w:ind w:firstLine="346"/>
        <w:spacing w:after="0" w:line="316" w:lineRule="auto"/>
        <w:rPr>
          <w:sz w:val="20"/>
          <w:szCs w:val="20"/>
          <w:color w:val="auto"/>
        </w:rPr>
      </w:pPr>
      <w:r>
        <w:rPr>
          <w:rFonts w:ascii="Arial" w:cs="Arial" w:eastAsia="Arial" w:hAnsi="Arial"/>
          <w:sz w:val="15"/>
          <w:szCs w:val="15"/>
          <w:color w:val="auto"/>
        </w:rPr>
        <w:t>The Company's gross margin has been significantly impacted by the timing of inventory write-downs. In recent periods, average selling prices for the Company's semiconductor products have been below manufacturing costs, and accordingly the Company's results of operations, cash flows and financial condition have been adversely affected. To the extent the estimated market values of products held in finished goods and work in process inventories at a quarter end date are below the cost of these products, the Company recognizes a charge to cost of goods sold to write down the carrying value of inventory to these estimated market values. In each of the last seven quarters, the Company recorded charges to cost of goods sold to write down the carrying value of its inventories to their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estimated market values. As these charges are recorded in advance of when inventory subject to the write-down is sold, gross margins in the period of sale are higher than they would be absent the effect of the previous write-downs. The following table sets forth the estimated effects on gross margin from inventory write-downs: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First Quarter</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4"/>
          </w:tcPr>
          <w:p>
            <w:pPr>
              <w:jc w:val="right"/>
              <w:ind w:right="760"/>
              <w:spacing w:after="0"/>
              <w:rPr>
                <w:sz w:val="20"/>
                <w:szCs w:val="20"/>
                <w:color w:val="auto"/>
              </w:rPr>
            </w:pPr>
            <w:r>
              <w:rPr>
                <w:rFonts w:ascii="Arial" w:cs="Arial" w:eastAsia="Arial" w:hAnsi="Arial"/>
                <w:sz w:val="13"/>
                <w:szCs w:val="13"/>
                <w:b w:val="1"/>
                <w:bCs w:val="1"/>
                <w:color w:val="auto"/>
              </w:rPr>
              <w:t>Fourth Quarter</w:t>
            </w:r>
          </w:p>
        </w:tc>
      </w:tr>
      <w:tr>
        <w:trPr>
          <w:trHeight w:val="105"/>
        </w:trPr>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239"/>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 of net</w:t>
            </w:r>
          </w:p>
        </w:tc>
      </w:tr>
      <w:tr>
        <w:trPr>
          <w:trHeight w:val="174"/>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9"/>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sales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99"/>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sales</w:t>
            </w:r>
          </w:p>
        </w:tc>
        <w:tc>
          <w:tcPr>
            <w:tcW w:w="24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sales</w:t>
            </w:r>
          </w:p>
        </w:tc>
      </w:tr>
      <w:tr>
        <w:trPr>
          <w:trHeight w:val="105"/>
        </w:trPr>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4"/>
        </w:trPr>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41"/>
        </w:trPr>
        <w:tc>
          <w:tcPr>
            <w:tcW w:w="4580" w:type="dxa"/>
            <w:vAlign w:val="bottom"/>
          </w:tcPr>
          <w:p>
            <w:pPr>
              <w:ind w:left="220"/>
              <w:spacing w:after="0"/>
              <w:rPr>
                <w:sz w:val="20"/>
                <w:szCs w:val="20"/>
                <w:color w:val="auto"/>
              </w:rPr>
            </w:pPr>
            <w:r>
              <w:rPr>
                <w:rFonts w:ascii="Arial" w:cs="Arial" w:eastAsia="Arial" w:hAnsi="Arial"/>
                <w:sz w:val="17"/>
                <w:szCs w:val="17"/>
                <w:color w:val="auto"/>
              </w:rPr>
              <w:t>As reported</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(37.3)</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(212.6)</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(50.2)%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(209.2)</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(28.0)%</w:t>
            </w:r>
          </w:p>
        </w:tc>
      </w:tr>
      <w:tr>
        <w:trPr>
          <w:trHeight w:val="208"/>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Absent quarter-end write-downs and the estimated effect of</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previous write-downs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(352.2)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5610860</wp:posOffset>
            </wp:positionH>
            <wp:positionV relativeFrom="paragraph">
              <wp:posOffset>-985520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-985520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-985520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-985520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-643890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-643890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-643890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-643890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-643890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-643890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5610860</wp:posOffset>
            </wp:positionH>
            <wp:positionV relativeFrom="paragraph">
              <wp:posOffset>-643890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-643890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-643890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-643890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-643890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-643890</wp:posOffset>
            </wp:positionV>
            <wp:extent cx="12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87" w:lineRule="exact"/>
        <w:rPr>
          <w:sz w:val="20"/>
          <w:szCs w:val="20"/>
          <w:color w:val="auto"/>
        </w:rPr>
      </w:pPr>
    </w:p>
    <w:p>
      <w:pPr>
        <w:ind w:right="120" w:firstLine="346"/>
        <w:spacing w:after="0" w:line="296" w:lineRule="auto"/>
        <w:rPr>
          <w:sz w:val="20"/>
          <w:szCs w:val="20"/>
          <w:color w:val="auto"/>
        </w:rPr>
      </w:pPr>
      <w:r>
        <w:rPr>
          <w:rFonts w:ascii="Arial" w:cs="Arial" w:eastAsia="Arial" w:hAnsi="Arial"/>
          <w:sz w:val="16"/>
          <w:szCs w:val="16"/>
          <w:color w:val="auto"/>
        </w:rPr>
        <w:t>The Company's gross margin for the first quarter of 2003 improved as compared to the fourth quarter of 2002 primarily due to the effects of inventory write-downs. Absent the effects of inventory write-downs, the gross margin for the first quarter of 2003 decreased slightly as compared to the fourth quarter of 2002 primarily due to the 12% decrease in average selling prices for the Company's semiconductor memory products. The improvement in gross margin for the first quarter of 2003 as compared to the first quarter of 2002 was primarily due to the 52% increase in average selling prices.</w:t>
      </w:r>
    </w:p>
    <w:p>
      <w:pPr>
        <w:spacing w:after="0" w:line="168" w:lineRule="exact"/>
        <w:rPr>
          <w:sz w:val="20"/>
          <w:szCs w:val="20"/>
          <w:color w:val="auto"/>
        </w:rPr>
      </w:pPr>
    </w:p>
    <w:p>
      <w:pPr>
        <w:ind w:right="20" w:firstLine="349"/>
        <w:spacing w:after="0" w:line="270" w:lineRule="auto"/>
        <w:rPr>
          <w:sz w:val="20"/>
          <w:szCs w:val="20"/>
          <w:color w:val="auto"/>
        </w:rPr>
      </w:pPr>
      <w:r>
        <w:rPr>
          <w:rFonts w:ascii="Arial" w:cs="Arial" w:eastAsia="Arial" w:hAnsi="Arial"/>
          <w:sz w:val="17"/>
          <w:szCs w:val="17"/>
          <w:color w:val="auto"/>
        </w:rPr>
        <w:t>Substantially all of the $91 million inventory write-down in the first quarter of 2003 was attributable to SRAM, Flash and SDRAM products. The write-down of SRAM and Flash products, which constituted approximately 60% of the inventory write-down, was necessitated by the extended downturn in the telecommunications and networking markets. Of the cumulative inventory write-downs recognized in the last seven quarters, the Company estimates that approximately $190 million is associated with product remaining in inventory as of November 28, 2002. The Company estimates that approximately half of this amount will remain in inventory at the end of the second quarter of 2003. In addition to the inventory write-down, the Company also recorded a $12 million obsolescence charge during the first quarter of 2003 on older Extended Data Output ("EDO") DRAM.</w:t>
      </w:r>
    </w:p>
    <w:p>
      <w:pPr>
        <w:spacing w:after="0" w:line="186" w:lineRule="exact"/>
        <w:rPr>
          <w:sz w:val="20"/>
          <w:szCs w:val="20"/>
          <w:color w:val="auto"/>
        </w:rPr>
      </w:pPr>
    </w:p>
    <w:p>
      <w:pPr>
        <w:ind w:right="180" w:firstLine="349"/>
        <w:spacing w:after="0" w:line="290" w:lineRule="auto"/>
        <w:rPr>
          <w:sz w:val="20"/>
          <w:szCs w:val="20"/>
          <w:color w:val="auto"/>
        </w:rPr>
      </w:pPr>
      <w:r>
        <w:rPr>
          <w:rFonts w:ascii="Arial" w:cs="Arial" w:eastAsia="Arial" w:hAnsi="Arial"/>
          <w:sz w:val="16"/>
          <w:szCs w:val="16"/>
          <w:color w:val="auto"/>
        </w:rPr>
        <w:t>Subject to specific terms and conditions, the Company has agreed to purchase all of the products manufactured by its joint venture memory manufacturing operation, TECH Semiconductor Singapore Pte. Ltd. ("TECH"). TECH supplied approximately 25% of the total megabits of memory produced by the Company in the first quarter of 2003, the first quarter of 2002 and the fourth quarter of 2002. The Company generally purchases semiconductor products from TECH at prices determined quarterly, based on a discount from average selling price realized by the Company for the immediately preceding quarter. The Company performs assembly and test services on products manufactured by TECH. The Company also provides certain technology, engineering, and training support to TECH. All of these transactions with TECH are recognized as part of the net cost of products purchased from TECH.</w:t>
      </w:r>
    </w:p>
    <w:p>
      <w:pPr>
        <w:spacing w:after="0" w:line="172" w:lineRule="exact"/>
        <w:rPr>
          <w:sz w:val="20"/>
          <w:szCs w:val="20"/>
          <w:color w:val="auto"/>
        </w:rPr>
      </w:pPr>
    </w:p>
    <w:p>
      <w:pPr>
        <w:ind w:right="20" w:firstLine="349"/>
        <w:spacing w:after="0" w:line="296" w:lineRule="auto"/>
        <w:rPr>
          <w:sz w:val="20"/>
          <w:szCs w:val="20"/>
          <w:color w:val="auto"/>
        </w:rPr>
      </w:pPr>
      <w:r>
        <w:rPr>
          <w:rFonts w:ascii="Arial" w:cs="Arial" w:eastAsia="Arial" w:hAnsi="Arial"/>
          <w:sz w:val="16"/>
          <w:szCs w:val="16"/>
          <w:color w:val="auto"/>
        </w:rPr>
        <w:t>Depending on market conditions, the gross margin from the sale of TECH products may be higher or lower than the gross margin from the sale of products manufactured by the Company's wholly-owned facilities. The Company realized significantly higher gross margin percentages on sales of TECH products than for products manufactured by its wholly-owned facilities in the first quarter of 2003 and 2002. The Company expects gross margins on sales of TECH products in the second quarter of 2003 to be higher than gross margins realized on products manufactured by the Company's wholly-owned operations.</w:t>
      </w:r>
    </w:p>
    <w:p>
      <w:pPr>
        <w:spacing w:after="0" w:line="168" w:lineRule="exact"/>
        <w:rPr>
          <w:sz w:val="20"/>
          <w:szCs w:val="20"/>
          <w:color w:val="auto"/>
        </w:rPr>
      </w:pPr>
    </w:p>
    <w:p>
      <w:pPr>
        <w:jc w:val="both"/>
        <w:ind w:right="140" w:firstLine="340"/>
        <w:spacing w:after="0" w:line="305" w:lineRule="auto"/>
        <w:rPr>
          <w:sz w:val="20"/>
          <w:szCs w:val="20"/>
          <w:color w:val="auto"/>
        </w:rPr>
      </w:pPr>
      <w:r>
        <w:rPr>
          <w:rFonts w:ascii="Arial" w:cs="Arial" w:eastAsia="Arial" w:hAnsi="Arial"/>
          <w:sz w:val="16"/>
          <w:szCs w:val="16"/>
          <w:color w:val="auto"/>
        </w:rPr>
        <w:t>A limited amount of the Company's production for the first quarter of 2003 was attributable to its Virginia facility. Transition to the Company's product and process technology in the Virginia facility will be completed in the second quarter of fiscal 2003. The Company expects a limited quantity of wafers using trench technology will be produced through the third quarter of 2003 to utilize equipment acquired by the Company in the acquisition of its Virginia facility.</w:t>
      </w:r>
    </w:p>
    <w:p>
      <w:pPr>
        <w:sectPr>
          <w:pgSz w:w="11900" w:h="16838" w:orient="portrait"/>
          <w:cols w:equalWidth="0" w:num="1">
            <w:col w:w="11420"/>
          </w:cols>
          <w:pgMar w:left="240" w:top="131"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35" w:lineRule="exact"/>
        <w:rPr>
          <w:sz w:val="20"/>
          <w:szCs w:val="20"/>
          <w:color w:val="auto"/>
        </w:rPr>
      </w:pPr>
    </w:p>
    <w:p>
      <w:pPr>
        <w:jc w:val="both"/>
        <w:ind w:right="540" w:firstLine="349"/>
        <w:spacing w:after="0" w:line="280" w:lineRule="auto"/>
        <w:rPr>
          <w:sz w:val="20"/>
          <w:szCs w:val="20"/>
          <w:color w:val="auto"/>
        </w:rPr>
      </w:pPr>
      <w:r>
        <w:rPr>
          <w:rFonts w:ascii="Arial" w:cs="Arial" w:eastAsia="Arial" w:hAnsi="Arial"/>
          <w:sz w:val="17"/>
          <w:szCs w:val="17"/>
          <w:color w:val="auto"/>
        </w:rPr>
        <w:t>Selling, general and administrative ("SG&amp;A") expense was flat for the first quarter of 2003 as compared to the fourth quarter of 2002. SG&amp;A expense increased in the first quarter of 2003 as compared to the first quarter of 2002 primarily due to increased legal costs. (See "Notes to Financial Statements— Contingencies.")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35" w:lineRule="exact"/>
        <w:rPr>
          <w:sz w:val="20"/>
          <w:szCs w:val="20"/>
          <w:color w:val="auto"/>
        </w:rPr>
      </w:pPr>
    </w:p>
    <w:p>
      <w:pPr>
        <w:ind w:firstLine="349"/>
        <w:spacing w:after="0" w:line="272"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Product development costs are recorded as R&amp;D expense. Development of a product is deemed complete once the product has been thoroughly reviewed and tested for performance and reliability and is internally qualified for sale to customers. R&amp;D expense for the first quarter of 2003 was $155 million, representing a 13% increase as compared to the fourth quarter of 2002. The Company expects R&amp;D expense for fiscal 2003 to approximate $675 million.</w:t>
      </w:r>
    </w:p>
    <w:p>
      <w:pPr>
        <w:spacing w:after="0" w:line="183" w:lineRule="exact"/>
        <w:rPr>
          <w:sz w:val="20"/>
          <w:szCs w:val="20"/>
          <w:color w:val="auto"/>
        </w:rPr>
      </w:pPr>
    </w:p>
    <w:p>
      <w:pPr>
        <w:ind w:right="220" w:firstLine="346"/>
        <w:spacing w:after="0" w:line="269" w:lineRule="auto"/>
        <w:rPr>
          <w:sz w:val="20"/>
          <w:szCs w:val="20"/>
          <w:color w:val="auto"/>
        </w:rPr>
      </w:pPr>
      <w:r>
        <w:rPr>
          <w:rFonts w:ascii="Arial" w:cs="Arial" w:eastAsia="Arial" w:hAnsi="Arial"/>
          <w:sz w:val="17"/>
          <w:szCs w:val="17"/>
          <w:color w:val="auto"/>
        </w:rPr>
        <w:t>The Company's DRAM process technology research and development efforts are focused on its .11µ and .095µ line-width process technologies, which are designed to facilitate the Company's transition to next generation products. Additional process development work includes processes to support Flash, SRAM, CMOS imagers, Content Addressable Memory ("CAM"), embedded memory and new memory materials. In addition to its process technology efforts, the Company continues to emphasize product designs that utilize advanced process technology. Efforts towards the design and development of new products are concentrated on the Company's 512 Meg and 1 Gig DDR SDRAMs, DDRII and GDDRIII SDRAMs, Flash and SRAM memory products, CellularRAM, embedded memory, CAM, CMOS imagers and advanced DRAM technology products. R&amp;D expense also reflects the cost of the Company's 300-millimeter ("300mm") pilot line.</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Income Taxes</w:t>
      </w:r>
    </w:p>
    <w:p>
      <w:pPr>
        <w:spacing w:after="0" w:line="235" w:lineRule="exact"/>
        <w:rPr>
          <w:sz w:val="20"/>
          <w:szCs w:val="20"/>
          <w:color w:val="auto"/>
        </w:rPr>
      </w:pPr>
    </w:p>
    <w:p>
      <w:pPr>
        <w:ind w:firstLine="349"/>
        <w:spacing w:after="0" w:line="287" w:lineRule="auto"/>
        <w:rPr>
          <w:sz w:val="20"/>
          <w:szCs w:val="20"/>
          <w:color w:val="auto"/>
        </w:rPr>
      </w:pPr>
      <w:r>
        <w:rPr>
          <w:rFonts w:ascii="Arial" w:cs="Arial" w:eastAsia="Arial" w:hAnsi="Arial"/>
          <w:sz w:val="16"/>
          <w:szCs w:val="16"/>
          <w:color w:val="auto"/>
        </w:rPr>
        <w:t>In contrast to the first quarter of 2002, income taxes for the first quarter of 2003 do not reflect any tax benefit from losses on the Company's U.S. operations and primarily reflect taxes on the Company's non-U.S. operations. During the fourth quarter of 2002, the Company recorded a valuation allowance of $348 million against its net deferred tax asset in accordance with Statement of Financial Accounting Standards No. 109. Consistent with the treatment in the fourth quarter of 2002, the Company increased the valuation allowance in the first quarter of 2003 by $145 million against its U.S. deferred tax assets resulting from losses on the Company's U.S. operations. As of November 28, 2002, the Company's U.S. deferred tax assets consisted primarily of $1.5 billion of U.S. net operating loss carryforwards. Until the Company utilizes these operating loss carryforwards the income tax provision will only reflect modest levels of taxes from the Company's non-U.S. operations. The Company's effective tax rate excluding the valuation allowance, approximating 42% in the first quarter of 2003, primarily reflects the U.S. statutory income tax rate, the net effect of state taxes and the effect of income at non-U.S. tax rates.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41" w:lineRule="exact"/>
        <w:rPr>
          <w:sz w:val="20"/>
          <w:szCs w:val="20"/>
          <w:color w:val="auto"/>
        </w:rPr>
      </w:pPr>
    </w:p>
    <w:p>
      <w:pPr>
        <w:ind w:right="140" w:firstLine="349"/>
        <w:spacing w:after="0" w:line="270" w:lineRule="auto"/>
        <w:rPr>
          <w:sz w:val="20"/>
          <w:szCs w:val="20"/>
          <w:color w:val="auto"/>
        </w:rPr>
      </w:pPr>
      <w:r>
        <w:rPr>
          <w:rFonts w:ascii="Arial" w:cs="Arial" w:eastAsia="Arial" w:hAnsi="Arial"/>
          <w:sz w:val="17"/>
          <w:szCs w:val="17"/>
          <w:color w:val="auto"/>
        </w:rPr>
        <w:t>In December 2002, the Financial Accounting Standards Board ("FASB") issued Statement of Financial Accounting Standards ("SFAS") No. 148, "Accounting for Stock-Based Compensation—Transition and Disclosure—an amendment of FASB Statement No. 123." SFAS No. 148 amends FASB Statement No. 123, "Accounting for Stock-Based Compensation," to provide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 based employee compensation and the effect of the method used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reported results. SFAS No. 148 is effective for the Company in the third quarter of 2003. The Company does not expect to effect a voluntary change in accounting to the fair value method, and, accordingly, does not expect the adoption of SFAS No. 148 to have a significant impact on the Company's future results of operations or financial position.</w:t>
      </w:r>
    </w:p>
    <w:p>
      <w:pPr>
        <w:spacing w:after="0" w:line="176" w:lineRule="exact"/>
        <w:rPr>
          <w:sz w:val="20"/>
          <w:szCs w:val="20"/>
          <w:color w:val="auto"/>
        </w:rPr>
      </w:pPr>
    </w:p>
    <w:p>
      <w:pPr>
        <w:ind w:right="20" w:firstLine="349"/>
        <w:spacing w:after="0" w:line="270" w:lineRule="auto"/>
        <w:rPr>
          <w:sz w:val="20"/>
          <w:szCs w:val="20"/>
          <w:color w:val="auto"/>
        </w:rPr>
      </w:pPr>
      <w:r>
        <w:rPr>
          <w:rFonts w:ascii="Arial" w:cs="Arial" w:eastAsia="Arial" w:hAnsi="Arial"/>
          <w:sz w:val="17"/>
          <w:szCs w:val="17"/>
          <w:color w:val="auto"/>
        </w:rPr>
        <w:t>In November 2002, the FASB issued Interpretation No. 45, "Guarantor's Accounting and Disclosure Requirements for Guarantees, Including Indirect Guarantees of Indebtedness of Others." Interpretation No. 45 requires a Company, at the time it issues a guarantee, to recognize an initial liability for the fair value of obligations assumed under the guarantee and elaborates on existing disclosure requirements. The initial recognition requirements of Interpretation No. 45 are effective for guarantees issued or modified after December 31, 2002 and adoption of disclosure requirements is effective for the Company in the second quarter of 2003. The Company does not expect the adoption of Interpretation No. 45 to have a significant impact on the Company's future results of operations or financial position.</w:t>
      </w:r>
    </w:p>
    <w:p>
      <w:pPr>
        <w:spacing w:after="0" w:line="186" w:lineRule="exact"/>
        <w:rPr>
          <w:sz w:val="20"/>
          <w:szCs w:val="20"/>
          <w:color w:val="auto"/>
        </w:rPr>
      </w:pPr>
    </w:p>
    <w:p>
      <w:pPr>
        <w:ind w:right="120" w:firstLine="349"/>
        <w:spacing w:after="0" w:line="296" w:lineRule="auto"/>
        <w:rPr>
          <w:sz w:val="20"/>
          <w:szCs w:val="20"/>
          <w:color w:val="auto"/>
        </w:rPr>
      </w:pPr>
      <w:r>
        <w:rPr>
          <w:rFonts w:ascii="Arial" w:cs="Arial" w:eastAsia="Arial" w:hAnsi="Arial"/>
          <w:sz w:val="16"/>
          <w:szCs w:val="16"/>
          <w:color w:val="auto"/>
        </w:rPr>
        <w:t>In June 2002, the FASB issued Statement of Financial Accounting Standards ("SFAS") No. 146, "Accounting for Costs Associated with Exit or Disposal Activities." SFAS No. 146 addresses financial accounting and reporting for costs associated with exit or disposal activities and nullifies Emerging Issues Task Force ("EITF") Issue No. 94-3. The adoption of SFAS No. 146 is effective for exit or disposal activities that are initiated after December 31, 2002. The Company does not expect the adoption of SFAS No. 146 to have a significant impact on the Company's future results of operations or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1" w:lineRule="exact"/>
        <w:rPr>
          <w:sz w:val="20"/>
          <w:szCs w:val="20"/>
          <w:color w:val="auto"/>
        </w:rPr>
      </w:pPr>
    </w:p>
    <w:p>
      <w:pPr>
        <w:ind w:right="40" w:firstLine="340"/>
        <w:spacing w:after="0" w:line="292" w:lineRule="auto"/>
        <w:rPr>
          <w:sz w:val="20"/>
          <w:szCs w:val="20"/>
          <w:color w:val="auto"/>
        </w:rPr>
      </w:pPr>
      <w:r>
        <w:rPr>
          <w:rFonts w:ascii="Arial" w:cs="Arial" w:eastAsia="Arial" w:hAnsi="Arial"/>
          <w:sz w:val="16"/>
          <w:szCs w:val="16"/>
          <w:color w:val="auto"/>
        </w:rPr>
        <w:t>As of November 28, 2002, the Company had cash and short-term investments totaling $658 million. In addition, other noncurrent assets on the Company's consolidated balance sheet include marketable investment securities with maturities of more than one year with market values of $215 million as of November 28, 2002, and $160 million as of August 29, 2002. During the first quarter of 2003, cash and marketable investment securities declined by $273 million, as the Company spent $326 million for property, plant and equipment and received income tax refunds of $109 million. The Company's liquidity is highly dependent on overall industry demand for semiconductor memory and average selling prices for its semiconductor products.</w:t>
      </w:r>
    </w:p>
    <w:p>
      <w:pPr>
        <w:sectPr>
          <w:pgSz w:w="11900" w:h="16838" w:orient="portrait"/>
          <w:cols w:equalWidth="0" w:num="1">
            <w:col w:w="11400"/>
          </w:cols>
          <w:pgMar w:left="240" w:top="131" w:right="259" w:bottom="75" w:gutter="0" w:footer="0" w:header="0"/>
        </w:sectPr>
      </w:pPr>
    </w:p>
    <w:bookmarkStart w:id="10" w:name="page11"/>
    <w:bookmarkEnd w:id="10"/>
    <w:p>
      <w:pPr>
        <w:spacing w:after="0" w:line="35" w:lineRule="exact"/>
        <w:rPr>
          <w:sz w:val="20"/>
          <w:szCs w:val="20"/>
          <w:color w:val="auto"/>
        </w:rPr>
      </w:pPr>
    </w:p>
    <w:p>
      <w:pPr>
        <w:ind w:right="120" w:firstLine="349"/>
        <w:spacing w:after="0" w:line="296" w:lineRule="auto"/>
        <w:rPr>
          <w:sz w:val="20"/>
          <w:szCs w:val="20"/>
          <w:color w:val="auto"/>
        </w:rPr>
      </w:pPr>
      <w:r>
        <w:rPr>
          <w:rFonts w:ascii="Arial" w:cs="Arial" w:eastAsia="Arial" w:hAnsi="Arial"/>
          <w:sz w:val="17"/>
          <w:szCs w:val="17"/>
          <w:color w:val="auto"/>
        </w:rPr>
        <w:t>In the first quarter of 2003, the Company received $25 million in financing proceeds and in December 2002, the Company received $70 million in financing proceeds which are payable in periodic installments through January 2007.</w:t>
      </w:r>
    </w:p>
    <w:p>
      <w:pPr>
        <w:spacing w:after="0" w:line="163" w:lineRule="exact"/>
        <w:rPr>
          <w:sz w:val="20"/>
          <w:szCs w:val="20"/>
          <w:color w:val="auto"/>
        </w:rPr>
      </w:pPr>
    </w:p>
    <w:p>
      <w:pPr>
        <w:ind w:right="80" w:firstLine="346"/>
        <w:spacing w:after="0" w:line="270" w:lineRule="auto"/>
        <w:rPr>
          <w:sz w:val="20"/>
          <w:szCs w:val="20"/>
          <w:color w:val="auto"/>
        </w:rPr>
      </w:pPr>
      <w:r>
        <w:rPr>
          <w:rFonts w:ascii="Arial" w:cs="Arial" w:eastAsia="Arial" w:hAnsi="Arial"/>
          <w:sz w:val="17"/>
          <w:szCs w:val="17"/>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capital spending to approximate $1 billion in 2003 depending on market conditions. These capital spending estimates include expenditures for ongoing equipment upgrades, expenditures to transition the Company's Virginia facility to the Company's process technology and expenditures for its 300mm pilot line. As of November 28, 2002, the Company had commitments extending into 2004 of approximately $320 million for the acquisition of property, plant and equipment.</w:t>
      </w:r>
    </w:p>
    <w:p>
      <w:pPr>
        <w:spacing w:after="0" w:line="186" w:lineRule="exact"/>
        <w:rPr>
          <w:sz w:val="20"/>
          <w:szCs w:val="20"/>
          <w:color w:val="auto"/>
        </w:rPr>
      </w:pPr>
    </w:p>
    <w:p>
      <w:pPr>
        <w:ind w:right="20" w:firstLine="346"/>
        <w:spacing w:after="0" w:line="274" w:lineRule="auto"/>
        <w:rPr>
          <w:sz w:val="20"/>
          <w:szCs w:val="20"/>
          <w:color w:val="auto"/>
        </w:rPr>
      </w:pPr>
      <w:r>
        <w:rPr>
          <w:rFonts w:ascii="Arial" w:cs="Arial" w:eastAsia="Arial" w:hAnsi="Arial"/>
          <w:sz w:val="17"/>
          <w:szCs w:val="17"/>
          <w:color w:val="auto"/>
        </w:rPr>
        <w:t>The Company has historically utilized external sources of financing to fund a portion of operations and since April 2000 has had a shelf registration statement in place pursuant to which the Company may from time to time issue debt or equity securities for up to $1 billion. The Company may also seek to raise funds through issuing securities not covered by the existing shelf registration statement, by increasing the size of the existing shelf registration statement or pursuing other external sources of financing.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349"/>
        <w:spacing w:after="0" w:line="280" w:lineRule="auto"/>
        <w:rPr>
          <w:sz w:val="20"/>
          <w:szCs w:val="20"/>
          <w:color w:val="auto"/>
        </w:rPr>
      </w:pPr>
      <w:r>
        <w:rPr>
          <w:rFonts w:ascii="Arial" w:cs="Arial" w:eastAsia="Arial" w:hAnsi="Arial"/>
          <w:sz w:val="17"/>
          <w:szCs w:val="17"/>
          <w:color w:val="auto"/>
        </w:rPr>
        <w:t>In connection with the acquisition of the Virginia facility, the Company issued 1.5 million shares of common stock. The Company granted Toshiba an option to require Micron to repurchase on October 21, 2003, all of these shares for $68 million cash. The option expires if the closing price of the Company's common stock is at or above $45.05 per share for 20 consecutive trading days.</w:t>
      </w:r>
    </w:p>
    <w:p>
      <w:pPr>
        <w:spacing w:after="0" w:line="176" w:lineRule="exact"/>
        <w:rPr>
          <w:sz w:val="20"/>
          <w:szCs w:val="20"/>
          <w:color w:val="auto"/>
        </w:rPr>
      </w:pPr>
    </w:p>
    <w:p>
      <w:pPr>
        <w:ind w:firstLine="346"/>
        <w:spacing w:after="0" w:line="333" w:lineRule="auto"/>
        <w:rPr>
          <w:sz w:val="20"/>
          <w:szCs w:val="20"/>
          <w:color w:val="auto"/>
        </w:rPr>
      </w:pPr>
      <w:r>
        <w:rPr>
          <w:rFonts w:ascii="Arial" w:cs="Arial" w:eastAsia="Arial" w:hAnsi="Arial"/>
          <w:sz w:val="15"/>
          <w:szCs w:val="15"/>
          <w:color w:val="auto"/>
        </w:rPr>
        <w:t>TECH's existing credit facility expires in December 2003, and TECH is currently seeking external financing of approximately $250 million to replace its maturing loans and fund ongoing operations which may require additional support to be provided by TECH's shareholders. The Company has pledged $50 million, which is included in other noncurrent assets in the Company's consolidated balance sheet, as cash collateral for TECH's fully-drawn revolving line of credit.</w:t>
      </w:r>
    </w:p>
    <w:p>
      <w:pPr>
        <w:spacing w:after="0" w:line="142" w:lineRule="exact"/>
        <w:rPr>
          <w:sz w:val="20"/>
          <w:szCs w:val="20"/>
          <w:color w:val="auto"/>
        </w:rPr>
      </w:pPr>
    </w:p>
    <w:p>
      <w:pPr>
        <w:ind w:right="360" w:firstLine="340"/>
        <w:spacing w:after="0" w:line="296" w:lineRule="auto"/>
        <w:rPr>
          <w:sz w:val="20"/>
          <w:szCs w:val="20"/>
          <w:color w:val="auto"/>
        </w:rPr>
      </w:pPr>
      <w:r>
        <w:rPr>
          <w:rFonts w:ascii="Arial" w:cs="Arial" w:eastAsia="Arial" w:hAnsi="Arial"/>
          <w:sz w:val="17"/>
          <w:szCs w:val="17"/>
          <w:color w:val="auto"/>
        </w:rPr>
        <w:t>As of November 28, 2002, maturities of notes payable, future minimum lease payments under capital leases and minimum commitments under operating leases were as follows:</w:t>
      </w:r>
    </w:p>
    <w:p>
      <w:pPr>
        <w:spacing w:after="0" w:line="159"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120" w:type="dxa"/>
            <w:vAlign w:val="bottom"/>
            <w:gridSpan w:val="2"/>
          </w:tcPr>
          <w:p>
            <w:pPr>
              <w:spacing w:after="0"/>
              <w:rPr>
                <w:sz w:val="20"/>
                <w:szCs w:val="20"/>
                <w:color w:val="auto"/>
              </w:rPr>
            </w:pPr>
            <w:r>
              <w:rPr>
                <w:rFonts w:ascii="Arial" w:cs="Arial" w:eastAsia="Arial" w:hAnsi="Arial"/>
                <w:sz w:val="13"/>
                <w:szCs w:val="13"/>
                <w:b w:val="1"/>
                <w:bCs w:val="1"/>
                <w:color w:val="auto"/>
              </w:rPr>
              <w:t>Fiscal year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5"/>
              <w:spacing w:after="0"/>
              <w:rPr>
                <w:sz w:val="20"/>
                <w:szCs w:val="20"/>
                <w:color w:val="auto"/>
              </w:rPr>
            </w:pPr>
            <w:r>
              <w:rPr>
                <w:rFonts w:ascii="Arial" w:cs="Arial" w:eastAsia="Arial" w:hAnsi="Arial"/>
                <w:sz w:val="13"/>
                <w:szCs w:val="13"/>
                <w:b w:val="1"/>
                <w:bCs w:val="1"/>
                <w:color w:val="auto"/>
              </w:rPr>
              <w:t>Notes</w:t>
            </w:r>
          </w:p>
        </w:tc>
        <w:tc>
          <w:tcPr>
            <w:tcW w:w="2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Capital leases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w w:val="89"/>
              </w:rPr>
              <w:t>Operating 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2003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56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2004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2006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2008 and thereafter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95"/>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-1172210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-1172210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-1172210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-1172210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-1172210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-1172210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-1172210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-1172210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725106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Factors</w:t>
      </w:r>
    </w:p>
    <w:p>
      <w:pPr>
        <w:spacing w:after="0" w:line="241" w:lineRule="exact"/>
        <w:rPr>
          <w:sz w:val="20"/>
          <w:szCs w:val="20"/>
          <w:color w:val="auto"/>
        </w:rPr>
      </w:pPr>
    </w:p>
    <w:p>
      <w:pPr>
        <w:ind w:right="420" w:firstLine="349"/>
        <w:spacing w:after="0" w:line="296" w:lineRule="auto"/>
        <w:rPr>
          <w:sz w:val="20"/>
          <w:szCs w:val="20"/>
          <w:color w:val="auto"/>
        </w:rPr>
      </w:pPr>
      <w:r>
        <w:rPr>
          <w:rFonts w:ascii="Arial" w:cs="Arial" w:eastAsia="Arial" w:hAnsi="Arial"/>
          <w:sz w:val="17"/>
          <w:szCs w:val="17"/>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average selling prices for our semiconductor products do not exceed our costs, we expect to incur losses.</w:t>
      </w:r>
    </w:p>
    <w:p>
      <w:pPr>
        <w:spacing w:after="0" w:line="241" w:lineRule="exact"/>
        <w:rPr>
          <w:sz w:val="20"/>
          <w:szCs w:val="20"/>
          <w:color w:val="auto"/>
        </w:rPr>
      </w:pPr>
    </w:p>
    <w:p>
      <w:pPr>
        <w:ind w:right="140" w:firstLine="340"/>
        <w:spacing w:after="0" w:line="280" w:lineRule="auto"/>
        <w:rPr>
          <w:sz w:val="20"/>
          <w:szCs w:val="20"/>
          <w:color w:val="auto"/>
        </w:rPr>
      </w:pPr>
      <w:r>
        <w:rPr>
          <w:rFonts w:ascii="Arial" w:cs="Arial" w:eastAsia="Arial" w:hAnsi="Arial"/>
          <w:sz w:val="17"/>
          <w:szCs w:val="17"/>
          <w:color w:val="auto"/>
        </w:rPr>
        <w:t>Average selling prices for our semiconductor products decreased by 12% in the first quarter of 2003 as compared to the fourth quarter of 2002. In five of the last six fiscal years, we experienced the following decreases in average selling prices for our semiconductor products: 53% in 2002, 60% in 2001, 37% in 1999, 60% in 1998 and 75% in 1997. We are unable to predict pricing conditions for any future period.</w:t>
      </w:r>
    </w:p>
    <w:p>
      <w:pPr>
        <w:spacing w:after="0" w:line="176" w:lineRule="exact"/>
        <w:rPr>
          <w:sz w:val="20"/>
          <w:szCs w:val="20"/>
          <w:color w:val="auto"/>
        </w:rPr>
      </w:pPr>
    </w:p>
    <w:p>
      <w:pPr>
        <w:ind w:right="160" w:firstLine="349"/>
        <w:spacing w:after="0" w:line="296" w:lineRule="auto"/>
        <w:rPr>
          <w:sz w:val="20"/>
          <w:szCs w:val="20"/>
          <w:color w:val="auto"/>
        </w:rPr>
      </w:pPr>
      <w:r>
        <w:rPr>
          <w:rFonts w:ascii="Arial" w:cs="Arial" w:eastAsia="Arial" w:hAnsi="Arial"/>
          <w:sz w:val="16"/>
          <w:szCs w:val="16"/>
          <w:color w:val="auto"/>
        </w:rPr>
        <w:t>In recent quarters, average selling prices for our semiconductor products have been below our manufacturing costs. If average selling prices are below costs in future periods, we expect to continue to incur losses on product sales and for our results of operations, cash flows and financial condition to be adversely affected. To the extent the estimated market value of products held in finished goods and work in process inventories at a quarter end date is below the cost of these products, we recognize a charge against operations to write down the carrying value of inventory to market value.</w:t>
      </w:r>
    </w:p>
    <w:p>
      <w:pPr>
        <w:spacing w:after="0" w:line="162"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b w:val="1"/>
          <w:bCs w:val="1"/>
          <w:color w:val="auto"/>
        </w:rPr>
        <w:t>If average selling prices of semiconductor products do not improve, we may not be able to generate sufficient cash flows to fund our operations and make adequate capital investments.</w:t>
      </w:r>
    </w:p>
    <w:p>
      <w:pPr>
        <w:spacing w:after="0" w:line="158" w:lineRule="exact"/>
        <w:rPr>
          <w:sz w:val="20"/>
          <w:szCs w:val="20"/>
          <w:color w:val="auto"/>
        </w:rPr>
      </w:pPr>
    </w:p>
    <w:p>
      <w:pPr>
        <w:ind w:right="40" w:firstLine="349"/>
        <w:spacing w:after="0" w:line="288"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 adequate capital investments. We have historically utilized external sources of financing. However, depending on general market and economic conditions or other factors, we may not be able to access capital markets for sufficient funds on acceptable terms.</w:t>
      </w:r>
    </w:p>
    <w:p>
      <w:pPr>
        <w:spacing w:after="0" w:line="169" w:lineRule="exact"/>
        <w:rPr>
          <w:sz w:val="20"/>
          <w:szCs w:val="20"/>
          <w:color w:val="auto"/>
        </w:rPr>
      </w:pPr>
    </w:p>
    <w:p>
      <w:pPr>
        <w:spacing w:after="0" w:line="303" w:lineRule="auto"/>
        <w:rPr>
          <w:sz w:val="20"/>
          <w:szCs w:val="20"/>
          <w:color w:val="auto"/>
        </w:rPr>
      </w:pPr>
      <w:r>
        <w:rPr>
          <w:rFonts w:ascii="Arial" w:cs="Arial" w:eastAsia="Arial" w:hAnsi="Arial"/>
          <w:sz w:val="17"/>
          <w:szCs w:val="17"/>
          <w:b w:val="1"/>
          <w:bCs w:val="1"/>
          <w:color w:val="auto"/>
        </w:rPr>
        <w:t>Increased worldwide DRAM production or lack of demand for semiconductor products could lead to further declines in average selling prices for DRAM or limit our ability to sell our products.</w:t>
      </w:r>
    </w:p>
    <w:p>
      <w:pPr>
        <w:spacing w:after="0" w:line="158" w:lineRule="exact"/>
        <w:rPr>
          <w:sz w:val="20"/>
          <w:szCs w:val="20"/>
          <w:color w:val="auto"/>
        </w:rPr>
      </w:pPr>
    </w:p>
    <w:p>
      <w:pPr>
        <w:ind w:firstLine="346"/>
        <w:spacing w:after="0" w:line="296" w:lineRule="auto"/>
        <w:rPr>
          <w:sz w:val="20"/>
          <w:szCs w:val="20"/>
          <w:color w:val="auto"/>
        </w:rPr>
      </w:pPr>
      <w:r>
        <w:rPr>
          <w:rFonts w:ascii="Arial" w:cs="Arial" w:eastAsia="Arial" w:hAnsi="Arial"/>
          <w:sz w:val="16"/>
          <w:szCs w:val="16"/>
          <w:color w:val="auto"/>
        </w:rPr>
        <w:t>The transition to smaller geometries and 300 millimeter ("300mm") wafers in the industry, which is expected to occur within the next two to five years,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Some of our competitors may receive government support to withstand downturns in the semiconductor memory market and to invest in technology</w:t>
      </w:r>
    </w:p>
    <w:p>
      <w:pPr>
        <w:sectPr>
          <w:pgSz w:w="11900" w:h="16873" w:orient="portrait"/>
          <w:cols w:equalWidth="0" w:num="1">
            <w:col w:w="11420"/>
          </w:cols>
          <w:pgMar w:left="240" w:top="131" w:right="239" w:bottom="0" w:gutter="0" w:footer="0" w:header="0"/>
        </w:sectPr>
      </w:pPr>
    </w:p>
    <w:bookmarkStart w:id="11" w:name="page12"/>
    <w:bookmarkEnd w:id="11"/>
    <w:p>
      <w:pPr>
        <w:ind w:right="40"/>
        <w:spacing w:after="0" w:line="280" w:lineRule="auto"/>
        <w:rPr>
          <w:sz w:val="20"/>
          <w:szCs w:val="20"/>
          <w:color w:val="auto"/>
        </w:rPr>
      </w:pPr>
      <w:r>
        <w:rPr>
          <w:rFonts w:ascii="Arial" w:cs="Arial" w:eastAsia="Arial" w:hAnsi="Arial"/>
          <w:sz w:val="17"/>
          <w:szCs w:val="17"/>
          <w:color w:val="auto"/>
        </w:rPr>
        <w:t>resulting in increased worldwide supply. Increases in worldwide supply of DRAM, if not offset by increases in demand, could lead to further declines in average selling prices for our products and adversely affect our results of operations, cash flows and financial condition. In addition, if a lack of demand for semiconductor products limits our ability to sell our inventory, our liquidity and financial position could be adversely affected.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Depressed pricing for semiconductor memory products may lead to future inventory write-downs.</w:t>
      </w:r>
    </w:p>
    <w:p>
      <w:pPr>
        <w:spacing w:after="0" w:line="241" w:lineRule="exact"/>
        <w:rPr>
          <w:sz w:val="20"/>
          <w:szCs w:val="20"/>
          <w:color w:val="auto"/>
        </w:rPr>
      </w:pPr>
    </w:p>
    <w:p>
      <w:pPr>
        <w:jc w:val="both"/>
        <w:ind w:right="100" w:firstLine="346"/>
        <w:spacing w:after="0" w:line="274" w:lineRule="auto"/>
        <w:rPr>
          <w:sz w:val="20"/>
          <w:szCs w:val="20"/>
          <w:color w:val="auto"/>
        </w:rPr>
      </w:pPr>
      <w:r>
        <w:rPr>
          <w:rFonts w:ascii="Arial" w:cs="Arial" w:eastAsia="Arial" w:hAnsi="Arial"/>
          <w:sz w:val="17"/>
          <w:szCs w:val="17"/>
          <w:color w:val="auto"/>
        </w:rPr>
        <w:t>We recorded an inventory write-down of $91 million in the first quarter of 2003, and we recorded inventory write-downs totaling $376 million in 2002 and $727 million in 2001 as a result of the significant decreases in average selling prices for our semiconductor memory products. To the extent the estimated market value of products held in finished goods and work in process inventories at a quarter end date is below the cost of these products, we recognize a charge to cost of goods sold to write down the carrying value of inventory to market value.</w:t>
      </w:r>
    </w:p>
    <w:p>
      <w:pPr>
        <w:spacing w:after="0" w:line="177"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b w:val="1"/>
          <w:bCs w:val="1"/>
          <w:color w:val="auto"/>
        </w:rPr>
        <w:t>If the growth rate of either PCs sold or the amount of semiconductor memory included in each PC decreases, sales of our semiconductor products could decrease.</w:t>
      </w:r>
    </w:p>
    <w:p>
      <w:pPr>
        <w:spacing w:after="0" w:line="158" w:lineRule="exact"/>
        <w:rPr>
          <w:sz w:val="20"/>
          <w:szCs w:val="20"/>
          <w:color w:val="auto"/>
        </w:rPr>
      </w:pPr>
    </w:p>
    <w:p>
      <w:pPr>
        <w:ind w:right="20" w:firstLine="346"/>
        <w:spacing w:after="0" w:line="296" w:lineRule="auto"/>
        <w:rPr>
          <w:sz w:val="20"/>
          <w:szCs w:val="20"/>
          <w:color w:val="auto"/>
        </w:rPr>
      </w:pPr>
      <w:r>
        <w:rPr>
          <w:rFonts w:ascii="Arial" w:cs="Arial" w:eastAsia="Arial" w:hAnsi="Arial"/>
          <w:sz w:val="16"/>
          <w:szCs w:val="16"/>
          <w:color w:val="auto"/>
        </w:rPr>
        <w:t>We are dependent on the personal computer ("PC") market as most of the semiconductor products we sell are used in PCs or peripheral products. DRAMs are the most widely used semiconductor components in PCs. In recent years, the growth rate of PCs sold has slowed or declined. If we experience a sustained reduction in the growth rate of either PCs sold or the average amount of semiconductor memory included in each PC, sales of our semiconductor products built for those markets could decrease, and our results of operations, cash flows and financial condition could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semiconductor memory industry is highly competitive.</w:t>
      </w:r>
    </w:p>
    <w:p>
      <w:pPr>
        <w:spacing w:after="0" w:line="241" w:lineRule="exact"/>
        <w:rPr>
          <w:sz w:val="20"/>
          <w:szCs w:val="20"/>
          <w:color w:val="auto"/>
        </w:rPr>
      </w:pPr>
    </w:p>
    <w:p>
      <w:pPr>
        <w:ind w:right="240" w:firstLine="346"/>
        <w:spacing w:after="0" w:line="329" w:lineRule="auto"/>
        <w:rPr>
          <w:sz w:val="20"/>
          <w:szCs w:val="20"/>
          <w:color w:val="auto"/>
        </w:rPr>
      </w:pPr>
      <w:r>
        <w:rPr>
          <w:rFonts w:ascii="Arial" w:cs="Arial" w:eastAsia="Arial" w:hAnsi="Arial"/>
          <w:sz w:val="16"/>
          <w:szCs w:val="16"/>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economic and political conditions may harm our business.</w:t>
      </w:r>
    </w:p>
    <w:p>
      <w:pPr>
        <w:spacing w:after="0" w:line="241" w:lineRule="exact"/>
        <w:rPr>
          <w:sz w:val="20"/>
          <w:szCs w:val="20"/>
          <w:color w:val="auto"/>
        </w:rPr>
      </w:pPr>
    </w:p>
    <w:p>
      <w:pPr>
        <w:ind w:right="40" w:firstLine="349"/>
        <w:spacing w:after="0" w:line="269" w:lineRule="auto"/>
        <w:rPr>
          <w:sz w:val="20"/>
          <w:szCs w:val="20"/>
          <w:color w:val="auto"/>
        </w:rPr>
      </w:pPr>
      <w:r>
        <w:rPr>
          <w:rFonts w:ascii="Arial" w:cs="Arial" w:eastAsia="Arial" w:hAnsi="Arial"/>
          <w:sz w:val="17"/>
          <w:szCs w:val="17"/>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81"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b w:val="1"/>
          <w:bCs w:val="1"/>
          <w:color w:val="auto"/>
        </w:rPr>
        <w:t>If any one of our major PC customers significantly reduces its purchases of DRAM from us, our results of operations, cash flows and financial condition could be adversely affected.</w:t>
      </w:r>
    </w:p>
    <w:p>
      <w:pPr>
        <w:spacing w:after="0" w:line="158" w:lineRule="exact"/>
        <w:rPr>
          <w:sz w:val="20"/>
          <w:szCs w:val="20"/>
          <w:color w:val="auto"/>
        </w:rPr>
      </w:pPr>
    </w:p>
    <w:p>
      <w:pPr>
        <w:ind w:firstLine="340"/>
        <w:spacing w:after="0" w:line="280" w:lineRule="auto"/>
        <w:rPr>
          <w:sz w:val="20"/>
          <w:szCs w:val="20"/>
          <w:color w:val="auto"/>
        </w:rPr>
      </w:pPr>
      <w:r>
        <w:rPr>
          <w:rFonts w:ascii="Arial" w:cs="Arial" w:eastAsia="Arial" w:hAnsi="Arial"/>
          <w:sz w:val="17"/>
          <w:szCs w:val="17"/>
          <w:color w:val="auto"/>
        </w:rPr>
        <w:t>Approximately 80% of the Company's sales of semiconductor products for the first quarter of 2003 was to the computer market. Aggregate sales to two of our PC customers approximated 27% of our net sales in the first quarter of 2003. If any one of our major PC customers significantly reduces its purchases of DRAM from us, our results of operations, cash flows and financial condition could be adversely affected.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58" w:lineRule="exact"/>
        <w:rPr>
          <w:sz w:val="20"/>
          <w:szCs w:val="20"/>
          <w:color w:val="auto"/>
        </w:rPr>
      </w:pPr>
    </w:p>
    <w:p>
      <w:pPr>
        <w:ind w:right="160" w:firstLine="346"/>
        <w:spacing w:after="0" w:line="267" w:lineRule="auto"/>
        <w:rPr>
          <w:sz w:val="20"/>
          <w:szCs w:val="20"/>
          <w:color w:val="auto"/>
        </w:rPr>
      </w:pPr>
      <w:r>
        <w:rPr>
          <w:rFonts w:ascii="Arial" w:cs="Arial" w:eastAsia="Arial" w:hAnsi="Arial"/>
          <w:sz w:val="17"/>
          <w:szCs w:val="17"/>
          <w:color w:val="auto"/>
        </w:rPr>
        <w:t>TECH supplied approximately 25% of our total megabits of memory produced in the first quarter of 2003, the first quarter of 2002 and the fourth quarter of 2002. We have agreements to purchase all of the production from TECH subject to specific terms and conditions. Any reduction in supply could adversely affect our results of operations, cash flows and financial condition. TECH's existing credit facility expires in December 2003, and TECH is currently seeking external financing to replace its maturing loans and fund ongoing operations, which may require additional support to be provided by TECH's shareholders. If TECH's financing efforts are unsuccessful, we and other TECH shareholders may be requested to invest additional capital in TECH. If TECH is unable to obtain new financing or additional capital from its shareholders, it would likely have to discontinue capital spending and may have to alter its operations. We have pledged $50 million as cash collateral for TECH's fully-drawn revolving line of credit. As of November 28, 2002, we had remaining unamortized costs of $75 million included in intangible assets relating to the supply arrangement to purchase product from TECH. In the event that our supply of semiconductor products from TECH is reduced or eliminated, the Company may be required to write off part or all of these assets and the Company's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maintain or reduce per megabit manufacturing costs at the same rate as we have in the past.</w:t>
      </w:r>
    </w:p>
    <w:p>
      <w:pPr>
        <w:spacing w:after="0" w:line="241" w:lineRule="exact"/>
        <w:rPr>
          <w:sz w:val="20"/>
          <w:szCs w:val="20"/>
          <w:color w:val="auto"/>
        </w:rPr>
      </w:pPr>
    </w:p>
    <w:p>
      <w:pPr>
        <w:ind w:right="240" w:firstLine="349"/>
        <w:spacing w:after="0" w:line="280" w:lineRule="auto"/>
        <w:rPr>
          <w:sz w:val="20"/>
          <w:szCs w:val="20"/>
          <w:color w:val="auto"/>
        </w:rPr>
      </w:pPr>
      <w:r>
        <w:rPr>
          <w:rFonts w:ascii="Arial" w:cs="Arial" w:eastAsia="Arial" w:hAnsi="Arial"/>
          <w:sz w:val="17"/>
          <w:szCs w:val="17"/>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190" w:lineRule="exact"/>
        <w:rPr>
          <w:sz w:val="20"/>
          <w:szCs w:val="20"/>
          <w:color w:val="auto"/>
        </w:rPr>
      </w:pPr>
    </w:p>
    <w:p>
      <w:pPr>
        <w:ind w:left="1080" w:hanging="535"/>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implement product and process technology upgrades,</w:t>
      </w:r>
    </w:p>
    <w:p>
      <w:pPr>
        <w:spacing w:after="0" w:line="261" w:lineRule="exact"/>
        <w:rPr>
          <w:rFonts w:ascii="Arial" w:cs="Arial" w:eastAsia="Arial" w:hAnsi="Arial"/>
          <w:sz w:val="17"/>
          <w:szCs w:val="17"/>
          <w:color w:val="auto"/>
        </w:rPr>
      </w:pPr>
    </w:p>
    <w:p>
      <w:pPr>
        <w:ind w:left="1080" w:right="260" w:hanging="535"/>
        <w:spacing w:after="0" w:line="296"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wafer output or yields, which may decrease as we implement more complex technologies, including our transition to 300mm wafer processing, and</w:t>
      </w:r>
    </w:p>
    <w:p>
      <w:pPr>
        <w:spacing w:after="0" w:line="176" w:lineRule="exact"/>
        <w:rPr>
          <w:rFonts w:ascii="Arial" w:cs="Arial" w:eastAsia="Arial" w:hAnsi="Arial"/>
          <w:sz w:val="17"/>
          <w:szCs w:val="17"/>
          <w:color w:val="auto"/>
        </w:rPr>
      </w:pPr>
    </w:p>
    <w:p>
      <w:pPr>
        <w:ind w:left="1080" w:hanging="535"/>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ramp the latest reduced die size versions of existing devices or new generation devices.</w:t>
      </w:r>
    </w:p>
    <w:p>
      <w:pPr>
        <w:sectPr>
          <w:pgSz w:w="11900" w:h="16838" w:orient="portrait"/>
          <w:cols w:equalWidth="0" w:num="1">
            <w:col w:w="11420"/>
          </w:cols>
          <w:pgMar w:left="240" w:top="131" w:right="239" w:bottom="0" w:gutter="0" w:footer="0" w:header="0"/>
        </w:sectPr>
      </w:pPr>
    </w:p>
    <w:bookmarkStart w:id="12" w:name="page13"/>
    <w:bookmarkEnd w:id="12"/>
    <w:p>
      <w:pPr>
        <w:ind w:right="320"/>
        <w:spacing w:after="0" w:line="303" w:lineRule="auto"/>
        <w:rPr>
          <w:sz w:val="20"/>
          <w:szCs w:val="20"/>
          <w:color w:val="auto"/>
        </w:rPr>
      </w:pPr>
      <w:r>
        <w:rPr>
          <w:rFonts w:ascii="Arial" w:cs="Arial" w:eastAsia="Arial" w:hAnsi="Arial"/>
          <w:sz w:val="17"/>
          <w:szCs w:val="17"/>
          <w:b w:val="1"/>
          <w:bCs w:val="1"/>
          <w:color w:val="auto"/>
        </w:rPr>
        <w:t>If we are unable to respond to customer demand for diversified semiconductor memory products or are unable to do so in a cost-effective manner, we may lose market share and our results of operations may be adversely affected.</w:t>
      </w:r>
    </w:p>
    <w:p>
      <w:pPr>
        <w:spacing w:after="0" w:line="158" w:lineRule="exact"/>
        <w:rPr>
          <w:sz w:val="20"/>
          <w:szCs w:val="20"/>
          <w:color w:val="auto"/>
        </w:rPr>
      </w:pPr>
    </w:p>
    <w:p>
      <w:pPr>
        <w:ind w:firstLine="349"/>
        <w:spacing w:after="0" w:line="272" w:lineRule="auto"/>
        <w:rPr>
          <w:sz w:val="20"/>
          <w:szCs w:val="20"/>
          <w:color w:val="auto"/>
        </w:rPr>
      </w:pPr>
      <w:r>
        <w:rPr>
          <w:rFonts w:ascii="Arial" w:cs="Arial" w:eastAsia="Arial" w:hAnsi="Arial"/>
          <w:sz w:val="17"/>
          <w:szCs w:val="17"/>
          <w:color w:val="auto"/>
        </w:rPr>
        <w:t>In recent periods, the semiconductor memory market has become relatively segmented, with diverse memory needs being driven by the different requirements of desktop and notebook PCs, servers, workstations, handheld devices, and communications, industrial and other applications that demand specific memory solutions. We currently offer customers a variety of memory products including DDR SDRAM, SDRAM, Flash and SRAM. In addition, we are designing and developing other semiconductor products, including DDR II, GDDR III, reduced latency DRAM ("RLDRAM"), CellularRAM and ternary content addressable memory ("TCAM") as well as CMOS imaging sensors.</w:t>
      </w:r>
    </w:p>
    <w:p>
      <w:pPr>
        <w:spacing w:after="0" w:line="183" w:lineRule="exact"/>
        <w:rPr>
          <w:sz w:val="20"/>
          <w:szCs w:val="20"/>
          <w:color w:val="auto"/>
        </w:rPr>
      </w:pPr>
    </w:p>
    <w:p>
      <w:pPr>
        <w:ind w:right="120" w:firstLine="346"/>
        <w:spacing w:after="0" w:line="296" w:lineRule="auto"/>
        <w:rPr>
          <w:sz w:val="20"/>
          <w:szCs w:val="20"/>
          <w:color w:val="auto"/>
        </w:rPr>
      </w:pPr>
      <w:r>
        <w:rPr>
          <w:rFonts w:ascii="Arial" w:cs="Arial" w:eastAsia="Arial" w:hAnsi="Arial"/>
          <w:sz w:val="16"/>
          <w:szCs w:val="16"/>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700"/>
        <w:spacing w:after="0" w:line="303" w:lineRule="auto"/>
        <w:rPr>
          <w:sz w:val="20"/>
          <w:szCs w:val="20"/>
          <w:color w:val="auto"/>
        </w:rPr>
      </w:pPr>
      <w:r>
        <w:rPr>
          <w:rFonts w:ascii="Arial" w:cs="Arial" w:eastAsia="Arial" w:hAnsi="Arial"/>
          <w:sz w:val="17"/>
          <w:szCs w:val="17"/>
          <w:b w:val="1"/>
          <w:bCs w:val="1"/>
          <w:color w:val="auto"/>
        </w:rPr>
        <w:t>An adverse determination that our products and processes infringe the intellectual property rights of others could adversely affect our results of operations, cash flows and financial condition.</w:t>
      </w:r>
    </w:p>
    <w:p>
      <w:pPr>
        <w:spacing w:after="0" w:line="158" w:lineRule="exact"/>
        <w:rPr>
          <w:sz w:val="20"/>
          <w:szCs w:val="20"/>
          <w:color w:val="auto"/>
        </w:rPr>
      </w:pPr>
    </w:p>
    <w:p>
      <w:pPr>
        <w:ind w:right="60" w:firstLine="340"/>
        <w:spacing w:after="0" w:line="284"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denying that we are entitled to relief and has alleged willful infringement by us of eight Rambus patents. In addition, Rambus has filed lawsuits against the Company in Italy, Germany, France and the United Kingdom alleging infringement of certain Rambus European patents. We are unable to predict the outcome of the Rambus suits or of other assertions of infringement that have been made, or may in the future be made against us. A court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78" w:lineRule="exact"/>
        <w:rPr>
          <w:sz w:val="20"/>
          <w:szCs w:val="20"/>
          <w:color w:val="auto"/>
        </w:rPr>
      </w:pPr>
    </w:p>
    <w:p>
      <w:pPr>
        <w:ind w:right="380" w:firstLine="346"/>
        <w:spacing w:after="0" w:line="280" w:lineRule="auto"/>
        <w:rPr>
          <w:sz w:val="20"/>
          <w:szCs w:val="20"/>
          <w:color w:val="auto"/>
        </w:rPr>
      </w:pPr>
      <w:r>
        <w:rPr>
          <w:rFonts w:ascii="Arial" w:cs="Arial" w:eastAsia="Arial" w:hAnsi="Arial"/>
          <w:sz w:val="17"/>
          <w:szCs w:val="17"/>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Allegations of anticompetitive practices.</w:t>
      </w:r>
    </w:p>
    <w:p>
      <w:pPr>
        <w:spacing w:after="0" w:line="241" w:lineRule="exact"/>
        <w:rPr>
          <w:sz w:val="20"/>
          <w:szCs w:val="20"/>
          <w:color w:val="auto"/>
        </w:rPr>
      </w:pPr>
    </w:p>
    <w:p>
      <w:pPr>
        <w:ind w:right="80" w:firstLine="349"/>
        <w:spacing w:after="0" w:line="285"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with the DOJ in its investigation. Subsequent to the commencement of the DOJ investigation, 23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There can be no assurance that additional purported class action lawsuits will not be filed against us, either within or without the United States.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A court determination that the Company has violated federal or state antitrust laws could result in significant liability and could have a material adverse effect on our results of operations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face difficulties integrating our newly acquired Virginia facility.</w:t>
      </w:r>
    </w:p>
    <w:p>
      <w:pPr>
        <w:spacing w:after="0" w:line="241" w:lineRule="exact"/>
        <w:rPr>
          <w:sz w:val="20"/>
          <w:szCs w:val="20"/>
          <w:color w:val="auto"/>
        </w:rPr>
      </w:pPr>
    </w:p>
    <w:p>
      <w:pPr>
        <w:ind w:right="20" w:firstLine="349"/>
        <w:spacing w:after="0" w:line="290" w:lineRule="auto"/>
        <w:rPr>
          <w:sz w:val="20"/>
          <w:szCs w:val="20"/>
          <w:color w:val="auto"/>
        </w:rPr>
      </w:pPr>
      <w:r>
        <w:rPr>
          <w:rFonts w:ascii="Arial" w:cs="Arial" w:eastAsia="Arial" w:hAnsi="Arial"/>
          <w:sz w:val="16"/>
          <w:szCs w:val="16"/>
          <w:color w:val="auto"/>
        </w:rPr>
        <w:t>On April 22, 2002, we acquired substantially all the assets of Toshiba's DRAM business as conducted by Dominion Semiconductor L.L.C., a wholly-owned subsidiary of Toshiba located in Virginia. The success of these operations is partially dependent on our ability to operate them in a cost-effective manner. There can be no assurance that we will successfully integrate these operations and operate them in a cost-effective manner. Until we are able to complete the transition of our product and process technology and also significantly ramp production at the Virginia facility, we expect that the per megabit costs associated with products manufactured at the facility will exceed the per megabit costs of products manufactured at our other facilities. There can be no assurance that we will be successful in achieving the same level of manufacturing efficiencies in the Virginia facility as has been achieved in our other manufacturing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product development may not be successful.</w:t>
      </w:r>
    </w:p>
    <w:p>
      <w:pPr>
        <w:spacing w:after="0" w:line="241" w:lineRule="exact"/>
        <w:rPr>
          <w:sz w:val="20"/>
          <w:szCs w:val="20"/>
          <w:color w:val="auto"/>
        </w:rPr>
      </w:pPr>
    </w:p>
    <w:p>
      <w:pPr>
        <w:jc w:val="both"/>
        <w:ind w:right="80" w:firstLine="346"/>
        <w:spacing w:after="0" w:line="333" w:lineRule="auto"/>
        <w:rPr>
          <w:sz w:val="20"/>
          <w:szCs w:val="20"/>
          <w:color w:val="auto"/>
        </w:rPr>
      </w:pPr>
      <w:r>
        <w:rPr>
          <w:rFonts w:ascii="Arial" w:cs="Arial" w:eastAsia="Arial" w:hAnsi="Arial"/>
          <w:sz w:val="15"/>
          <w:szCs w:val="15"/>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36" w:lineRule="exact"/>
        <w:rPr>
          <w:sz w:val="20"/>
          <w:szCs w:val="20"/>
          <w:color w:val="auto"/>
        </w:rPr>
      </w:pPr>
    </w:p>
    <w:p>
      <w:pPr>
        <w:ind w:right="260"/>
        <w:spacing w:after="0" w:line="303" w:lineRule="auto"/>
        <w:rPr>
          <w:sz w:val="20"/>
          <w:szCs w:val="20"/>
          <w:color w:val="auto"/>
        </w:rPr>
      </w:pPr>
      <w:r>
        <w:rPr>
          <w:rFonts w:ascii="Arial" w:cs="Arial" w:eastAsia="Arial" w:hAnsi="Arial"/>
          <w:sz w:val="17"/>
          <w:szCs w:val="17"/>
          <w:b w:val="1"/>
          <w:bCs w:val="1"/>
          <w:color w:val="auto"/>
        </w:rPr>
        <w:t>If we are unable to successfully transition our operations to 300mm wafer manufacturing processes, our results of operations, cash flows and financial condition could be adversely affected.</w:t>
      </w:r>
    </w:p>
    <w:p>
      <w:pPr>
        <w:sectPr>
          <w:pgSz w:w="11900" w:h="16838" w:orient="portrait"/>
          <w:cols w:equalWidth="0" w:num="1">
            <w:col w:w="11420"/>
          </w:cols>
          <w:pgMar w:left="240" w:top="125" w:right="239" w:bottom="0" w:gutter="0" w:footer="0" w:header="0"/>
        </w:sectPr>
      </w:pPr>
    </w:p>
    <w:bookmarkStart w:id="13" w:name="page14"/>
    <w:bookmarkEnd w:id="13"/>
    <w:p>
      <w:pPr>
        <w:ind w:firstLine="346"/>
        <w:spacing w:after="0" w:line="270" w:lineRule="auto"/>
        <w:rPr>
          <w:sz w:val="20"/>
          <w:szCs w:val="20"/>
          <w:color w:val="auto"/>
        </w:rPr>
      </w:pPr>
      <w:r>
        <w:rPr>
          <w:rFonts w:ascii="Arial" w:cs="Arial" w:eastAsia="Arial" w:hAnsi="Arial"/>
          <w:sz w:val="17"/>
          <w:szCs w:val="17"/>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transition to larger wafer sizes. If we are unable to successfully transition to 300mm wafer processing at the appropriate time, we could be at a cost disadvantage with respect to our competitors and our results of operations, cash flows and financial condition could be adversely affected.</w:t>
      </w:r>
    </w:p>
    <w:p>
      <w:pPr>
        <w:spacing w:after="0" w:line="180" w:lineRule="exact"/>
        <w:rPr>
          <w:sz w:val="20"/>
          <w:szCs w:val="20"/>
          <w:color w:val="auto"/>
        </w:rPr>
      </w:pPr>
    </w:p>
    <w:p>
      <w:pPr>
        <w:ind w:right="620"/>
        <w:spacing w:after="0" w:line="303" w:lineRule="auto"/>
        <w:rPr>
          <w:sz w:val="20"/>
          <w:szCs w:val="20"/>
          <w:color w:val="auto"/>
        </w:rPr>
      </w:pPr>
      <w:r>
        <w:rPr>
          <w:rFonts w:ascii="Arial" w:cs="Arial" w:eastAsia="Arial" w:hAnsi="Arial"/>
          <w:sz w:val="17"/>
          <w:szCs w:val="17"/>
          <w:b w:val="1"/>
          <w:bCs w:val="1"/>
          <w:color w:val="auto"/>
        </w:rPr>
        <w:t>We face risks associated with our international sales and operations that could adversely affect our results of operations, cash flows and financial condition.</w:t>
      </w:r>
    </w:p>
    <w:p>
      <w:pPr>
        <w:spacing w:after="0" w:line="158" w:lineRule="exact"/>
        <w:rPr>
          <w:sz w:val="20"/>
          <w:szCs w:val="20"/>
          <w:color w:val="auto"/>
        </w:rPr>
      </w:pPr>
    </w:p>
    <w:p>
      <w:pPr>
        <w:ind w:right="400" w:firstLine="349"/>
        <w:spacing w:after="0" w:line="329" w:lineRule="auto"/>
        <w:rPr>
          <w:sz w:val="20"/>
          <w:szCs w:val="20"/>
          <w:color w:val="auto"/>
        </w:rPr>
      </w:pPr>
      <w:r>
        <w:rPr>
          <w:rFonts w:ascii="Arial" w:cs="Arial" w:eastAsia="Arial" w:hAnsi="Arial"/>
          <w:sz w:val="16"/>
          <w:szCs w:val="16"/>
          <w:color w:val="auto"/>
        </w:rPr>
        <w:t>Sales to customers outside the United States approximated 57% of our consolidated net sales in the first quarter of 2003. In addition, we have or support manufacturing operations in Italy, Japan, Scotland and Singapore. Our international sales and operations are subject to a variety of risks, including:</w:t>
      </w:r>
    </w:p>
    <w:p>
      <w:pPr>
        <w:spacing w:after="0" w:line="154" w:lineRule="exact"/>
        <w:rPr>
          <w:sz w:val="20"/>
          <w:szCs w:val="20"/>
          <w:color w:val="auto"/>
        </w:rPr>
      </w:pPr>
    </w:p>
    <w:p>
      <w:pPr>
        <w:ind w:left="1080" w:hanging="53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currency fluctuations, export duties, changes to import and export regulations, and restrictions on the transfer of funds,</w:t>
      </w:r>
    </w:p>
    <w:p>
      <w:pPr>
        <w:spacing w:after="0" w:line="261" w:lineRule="exact"/>
        <w:rPr>
          <w:rFonts w:ascii="Arial" w:cs="Arial" w:eastAsia="Arial" w:hAnsi="Arial"/>
          <w:sz w:val="17"/>
          <w:szCs w:val="17"/>
          <w:color w:val="auto"/>
        </w:rPr>
      </w:pPr>
    </w:p>
    <w:p>
      <w:pPr>
        <w:ind w:left="1080" w:hanging="53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48" w:lineRule="exact"/>
        <w:rPr>
          <w:rFonts w:ascii="Arial" w:cs="Arial" w:eastAsia="Arial" w:hAnsi="Arial"/>
          <w:sz w:val="17"/>
          <w:szCs w:val="17"/>
          <w:color w:val="auto"/>
        </w:rPr>
      </w:pPr>
    </w:p>
    <w:p>
      <w:pPr>
        <w:ind w:left="1080" w:hanging="53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problems with the transportation or delivery of our products,</w:t>
      </w:r>
    </w:p>
    <w:p>
      <w:pPr>
        <w:spacing w:after="0" w:line="248" w:lineRule="exact"/>
        <w:rPr>
          <w:rFonts w:ascii="Arial" w:cs="Arial" w:eastAsia="Arial" w:hAnsi="Arial"/>
          <w:sz w:val="17"/>
          <w:szCs w:val="17"/>
          <w:color w:val="auto"/>
        </w:rPr>
      </w:pPr>
    </w:p>
    <w:p>
      <w:pPr>
        <w:ind w:left="1080" w:hanging="53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issues arising from cultural or language differences and labor unrest,</w:t>
      </w:r>
    </w:p>
    <w:p>
      <w:pPr>
        <w:spacing w:after="0" w:line="261" w:lineRule="exact"/>
        <w:rPr>
          <w:rFonts w:ascii="Arial" w:cs="Arial" w:eastAsia="Arial" w:hAnsi="Arial"/>
          <w:sz w:val="17"/>
          <w:szCs w:val="17"/>
          <w:color w:val="auto"/>
        </w:rPr>
      </w:pPr>
    </w:p>
    <w:p>
      <w:pPr>
        <w:ind w:left="1080" w:hanging="53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longer payment cycles and greater difficulty in collecting accounts receivable, and</w:t>
      </w:r>
    </w:p>
    <w:p>
      <w:pPr>
        <w:spacing w:after="0" w:line="248" w:lineRule="exact"/>
        <w:rPr>
          <w:rFonts w:ascii="Arial" w:cs="Arial" w:eastAsia="Arial" w:hAnsi="Arial"/>
          <w:sz w:val="17"/>
          <w:szCs w:val="17"/>
          <w:color w:val="auto"/>
        </w:rPr>
      </w:pPr>
    </w:p>
    <w:p>
      <w:pPr>
        <w:ind w:left="1080" w:hanging="53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compliance with trade and other laws in a variety of jurisdictions.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These factors may adversely affect our results of operations, cash flows and financial condition.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results of operations, cash flows and financial condition could be adversely affected.</w:t>
      </w:r>
    </w:p>
    <w:p>
      <w:pPr>
        <w:spacing w:after="0" w:line="241" w:lineRule="exact"/>
        <w:rPr>
          <w:sz w:val="20"/>
          <w:szCs w:val="20"/>
          <w:color w:val="auto"/>
        </w:rPr>
      </w:pPr>
    </w:p>
    <w:p>
      <w:pPr>
        <w:jc w:val="both"/>
        <w:ind w:right="140" w:firstLine="346"/>
        <w:spacing w:after="0" w:line="292"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in our supply of raw materials could adversely affect our results of operations, cash flows and financial position.</w:t>
      </w:r>
    </w:p>
    <w:p>
      <w:pPr>
        <w:spacing w:after="0" w:line="241" w:lineRule="exact"/>
        <w:rPr>
          <w:sz w:val="20"/>
          <w:szCs w:val="20"/>
          <w:color w:val="auto"/>
        </w:rPr>
      </w:pPr>
    </w:p>
    <w:p>
      <w:pPr>
        <w:ind w:right="160" w:firstLine="349"/>
        <w:spacing w:after="0" w:line="292"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pacing w:after="0" w:line="165" w:lineRule="exact"/>
        <w:rPr>
          <w:sz w:val="20"/>
          <w:szCs w:val="20"/>
          <w:color w:val="auto"/>
        </w:rPr>
      </w:pPr>
    </w:p>
    <w:p>
      <w:pPr>
        <w:ind w:right="260"/>
        <w:spacing w:after="0" w:line="337" w:lineRule="auto"/>
        <w:rPr>
          <w:sz w:val="20"/>
          <w:szCs w:val="20"/>
          <w:color w:val="auto"/>
        </w:rPr>
      </w:pPr>
      <w:r>
        <w:rPr>
          <w:rFonts w:ascii="Arial" w:cs="Arial" w:eastAsia="Arial" w:hAnsi="Arial"/>
          <w:sz w:val="16"/>
          <w:szCs w:val="16"/>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position.</w:t>
      </w:r>
    </w:p>
    <w:p>
      <w:pPr>
        <w:spacing w:after="0" w:line="135" w:lineRule="exact"/>
        <w:rPr>
          <w:sz w:val="20"/>
          <w:szCs w:val="20"/>
          <w:color w:val="auto"/>
        </w:rPr>
      </w:pPr>
    </w:p>
    <w:p>
      <w:pPr>
        <w:ind w:right="200" w:firstLine="349"/>
        <w:spacing w:after="0" w:line="274" w:lineRule="auto"/>
        <w:rPr>
          <w:sz w:val="20"/>
          <w:szCs w:val="20"/>
          <w:color w:val="auto"/>
        </w:rPr>
      </w:pPr>
      <w:r>
        <w:rPr>
          <w:rFonts w:ascii="Arial" w:cs="Arial" w:eastAsia="Arial" w:hAnsi="Arial"/>
          <w:sz w:val="17"/>
          <w:szCs w:val="17"/>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196" w:lineRule="exact"/>
        <w:rPr>
          <w:sz w:val="20"/>
          <w:szCs w:val="20"/>
          <w:color w:val="auto"/>
        </w:rPr>
      </w:pPr>
    </w:p>
    <w:p>
      <w:pPr>
        <w:ind w:left="1080" w:right="260" w:hanging="535"/>
        <w:spacing w:after="0" w:line="296"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need to replace product or otherwise compensate customers for costs incurred or damages caused by defective or incompatible product, and</w:t>
      </w:r>
    </w:p>
    <w:p>
      <w:pPr>
        <w:spacing w:after="0" w:line="189" w:lineRule="exact"/>
        <w:rPr>
          <w:rFonts w:ascii="Arial" w:cs="Arial" w:eastAsia="Arial" w:hAnsi="Arial"/>
          <w:sz w:val="17"/>
          <w:szCs w:val="17"/>
          <w:color w:val="auto"/>
        </w:rPr>
      </w:pPr>
    </w:p>
    <w:p>
      <w:pPr>
        <w:ind w:left="1080" w:hanging="535"/>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encounter adverse publicity, which could cause a decrease in sales of 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expect to make future acquisitions where advisable, which involve numerous risks.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our market position. Acquisitions involve numerous risks, including:</w:t>
      </w:r>
    </w:p>
    <w:p>
      <w:pPr>
        <w:spacing w:after="0" w:line="260" w:lineRule="exact"/>
        <w:rPr>
          <w:sz w:val="20"/>
          <w:szCs w:val="20"/>
          <w:color w:val="auto"/>
        </w:rPr>
      </w:pPr>
    </w:p>
    <w:p>
      <w:pPr>
        <w:ind w:left="1080" w:hanging="53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our exposure to changes in average selling prices for semiconductor memory products,</w:t>
      </w:r>
    </w:p>
    <w:p>
      <w:pPr>
        <w:spacing w:after="0" w:line="248" w:lineRule="exact"/>
        <w:rPr>
          <w:rFonts w:ascii="Arial" w:cs="Arial" w:eastAsia="Arial" w:hAnsi="Arial"/>
          <w:sz w:val="17"/>
          <w:szCs w:val="17"/>
          <w:color w:val="auto"/>
        </w:rPr>
      </w:pPr>
    </w:p>
    <w:p>
      <w:pPr>
        <w:ind w:left="1080" w:hanging="53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and products of the acquired companies,</w:t>
      </w:r>
    </w:p>
    <w:p>
      <w:pPr>
        <w:spacing w:after="0" w:line="261" w:lineRule="exact"/>
        <w:rPr>
          <w:rFonts w:ascii="Arial" w:cs="Arial" w:eastAsia="Arial" w:hAnsi="Arial"/>
          <w:sz w:val="17"/>
          <w:szCs w:val="17"/>
          <w:color w:val="auto"/>
        </w:rPr>
      </w:pPr>
    </w:p>
    <w:p>
      <w:pPr>
        <w:ind w:left="1080" w:hanging="53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capital expenditures to upgrade and maintain facilities,</w:t>
      </w:r>
    </w:p>
    <w:p>
      <w:pPr>
        <w:spacing w:after="0" w:line="248" w:lineRule="exact"/>
        <w:rPr>
          <w:rFonts w:ascii="Arial" w:cs="Arial" w:eastAsia="Arial" w:hAnsi="Arial"/>
          <w:sz w:val="17"/>
          <w:szCs w:val="17"/>
          <w:color w:val="auto"/>
        </w:rPr>
      </w:pPr>
    </w:p>
    <w:p>
      <w:pPr>
        <w:ind w:left="1080" w:hanging="53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debt to finance any acquisition,</w:t>
      </w:r>
    </w:p>
    <w:p>
      <w:pPr>
        <w:spacing w:after="0" w:line="248" w:lineRule="exact"/>
        <w:rPr>
          <w:rFonts w:ascii="Arial" w:cs="Arial" w:eastAsia="Arial" w:hAnsi="Arial"/>
          <w:sz w:val="17"/>
          <w:szCs w:val="17"/>
          <w:color w:val="auto"/>
        </w:rPr>
      </w:pPr>
    </w:p>
    <w:p>
      <w:pPr>
        <w:ind w:left="1080" w:hanging="53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diverting management's attention from normal daily operations,</w:t>
      </w:r>
    </w:p>
    <w:p>
      <w:pPr>
        <w:spacing w:after="0" w:line="261" w:lineRule="exact"/>
        <w:rPr>
          <w:rFonts w:ascii="Arial" w:cs="Arial" w:eastAsia="Arial" w:hAnsi="Arial"/>
          <w:sz w:val="17"/>
          <w:szCs w:val="17"/>
          <w:color w:val="auto"/>
        </w:rPr>
      </w:pPr>
    </w:p>
    <w:p>
      <w:pPr>
        <w:ind w:left="1080" w:hanging="53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managing larger operations and facilities and employees in separate geographic areas, and</w:t>
      </w:r>
    </w:p>
    <w:p>
      <w:pPr>
        <w:sectPr>
          <w:pgSz w:w="11900" w:h="16838" w:orient="portrait"/>
          <w:cols w:equalWidth="0" w:num="1">
            <w:col w:w="11400"/>
          </w:cols>
          <w:pgMar w:left="240" w:top="131" w:right="259" w:bottom="0" w:gutter="0" w:footer="0" w:header="0"/>
        </w:sectPr>
      </w:pPr>
    </w:p>
    <w:bookmarkStart w:id="14" w:name="page15"/>
    <w:bookmarkEnd w:id="14"/>
    <w:p>
      <w:pPr>
        <w:spacing w:after="0" w:line="10" w:lineRule="exact"/>
        <w:rPr>
          <w:sz w:val="20"/>
          <w:szCs w:val="20"/>
          <w:color w:val="auto"/>
        </w:rPr>
      </w:pPr>
    </w:p>
    <w:p>
      <w:pPr>
        <w:ind w:left="1080" w:hanging="535"/>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hiring and retaining key employees.</w:t>
      </w:r>
    </w:p>
    <w:p>
      <w:pPr>
        <w:spacing w:after="0" w:line="235" w:lineRule="exact"/>
        <w:rPr>
          <w:sz w:val="20"/>
          <w:szCs w:val="20"/>
          <w:color w:val="auto"/>
        </w:rPr>
      </w:pPr>
    </w:p>
    <w:p>
      <w:pPr>
        <w:ind w:right="360" w:firstLine="349"/>
        <w:spacing w:after="0" w:line="296" w:lineRule="auto"/>
        <w:rPr>
          <w:sz w:val="20"/>
          <w:szCs w:val="20"/>
          <w:color w:val="auto"/>
        </w:rPr>
      </w:pPr>
      <w:r>
        <w:rPr>
          <w:rFonts w:ascii="Arial" w:cs="Arial" w:eastAsia="Arial" w:hAnsi="Arial"/>
          <w:sz w:val="17"/>
          <w:szCs w:val="17"/>
          <w:color w:val="auto"/>
        </w:rPr>
        <w:t>Mergers and acquisitions of high-technology companies are inherently risky, and future acquisitions may not be successful and may materially adversely affect our results of operations, cash flows or financial condition.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1" w:lineRule="exact"/>
        <w:rPr>
          <w:sz w:val="20"/>
          <w:szCs w:val="20"/>
          <w:color w:val="auto"/>
        </w:rPr>
      </w:pPr>
    </w:p>
    <w:p>
      <w:pPr>
        <w:ind w:firstLine="349"/>
        <w:spacing w:after="0" w:line="286" w:lineRule="auto"/>
        <w:rPr>
          <w:sz w:val="20"/>
          <w:szCs w:val="20"/>
          <w:color w:val="auto"/>
        </w:rPr>
      </w:pPr>
      <w:r>
        <w:rPr>
          <w:rFonts w:ascii="Arial" w:cs="Arial" w:eastAsia="Arial" w:hAnsi="Arial"/>
          <w:sz w:val="16"/>
          <w:szCs w:val="16"/>
          <w:color w:val="auto"/>
        </w:rPr>
        <w:t>Substantially all of the Company's liquid investments and debt are at fixed interest rates; therefore, the fair value of these instruments is affected by changes in market interest rates. The Company believes that the market risk arising from its holdings of liquid investments is minimal as the majority of the Company's investments mature within one year. The carrying value of the Company's debt was $436 million at November 28, 2002, and $454 million at August 29, 2002. The functional currency for substantially all of the Company's operations is the U.S. dollar. The Company held aggregate cash and other assets in foreign currency valued at approximately U.S. $204 million as of November 28, 2002, and U.S. $220 million as of August 29, 2002 (including deferred tax assets denominated in Japanese Yen valued at approximately U.S. $145 million as of November 28, 2002 and U.S. $165 million as of August 29, 2002). The Company also held aggregate foreign currency liabilities valued at approximately U.S. $456 million as of November 28, 2002, and U.S. $434 million as of August 29, 2002, (including debt denominated in Japanese Yen valued at approximately U.S. $197 million as of November 28, 2002, and U.S. $233 million as of August 29, 2002). Foreign currency receivables and payables are comprised primarily of Japanese Yen, Euros, Singapore Dollars and British Pounds.</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1" w:lineRule="exact"/>
        <w:rPr>
          <w:sz w:val="20"/>
          <w:szCs w:val="20"/>
          <w:color w:val="auto"/>
        </w:rPr>
      </w:pPr>
    </w:p>
    <w:p>
      <w:pPr>
        <w:ind w:right="100" w:firstLine="340"/>
        <w:spacing w:after="0" w:line="270" w:lineRule="auto"/>
        <w:rPr>
          <w:sz w:val="20"/>
          <w:szCs w:val="20"/>
          <w:color w:val="auto"/>
        </w:rPr>
      </w:pPr>
      <w:r>
        <w:rPr>
          <w:rFonts w:ascii="Arial" w:cs="Arial" w:eastAsia="Arial" w:hAnsi="Arial"/>
          <w:sz w:val="17"/>
          <w:szCs w:val="17"/>
          <w:color w:val="auto"/>
        </w:rPr>
        <w:t>As of a date within the 90-day period prior to the filing date of this report, 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Based upon that evaluation, the Chief Executive Officer and Chief Financial Officer concluded that those disclosure controls and procedures were adequate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86" w:lineRule="exact"/>
        <w:rPr>
          <w:sz w:val="20"/>
          <w:szCs w:val="20"/>
          <w:color w:val="auto"/>
        </w:rPr>
      </w:pPr>
    </w:p>
    <w:p>
      <w:pPr>
        <w:ind w:right="40" w:firstLine="346"/>
        <w:spacing w:after="0" w:line="329" w:lineRule="auto"/>
        <w:rPr>
          <w:sz w:val="20"/>
          <w:szCs w:val="20"/>
          <w:color w:val="auto"/>
        </w:rPr>
      </w:pPr>
      <w:r>
        <w:rPr>
          <w:rFonts w:ascii="Arial" w:cs="Arial" w:eastAsia="Arial" w:hAnsi="Arial"/>
          <w:sz w:val="16"/>
          <w:szCs w:val="16"/>
          <w:color w:val="auto"/>
        </w:rPr>
        <w:t>There were no significant changes in the Company's internal controls or in other factors that could significantly affect these controls subsequent to the date of their evaluation. There were no significant deficiencies or material weaknesses noted during the evaluation, and therefore no corrective actions were taken.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II.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41" w:lineRule="exact"/>
        <w:rPr>
          <w:sz w:val="20"/>
          <w:szCs w:val="20"/>
          <w:color w:val="auto"/>
        </w:rPr>
      </w:pPr>
    </w:p>
    <w:p>
      <w:pPr>
        <w:ind w:right="20" w:firstLine="349"/>
        <w:spacing w:after="0" w:line="282" w:lineRule="auto"/>
        <w:rPr>
          <w:sz w:val="20"/>
          <w:szCs w:val="20"/>
          <w:color w:val="auto"/>
        </w:rPr>
      </w:pPr>
      <w:r>
        <w:rPr>
          <w:rFonts w:ascii="Arial" w:cs="Arial" w:eastAsia="Arial" w:hAnsi="Arial"/>
          <w:sz w:val="16"/>
          <w:szCs w:val="16"/>
          <w:color w:val="auto"/>
        </w:rPr>
        <w:t>On August 28, 2000, the Company filed a declaratory judgment action against Rambus, Inc. ("Rambus") in U.S. District Court for the District of Delaware. On February 1, 2001, the Company amended its complaint. Pursuant to its amended complaint, the Company is seeking (1) relief under the federal antitrust laws for violations by Rambus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because of its conduct in the Joint Electron Device Engineering Council,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denying the Company is entitled to relief and alleging infringement of eight Rambus patents subject to the Company's declaratory judgment action.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products infringe the Italian counterpart to European patent 525 068, and seeking the seizure of certain materials and the entry of a preliminary injunction as to products manufactured at the Company's Avezzano, Italy, site. On December 21, 2000, an appeals panel of the Court of Monza held that the Monza trial court had no jurisdiction to adjudicate the seizure matter. The Monza trial court ordered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The Company is unable to predict the outcome of these suits.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5" w:lineRule="exact"/>
        <w:rPr>
          <w:sz w:val="20"/>
          <w:szCs w:val="20"/>
          <w:color w:val="auto"/>
        </w:rPr>
      </w:pPr>
    </w:p>
    <w:p>
      <w:pPr>
        <w:ind w:right="20" w:firstLine="349"/>
        <w:spacing w:after="0" w:line="280"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as part of an investigation by the Antitrust Division of the U.S. Department of Justice ("DOJ") regarding possible antitrust violations in the semiconductor memory market known as the "Dynamic Random Access Memory" or "DRAM" industry. The Company is</w:t>
      </w:r>
    </w:p>
    <w:p>
      <w:pPr>
        <w:sectPr>
          <w:pgSz w:w="11900" w:h="16849" w:orient="portrait"/>
          <w:cols w:equalWidth="0" w:num="1">
            <w:col w:w="11400"/>
          </w:cols>
          <w:pgMar w:left="240" w:top="145" w:right="25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49" w:orient="portrait"/>
          <w:cols w:equalWidth="0" w:num="1">
            <w:col w:w="11400"/>
          </w:cols>
          <w:pgMar w:left="240" w:top="145" w:right="259" w:bottom="0" w:gutter="0" w:footer="0" w:header="0"/>
          <w:type w:val="continuous"/>
        </w:sectPr>
      </w:pPr>
    </w:p>
    <w:bookmarkStart w:id="15" w:name="page16"/>
    <w:bookmarkEnd w:id="1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1065" cy="19050"/>
                    </a:xfrm>
                    <a:prstGeom prst="rect">
                      <a:avLst/>
                    </a:prstGeom>
                    <a:noFill/>
                  </pic:spPr>
                </pic:pic>
              </a:graphicData>
            </a:graphic>
          </wp:anchor>
        </w:drawing>
        <w:t>cooperating fully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damages in unspecified amounts, costs, attorneys' fees, and an injunction against the allegedly unlawful conduct. On September 26, 2002, the Judicial Panel on Multi-District Litigation ("JPML") held a hearing and subsequently ordered that the foregoing federal cases be transferred to the U.S. District Court for the Northern District of California (San Francisco) for coordinated or consolidated pretrial proceedings. Seven additional cases were filed between August 2, 2002 and October 30, 2002 in the following California state superior courts: four in San Francisco County, one in Santa Clara County, one in Los Angeles County, and one in Humbolt County. Each of the California state cases purports to be on behalf of a class of individuals and entities who indirectly purchased DRAM during a specified time period commencing December 1, 2001. The complaints allege violations of California's Cartwright Act and Unfair Competition Law and unjust enrichment and seek treble damages in unspecified amounts, restitution, costs, attorneys' fees, and an injunction against the allegedly unlawful conduct. In response to a petition filed by one of the plaintiffs, a judge appointed by the Judicial Council of California subsequently ordered that the foregoing state cases be coordinated for pretrial purposes and recommended that they be transferred to San Francisco County Superior Court for coordinated or consolidated pretrial proceedings.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A court determination that the Company has violated federal or state antitrust laws could result in significant liability and could have a material adverse effect on the Company's results of operations and financial condition.</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Shareholders</w:t>
      </w:r>
    </w:p>
    <w:p>
      <w:pPr>
        <w:spacing w:after="0" w:line="241" w:lineRule="exact"/>
        <w:rPr>
          <w:sz w:val="20"/>
          <w:szCs w:val="20"/>
          <w:color w:val="auto"/>
        </w:rPr>
      </w:pPr>
    </w:p>
    <w:p>
      <w:pPr>
        <w:ind w:right="140" w:firstLine="346"/>
        <w:spacing w:after="0" w:line="296" w:lineRule="auto"/>
        <w:rPr>
          <w:sz w:val="20"/>
          <w:szCs w:val="20"/>
          <w:color w:val="auto"/>
        </w:rPr>
      </w:pPr>
      <w:r>
        <w:rPr>
          <w:rFonts w:ascii="Arial" w:cs="Arial" w:eastAsia="Arial" w:hAnsi="Arial"/>
          <w:sz w:val="17"/>
          <w:szCs w:val="17"/>
          <w:color w:val="auto"/>
        </w:rPr>
        <w:t>The registrant's 2002 Annual Meeting of Shareholders was held on November 26, 2002. At the meeting, the following items were submitted to a vote of the shareholders:</w:t>
      </w:r>
    </w:p>
    <w:p>
      <w:pPr>
        <w:spacing w:after="0" w:line="177" w:lineRule="exact"/>
        <w:rPr>
          <w:sz w:val="20"/>
          <w:szCs w:val="20"/>
          <w:color w:val="auto"/>
        </w:rPr>
      </w:pPr>
    </w:p>
    <w:p>
      <w:pPr>
        <w:ind w:left="1080" w:right="180" w:hanging="535"/>
        <w:spacing w:after="0" w:line="29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nominees for Directors were elected. Each person elected as a Director will serve until the next annual meeting of shareholders or until such person's successor is elected and qualified.</w:t>
      </w:r>
    </w:p>
    <w:p>
      <w:pPr>
        <w:spacing w:after="0" w:line="399"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473"/>
              <w:spacing w:after="0"/>
              <w:rPr>
                <w:sz w:val="20"/>
                <w:szCs w:val="20"/>
                <w:color w:val="auto"/>
              </w:rPr>
            </w:pPr>
            <w:r>
              <w:rPr>
                <w:rFonts w:ascii="Arial" w:cs="Arial" w:eastAsia="Arial" w:hAnsi="Arial"/>
                <w:sz w:val="13"/>
                <w:szCs w:val="13"/>
                <w:b w:val="1"/>
                <w:bCs w:val="1"/>
                <w:color w:val="auto"/>
              </w:rPr>
              <w:t>Votes</w:t>
            </w:r>
          </w:p>
        </w:tc>
        <w:tc>
          <w:tcPr>
            <w:tcW w:w="240" w:type="dxa"/>
            <w:vAlign w:val="bottom"/>
          </w:tcPr>
          <w:p>
            <w:pPr>
              <w:spacing w:after="0"/>
              <w:rPr>
                <w:sz w:val="12"/>
                <w:szCs w:val="12"/>
                <w:color w:val="auto"/>
              </w:rPr>
            </w:pPr>
          </w:p>
        </w:tc>
        <w:tc>
          <w:tcPr>
            <w:tcW w:w="1600" w:type="dxa"/>
            <w:vAlign w:val="bottom"/>
          </w:tcPr>
          <w:p>
            <w:pPr>
              <w:jc w:val="right"/>
              <w:ind w:right="433"/>
              <w:spacing w:after="0"/>
              <w:rPr>
                <w:sz w:val="20"/>
                <w:szCs w:val="20"/>
                <w:color w:val="auto"/>
              </w:rPr>
            </w:pPr>
            <w:r>
              <w:rPr>
                <w:rFonts w:ascii="Arial" w:cs="Arial" w:eastAsia="Arial" w:hAnsi="Arial"/>
                <w:sz w:val="13"/>
                <w:szCs w:val="13"/>
                <w:b w:val="1"/>
                <w:bCs w:val="1"/>
                <w:color w:val="auto"/>
              </w:rPr>
              <w:t>Votes Cast</w:t>
            </w:r>
          </w:p>
        </w:tc>
        <w:tc>
          <w:tcPr>
            <w:tcW w:w="0" w:type="dxa"/>
            <w:vAlign w:val="bottom"/>
          </w:tcPr>
          <w:p>
            <w:pPr>
              <w:spacing w:after="0"/>
              <w:rPr>
                <w:sz w:val="1"/>
                <w:szCs w:val="1"/>
                <w:color w:val="auto"/>
              </w:rPr>
            </w:pPr>
          </w:p>
        </w:tc>
      </w:tr>
      <w:tr>
        <w:trPr>
          <w:trHeight w:val="174"/>
        </w:trPr>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Name of Nominee</w:t>
            </w:r>
          </w:p>
        </w:tc>
        <w:tc>
          <w:tcPr>
            <w:tcW w:w="240" w:type="dxa"/>
            <w:vAlign w:val="bottom"/>
          </w:tcPr>
          <w:p>
            <w:pPr>
              <w:spacing w:after="0"/>
              <w:rPr>
                <w:sz w:val="15"/>
                <w:szCs w:val="15"/>
                <w:color w:val="auto"/>
              </w:rPr>
            </w:pPr>
          </w:p>
        </w:tc>
        <w:tc>
          <w:tcPr>
            <w:tcW w:w="1380" w:type="dxa"/>
            <w:vAlign w:val="bottom"/>
          </w:tcPr>
          <w:p>
            <w:pPr>
              <w:jc w:val="right"/>
              <w:ind w:right="373"/>
              <w:spacing w:after="0"/>
              <w:rPr>
                <w:sz w:val="20"/>
                <w:szCs w:val="20"/>
                <w:color w:val="auto"/>
              </w:rPr>
            </w:pPr>
            <w:r>
              <w:rPr>
                <w:rFonts w:ascii="Arial" w:cs="Arial" w:eastAsia="Arial" w:hAnsi="Arial"/>
                <w:sz w:val="13"/>
                <w:szCs w:val="13"/>
                <w:b w:val="1"/>
                <w:bCs w:val="1"/>
                <w:color w:val="auto"/>
              </w:rPr>
              <w:t>Cast For</w:t>
            </w:r>
          </w:p>
        </w:tc>
        <w:tc>
          <w:tcPr>
            <w:tcW w:w="240" w:type="dxa"/>
            <w:vAlign w:val="bottom"/>
          </w:tcPr>
          <w:p>
            <w:pPr>
              <w:spacing w:after="0"/>
              <w:rPr>
                <w:sz w:val="15"/>
                <w:szCs w:val="15"/>
                <w:color w:val="auto"/>
              </w:rPr>
            </w:pPr>
          </w:p>
        </w:tc>
        <w:tc>
          <w:tcPr>
            <w:tcW w:w="1600" w:type="dxa"/>
            <w:vAlign w:val="bottom"/>
          </w:tcPr>
          <w:p>
            <w:pPr>
              <w:jc w:val="right"/>
              <w:ind w:right="233"/>
              <w:spacing w:after="0"/>
              <w:rPr>
                <w:sz w:val="20"/>
                <w:szCs w:val="20"/>
                <w:color w:val="auto"/>
              </w:rPr>
            </w:pPr>
            <w:r>
              <w:rPr>
                <w:rFonts w:ascii="Arial" w:cs="Arial" w:eastAsia="Arial" w:hAnsi="Arial"/>
                <w:sz w:val="13"/>
                <w:szCs w:val="13"/>
                <w:b w:val="1"/>
                <w:bCs w:val="1"/>
                <w:color w:val="auto"/>
              </w:rPr>
              <w:t>Against/Withheld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Steven R. Appleton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492,482,922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52,815,219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James W. Bagley</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537,485,181</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7,812,960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Robert A. Lothrop</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487,339,677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57,958,464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Thomas T. Nicholson</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487,438,419</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57,859,722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Don J. Simplot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486,993,276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58,304,865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Gordon C. Smith</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487,208,152</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58,089,989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William P. Weber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487,529,510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57,768,631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-1036320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-1036320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-1036320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-1036320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-1036320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-1036320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14" w:lineRule="exact"/>
        <w:rPr>
          <w:sz w:val="20"/>
          <w:szCs w:val="20"/>
          <w:color w:val="auto"/>
        </w:rPr>
      </w:pPr>
    </w:p>
    <w:p>
      <w:pPr>
        <w:ind w:left="1080" w:hanging="535"/>
        <w:spacing w:after="0" w:line="280"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proposal by the Company to approve an amendment to the Company's 1989 Employee Stock Purchase Plan increasing the number of shares of Common Stock reserved for issuance thereunder by 2,000,000 was approved with 535,461,521 votes in favor, 6,862,070 votes against, 2,974,550 abstentions and 0 broker non-votes.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80" w:right="200" w:hanging="535"/>
        <w:spacing w:after="0" w:line="280"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proposal by the Company to approve an amendment to the Company's 2001 Stock Option Plan increasing the number of shares of Common Stock reserved for issuance thereunder by 20,000,000 was approved with 343,145,174 votes in favor, 198,699,883 votes against, 3,453,084 abstentions and 0 broker non-votes.</w:t>
      </w:r>
    </w:p>
    <w:p>
      <w:pPr>
        <w:spacing w:after="0" w:line="189" w:lineRule="exact"/>
        <w:rPr>
          <w:rFonts w:ascii="Arial" w:cs="Arial" w:eastAsia="Arial" w:hAnsi="Arial"/>
          <w:sz w:val="17"/>
          <w:szCs w:val="17"/>
          <w:color w:val="auto"/>
        </w:rPr>
      </w:pPr>
    </w:p>
    <w:p>
      <w:pPr>
        <w:ind w:left="1080" w:right="280" w:hanging="535"/>
        <w:spacing w:after="0" w:line="367"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ratification and appointment of PricewaterhouseCoopers LLP as independent public accountants of the Company for the fiscal year ending August 28, 2003, was approved with 476,912,875 votes in favor, 65,174,856 votes against, 3,210,410 abstentions and 0 broker non-votes.</w:t>
      </w:r>
    </w:p>
    <w:p>
      <w:pPr>
        <w:spacing w:after="0" w:line="144" w:lineRule="exact"/>
        <w:rPr>
          <w:rFonts w:ascii="Arial" w:cs="Arial" w:eastAsia="Arial" w:hAnsi="Arial"/>
          <w:sz w:val="15"/>
          <w:szCs w:val="15"/>
          <w:color w:val="auto"/>
        </w:rPr>
      </w:pPr>
    </w:p>
    <w:p>
      <w:pPr>
        <w:ind w:left="1080" w:right="440" w:hanging="535"/>
        <w:spacing w:after="0" w:line="296"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proposal by a shareholder regarding the election of directors to the Company's Board was not approved with 101,708,441 votes in favor, 320,394,191 votes against, 29,474,088 abstentions and 93,721,421 broker non-votes.</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 and Reports on Form 8-K</w:t>
      </w:r>
    </w:p>
    <w:p>
      <w:pPr>
        <w:spacing w:after="0" w:line="254" w:lineRule="exact"/>
        <w:rPr>
          <w:sz w:val="20"/>
          <w:szCs w:val="20"/>
          <w:color w:val="auto"/>
        </w:rPr>
      </w:pPr>
    </w:p>
    <w:p>
      <w:pPr>
        <w:ind w:left="1080" w:hanging="535"/>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are filed as a part of this report:</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jc w:val="right"/>
              <w:ind w:right="137"/>
              <w:spacing w:after="0"/>
              <w:rPr>
                <w:sz w:val="20"/>
                <w:szCs w:val="20"/>
                <w:color w:val="auto"/>
              </w:rPr>
            </w:pPr>
            <w:r>
              <w:rPr>
                <w:rFonts w:ascii="Arial" w:cs="Arial" w:eastAsia="Arial" w:hAnsi="Arial"/>
                <w:sz w:val="13"/>
                <w:szCs w:val="13"/>
                <w:b w:val="1"/>
                <w:bCs w:val="1"/>
                <w:color w:val="auto"/>
              </w:rPr>
              <w:t>Exhibit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80" w:type="dxa"/>
            <w:vAlign w:val="bottom"/>
          </w:tcPr>
          <w:p>
            <w:pPr>
              <w:spacing w:after="0"/>
              <w:rPr>
                <w:sz w:val="12"/>
                <w:szCs w:val="12"/>
                <w:color w:val="auto"/>
              </w:rPr>
            </w:pPr>
          </w:p>
        </w:tc>
      </w:tr>
      <w:tr>
        <w:trPr>
          <w:trHeight w:val="174"/>
        </w:trPr>
        <w:tc>
          <w:tcPr>
            <w:tcW w:w="900" w:type="dxa"/>
            <w:vAlign w:val="bottom"/>
          </w:tcPr>
          <w:p>
            <w:pPr>
              <w:jc w:val="right"/>
              <w:ind w:right="117"/>
              <w:spacing w:after="0"/>
              <w:rPr>
                <w:sz w:val="20"/>
                <w:szCs w:val="20"/>
                <w:color w:val="auto"/>
              </w:rPr>
            </w:pPr>
            <w:r>
              <w:rPr>
                <w:rFonts w:ascii="Arial" w:cs="Arial" w:eastAsia="Arial" w:hAnsi="Arial"/>
                <w:sz w:val="13"/>
                <w:szCs w:val="13"/>
                <w:b w:val="1"/>
                <w:bCs w:val="1"/>
                <w:color w:val="auto"/>
              </w:rPr>
              <w:t>Number</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80" w:type="dxa"/>
            <w:vAlign w:val="bottom"/>
          </w:tcPr>
          <w:p>
            <w:pPr>
              <w:ind w:left="2920"/>
              <w:spacing w:after="0"/>
              <w:rPr>
                <w:sz w:val="20"/>
                <w:szCs w:val="20"/>
                <w:color w:val="auto"/>
              </w:rPr>
            </w:pPr>
            <w:r>
              <w:rPr>
                <w:rFonts w:ascii="Arial" w:cs="Arial" w:eastAsia="Arial" w:hAnsi="Arial"/>
                <w:sz w:val="13"/>
                <w:szCs w:val="13"/>
                <w:b w:val="1"/>
                <w:bCs w:val="1"/>
                <w:color w:val="auto"/>
              </w:rPr>
              <w:t>Description of Exhibit</w:t>
            </w:r>
          </w:p>
        </w:tc>
      </w:tr>
      <w:tr>
        <w:trPr>
          <w:trHeight w:val="105"/>
        </w:trPr>
        <w:tc>
          <w:tcPr>
            <w:tcW w:w="9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840" w:type="dxa"/>
            <w:vAlign w:val="bottom"/>
            <w:tcBorders>
              <w:bottom w:val="single" w:sz="8" w:color="808080"/>
            </w:tcBorders>
            <w:gridSpan w:val="2"/>
          </w:tcPr>
          <w:p>
            <w:pPr>
              <w:spacing w:after="0"/>
              <w:rPr>
                <w:sz w:val="9"/>
                <w:szCs w:val="9"/>
                <w:color w:val="auto"/>
              </w:rPr>
            </w:pPr>
          </w:p>
        </w:tc>
      </w:tr>
      <w:tr>
        <w:trPr>
          <w:trHeight w:val="311"/>
        </w:trPr>
        <w:tc>
          <w:tcPr>
            <w:tcW w:w="900" w:type="dxa"/>
            <w:vAlign w:val="bottom"/>
          </w:tcPr>
          <w:p>
            <w:pPr>
              <w:jc w:val="right"/>
              <w:ind w:right="337"/>
              <w:spacing w:after="0"/>
              <w:rPr>
                <w:sz w:val="20"/>
                <w:szCs w:val="20"/>
                <w:color w:val="auto"/>
              </w:rPr>
            </w:pPr>
            <w:r>
              <w:rPr>
                <w:rFonts w:ascii="Arial" w:cs="Arial" w:eastAsia="Arial" w:hAnsi="Arial"/>
                <w:sz w:val="17"/>
                <w:szCs w:val="17"/>
                <w:color w:val="auto"/>
                <w:w w:val="88"/>
              </w:rPr>
              <w:t>10.112</w:t>
            </w:r>
          </w:p>
        </w:tc>
        <w:tc>
          <w:tcPr>
            <w:tcW w:w="8120" w:type="dxa"/>
            <w:vAlign w:val="bottom"/>
            <w:gridSpan w:val="3"/>
          </w:tcPr>
          <w:p>
            <w:pPr>
              <w:ind w:left="280"/>
              <w:spacing w:after="0"/>
              <w:rPr>
                <w:sz w:val="20"/>
                <w:szCs w:val="20"/>
                <w:color w:val="auto"/>
              </w:rPr>
            </w:pPr>
            <w:r>
              <w:rPr>
                <w:rFonts w:ascii="Arial" w:cs="Arial" w:eastAsia="Arial" w:hAnsi="Arial"/>
                <w:sz w:val="17"/>
                <w:szCs w:val="17"/>
                <w:color w:val="auto"/>
              </w:rPr>
              <w:t>Forms of Severance Agreement (1)</w:t>
            </w:r>
          </w:p>
        </w:tc>
      </w:tr>
      <w:tr>
        <w:trPr>
          <w:trHeight w:val="215"/>
        </w:trPr>
        <w:tc>
          <w:tcPr>
            <w:tcW w:w="900" w:type="dxa"/>
            <w:vAlign w:val="bottom"/>
          </w:tcPr>
          <w:p>
            <w:pPr>
              <w:jc w:val="right"/>
              <w:ind w:right="337"/>
              <w:spacing w:after="0"/>
              <w:rPr>
                <w:sz w:val="20"/>
                <w:szCs w:val="20"/>
                <w:color w:val="auto"/>
              </w:rPr>
            </w:pPr>
            <w:r>
              <w:rPr>
                <w:rFonts w:ascii="Arial" w:cs="Arial" w:eastAsia="Arial" w:hAnsi="Arial"/>
                <w:sz w:val="17"/>
                <w:szCs w:val="17"/>
                <w:color w:val="auto"/>
                <w:w w:val="88"/>
              </w:rPr>
              <w:t>10.120</w:t>
            </w:r>
          </w:p>
        </w:tc>
        <w:tc>
          <w:tcPr>
            <w:tcW w:w="8120" w:type="dxa"/>
            <w:vAlign w:val="bottom"/>
            <w:gridSpan w:val="3"/>
          </w:tcPr>
          <w:p>
            <w:pPr>
              <w:ind w:left="280"/>
              <w:spacing w:after="0"/>
              <w:rPr>
                <w:sz w:val="20"/>
                <w:szCs w:val="20"/>
                <w:color w:val="auto"/>
              </w:rPr>
            </w:pPr>
            <w:r>
              <w:rPr>
                <w:rFonts w:ascii="Arial" w:cs="Arial" w:eastAsia="Arial" w:hAnsi="Arial"/>
                <w:sz w:val="17"/>
                <w:szCs w:val="17"/>
                <w:color w:val="auto"/>
                <w:w w:val="99"/>
              </w:rPr>
              <w:t>Forms of Agreement and Amendment to Severance Agreement between the Company and its Executive</w:t>
            </w:r>
          </w:p>
        </w:tc>
      </w:tr>
      <w:tr>
        <w:trPr>
          <w:trHeight w:val="215"/>
        </w:trPr>
        <w:tc>
          <w:tcPr>
            <w:tcW w:w="900" w:type="dxa"/>
            <w:vAlign w:val="bottom"/>
          </w:tcPr>
          <w:p>
            <w:pPr>
              <w:spacing w:after="0"/>
              <w:rPr>
                <w:sz w:val="18"/>
                <w:szCs w:val="18"/>
                <w:color w:val="auto"/>
              </w:rPr>
            </w:pPr>
          </w:p>
        </w:tc>
        <w:tc>
          <w:tcPr>
            <w:tcW w:w="8120" w:type="dxa"/>
            <w:vAlign w:val="bottom"/>
            <w:gridSpan w:val="3"/>
          </w:tcPr>
          <w:p>
            <w:pPr>
              <w:ind w:left="280"/>
              <w:spacing w:after="0"/>
              <w:rPr>
                <w:sz w:val="20"/>
                <w:szCs w:val="20"/>
                <w:color w:val="auto"/>
              </w:rPr>
            </w:pPr>
            <w:r>
              <w:rPr>
                <w:rFonts w:ascii="Arial" w:cs="Arial" w:eastAsia="Arial" w:hAnsi="Arial"/>
                <w:sz w:val="17"/>
                <w:szCs w:val="17"/>
                <w:color w:val="auto"/>
              </w:rPr>
              <w:t>Officers (2)</w:t>
            </w:r>
          </w:p>
        </w:tc>
      </w:tr>
      <w:tr>
        <w:trPr>
          <w:trHeight w:val="215"/>
        </w:trPr>
        <w:tc>
          <w:tcPr>
            <w:tcW w:w="900" w:type="dxa"/>
            <w:vAlign w:val="bottom"/>
          </w:tcPr>
          <w:p>
            <w:pPr>
              <w:jc w:val="right"/>
              <w:ind w:right="337"/>
              <w:spacing w:after="0"/>
              <w:rPr>
                <w:sz w:val="20"/>
                <w:szCs w:val="20"/>
                <w:color w:val="auto"/>
              </w:rPr>
            </w:pPr>
            <w:r>
              <w:rPr>
                <w:rFonts w:ascii="Arial" w:cs="Arial" w:eastAsia="Arial" w:hAnsi="Arial"/>
                <w:sz w:val="17"/>
                <w:szCs w:val="17"/>
                <w:color w:val="auto"/>
                <w:w w:val="88"/>
              </w:rPr>
              <w:t>10.128</w:t>
            </w:r>
          </w:p>
        </w:tc>
        <w:tc>
          <w:tcPr>
            <w:tcW w:w="8120" w:type="dxa"/>
            <w:vAlign w:val="bottom"/>
            <w:gridSpan w:val="3"/>
          </w:tcPr>
          <w:p>
            <w:pPr>
              <w:ind w:left="280"/>
              <w:spacing w:after="0"/>
              <w:rPr>
                <w:sz w:val="20"/>
                <w:szCs w:val="20"/>
                <w:color w:val="auto"/>
              </w:rPr>
            </w:pPr>
            <w:r>
              <w:rPr>
                <w:rFonts w:ascii="Arial" w:cs="Arial" w:eastAsia="Arial" w:hAnsi="Arial"/>
                <w:sz w:val="17"/>
                <w:szCs w:val="17"/>
                <w:color w:val="auto"/>
              </w:rPr>
              <w:t>Nonstatutory Stock Option Plan, as amended</w:t>
            </w:r>
          </w:p>
        </w:tc>
      </w:tr>
      <w:tr>
        <w:trPr>
          <w:trHeight w:val="215"/>
        </w:trPr>
        <w:tc>
          <w:tcPr>
            <w:tcW w:w="900" w:type="dxa"/>
            <w:vAlign w:val="bottom"/>
          </w:tcPr>
          <w:p>
            <w:pPr>
              <w:jc w:val="right"/>
              <w:ind w:right="337"/>
              <w:spacing w:after="0"/>
              <w:rPr>
                <w:sz w:val="20"/>
                <w:szCs w:val="20"/>
                <w:color w:val="auto"/>
              </w:rPr>
            </w:pPr>
            <w:r>
              <w:rPr>
                <w:rFonts w:ascii="Arial" w:cs="Arial" w:eastAsia="Arial" w:hAnsi="Arial"/>
                <w:sz w:val="17"/>
                <w:szCs w:val="17"/>
                <w:color w:val="auto"/>
                <w:w w:val="88"/>
              </w:rPr>
              <w:t>10.129</w:t>
            </w:r>
          </w:p>
        </w:tc>
        <w:tc>
          <w:tcPr>
            <w:tcW w:w="640" w:type="dxa"/>
            <w:vAlign w:val="bottom"/>
            <w:gridSpan w:val="2"/>
          </w:tcPr>
          <w:p>
            <w:pPr>
              <w:ind w:left="280"/>
              <w:spacing w:after="0"/>
              <w:rPr>
                <w:sz w:val="20"/>
                <w:szCs w:val="20"/>
                <w:color w:val="auto"/>
              </w:rPr>
            </w:pPr>
            <w:r>
              <w:rPr>
                <w:rFonts w:ascii="Arial" w:cs="Arial" w:eastAsia="Arial" w:hAnsi="Arial"/>
                <w:sz w:val="17"/>
                <w:szCs w:val="17"/>
                <w:color w:val="auto"/>
                <w:w w:val="89"/>
              </w:rPr>
              <w:t>1997</w:t>
            </w:r>
          </w:p>
        </w:tc>
        <w:tc>
          <w:tcPr>
            <w:tcW w:w="7480" w:type="dxa"/>
            <w:vAlign w:val="bottom"/>
          </w:tcPr>
          <w:p>
            <w:pPr>
              <w:ind w:left="40"/>
              <w:spacing w:after="0"/>
              <w:rPr>
                <w:sz w:val="20"/>
                <w:szCs w:val="20"/>
                <w:color w:val="auto"/>
              </w:rPr>
            </w:pPr>
            <w:r>
              <w:rPr>
                <w:rFonts w:ascii="Arial" w:cs="Arial" w:eastAsia="Arial" w:hAnsi="Arial"/>
                <w:sz w:val="17"/>
                <w:szCs w:val="17"/>
                <w:color w:val="auto"/>
              </w:rPr>
              <w:t>Nonstatutory Stock Option Plan, as amended</w:t>
            </w:r>
          </w:p>
        </w:tc>
      </w:tr>
      <w:tr>
        <w:trPr>
          <w:trHeight w:val="215"/>
        </w:trPr>
        <w:tc>
          <w:tcPr>
            <w:tcW w:w="900" w:type="dxa"/>
            <w:vAlign w:val="bottom"/>
          </w:tcPr>
          <w:p>
            <w:pPr>
              <w:jc w:val="right"/>
              <w:ind w:right="337"/>
              <w:spacing w:after="0"/>
              <w:rPr>
                <w:sz w:val="20"/>
                <w:szCs w:val="20"/>
                <w:color w:val="auto"/>
              </w:rPr>
            </w:pPr>
            <w:r>
              <w:rPr>
                <w:rFonts w:ascii="Arial" w:cs="Arial" w:eastAsia="Arial" w:hAnsi="Arial"/>
                <w:sz w:val="17"/>
                <w:szCs w:val="17"/>
                <w:color w:val="auto"/>
                <w:w w:val="88"/>
              </w:rPr>
              <w:t>10.132</w:t>
            </w:r>
          </w:p>
        </w:tc>
        <w:tc>
          <w:tcPr>
            <w:tcW w:w="640" w:type="dxa"/>
            <w:vAlign w:val="bottom"/>
            <w:gridSpan w:val="2"/>
          </w:tcPr>
          <w:p>
            <w:pPr>
              <w:ind w:left="280"/>
              <w:spacing w:after="0"/>
              <w:rPr>
                <w:sz w:val="20"/>
                <w:szCs w:val="20"/>
                <w:color w:val="auto"/>
              </w:rPr>
            </w:pPr>
            <w:r>
              <w:rPr>
                <w:rFonts w:ascii="Arial" w:cs="Arial" w:eastAsia="Arial" w:hAnsi="Arial"/>
                <w:sz w:val="17"/>
                <w:szCs w:val="17"/>
                <w:color w:val="auto"/>
                <w:w w:val="89"/>
              </w:rPr>
              <w:t>1998</w:t>
            </w:r>
          </w:p>
        </w:tc>
        <w:tc>
          <w:tcPr>
            <w:tcW w:w="7480" w:type="dxa"/>
            <w:vAlign w:val="bottom"/>
          </w:tcPr>
          <w:p>
            <w:pPr>
              <w:ind w:left="40"/>
              <w:spacing w:after="0"/>
              <w:rPr>
                <w:sz w:val="20"/>
                <w:szCs w:val="20"/>
                <w:color w:val="auto"/>
              </w:rPr>
            </w:pPr>
            <w:r>
              <w:rPr>
                <w:rFonts w:ascii="Arial" w:cs="Arial" w:eastAsia="Arial" w:hAnsi="Arial"/>
                <w:sz w:val="17"/>
                <w:szCs w:val="17"/>
                <w:color w:val="auto"/>
              </w:rPr>
              <w:t>Nonstatutory Stock Option Plan, as amended</w:t>
            </w:r>
          </w:p>
        </w:tc>
      </w:tr>
      <w:tr>
        <w:trPr>
          <w:trHeight w:val="215"/>
        </w:trPr>
        <w:tc>
          <w:tcPr>
            <w:tcW w:w="900" w:type="dxa"/>
            <w:vAlign w:val="bottom"/>
          </w:tcPr>
          <w:p>
            <w:pPr>
              <w:jc w:val="right"/>
              <w:ind w:right="337"/>
              <w:spacing w:after="0"/>
              <w:rPr>
                <w:sz w:val="20"/>
                <w:szCs w:val="20"/>
                <w:color w:val="auto"/>
              </w:rPr>
            </w:pPr>
            <w:r>
              <w:rPr>
                <w:rFonts w:ascii="Arial" w:cs="Arial" w:eastAsia="Arial" w:hAnsi="Arial"/>
                <w:sz w:val="17"/>
                <w:szCs w:val="17"/>
                <w:color w:val="auto"/>
                <w:w w:val="88"/>
              </w:rPr>
              <w:t>10.139</w:t>
            </w:r>
          </w:p>
        </w:tc>
        <w:tc>
          <w:tcPr>
            <w:tcW w:w="640" w:type="dxa"/>
            <w:vAlign w:val="bottom"/>
            <w:gridSpan w:val="2"/>
          </w:tcPr>
          <w:p>
            <w:pPr>
              <w:ind w:left="280"/>
              <w:spacing w:after="0"/>
              <w:rPr>
                <w:sz w:val="20"/>
                <w:szCs w:val="20"/>
                <w:color w:val="auto"/>
              </w:rPr>
            </w:pPr>
            <w:r>
              <w:rPr>
                <w:rFonts w:ascii="Arial" w:cs="Arial" w:eastAsia="Arial" w:hAnsi="Arial"/>
                <w:sz w:val="17"/>
                <w:szCs w:val="17"/>
                <w:color w:val="auto"/>
                <w:w w:val="89"/>
              </w:rPr>
              <w:t>1989</w:t>
            </w:r>
          </w:p>
        </w:tc>
        <w:tc>
          <w:tcPr>
            <w:tcW w:w="7480" w:type="dxa"/>
            <w:vAlign w:val="bottom"/>
          </w:tcPr>
          <w:p>
            <w:pPr>
              <w:ind w:left="40"/>
              <w:spacing w:after="0"/>
              <w:rPr>
                <w:sz w:val="20"/>
                <w:szCs w:val="20"/>
                <w:color w:val="auto"/>
              </w:rPr>
            </w:pPr>
            <w:r>
              <w:rPr>
                <w:rFonts w:ascii="Arial" w:cs="Arial" w:eastAsia="Arial" w:hAnsi="Arial"/>
                <w:sz w:val="17"/>
                <w:szCs w:val="17"/>
                <w:color w:val="auto"/>
              </w:rPr>
              <w:t>Employee Stock Purchase Plan, as amended</w:t>
            </w:r>
          </w:p>
        </w:tc>
      </w:tr>
      <w:tr>
        <w:trPr>
          <w:trHeight w:val="222"/>
        </w:trPr>
        <w:tc>
          <w:tcPr>
            <w:tcW w:w="900" w:type="dxa"/>
            <w:vAlign w:val="bottom"/>
          </w:tcPr>
          <w:p>
            <w:pPr>
              <w:jc w:val="right"/>
              <w:ind w:right="337"/>
              <w:spacing w:after="0"/>
              <w:rPr>
                <w:sz w:val="20"/>
                <w:szCs w:val="20"/>
                <w:color w:val="auto"/>
              </w:rPr>
            </w:pPr>
            <w:r>
              <w:rPr>
                <w:rFonts w:ascii="Arial" w:cs="Arial" w:eastAsia="Arial" w:hAnsi="Arial"/>
                <w:sz w:val="17"/>
                <w:szCs w:val="17"/>
                <w:color w:val="auto"/>
                <w:w w:val="88"/>
              </w:rPr>
              <w:t>10.151</w:t>
            </w:r>
          </w:p>
        </w:tc>
        <w:tc>
          <w:tcPr>
            <w:tcW w:w="640" w:type="dxa"/>
            <w:vAlign w:val="bottom"/>
            <w:gridSpan w:val="2"/>
          </w:tcPr>
          <w:p>
            <w:pPr>
              <w:ind w:left="280"/>
              <w:spacing w:after="0"/>
              <w:rPr>
                <w:sz w:val="20"/>
                <w:szCs w:val="20"/>
                <w:color w:val="auto"/>
              </w:rPr>
            </w:pPr>
            <w:r>
              <w:rPr>
                <w:rFonts w:ascii="Arial" w:cs="Arial" w:eastAsia="Arial" w:hAnsi="Arial"/>
                <w:sz w:val="17"/>
                <w:szCs w:val="17"/>
                <w:color w:val="auto"/>
                <w:w w:val="89"/>
              </w:rPr>
              <w:t>2001</w:t>
            </w:r>
          </w:p>
        </w:tc>
        <w:tc>
          <w:tcPr>
            <w:tcW w:w="7480" w:type="dxa"/>
            <w:vAlign w:val="bottom"/>
          </w:tcPr>
          <w:p>
            <w:pPr>
              <w:ind w:left="40"/>
              <w:spacing w:after="0"/>
              <w:rPr>
                <w:sz w:val="20"/>
                <w:szCs w:val="20"/>
                <w:color w:val="auto"/>
              </w:rPr>
            </w:pPr>
            <w:r>
              <w:rPr>
                <w:rFonts w:ascii="Arial" w:cs="Arial" w:eastAsia="Arial" w:hAnsi="Arial"/>
                <w:sz w:val="17"/>
                <w:szCs w:val="17"/>
                <w:color w:val="auto"/>
              </w:rPr>
              <w:t>Stock Option Plan,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-1172210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-1172210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-1172210</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-1172210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380"/>
          </w:cols>
          <w:pgMar w:left="240" w:top="723" w:right="27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7"/>
                <w:szCs w:val="17"/>
                <w:color w:val="auto"/>
              </w:rPr>
              <w:t>10.152</w:t>
            </w:r>
          </w:p>
        </w:tc>
        <w:tc>
          <w:tcPr>
            <w:tcW w:w="8020" w:type="dxa"/>
            <w:vAlign w:val="bottom"/>
            <w:gridSpan w:val="2"/>
          </w:tcPr>
          <w:p>
            <w:pPr>
              <w:ind w:left="340"/>
              <w:spacing w:after="0"/>
              <w:rPr>
                <w:sz w:val="20"/>
                <w:szCs w:val="20"/>
                <w:color w:val="auto"/>
              </w:rPr>
            </w:pPr>
            <w:r>
              <w:rPr>
                <w:rFonts w:ascii="Arial" w:cs="Arial" w:eastAsia="Arial" w:hAnsi="Arial"/>
                <w:sz w:val="17"/>
                <w:szCs w:val="17"/>
                <w:color w:val="auto"/>
              </w:rPr>
              <w:t>2002 Employment Inducement Stock Option Plan</w:t>
            </w:r>
          </w:p>
        </w:tc>
      </w:tr>
      <w:tr>
        <w:trPr>
          <w:trHeight w:val="215"/>
        </w:trPr>
        <w:tc>
          <w:tcPr>
            <w:tcW w:w="840" w:type="dxa"/>
            <w:vAlign w:val="bottom"/>
          </w:tcPr>
          <w:p>
            <w:pPr>
              <w:spacing w:after="0"/>
              <w:rPr>
                <w:sz w:val="20"/>
                <w:szCs w:val="20"/>
                <w:color w:val="auto"/>
              </w:rPr>
            </w:pPr>
            <w:r>
              <w:rPr>
                <w:rFonts w:ascii="Arial" w:cs="Arial" w:eastAsia="Arial" w:hAnsi="Arial"/>
                <w:sz w:val="17"/>
                <w:szCs w:val="17"/>
                <w:color w:val="auto"/>
              </w:rPr>
              <w:t>99.1</w:t>
            </w:r>
          </w:p>
        </w:tc>
        <w:tc>
          <w:tcPr>
            <w:tcW w:w="8020" w:type="dxa"/>
            <w:vAlign w:val="bottom"/>
            <w:gridSpan w:val="2"/>
          </w:tcPr>
          <w:p>
            <w:pPr>
              <w:ind w:left="340"/>
              <w:spacing w:after="0"/>
              <w:rPr>
                <w:sz w:val="20"/>
                <w:szCs w:val="20"/>
                <w:color w:val="auto"/>
              </w:rPr>
            </w:pPr>
            <w:r>
              <w:rPr>
                <w:rFonts w:ascii="Arial" w:cs="Arial" w:eastAsia="Arial" w:hAnsi="Arial"/>
                <w:sz w:val="17"/>
                <w:szCs w:val="17"/>
                <w:color w:val="auto"/>
                <w:w w:val="92"/>
              </w:rPr>
              <w:t>Certifications Pursuant to 18 U.S.C. Section 1350, as Adopted Pursuant to Section 906 of the Sarbanes-Oxley</w:t>
            </w:r>
          </w:p>
        </w:tc>
      </w:tr>
      <w:tr>
        <w:trPr>
          <w:trHeight w:val="222"/>
        </w:trPr>
        <w:tc>
          <w:tcPr>
            <w:tcW w:w="840" w:type="dxa"/>
            <w:vAlign w:val="bottom"/>
          </w:tcPr>
          <w:p>
            <w:pPr>
              <w:spacing w:after="0"/>
              <w:rPr>
                <w:sz w:val="19"/>
                <w:szCs w:val="19"/>
                <w:color w:val="auto"/>
              </w:rPr>
            </w:pPr>
          </w:p>
        </w:tc>
        <w:tc>
          <w:tcPr>
            <w:tcW w:w="8020" w:type="dxa"/>
            <w:vAlign w:val="bottom"/>
            <w:gridSpan w:val="2"/>
          </w:tcPr>
          <w:p>
            <w:pPr>
              <w:ind w:left="340"/>
              <w:spacing w:after="0"/>
              <w:rPr>
                <w:sz w:val="20"/>
                <w:szCs w:val="20"/>
                <w:color w:val="auto"/>
              </w:rPr>
            </w:pPr>
            <w:r>
              <w:rPr>
                <w:rFonts w:ascii="Arial" w:cs="Arial" w:eastAsia="Arial" w:hAnsi="Arial"/>
                <w:sz w:val="17"/>
                <w:szCs w:val="17"/>
                <w:color w:val="auto"/>
              </w:rPr>
              <w:t>Act of 2002</w:t>
            </w:r>
          </w:p>
        </w:tc>
      </w:tr>
      <w:tr>
        <w:trPr>
          <w:trHeight w:val="119"/>
        </w:trPr>
        <w:tc>
          <w:tcPr>
            <w:tcW w:w="8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7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97"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February 29, 1996.</w:t>
      </w:r>
    </w:p>
    <w:p>
      <w:pPr>
        <w:spacing w:after="0" w:line="261" w:lineRule="exact"/>
        <w:rPr>
          <w:rFonts w:ascii="Arial" w:cs="Arial" w:eastAsia="Arial" w:hAnsi="Arial"/>
          <w:sz w:val="17"/>
          <w:szCs w:val="17"/>
          <w:color w:val="auto"/>
        </w:rPr>
      </w:pPr>
    </w:p>
    <w:p>
      <w:pPr>
        <w:ind w:left="540" w:hanging="53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February 27, 1997.</w:t>
      </w:r>
    </w:p>
    <w:p>
      <w:pPr>
        <w:spacing w:after="0" w:line="200" w:lineRule="exact"/>
        <w:rPr>
          <w:rFonts w:ascii="Arial" w:cs="Arial" w:eastAsia="Arial" w:hAnsi="Arial"/>
          <w:sz w:val="17"/>
          <w:szCs w:val="17"/>
          <w:color w:val="auto"/>
        </w:rPr>
      </w:pPr>
    </w:p>
    <w:p>
      <w:pPr>
        <w:spacing w:after="0" w:line="263" w:lineRule="exact"/>
        <w:rPr>
          <w:rFonts w:ascii="Arial" w:cs="Arial" w:eastAsia="Arial" w:hAnsi="Arial"/>
          <w:sz w:val="17"/>
          <w:szCs w:val="17"/>
          <w:color w:val="auto"/>
        </w:rPr>
      </w:pPr>
    </w:p>
    <w:p>
      <w:pPr>
        <w:ind w:left="1080" w:right="340" w:hanging="535"/>
        <w:spacing w:after="0" w:line="280" w:lineRule="auto"/>
        <w:tabs>
          <w:tab w:leader="none" w:pos="10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Company filed a Form 8-K on October 15, 2002, submitting the Statements under Oath of the Principal Executive Office and the Principal Financial Officer in accordance with the Securities and Exchange Commission's June 27, 2002 Order requiring the filing of sworn statements pursuant to Section 21 (a) (1) of the Securities Exchange Act of 1934.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41" w:lineRule="exact"/>
        <w:rPr>
          <w:sz w:val="20"/>
          <w:szCs w:val="20"/>
          <w:color w:val="auto"/>
        </w:rPr>
      </w:pPr>
    </w:p>
    <w:p>
      <w:pPr>
        <w:ind w:right="120" w:firstLine="349"/>
        <w:spacing w:after="0" w:line="29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83820</wp:posOffset>
            </wp:positionV>
            <wp:extent cx="421259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12590" cy="20955"/>
                    </a:xfrm>
                    <a:prstGeom prst="rect">
                      <a:avLst/>
                    </a:prstGeom>
                    <a:noFill/>
                  </pic:spPr>
                </pic:pic>
              </a:graphicData>
            </a:graphic>
          </wp:anchor>
        </w:drawing>
      </w:r>
    </w:p>
    <w:p>
      <w:pPr>
        <w:spacing w:after="0" w:line="242"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(Registrant)</w:t>
      </w:r>
    </w:p>
    <w:p>
      <w:pPr>
        <w:spacing w:after="0" w:line="235" w:lineRule="exact"/>
        <w:rPr>
          <w:sz w:val="20"/>
          <w:szCs w:val="20"/>
          <w:color w:val="auto"/>
        </w:rPr>
      </w:pPr>
    </w:p>
    <w:p>
      <w:pPr>
        <w:spacing w:after="0"/>
        <w:tabs>
          <w:tab w:leader="none" w:pos="4780" w:val="left"/>
        </w:tabs>
        <w:rPr>
          <w:sz w:val="20"/>
          <w:szCs w:val="20"/>
          <w:color w:val="auto"/>
        </w:rPr>
      </w:pPr>
      <w:r>
        <w:rPr>
          <w:rFonts w:ascii="Arial" w:cs="Arial" w:eastAsia="Arial" w:hAnsi="Arial"/>
          <w:sz w:val="17"/>
          <w:szCs w:val="17"/>
          <w:color w:val="auto"/>
        </w:rPr>
        <w:t>Dated: January 13, 2003</w:t>
      </w:r>
      <w:r>
        <w:rPr>
          <w:sz w:val="20"/>
          <w:szCs w:val="20"/>
          <w:color w:val="auto"/>
        </w:rPr>
        <w:tab/>
      </w:r>
      <w:r>
        <w:rPr>
          <w:rFonts w:ascii="Arial" w:cs="Arial" w:eastAsia="Arial" w:hAnsi="Arial"/>
          <w:sz w:val="16"/>
          <w:szCs w:val="16"/>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83820</wp:posOffset>
            </wp:positionV>
            <wp:extent cx="421259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12590" cy="20955"/>
                    </a:xfrm>
                    <a:prstGeom prst="rect">
                      <a:avLst/>
                    </a:prstGeom>
                    <a:noFill/>
                  </pic:spPr>
                </pic:pic>
              </a:graphicData>
            </a:graphic>
          </wp:anchor>
        </w:drawing>
      </w:r>
    </w:p>
    <w:p>
      <w:pPr>
        <w:spacing w:after="0" w:line="242"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 xml:space="preserve">Wilbur G. Stover, Jr., </w:t>
      </w:r>
      <w:r>
        <w:rPr>
          <w:rFonts w:ascii="Arial" w:cs="Arial" w:eastAsia="Arial" w:hAnsi="Arial"/>
          <w:sz w:val="17"/>
          <w:szCs w:val="17"/>
          <w:i w:val="1"/>
          <w:iCs w:val="1"/>
          <w:color w:val="auto"/>
        </w:rPr>
        <w:t>Vice President of Finance and</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7"/>
          <w:szCs w:val="17"/>
          <w:i w:val="1"/>
          <w:iCs w:val="1"/>
          <w:color w:val="auto"/>
        </w:rPr>
        <w:t>Chief Financial Officer (Principal Financial and</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7"/>
          <w:szCs w:val="17"/>
          <w:i w:val="1"/>
          <w:iCs w:val="1"/>
          <w:color w:val="auto"/>
        </w:rPr>
        <w:t>Accounting Officer)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Steven R. Appleton, certify that:</w:t>
      </w:r>
    </w:p>
    <w:p>
      <w:pPr>
        <w:spacing w:after="0" w:line="248"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Micron Technology, Inc.;</w:t>
      </w:r>
    </w:p>
    <w:p>
      <w:pPr>
        <w:spacing w:after="0" w:line="261" w:lineRule="exact"/>
        <w:rPr>
          <w:rFonts w:ascii="Arial" w:cs="Arial" w:eastAsia="Arial" w:hAnsi="Arial"/>
          <w:sz w:val="17"/>
          <w:szCs w:val="17"/>
          <w:color w:val="auto"/>
        </w:rPr>
      </w:pPr>
    </w:p>
    <w:p>
      <w:pPr>
        <w:jc w:val="both"/>
        <w:ind w:left="540" w:right="40" w:hanging="532"/>
        <w:spacing w:after="0" w:line="280"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rFonts w:ascii="Arial" w:cs="Arial" w:eastAsia="Arial" w:hAnsi="Arial"/>
          <w:sz w:val="17"/>
          <w:szCs w:val="17"/>
          <w:color w:val="auto"/>
        </w:rPr>
      </w:pPr>
    </w:p>
    <w:p>
      <w:pPr>
        <w:ind w:left="540" w:hanging="532"/>
        <w:spacing w:after="0" w:line="29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7"/>
          <w:szCs w:val="17"/>
          <w:color w:val="auto"/>
        </w:rPr>
      </w:pPr>
    </w:p>
    <w:p>
      <w:pPr>
        <w:ind w:left="540" w:right="120" w:hanging="532"/>
        <w:spacing w:after="0" w:line="29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080" w:right="320" w:hanging="535"/>
        <w:spacing w:after="0" w:line="329"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54" w:lineRule="exact"/>
        <w:rPr>
          <w:rFonts w:ascii="Arial" w:cs="Arial" w:eastAsia="Arial" w:hAnsi="Arial"/>
          <w:sz w:val="16"/>
          <w:szCs w:val="16"/>
          <w:color w:val="auto"/>
        </w:rPr>
      </w:pPr>
    </w:p>
    <w:p>
      <w:pPr>
        <w:ind w:left="1080" w:right="100" w:hanging="535"/>
        <w:spacing w:after="0" w:line="296" w:lineRule="auto"/>
        <w:tabs>
          <w:tab w:leader="none" w:pos="10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as of a date within 90 days prior to the filing date of this quarterly report (the "Evaluation Date"); and</w:t>
      </w:r>
    </w:p>
    <w:p>
      <w:pPr>
        <w:spacing w:after="0" w:line="189" w:lineRule="exact"/>
        <w:rPr>
          <w:rFonts w:ascii="Arial" w:cs="Arial" w:eastAsia="Arial" w:hAnsi="Arial"/>
          <w:sz w:val="17"/>
          <w:szCs w:val="17"/>
          <w:color w:val="auto"/>
        </w:rPr>
      </w:pPr>
    </w:p>
    <w:p>
      <w:pPr>
        <w:ind w:left="1080" w:right="20" w:hanging="535"/>
        <w:spacing w:after="0" w:line="296" w:lineRule="auto"/>
        <w:tabs>
          <w:tab w:leader="none" w:pos="10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presented in this quarterly report our conclusions about the effectiveness of the disclosure controls and procedures based on our evaluation as of the Evaluation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540" w:right="220" w:hanging="532"/>
        <w:spacing w:after="0" w:line="29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91" w:lineRule="exact"/>
        <w:rPr>
          <w:rFonts w:ascii="Arial" w:cs="Arial" w:eastAsia="Arial" w:hAnsi="Arial"/>
          <w:sz w:val="17"/>
          <w:szCs w:val="17"/>
          <w:color w:val="auto"/>
        </w:rPr>
      </w:pPr>
    </w:p>
    <w:p>
      <w:pPr>
        <w:ind w:left="1080" w:right="360" w:hanging="535"/>
        <w:spacing w:after="0" w:line="329"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7" w:lineRule="exact"/>
        <w:rPr>
          <w:rFonts w:ascii="Arial" w:cs="Arial" w:eastAsia="Arial" w:hAnsi="Arial"/>
          <w:sz w:val="16"/>
          <w:szCs w:val="16"/>
          <w:color w:val="auto"/>
        </w:rPr>
      </w:pPr>
    </w:p>
    <w:p>
      <w:pPr>
        <w:ind w:left="1080" w:right="240" w:hanging="535"/>
        <w:spacing w:after="0" w:line="296" w:lineRule="auto"/>
        <w:tabs>
          <w:tab w:leader="none" w:pos="10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and</w:t>
      </w:r>
    </w:p>
    <w:p>
      <w:pPr>
        <w:sectPr>
          <w:pgSz w:w="11900" w:h="16838" w:orient="portrait"/>
          <w:cols w:equalWidth="0" w:num="1">
            <w:col w:w="11420"/>
          </w:cols>
          <w:pgMar w:left="240" w:top="131" w:right="239" w:bottom="0" w:gutter="0" w:footer="0" w:header="0"/>
        </w:sectPr>
      </w:pPr>
    </w:p>
    <w:bookmarkStart w:id="17" w:name="page18"/>
    <w:bookmarkEnd w:id="17"/>
    <w:p>
      <w:pPr>
        <w:ind w:left="540" w:right="80" w:hanging="532"/>
        <w:spacing w:after="0" w:line="280"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Date: January 13, 2003</w:t>
      </w:r>
    </w:p>
    <w:p>
      <w:pPr>
        <w:spacing w:after="0" w:line="200" w:lineRule="exact"/>
        <w:rPr>
          <w:sz w:val="20"/>
          <w:szCs w:val="20"/>
          <w:color w:val="auto"/>
        </w:rPr>
      </w:pPr>
    </w:p>
    <w:p>
      <w:pPr>
        <w:spacing w:after="0" w:line="250"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83820</wp:posOffset>
            </wp:positionV>
            <wp:extent cx="421259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12590" cy="20955"/>
                    </a:xfrm>
                    <a:prstGeom prst="rect">
                      <a:avLst/>
                    </a:prstGeom>
                    <a:noFill/>
                  </pic:spPr>
                </pic:pic>
              </a:graphicData>
            </a:graphic>
          </wp:anchor>
        </w:drawing>
      </w:r>
    </w:p>
    <w:p>
      <w:pPr>
        <w:spacing w:after="0" w:line="242"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Steven R. Appleton</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7"/>
          <w:szCs w:val="17"/>
          <w:i w:val="1"/>
          <w:iCs w:val="1"/>
          <w:color w:val="auto"/>
        </w:rPr>
        <w:t>Chief Executive Officer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Wilbur G. Stover, Jr., certify that:</w:t>
      </w:r>
    </w:p>
    <w:p>
      <w:pPr>
        <w:spacing w:after="0" w:line="26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Micron Technology, Inc.;</w:t>
      </w:r>
    </w:p>
    <w:p>
      <w:pPr>
        <w:spacing w:after="0" w:line="248" w:lineRule="exact"/>
        <w:rPr>
          <w:rFonts w:ascii="Arial" w:cs="Arial" w:eastAsia="Arial" w:hAnsi="Arial"/>
          <w:sz w:val="17"/>
          <w:szCs w:val="17"/>
          <w:color w:val="auto"/>
        </w:rPr>
      </w:pPr>
    </w:p>
    <w:p>
      <w:pPr>
        <w:jc w:val="both"/>
        <w:ind w:left="540" w:right="40" w:hanging="532"/>
        <w:spacing w:after="0" w:line="280"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rFonts w:ascii="Arial" w:cs="Arial" w:eastAsia="Arial" w:hAnsi="Arial"/>
          <w:sz w:val="17"/>
          <w:szCs w:val="17"/>
          <w:color w:val="auto"/>
        </w:rPr>
      </w:pPr>
    </w:p>
    <w:p>
      <w:pPr>
        <w:ind w:left="540" w:hanging="532"/>
        <w:spacing w:after="0" w:line="296"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rFonts w:ascii="Arial" w:cs="Arial" w:eastAsia="Arial" w:hAnsi="Arial"/>
          <w:sz w:val="17"/>
          <w:szCs w:val="17"/>
          <w:color w:val="auto"/>
        </w:rPr>
      </w:pPr>
    </w:p>
    <w:p>
      <w:pPr>
        <w:ind w:left="540" w:right="120" w:hanging="532"/>
        <w:spacing w:after="0" w:line="296"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13a-14 and 15d-14) for the registrant and we have:</w:t>
      </w:r>
    </w:p>
    <w:p>
      <w:pPr>
        <w:spacing w:after="0" w:line="391" w:lineRule="exact"/>
        <w:rPr>
          <w:rFonts w:ascii="Arial" w:cs="Arial" w:eastAsia="Arial" w:hAnsi="Arial"/>
          <w:sz w:val="17"/>
          <w:szCs w:val="17"/>
          <w:color w:val="auto"/>
        </w:rPr>
      </w:pPr>
    </w:p>
    <w:p>
      <w:pPr>
        <w:ind w:left="1080" w:right="320" w:hanging="535"/>
        <w:spacing w:after="0" w:line="329" w:lineRule="auto"/>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54" w:lineRule="exact"/>
        <w:rPr>
          <w:rFonts w:ascii="Arial" w:cs="Arial" w:eastAsia="Arial" w:hAnsi="Arial"/>
          <w:sz w:val="16"/>
          <w:szCs w:val="16"/>
          <w:color w:val="auto"/>
        </w:rPr>
      </w:pPr>
    </w:p>
    <w:p>
      <w:pPr>
        <w:ind w:left="1080" w:right="100" w:hanging="535"/>
        <w:spacing w:after="0" w:line="296" w:lineRule="auto"/>
        <w:tabs>
          <w:tab w:leader="none" w:pos="10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as of a date within 90 days prior to the filing date of this quarterly report (the "Evaluation Date"); and</w:t>
      </w:r>
    </w:p>
    <w:p>
      <w:pPr>
        <w:spacing w:after="0" w:line="189" w:lineRule="exact"/>
        <w:rPr>
          <w:rFonts w:ascii="Arial" w:cs="Arial" w:eastAsia="Arial" w:hAnsi="Arial"/>
          <w:sz w:val="17"/>
          <w:szCs w:val="17"/>
          <w:color w:val="auto"/>
        </w:rPr>
      </w:pPr>
    </w:p>
    <w:p>
      <w:pPr>
        <w:ind w:left="1080" w:right="20" w:hanging="535"/>
        <w:spacing w:after="0" w:line="296" w:lineRule="auto"/>
        <w:tabs>
          <w:tab w:leader="none" w:pos="10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presented in this quarterly report our conclusions about the effectiveness of the disclosure controls and procedures based on our evaluation as of the Evaluation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540" w:right="220" w:hanging="532"/>
        <w:spacing w:after="0" w:line="296"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91" w:lineRule="exact"/>
        <w:rPr>
          <w:rFonts w:ascii="Arial" w:cs="Arial" w:eastAsia="Arial" w:hAnsi="Arial"/>
          <w:sz w:val="17"/>
          <w:szCs w:val="17"/>
          <w:color w:val="auto"/>
        </w:rPr>
      </w:pPr>
    </w:p>
    <w:p>
      <w:pPr>
        <w:ind w:left="1080" w:right="360" w:hanging="535"/>
        <w:spacing w:after="0" w:line="329" w:lineRule="auto"/>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7" w:lineRule="exact"/>
        <w:rPr>
          <w:rFonts w:ascii="Arial" w:cs="Arial" w:eastAsia="Arial" w:hAnsi="Arial"/>
          <w:sz w:val="16"/>
          <w:szCs w:val="16"/>
          <w:color w:val="auto"/>
        </w:rPr>
      </w:pPr>
    </w:p>
    <w:p>
      <w:pPr>
        <w:ind w:left="1080" w:right="240" w:hanging="535"/>
        <w:spacing w:after="0" w:line="296" w:lineRule="auto"/>
        <w:tabs>
          <w:tab w:leader="none" w:pos="10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540" w:right="80" w:hanging="532"/>
        <w:spacing w:after="0" w:line="280"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Date: January 13, 2003</w:t>
      </w:r>
    </w:p>
    <w:p>
      <w:pPr>
        <w:spacing w:after="0" w:line="200" w:lineRule="exact"/>
        <w:rPr>
          <w:sz w:val="20"/>
          <w:szCs w:val="20"/>
          <w:color w:val="auto"/>
        </w:rPr>
      </w:pPr>
    </w:p>
    <w:p>
      <w:pPr>
        <w:spacing w:after="0" w:line="250"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83820</wp:posOffset>
            </wp:positionV>
            <wp:extent cx="421259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12590" cy="20955"/>
                    </a:xfrm>
                    <a:prstGeom prst="rect">
                      <a:avLst/>
                    </a:prstGeom>
                    <a:noFill/>
                  </pic:spPr>
                </pic:pic>
              </a:graphicData>
            </a:graphic>
          </wp:anchor>
        </w:drawing>
      </w:r>
    </w:p>
    <w:p>
      <w:pPr>
        <w:spacing w:after="0" w:line="242"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Wilbur G. Stover, Jr.</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7"/>
          <w:szCs w:val="17"/>
          <w:i w:val="1"/>
          <w:iCs w:val="1"/>
          <w:color w:val="auto"/>
        </w:rPr>
        <w:t>Chief Financial Officer</w:t>
      </w:r>
    </w:p>
    <w:p>
      <w:pPr>
        <w:sectPr>
          <w:pgSz w:w="11900" w:h="16838" w:orient="portrait"/>
          <w:cols w:equalWidth="0" w:num="1">
            <w:col w:w="11420"/>
          </w:cols>
          <w:pgMar w:left="240" w:top="602" w:right="239" w:bottom="526"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725106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2" w:right="239" w:bottom="526"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color w:val="auto"/>
        </w:rPr>
        <w:t>QuickLinks</w:t>
      </w:r>
    </w:p>
    <w:p>
      <w:pPr>
        <w:spacing w:after="0" w:line="217" w:lineRule="exact"/>
        <w:rPr>
          <w:sz w:val="20"/>
          <w:szCs w:val="20"/>
          <w:color w:val="auto"/>
        </w:rPr>
      </w:pP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Part I. FINANCIAL INFORMATION</w:t>
        </w:r>
      </w:hyperlink>
    </w:p>
    <w:p>
      <w:pPr>
        <w:spacing w:after="0" w:line="235" w:lineRule="exact"/>
        <w:rPr>
          <w:sz w:val="20"/>
          <w:szCs w:val="20"/>
          <w:color w:val="auto"/>
        </w:rPr>
      </w:pPr>
    </w:p>
    <w:p>
      <w:pPr>
        <w:ind w:left="540"/>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Item 1. Financial Statements</w:t>
        </w:r>
      </w:hyperlink>
    </w:p>
    <w:p>
      <w:pPr>
        <w:spacing w:after="0" w:line="235" w:lineRule="exact"/>
        <w:rPr>
          <w:sz w:val="20"/>
          <w:szCs w:val="20"/>
          <w:color w:val="auto"/>
        </w:rPr>
      </w:pP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Consolidated Statements of Operations (Amounts in millions except per share amounts) (Unaudited)</w:t>
        </w:r>
      </w:hyperlink>
    </w:p>
    <w:p>
      <w:pPr>
        <w:spacing w:after="0" w:line="2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Consolidated Balance Sheets (Amounts in millions except par value amounts) (Unaudited)</w:t>
        </w:r>
      </w:hyperlink>
    </w:p>
    <w:p>
      <w:pPr>
        <w:spacing w:after="0" w:line="20" w:lineRule="exact"/>
        <w:rPr>
          <w:sz w:val="20"/>
          <w:szCs w:val="20"/>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Consolidated Statements of Cash Flows (Amounts in millions) (Unaudited)</w:t>
        </w:r>
      </w:hyperlink>
    </w:p>
    <w:p>
      <w:pPr>
        <w:spacing w:after="0" w:line="20"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MICRON TECHNOLOGY, INC. Notes to Consolidated Financial Statements (All tabular amounts in millions except per share amounts)</w:t>
        </w:r>
      </w:hyperlink>
    </w:p>
    <w:p>
      <w:pPr>
        <w:spacing w:after="0" w:line="240" w:lineRule="exact"/>
        <w:rPr>
          <w:sz w:val="20"/>
          <w:szCs w:val="20"/>
          <w:color w:val="auto"/>
        </w:rPr>
      </w:pPr>
    </w:p>
    <w:p>
      <w:pPr>
        <w:ind w:left="54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Item 2. Management's Discussion and Analysis of Financial Condition and Results of Operations</w:t>
        </w:r>
      </w:hyperlink>
    </w:p>
    <w:p>
      <w:pPr>
        <w:spacing w:after="0" w:line="235" w:lineRule="exact"/>
        <w:rPr>
          <w:sz w:val="20"/>
          <w:szCs w:val="20"/>
          <w:color w:val="auto"/>
        </w:rPr>
      </w:pPr>
    </w:p>
    <w:p>
      <w:pPr>
        <w:ind w:left="540"/>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Item 3. Quantitative and Qualitative Disclosures about Market Risk</w:t>
        </w:r>
      </w:hyperlink>
    </w:p>
    <w:p>
      <w:pPr>
        <w:spacing w:after="0" w:line="26" w:lineRule="exact"/>
        <w:rPr>
          <w:sz w:val="20"/>
          <w:szCs w:val="20"/>
          <w:color w:val="auto"/>
        </w:rPr>
      </w:pPr>
    </w:p>
    <w:p>
      <w:pPr>
        <w:ind w:left="540"/>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Item 4. Controls and Procedures</w:t>
        </w:r>
      </w:hyperlink>
    </w:p>
    <w:p>
      <w:pPr>
        <w:spacing w:after="0" w:line="228" w:lineRule="exact"/>
        <w:rPr>
          <w:sz w:val="20"/>
          <w:szCs w:val="20"/>
          <w:color w:val="auto"/>
        </w:rPr>
      </w:pPr>
    </w:p>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Part II. OTHER INFORMATION</w:t>
        </w:r>
      </w:hyperlink>
    </w:p>
    <w:p>
      <w:pPr>
        <w:spacing w:after="0" w:line="235" w:lineRule="exact"/>
        <w:rPr>
          <w:sz w:val="20"/>
          <w:szCs w:val="20"/>
          <w:color w:val="auto"/>
        </w:rPr>
      </w:pPr>
    </w:p>
    <w:p>
      <w:pPr>
        <w:ind w:left="540"/>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Item 1. Legal Proceedings</w:t>
        </w:r>
      </w:hyperlink>
    </w:p>
    <w:p>
      <w:pPr>
        <w:spacing w:after="0" w:line="26" w:lineRule="exact"/>
        <w:rPr>
          <w:sz w:val="20"/>
          <w:szCs w:val="20"/>
          <w:color w:val="auto"/>
        </w:rPr>
      </w:pPr>
    </w:p>
    <w:p>
      <w:pPr>
        <w:ind w:left="540"/>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4. Submission of Matters to a Vote of Shareholders</w:t>
        </w:r>
      </w:hyperlink>
    </w:p>
    <w:p>
      <w:pPr>
        <w:spacing w:after="0" w:line="20" w:lineRule="exact"/>
        <w:rPr>
          <w:sz w:val="20"/>
          <w:szCs w:val="20"/>
          <w:color w:val="auto"/>
        </w:rPr>
      </w:pPr>
    </w:p>
    <w:p>
      <w:pPr>
        <w:ind w:left="540"/>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6. Exhibits and Reports on Form 8-K</w:t>
        </w:r>
      </w:hyperlink>
    </w:p>
    <w:p>
      <w:pPr>
        <w:spacing w:after="0" w:line="228" w:lineRule="exact"/>
        <w:rPr>
          <w:sz w:val="20"/>
          <w:szCs w:val="20"/>
          <w:color w:val="auto"/>
        </w:rPr>
      </w:pPr>
    </w:p>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SIGNATURES</w:t>
        </w:r>
      </w:hyperlink>
    </w:p>
    <w:p>
      <w:pPr>
        <w:spacing w:after="0" w:line="26" w:lineRule="exact"/>
        <w:rPr>
          <w:sz w:val="20"/>
          <w:szCs w:val="20"/>
          <w:color w:val="auto"/>
        </w:rPr>
      </w:pPr>
    </w:p>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CERTIFICATION</w:t>
        </w:r>
      </w:hyperlink>
    </w:p>
    <w:p>
      <w:pPr>
        <w:spacing w:after="0" w:line="20" w:lineRule="exact"/>
        <w:rPr>
          <w:sz w:val="20"/>
          <w:szCs w:val="20"/>
          <w:color w:val="auto"/>
        </w:rPr>
      </w:pPr>
    </w:p>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CERTIFICATION</w:t>
        </w:r>
      </w:hyperlink>
    </w:p>
    <w:p>
      <w:pPr>
        <w:sectPr>
          <w:pgSz w:w="11900" w:h="16838" w:orient="portrait"/>
          <w:cols w:equalWidth="0" w:num="1">
            <w:col w:w="10219"/>
          </w:cols>
          <w:pgMar w:left="240" w:top="360" w:right="1440" w:bottom="1440" w:gutter="0" w:footer="0" w:header="0"/>
        </w:sectPr>
      </w:pPr>
    </w:p>
    <w:bookmarkStart w:id="19" w:name="page20"/>
    <w:bookmarkEnd w:id="19"/>
    <w:p>
      <w:pPr>
        <w:ind w:left="10160"/>
        <w:spacing w:after="0"/>
        <w:rPr>
          <w:sz w:val="20"/>
          <w:szCs w:val="20"/>
          <w:color w:val="auto"/>
        </w:rPr>
      </w:pPr>
      <w:r>
        <w:rPr>
          <w:rFonts w:ascii="Arial" w:cs="Arial" w:eastAsia="Arial" w:hAnsi="Arial"/>
          <w:sz w:val="18"/>
          <w:szCs w:val="18"/>
          <w:b w:val="1"/>
          <w:bCs w:val="1"/>
          <w:color w:val="auto"/>
        </w:rPr>
        <w:t>EXHIBIT 10.128</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NONSTATUTORY STOCK OPTION PLAN</w:t>
      </w:r>
    </w:p>
    <w:p>
      <w:pPr>
        <w:spacing w:after="0" w:line="200" w:lineRule="exact"/>
        <w:rPr>
          <w:sz w:val="20"/>
          <w:szCs w:val="20"/>
          <w:color w:val="auto"/>
        </w:rPr>
      </w:pPr>
    </w:p>
    <w:p>
      <w:pPr>
        <w:spacing w:after="0" w:line="224" w:lineRule="exact"/>
        <w:rPr>
          <w:sz w:val="20"/>
          <w:szCs w:val="20"/>
          <w:color w:val="auto"/>
        </w:rPr>
      </w:pPr>
    </w:p>
    <w:p>
      <w:pPr>
        <w:ind w:left="1000" w:hanging="67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Purposes of the Plan. The purposes of this Plan are:</w:t>
      </w:r>
    </w:p>
    <w:p>
      <w:pPr>
        <w:spacing w:after="0" w:line="223" w:lineRule="exact"/>
        <w:rPr>
          <w:sz w:val="20"/>
          <w:szCs w:val="20"/>
          <w:color w:val="auto"/>
        </w:rPr>
      </w:pPr>
    </w:p>
    <w:p>
      <w:pPr>
        <w:ind w:left="1020" w:hanging="69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50" w:lineRule="exact"/>
        <w:rPr>
          <w:rFonts w:ascii="Arial" w:cs="Arial" w:eastAsia="Arial" w:hAnsi="Arial"/>
          <w:sz w:val="18"/>
          <w:szCs w:val="18"/>
          <w:color w:val="auto"/>
        </w:rPr>
      </w:pPr>
    </w:p>
    <w:p>
      <w:pPr>
        <w:ind w:left="1020" w:hanging="69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23" w:lineRule="exact"/>
        <w:rPr>
          <w:rFonts w:ascii="Arial" w:cs="Arial" w:eastAsia="Arial" w:hAnsi="Arial"/>
          <w:sz w:val="18"/>
          <w:szCs w:val="18"/>
          <w:color w:val="auto"/>
        </w:rPr>
      </w:pPr>
    </w:p>
    <w:p>
      <w:pPr>
        <w:ind w:left="1020" w:hanging="69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options may be granted under the Plan.</w:t>
      </w:r>
    </w:p>
    <w:p>
      <w:pPr>
        <w:spacing w:after="0" w:line="223" w:lineRule="exact"/>
        <w:rPr>
          <w:sz w:val="20"/>
          <w:szCs w:val="20"/>
          <w:color w:val="auto"/>
        </w:rPr>
      </w:pPr>
    </w:p>
    <w:p>
      <w:pPr>
        <w:ind w:left="1000" w:hanging="670"/>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3" w:lineRule="exact"/>
        <w:rPr>
          <w:rFonts w:ascii="Arial" w:cs="Arial" w:eastAsia="Arial" w:hAnsi="Arial"/>
          <w:sz w:val="18"/>
          <w:szCs w:val="18"/>
          <w:color w:val="auto"/>
        </w:rPr>
      </w:pPr>
    </w:p>
    <w:p>
      <w:pPr>
        <w:ind w:left="1620" w:hanging="645"/>
        <w:spacing w:after="0"/>
        <w:tabs>
          <w:tab w:leader="none" w:pos="1620" w:val="left"/>
        </w:tabs>
        <w:numPr>
          <w:ilvl w:val="2"/>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46" w:lineRule="exact"/>
        <w:rPr>
          <w:rFonts w:ascii="Arial" w:cs="Arial" w:eastAsia="Arial" w:hAnsi="Arial"/>
          <w:sz w:val="16"/>
          <w:szCs w:val="16"/>
          <w:color w:val="auto"/>
        </w:rPr>
      </w:pPr>
    </w:p>
    <w:p>
      <w:pPr>
        <w:jc w:val="both"/>
        <w:ind w:right="20" w:firstLine="975"/>
        <w:spacing w:after="0" w:line="262" w:lineRule="auto"/>
        <w:tabs>
          <w:tab w:leader="none" w:pos="1632"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and the issuance of stock and stock option under federal securities laws, Delaware corporate and securities laws, the Code, and the applicable laws of any foreign country or jurisdiction where options will be or are being granted under the Plan.</w:t>
      </w:r>
    </w:p>
    <w:p>
      <w:pPr>
        <w:spacing w:after="0" w:line="182" w:lineRule="exact"/>
        <w:rPr>
          <w:rFonts w:ascii="Arial" w:cs="Arial" w:eastAsia="Arial" w:hAnsi="Arial"/>
          <w:sz w:val="18"/>
          <w:szCs w:val="18"/>
          <w:color w:val="auto"/>
        </w:rPr>
      </w:pPr>
    </w:p>
    <w:p>
      <w:pPr>
        <w:ind w:left="1620" w:hanging="645"/>
        <w:spacing w:after="0"/>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color w:val="auto"/>
        </w:rPr>
      </w:pPr>
    </w:p>
    <w:p>
      <w:pPr>
        <w:ind w:right="120" w:firstLine="975"/>
        <w:spacing w:after="0" w:line="275" w:lineRule="auto"/>
        <w:tabs>
          <w:tab w:leader="none" w:pos="1632"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1620" w:hanging="645"/>
        <w:spacing w:after="0"/>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rFonts w:ascii="Arial" w:cs="Arial" w:eastAsia="Arial" w:hAnsi="Arial"/>
          <w:sz w:val="18"/>
          <w:szCs w:val="18"/>
          <w:color w:val="auto"/>
        </w:rPr>
      </w:pPr>
    </w:p>
    <w:p>
      <w:pPr>
        <w:ind w:left="1660" w:hanging="685"/>
        <w:spacing w:after="0"/>
        <w:tabs>
          <w:tab w:leader="none" w:pos="16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3" w:lineRule="exact"/>
        <w:rPr>
          <w:rFonts w:ascii="Arial" w:cs="Arial" w:eastAsia="Arial" w:hAnsi="Arial"/>
          <w:sz w:val="18"/>
          <w:szCs w:val="18"/>
          <w:color w:val="auto"/>
        </w:rPr>
      </w:pPr>
    </w:p>
    <w:p>
      <w:pPr>
        <w:ind w:firstLine="975"/>
        <w:spacing w:after="0" w:line="275" w:lineRule="auto"/>
        <w:tabs>
          <w:tab w:leader="none" w:pos="1634"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subsidiary or affiliate to render services. The term “Consultant” shall not include any person who is also an Officer or Director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jc w:val="both"/>
        <w:ind w:right="120" w:firstLine="975"/>
        <w:spacing w:after="0" w:line="306" w:lineRule="auto"/>
        <w:tabs>
          <w:tab w:leader="none" w:pos="1634" w:val="left"/>
        </w:tabs>
        <w:numPr>
          <w:ilvl w:val="2"/>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Continuous Status as an Employee or Consultant</w:t>
      </w:r>
      <w:r>
        <w:rPr>
          <w:rFonts w:ascii="Arial" w:cs="Arial" w:eastAsia="Arial" w:hAnsi="Arial"/>
          <w:sz w:val="15"/>
          <w:szCs w:val="15"/>
          <w:color w:val="auto"/>
        </w:rPr>
        <w:t>” means that the 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w:t>
      </w:r>
    </w:p>
    <w:p>
      <w:pPr>
        <w:ind w:left="300" w:hanging="292"/>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 in status from either an Employee to a Consultant or a Consultant to an Employee. A leave of absence approved by the Company shall include 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-1022985</wp:posOffset>
            </wp:positionV>
            <wp:extent cx="726821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leave, military leave, or any other personal leave approved by an authorized representative of the Company.</w:t>
      </w:r>
    </w:p>
    <w:p>
      <w:pPr>
        <w:spacing w:after="0" w:line="209" w:lineRule="exact"/>
        <w:rPr>
          <w:sz w:val="20"/>
          <w:szCs w:val="20"/>
          <w:color w:val="auto"/>
        </w:rPr>
      </w:pPr>
    </w:p>
    <w:p>
      <w:pPr>
        <w:ind w:left="1640" w:hanging="665"/>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except Officers and Directors, employed by the Company or any parent, subsidiary or affiliate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9" w:lineRule="exact"/>
        <w:rPr>
          <w:sz w:val="20"/>
          <w:szCs w:val="20"/>
          <w:color w:val="auto"/>
        </w:rPr>
      </w:pPr>
    </w:p>
    <w:p>
      <w:pPr>
        <w:ind w:right="160" w:firstLine="975"/>
        <w:spacing w:after="0" w:line="258" w:lineRule="auto"/>
        <w:tabs>
          <w:tab w:leader="none" w:pos="14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85" w:lineRule="exact"/>
        <w:rPr>
          <w:rFonts w:ascii="Arial" w:cs="Arial" w:eastAsia="Arial" w:hAnsi="Arial"/>
          <w:sz w:val="18"/>
          <w:szCs w:val="18"/>
          <w:color w:val="auto"/>
        </w:rPr>
      </w:pPr>
    </w:p>
    <w:p>
      <w:pPr>
        <w:ind w:right="520" w:firstLine="975"/>
        <w:spacing w:after="0" w:line="275" w:lineRule="auto"/>
        <w:tabs>
          <w:tab w:leader="none" w:pos="1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70" w:lineRule="exact"/>
        <w:rPr>
          <w:rFonts w:ascii="Arial" w:cs="Arial" w:eastAsia="Arial" w:hAnsi="Arial"/>
          <w:sz w:val="18"/>
          <w:szCs w:val="18"/>
          <w:color w:val="auto"/>
        </w:rPr>
      </w:pPr>
    </w:p>
    <w:p>
      <w:pPr>
        <w:ind w:right="440" w:firstLine="975"/>
        <w:spacing w:after="0" w:line="275" w:lineRule="auto"/>
        <w:tabs>
          <w:tab w:leader="none" w:pos="1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70" w:lineRule="exact"/>
        <w:rPr>
          <w:rFonts w:ascii="Arial" w:cs="Arial" w:eastAsia="Arial" w:hAnsi="Arial"/>
          <w:sz w:val="18"/>
          <w:szCs w:val="18"/>
          <w:color w:val="auto"/>
        </w:rPr>
      </w:pPr>
    </w:p>
    <w:p>
      <w:pPr>
        <w:ind w:right="180" w:firstLine="975"/>
        <w:spacing w:after="0" w:line="275" w:lineRule="auto"/>
        <w:tabs>
          <w:tab w:leader="none" w:pos="1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stock option granted pursuant to the Plan. Such option is not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right="820" w:firstLine="975"/>
        <w:spacing w:after="0" w:line="275" w:lineRule="auto"/>
        <w:tabs>
          <w:tab w:leader="none" w:pos="1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ectPr>
          <w:pgSz w:w="11900" w:h="16838" w:orient="portrait"/>
          <w:cols w:equalWidth="0" w:num="1">
            <w:col w:w="11520"/>
          </w:cols>
          <w:pgMar w:left="240" w:top="363" w:right="139" w:bottom="121" w:gutter="0" w:footer="0" w:header="0"/>
        </w:sectPr>
      </w:pPr>
    </w:p>
    <w:bookmarkStart w:id="20" w:name="page21"/>
    <w:bookmarkEnd w:id="20"/>
    <w:p>
      <w:pPr>
        <w:ind w:left="1620" w:hanging="645"/>
        <w:spacing w:after="0"/>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Exchange Program</w:t>
      </w:r>
      <w:r>
        <w:rPr>
          <w:rFonts w:ascii="Arial" w:cs="Arial" w:eastAsia="Arial" w:hAnsi="Arial"/>
          <w:sz w:val="15"/>
          <w:szCs w:val="15"/>
          <w:color w:val="auto"/>
        </w:rPr>
        <w:t>” means a program whereby outstanding options are surrendered in exchange for options with a lower exercise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09" w:lineRule="exact"/>
        <w:rPr>
          <w:sz w:val="20"/>
          <w:szCs w:val="20"/>
          <w:color w:val="auto"/>
        </w:rPr>
      </w:pPr>
    </w:p>
    <w:p>
      <w:pPr>
        <w:ind w:left="1640" w:hanging="665"/>
        <w:spacing w:after="0"/>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40" w:hanging="665"/>
        <w:spacing w:after="0"/>
        <w:tabs>
          <w:tab w:leader="none" w:pos="1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Nonstatutory Stock Option Plan.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23" w:lineRule="exact"/>
        <w:rPr>
          <w:sz w:val="20"/>
          <w:szCs w:val="20"/>
          <w:color w:val="auto"/>
        </w:rPr>
      </w:pPr>
    </w:p>
    <w:p>
      <w:pPr>
        <w:ind w:right="60" w:firstLine="330"/>
        <w:spacing w:after="0" w:line="275" w:lineRule="auto"/>
        <w:tabs>
          <w:tab w:leader="none" w:pos="99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12 of the Plan, the maximum aggregate number of Shares, which may be optioned and sold under the Plan, is 59,603,088. The Shares may be authorized, but, unissued, or reacquired Common Stock.</w:t>
      </w:r>
    </w:p>
    <w:p>
      <w:pPr>
        <w:spacing w:after="0" w:line="171" w:lineRule="exact"/>
        <w:rPr>
          <w:sz w:val="20"/>
          <w:szCs w:val="20"/>
          <w:color w:val="auto"/>
        </w:rPr>
      </w:pPr>
    </w:p>
    <w:p>
      <w:pPr>
        <w:ind w:right="160" w:firstLine="968"/>
        <w:spacing w:after="0" w:line="340" w:lineRule="auto"/>
        <w:rPr>
          <w:sz w:val="20"/>
          <w:szCs w:val="20"/>
          <w:color w:val="auto"/>
        </w:rPr>
      </w:pPr>
      <w:r>
        <w:rPr>
          <w:rFonts w:ascii="Arial" w:cs="Arial" w:eastAsia="Arial" w:hAnsi="Arial"/>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24" w:lineRule="exact"/>
        <w:rPr>
          <w:sz w:val="20"/>
          <w:szCs w:val="20"/>
          <w:color w:val="auto"/>
        </w:rPr>
      </w:pPr>
    </w:p>
    <w:p>
      <w:pPr>
        <w:ind w:left="1000" w:hanging="67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40" w:firstLine="975"/>
        <w:spacing w:after="0" w:line="258" w:lineRule="auto"/>
        <w:tabs>
          <w:tab w:leader="none" w:pos="162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85" w:lineRule="exact"/>
        <w:rPr>
          <w:rFonts w:ascii="Arial" w:cs="Arial" w:eastAsia="Arial" w:hAnsi="Arial"/>
          <w:sz w:val="18"/>
          <w:szCs w:val="18"/>
          <w:color w:val="auto"/>
        </w:rPr>
      </w:pPr>
    </w:p>
    <w:p>
      <w:pPr>
        <w:ind w:firstLine="975"/>
        <w:spacing w:after="0" w:line="275" w:lineRule="auto"/>
        <w:tabs>
          <w:tab w:leader="none" w:pos="163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280" w:hanging="659"/>
        <w:spacing w:after="0"/>
        <w:tabs>
          <w:tab w:leader="none" w:pos="22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 hereunder;</w:t>
      </w:r>
    </w:p>
    <w:p>
      <w:pPr>
        <w:spacing w:after="0" w:line="209" w:lineRule="exact"/>
        <w:rPr>
          <w:sz w:val="20"/>
          <w:szCs w:val="20"/>
          <w:color w:val="auto"/>
        </w:rPr>
      </w:pPr>
    </w:p>
    <w:p>
      <w:pPr>
        <w:ind w:left="2300" w:hanging="679"/>
        <w:spacing w:after="0"/>
        <w:tabs>
          <w:tab w:leader="none" w:pos="2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23" w:lineRule="exact"/>
        <w:rPr>
          <w:rFonts w:ascii="Arial" w:cs="Arial" w:eastAsia="Arial" w:hAnsi="Arial"/>
          <w:sz w:val="18"/>
          <w:szCs w:val="18"/>
          <w:color w:val="auto"/>
        </w:rPr>
      </w:pPr>
    </w:p>
    <w:p>
      <w:pPr>
        <w:ind w:left="2280" w:hanging="659"/>
        <w:spacing w:after="0"/>
        <w:tabs>
          <w:tab w:leader="none" w:pos="2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3" w:lineRule="exact"/>
        <w:rPr>
          <w:rFonts w:ascii="Arial" w:cs="Arial" w:eastAsia="Arial" w:hAnsi="Arial"/>
          <w:sz w:val="18"/>
          <w:szCs w:val="18"/>
          <w:color w:val="auto"/>
        </w:rPr>
      </w:pPr>
    </w:p>
    <w:p>
      <w:pPr>
        <w:ind w:left="2280" w:hanging="659"/>
        <w:spacing w:after="0"/>
        <w:tabs>
          <w:tab w:leader="none" w:pos="2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3" w:lineRule="exact"/>
        <w:rPr>
          <w:rFonts w:ascii="Arial" w:cs="Arial" w:eastAsia="Arial" w:hAnsi="Arial"/>
          <w:sz w:val="18"/>
          <w:szCs w:val="18"/>
          <w:color w:val="auto"/>
        </w:rPr>
      </w:pPr>
    </w:p>
    <w:p>
      <w:pPr>
        <w:ind w:right="60" w:firstLine="1621"/>
        <w:spacing w:after="0" w:line="278" w:lineRule="auto"/>
        <w:tabs>
          <w:tab w:leader="none" w:pos="22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40" w:firstLine="1621"/>
        <w:spacing w:after="0" w:line="275" w:lineRule="auto"/>
        <w:tabs>
          <w:tab w:leader="none" w:pos="22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70" w:lineRule="exact"/>
        <w:rPr>
          <w:rFonts w:ascii="Arial" w:cs="Arial" w:eastAsia="Arial" w:hAnsi="Arial"/>
          <w:sz w:val="18"/>
          <w:szCs w:val="18"/>
          <w:color w:val="auto"/>
        </w:rPr>
      </w:pPr>
    </w:p>
    <w:p>
      <w:pPr>
        <w:ind w:left="2300" w:hanging="679"/>
        <w:spacing w:after="0"/>
        <w:tabs>
          <w:tab w:leader="none" w:pos="2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3" w:lineRule="exact"/>
        <w:rPr>
          <w:rFonts w:ascii="Arial" w:cs="Arial" w:eastAsia="Arial" w:hAnsi="Arial"/>
          <w:sz w:val="18"/>
          <w:szCs w:val="18"/>
          <w:color w:val="auto"/>
        </w:rPr>
      </w:pPr>
    </w:p>
    <w:p>
      <w:pPr>
        <w:ind w:right="340" w:firstLine="1621"/>
        <w:spacing w:after="0" w:line="275" w:lineRule="auto"/>
        <w:tabs>
          <w:tab w:leader="none" w:pos="23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right="320" w:firstLine="1621"/>
        <w:spacing w:after="0" w:line="275" w:lineRule="auto"/>
        <w:tabs>
          <w:tab w:leader="none" w:pos="2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70" w:lineRule="exact"/>
        <w:rPr>
          <w:rFonts w:ascii="Arial" w:cs="Arial" w:eastAsia="Arial" w:hAnsi="Arial"/>
          <w:sz w:val="18"/>
          <w:szCs w:val="18"/>
          <w:color w:val="auto"/>
        </w:rPr>
      </w:pPr>
    </w:p>
    <w:p>
      <w:pPr>
        <w:ind w:left="2340" w:hanging="719"/>
        <w:spacing w:after="0"/>
        <w:tabs>
          <w:tab w:leader="none" w:pos="2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Option previously</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granted by the Administrator;</w:t>
      </w:r>
    </w:p>
    <w:p>
      <w:pPr>
        <w:spacing w:after="0" w:line="208" w:lineRule="exact"/>
        <w:rPr>
          <w:rFonts w:ascii="Arial" w:cs="Arial" w:eastAsia="Arial" w:hAnsi="Arial"/>
          <w:sz w:val="16"/>
          <w:szCs w:val="16"/>
          <w:color w:val="auto"/>
        </w:rPr>
      </w:pPr>
    </w:p>
    <w:p>
      <w:pPr>
        <w:ind w:left="2340" w:hanging="719"/>
        <w:spacing w:after="0"/>
        <w:tabs>
          <w:tab w:leader="none" w:pos="2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institute and Option Exchange Program;</w:t>
      </w:r>
    </w:p>
    <w:p>
      <w:pPr>
        <w:spacing w:after="0" w:line="223" w:lineRule="exact"/>
        <w:rPr>
          <w:rFonts w:ascii="Arial" w:cs="Arial" w:eastAsia="Arial" w:hAnsi="Arial"/>
          <w:sz w:val="18"/>
          <w:szCs w:val="18"/>
          <w:color w:val="auto"/>
        </w:rPr>
      </w:pPr>
    </w:p>
    <w:p>
      <w:pPr>
        <w:ind w:right="180" w:firstLine="1621"/>
        <w:spacing w:after="0" w:line="306" w:lineRule="auto"/>
        <w:tabs>
          <w:tab w:leader="none" w:pos="233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46" w:lineRule="exact"/>
        <w:rPr>
          <w:rFonts w:ascii="Arial" w:cs="Arial" w:eastAsia="Arial" w:hAnsi="Arial"/>
          <w:sz w:val="17"/>
          <w:szCs w:val="17"/>
          <w:color w:val="auto"/>
        </w:rPr>
      </w:pPr>
    </w:p>
    <w:p>
      <w:pPr>
        <w:ind w:left="2300" w:hanging="679"/>
        <w:spacing w:after="0"/>
        <w:tabs>
          <w:tab w:leader="none" w:pos="2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ectPr>
          <w:pgSz w:w="11900" w:h="16838" w:orient="portrait"/>
          <w:cols w:equalWidth="0" w:num="1">
            <w:col w:w="11400"/>
          </w:cols>
          <w:pgMar w:left="240" w:top="125" w:right="259" w:bottom="0" w:gutter="0" w:footer="0" w:header="0"/>
        </w:sectPr>
      </w:pPr>
    </w:p>
    <w:bookmarkStart w:id="21" w:name="page22"/>
    <w:bookmarkEnd w:id="21"/>
    <w:p>
      <w:pPr>
        <w:ind w:right="480" w:firstLine="975"/>
        <w:spacing w:after="0" w:line="275" w:lineRule="auto"/>
        <w:tabs>
          <w:tab w:leader="none" w:pos="162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70" w:lineRule="exact"/>
        <w:rPr>
          <w:rFonts w:ascii="Arial" w:cs="Arial" w:eastAsia="Arial" w:hAnsi="Arial"/>
          <w:sz w:val="18"/>
          <w:szCs w:val="18"/>
          <w:color w:val="auto"/>
        </w:rPr>
      </w:pPr>
    </w:p>
    <w:p>
      <w:pPr>
        <w:ind w:left="1000" w:hanging="670"/>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to Employees and Consultants.</w:t>
      </w:r>
    </w:p>
    <w:p>
      <w:pPr>
        <w:spacing w:after="0" w:line="223" w:lineRule="exact"/>
        <w:rPr>
          <w:rFonts w:ascii="Arial" w:cs="Arial" w:eastAsia="Arial" w:hAnsi="Arial"/>
          <w:sz w:val="18"/>
          <w:szCs w:val="18"/>
          <w:color w:val="auto"/>
        </w:rPr>
      </w:pPr>
    </w:p>
    <w:p>
      <w:pPr>
        <w:ind w:right="340" w:firstLine="330"/>
        <w:spacing w:after="0" w:line="262" w:lineRule="auto"/>
        <w:tabs>
          <w:tab w:leader="none" w:pos="99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upon its adoption by the Board. It shall continue in effect until terminated under Section 14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08" w:lineRule="exact"/>
        <w:rPr>
          <w:rFonts w:ascii="Arial" w:cs="Arial" w:eastAsia="Arial" w:hAnsi="Arial"/>
          <w:sz w:val="16"/>
          <w:szCs w:val="16"/>
          <w:color w:val="auto"/>
        </w:rPr>
      </w:pPr>
    </w:p>
    <w:p>
      <w:pPr>
        <w:ind w:left="1000" w:hanging="670"/>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 w:hanging="67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680" w:firstLine="975"/>
        <w:spacing w:after="0" w:line="275" w:lineRule="auto"/>
        <w:tabs>
          <w:tab w:leader="none" w:pos="162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70" w:lineRule="exact"/>
        <w:rPr>
          <w:rFonts w:ascii="Arial" w:cs="Arial" w:eastAsia="Arial" w:hAnsi="Arial"/>
          <w:sz w:val="18"/>
          <w:szCs w:val="18"/>
          <w:color w:val="auto"/>
        </w:rPr>
      </w:pPr>
    </w:p>
    <w:p>
      <w:pPr>
        <w:ind w:right="20" w:firstLine="975"/>
        <w:spacing w:after="0" w:line="339" w:lineRule="auto"/>
        <w:tabs>
          <w:tab w:leader="none" w:pos="1632" w:val="left"/>
        </w:tabs>
        <w:numPr>
          <w:ilvl w:val="1"/>
          <w:numId w:val="31"/>
        </w:numPr>
        <w:rPr>
          <w:rFonts w:ascii="Arial" w:cs="Arial" w:eastAsia="Arial" w:hAnsi="Arial"/>
          <w:sz w:val="15"/>
          <w:szCs w:val="15"/>
          <w:color w:val="auto"/>
        </w:rPr>
      </w:pPr>
      <w:r>
        <w:rPr>
          <w:rFonts w:ascii="Arial" w:cs="Arial" w:eastAsia="Arial" w:hAnsi="Arial"/>
          <w:sz w:val="15"/>
          <w:szCs w:val="15"/>
          <w:u w:val="single" w:color="auto"/>
          <w:color w:val="auto"/>
        </w:rPr>
        <w:t>Waiting Period and Exercise Dates</w:t>
      </w:r>
      <w:r>
        <w:rPr>
          <w:rFonts w:ascii="Arial" w:cs="Arial" w:eastAsia="Arial" w:hAnsi="Arial"/>
          <w:sz w:val="15"/>
          <w:szCs w:val="15"/>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29" w:lineRule="exact"/>
        <w:rPr>
          <w:rFonts w:ascii="Arial" w:cs="Arial" w:eastAsia="Arial" w:hAnsi="Arial"/>
          <w:sz w:val="15"/>
          <w:szCs w:val="15"/>
          <w:color w:val="auto"/>
        </w:rPr>
      </w:pPr>
    </w:p>
    <w:p>
      <w:pPr>
        <w:ind w:right="420" w:firstLine="975"/>
        <w:spacing w:after="0" w:line="275" w:lineRule="auto"/>
        <w:tabs>
          <w:tab w:leader="none" w:pos="162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Such consideration may consist entirely of:</w:t>
      </w:r>
    </w:p>
    <w:p>
      <w:pPr>
        <w:spacing w:after="0" w:line="170" w:lineRule="exact"/>
        <w:rPr>
          <w:rFonts w:ascii="Arial" w:cs="Arial" w:eastAsia="Arial" w:hAnsi="Arial"/>
          <w:sz w:val="18"/>
          <w:szCs w:val="18"/>
          <w:color w:val="auto"/>
        </w:rPr>
      </w:pPr>
    </w:p>
    <w:p>
      <w:pPr>
        <w:ind w:left="2280" w:hanging="659"/>
        <w:spacing w:after="0"/>
        <w:tabs>
          <w:tab w:leader="none" w:pos="22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cash;</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check;</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3" w:lineRule="exact"/>
        <w:rPr>
          <w:rFonts w:ascii="Arial" w:cs="Arial" w:eastAsia="Arial" w:hAnsi="Arial"/>
          <w:sz w:val="18"/>
          <w:szCs w:val="18"/>
          <w:color w:val="auto"/>
        </w:rPr>
      </w:pPr>
    </w:p>
    <w:p>
      <w:pPr>
        <w:ind w:right="140" w:firstLine="1621"/>
        <w:spacing w:after="0" w:line="262" w:lineRule="auto"/>
        <w:tabs>
          <w:tab w:leader="none" w:pos="2282" w:val="left"/>
        </w:tabs>
        <w:numPr>
          <w:ilvl w:val="2"/>
          <w:numId w:val="31"/>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82" w:lineRule="exact"/>
        <w:rPr>
          <w:rFonts w:ascii="Arial" w:cs="Arial" w:eastAsia="Arial" w:hAnsi="Arial"/>
          <w:sz w:val="18"/>
          <w:szCs w:val="18"/>
          <w:color w:val="auto"/>
        </w:rPr>
      </w:pPr>
    </w:p>
    <w:p>
      <w:pPr>
        <w:ind w:right="440" w:firstLine="1621"/>
        <w:spacing w:after="0" w:line="378" w:lineRule="auto"/>
        <w:tabs>
          <w:tab w:leader="none" w:pos="2277" w:val="left"/>
        </w:tabs>
        <w:numPr>
          <w:ilvl w:val="2"/>
          <w:numId w:val="31"/>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01" w:lineRule="exact"/>
        <w:rPr>
          <w:rFonts w:ascii="Arial" w:cs="Arial" w:eastAsia="Arial" w:hAnsi="Arial"/>
          <w:sz w:val="15"/>
          <w:szCs w:val="15"/>
          <w:color w:val="auto"/>
        </w:rPr>
      </w:pPr>
    </w:p>
    <w:p>
      <w:pPr>
        <w:ind w:right="840" w:firstLine="1621"/>
        <w:spacing w:after="0" w:line="275" w:lineRule="auto"/>
        <w:tabs>
          <w:tab w:leader="none" w:pos="2282" w:val="left"/>
        </w:tabs>
        <w:numPr>
          <w:ilvl w:val="2"/>
          <w:numId w:val="31"/>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170" w:lineRule="exact"/>
        <w:rPr>
          <w:rFonts w:ascii="Arial" w:cs="Arial" w:eastAsia="Arial" w:hAnsi="Arial"/>
          <w:sz w:val="18"/>
          <w:szCs w:val="18"/>
          <w:color w:val="auto"/>
        </w:rPr>
      </w:pPr>
    </w:p>
    <w:p>
      <w:pPr>
        <w:ind w:left="2300" w:hanging="679"/>
        <w:spacing w:after="0"/>
        <w:tabs>
          <w:tab w:leader="none" w:pos="23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31"/>
        </w:numPr>
        <w:rPr>
          <w:rFonts w:ascii="Arial" w:cs="Arial" w:eastAsia="Arial" w:hAnsi="Arial"/>
          <w:sz w:val="17"/>
          <w:szCs w:val="17"/>
          <w:color w:val="auto"/>
        </w:rPr>
      </w:pPr>
      <w:r>
        <w:rPr>
          <w:rFonts w:ascii="Arial" w:cs="Arial" w:eastAsia="Arial" w:hAnsi="Arial"/>
          <w:sz w:val="17"/>
          <w:szCs w:val="17"/>
          <w:color w:val="auto"/>
        </w:rPr>
        <w:t>such other consideration and method of payment for the issuance of Shares to the extent permitted by Applicable Laws.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hanging="670"/>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40" w:firstLine="975"/>
        <w:spacing w:after="0" w:line="275" w:lineRule="auto"/>
        <w:tabs>
          <w:tab w:leader="none" w:pos="1622"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3" w:lineRule="exact"/>
        <w:rPr>
          <w:sz w:val="20"/>
          <w:szCs w:val="20"/>
          <w:color w:val="auto"/>
        </w:rPr>
      </w:pPr>
    </w:p>
    <w:p>
      <w:pPr>
        <w:ind w:firstLine="1613"/>
        <w:spacing w:after="0" w:line="289" w:lineRule="auto"/>
        <w:rPr>
          <w:sz w:val="20"/>
          <w:szCs w:val="20"/>
          <w:color w:val="auto"/>
        </w:rPr>
      </w:pPr>
      <w:r>
        <w:rPr>
          <w:rFonts w:ascii="Arial" w:cs="Arial" w:eastAsia="Arial" w:hAnsi="Arial"/>
          <w:sz w:val="16"/>
          <w:szCs w:val="16"/>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3" w:lineRule="exact"/>
        <w:rPr>
          <w:sz w:val="20"/>
          <w:szCs w:val="20"/>
          <w:color w:val="auto"/>
        </w:rPr>
      </w:pPr>
    </w:p>
    <w:p>
      <w:pPr>
        <w:ind w:right="40" w:firstLine="1613"/>
        <w:spacing w:after="0" w:line="27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ectPr>
          <w:pgSz w:w="11900" w:h="16838" w:orient="portrait"/>
          <w:cols w:equalWidth="0" w:num="1">
            <w:col w:w="11420"/>
          </w:cols>
          <w:pgMar w:left="240" w:top="125" w:right="239" w:bottom="0" w:gutter="0" w:footer="0" w:header="0"/>
        </w:sectPr>
      </w:pPr>
    </w:p>
    <w:bookmarkStart w:id="22" w:name="page23"/>
    <w:bookmarkEnd w:id="22"/>
    <w:p>
      <w:pPr>
        <w:ind w:right="40" w:firstLine="975"/>
        <w:spacing w:after="0" w:line="290" w:lineRule="auto"/>
        <w:tabs>
          <w:tab w:leader="none" w:pos="163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4" w:lineRule="exact"/>
        <w:rPr>
          <w:rFonts w:ascii="Arial" w:cs="Arial" w:eastAsia="Arial" w:hAnsi="Arial"/>
          <w:sz w:val="16"/>
          <w:szCs w:val="16"/>
          <w:color w:val="auto"/>
        </w:rPr>
      </w:pPr>
    </w:p>
    <w:p>
      <w:pPr>
        <w:ind w:firstLine="975"/>
        <w:spacing w:after="0" w:line="255" w:lineRule="auto"/>
        <w:tabs>
          <w:tab w:leader="none" w:pos="162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exercise his or her option within the time specified herein, the Option shall terminate, and the Shares covered by such Option shall revert to the Plan.</w:t>
      </w:r>
    </w:p>
    <w:p>
      <w:pPr>
        <w:spacing w:after="0" w:line="235" w:lineRule="exact"/>
        <w:rPr>
          <w:sz w:val="20"/>
          <w:szCs w:val="20"/>
          <w:color w:val="auto"/>
        </w:rPr>
      </w:pPr>
    </w:p>
    <w:p>
      <w:pPr>
        <w:ind w:right="20" w:firstLine="975"/>
        <w:spacing w:after="0" w:line="292" w:lineRule="auto"/>
        <w:tabs>
          <w:tab w:leader="none" w:pos="1632"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Death of Optionee</w:t>
      </w:r>
      <w:r>
        <w:rPr>
          <w:rFonts w:ascii="Arial" w:cs="Arial" w:eastAsia="Arial" w:hAnsi="Arial"/>
          <w:sz w:val="16"/>
          <w:szCs w:val="16"/>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62" w:lineRule="exact"/>
        <w:rPr>
          <w:rFonts w:ascii="Arial" w:cs="Arial" w:eastAsia="Arial" w:hAnsi="Arial"/>
          <w:sz w:val="16"/>
          <w:szCs w:val="16"/>
          <w:color w:val="auto"/>
        </w:rPr>
      </w:pPr>
    </w:p>
    <w:p>
      <w:pPr>
        <w:ind w:right="420" w:firstLine="975"/>
        <w:spacing w:after="0" w:line="258" w:lineRule="auto"/>
        <w:tabs>
          <w:tab w:leader="none" w:pos="162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5" w:lineRule="exact"/>
        <w:rPr>
          <w:rFonts w:ascii="Arial" w:cs="Arial" w:eastAsia="Arial" w:hAnsi="Arial"/>
          <w:sz w:val="18"/>
          <w:szCs w:val="18"/>
          <w:color w:val="auto"/>
        </w:rPr>
      </w:pPr>
    </w:p>
    <w:p>
      <w:pPr>
        <w:ind w:firstLine="330"/>
        <w:spacing w:after="0" w:line="262" w:lineRule="auto"/>
        <w:tabs>
          <w:tab w:leader="none" w:pos="99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0" w:firstLine="975"/>
        <w:spacing w:after="0" w:line="268" w:lineRule="auto"/>
        <w:tabs>
          <w:tab w:leader="none" w:pos="1622"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975"/>
        <w:spacing w:after="0" w:line="278" w:lineRule="auto"/>
        <w:tabs>
          <w:tab w:leader="none" w:pos="163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69" w:lineRule="exact"/>
        <w:rPr>
          <w:rFonts w:ascii="Arial" w:cs="Arial" w:eastAsia="Arial" w:hAnsi="Arial"/>
          <w:sz w:val="17"/>
          <w:szCs w:val="17"/>
          <w:color w:val="auto"/>
        </w:rPr>
      </w:pPr>
    </w:p>
    <w:p>
      <w:pPr>
        <w:ind w:right="40" w:firstLine="975"/>
        <w:spacing w:after="0" w:line="305" w:lineRule="auto"/>
        <w:tabs>
          <w:tab w:leader="none" w:pos="1622"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Merger or Asset Sale</w:t>
      </w:r>
      <w:r>
        <w:rPr>
          <w:rFonts w:ascii="Arial" w:cs="Arial" w:eastAsia="Arial" w:hAnsi="Arial"/>
          <w:sz w:val="15"/>
          <w:szCs w:val="15"/>
          <w:color w:val="auto"/>
        </w:rPr>
        <w:t>.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ectPr>
          <w:pgSz w:w="11900" w:h="16838" w:orient="portrait"/>
          <w:cols w:equalWidth="0" w:num="1">
            <w:col w:w="11420"/>
          </w:cols>
          <w:pgMar w:left="240" w:top="340" w:right="239" w:bottom="0" w:gutter="0" w:footer="0" w:header="0"/>
        </w:sectPr>
      </w:pPr>
    </w:p>
    <w:bookmarkStart w:id="23" w:name="page24"/>
    <w:bookmarkEnd w:id="23"/>
    <w:p>
      <w:pPr>
        <w:ind w:left="1640" w:hanging="665"/>
        <w:spacing w:after="0"/>
        <w:tabs>
          <w:tab w:leader="none" w:pos="164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the unexercised portion of the Option shall become immediately exercisable.</w:t>
      </w:r>
    </w:p>
    <w:p>
      <w:pPr>
        <w:spacing w:after="0" w:line="246" w:lineRule="exact"/>
        <w:rPr>
          <w:rFonts w:ascii="Arial" w:cs="Arial" w:eastAsia="Arial" w:hAnsi="Arial"/>
          <w:sz w:val="16"/>
          <w:szCs w:val="16"/>
          <w:color w:val="auto"/>
        </w:rPr>
      </w:pPr>
    </w:p>
    <w:p>
      <w:pPr>
        <w:ind w:firstLine="330"/>
        <w:spacing w:after="0" w:line="262" w:lineRule="auto"/>
        <w:tabs>
          <w:tab w:leader="none" w:pos="100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60" w:firstLine="1018"/>
        <w:spacing w:after="0" w:line="325" w:lineRule="auto"/>
        <w:tabs>
          <w:tab w:leader="none" w:pos="1664" w:val="left"/>
        </w:tabs>
        <w:numPr>
          <w:ilvl w:val="2"/>
          <w:numId w:val="38"/>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may an amendment be made without prior approval of the shareholders of the Company if such amendment would:</w:t>
      </w:r>
    </w:p>
    <w:p>
      <w:pPr>
        <w:spacing w:after="0" w:line="223" w:lineRule="exact"/>
        <w:rPr>
          <w:sz w:val="20"/>
          <w:szCs w:val="20"/>
          <w:color w:val="auto"/>
        </w:rPr>
      </w:pPr>
    </w:p>
    <w:p>
      <w:pPr>
        <w:ind w:left="2440" w:hanging="497"/>
        <w:spacing w:after="0"/>
        <w:tabs>
          <w:tab w:leader="none" w:pos="24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3" w:lineRule="exact"/>
        <w:rPr>
          <w:rFonts w:ascii="Arial" w:cs="Arial" w:eastAsia="Arial" w:hAnsi="Arial"/>
          <w:sz w:val="18"/>
          <w:szCs w:val="18"/>
          <w:color w:val="auto"/>
        </w:rPr>
      </w:pPr>
    </w:p>
    <w:p>
      <w:pPr>
        <w:ind w:left="2440" w:hanging="497"/>
        <w:spacing w:after="0"/>
        <w:tabs>
          <w:tab w:leader="none" w:pos="24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3" w:lineRule="exact"/>
        <w:rPr>
          <w:rFonts w:ascii="Arial" w:cs="Arial" w:eastAsia="Arial" w:hAnsi="Arial"/>
          <w:sz w:val="18"/>
          <w:szCs w:val="18"/>
          <w:color w:val="auto"/>
        </w:rPr>
      </w:pPr>
    </w:p>
    <w:p>
      <w:pPr>
        <w:ind w:left="2460" w:hanging="517"/>
        <w:spacing w:after="0"/>
        <w:tabs>
          <w:tab w:leader="none" w:pos="24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right="140" w:firstLine="975"/>
        <w:spacing w:after="0" w:line="262" w:lineRule="auto"/>
        <w:tabs>
          <w:tab w:leader="none" w:pos="163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right="20" w:firstLine="975"/>
        <w:spacing w:after="0" w:line="310" w:lineRule="auto"/>
        <w:tabs>
          <w:tab w:leader="none" w:pos="1622"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47" w:lineRule="exact"/>
        <w:rPr>
          <w:rFonts w:ascii="Arial" w:cs="Arial" w:eastAsia="Arial" w:hAnsi="Arial"/>
          <w:sz w:val="16"/>
          <w:szCs w:val="16"/>
          <w:color w:val="auto"/>
        </w:rPr>
      </w:pPr>
    </w:p>
    <w:p>
      <w:pPr>
        <w:ind w:right="60" w:firstLine="975"/>
        <w:spacing w:after="0" w:line="285" w:lineRule="auto"/>
        <w:tabs>
          <w:tab w:leader="none" w:pos="1632"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3" w:lineRule="exact"/>
        <w:rPr>
          <w:rFonts w:ascii="Arial" w:cs="Arial" w:eastAsia="Arial" w:hAnsi="Arial"/>
          <w:sz w:val="17"/>
          <w:szCs w:val="17"/>
          <w:color w:val="auto"/>
        </w:rPr>
      </w:pPr>
    </w:p>
    <w:p>
      <w:pPr>
        <w:jc w:val="both"/>
        <w:ind w:firstLine="330"/>
        <w:spacing w:after="0" w:line="262" w:lineRule="auto"/>
        <w:tabs>
          <w:tab w:leader="none" w:pos="10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2" w:lineRule="exact"/>
        <w:rPr>
          <w:rFonts w:ascii="Arial" w:cs="Arial" w:eastAsia="Arial" w:hAnsi="Arial"/>
          <w:sz w:val="18"/>
          <w:szCs w:val="18"/>
          <w:color w:val="auto"/>
        </w:rPr>
      </w:pPr>
    </w:p>
    <w:p>
      <w:pPr>
        <w:ind w:right="340" w:firstLine="330"/>
        <w:spacing w:after="0" w:line="275" w:lineRule="auto"/>
        <w:tabs>
          <w:tab w:leader="none" w:pos="10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right="340" w:firstLine="330"/>
        <w:spacing w:after="0" w:line="275" w:lineRule="auto"/>
        <w:tabs>
          <w:tab w:leader="none" w:pos="10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40"/>
          </w:cols>
          <w:pgMar w:left="240" w:top="340" w:right="319" w:bottom="1440" w:gutter="0" w:footer="0" w:header="0"/>
        </w:sectPr>
      </w:pPr>
    </w:p>
    <w:bookmarkStart w:id="24" w:name="page25"/>
    <w:bookmarkEnd w:id="24"/>
    <w:p>
      <w:pPr>
        <w:ind w:left="10160"/>
        <w:spacing w:after="0"/>
        <w:rPr>
          <w:sz w:val="20"/>
          <w:szCs w:val="20"/>
          <w:color w:val="auto"/>
        </w:rPr>
      </w:pPr>
      <w:r>
        <w:rPr>
          <w:rFonts w:ascii="Arial" w:cs="Arial" w:eastAsia="Arial" w:hAnsi="Arial"/>
          <w:sz w:val="18"/>
          <w:szCs w:val="18"/>
          <w:b w:val="1"/>
          <w:bCs w:val="1"/>
          <w:color w:val="auto"/>
        </w:rPr>
        <w:t>EXHIBIT 10.129</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1997 NONSTATUTORY STOCK OPTION PLAN</w:t>
      </w:r>
    </w:p>
    <w:p>
      <w:pPr>
        <w:spacing w:after="0" w:line="200" w:lineRule="exact"/>
        <w:rPr>
          <w:sz w:val="20"/>
          <w:szCs w:val="20"/>
          <w:color w:val="auto"/>
        </w:rPr>
      </w:pPr>
    </w:p>
    <w:p>
      <w:pPr>
        <w:spacing w:after="0" w:line="224" w:lineRule="exact"/>
        <w:rPr>
          <w:sz w:val="20"/>
          <w:szCs w:val="20"/>
          <w:color w:val="auto"/>
        </w:rPr>
      </w:pPr>
    </w:p>
    <w:p>
      <w:pPr>
        <w:ind w:left="1000" w:hanging="670"/>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Purposes of the Plan. The purposes of this Plan are:</w:t>
      </w:r>
    </w:p>
    <w:p>
      <w:pPr>
        <w:spacing w:after="0" w:line="223" w:lineRule="exact"/>
        <w:rPr>
          <w:sz w:val="20"/>
          <w:szCs w:val="20"/>
          <w:color w:val="auto"/>
        </w:rPr>
      </w:pPr>
    </w:p>
    <w:p>
      <w:pPr>
        <w:ind w:left="1020" w:hanging="690"/>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3" w:lineRule="exact"/>
        <w:rPr>
          <w:rFonts w:ascii="Arial" w:cs="Arial" w:eastAsia="Arial" w:hAnsi="Arial"/>
          <w:sz w:val="18"/>
          <w:szCs w:val="18"/>
          <w:color w:val="auto"/>
        </w:rPr>
      </w:pPr>
    </w:p>
    <w:p>
      <w:pPr>
        <w:ind w:left="1020" w:hanging="690"/>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23" w:lineRule="exact"/>
        <w:rPr>
          <w:rFonts w:ascii="Arial" w:cs="Arial" w:eastAsia="Arial" w:hAnsi="Arial"/>
          <w:sz w:val="18"/>
          <w:szCs w:val="18"/>
          <w:color w:val="auto"/>
        </w:rPr>
      </w:pPr>
    </w:p>
    <w:p>
      <w:pPr>
        <w:ind w:left="1020" w:hanging="690"/>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options may be granted under the Plan.</w:t>
      </w:r>
    </w:p>
    <w:p>
      <w:pPr>
        <w:spacing w:after="0" w:line="223" w:lineRule="exact"/>
        <w:rPr>
          <w:sz w:val="20"/>
          <w:szCs w:val="20"/>
          <w:color w:val="auto"/>
        </w:rPr>
      </w:pPr>
    </w:p>
    <w:p>
      <w:pPr>
        <w:ind w:left="1000" w:hanging="670"/>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3" w:lineRule="exact"/>
        <w:rPr>
          <w:rFonts w:ascii="Arial" w:cs="Arial" w:eastAsia="Arial" w:hAnsi="Arial"/>
          <w:sz w:val="18"/>
          <w:szCs w:val="18"/>
          <w:color w:val="auto"/>
        </w:rPr>
      </w:pPr>
    </w:p>
    <w:p>
      <w:pPr>
        <w:ind w:left="1620" w:hanging="645"/>
        <w:spacing w:after="0"/>
        <w:tabs>
          <w:tab w:leader="none" w:pos="1620" w:val="left"/>
        </w:tabs>
        <w:numPr>
          <w:ilvl w:val="2"/>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46" w:lineRule="exact"/>
        <w:rPr>
          <w:rFonts w:ascii="Arial" w:cs="Arial" w:eastAsia="Arial" w:hAnsi="Arial"/>
          <w:sz w:val="16"/>
          <w:szCs w:val="16"/>
          <w:color w:val="auto"/>
        </w:rPr>
      </w:pPr>
    </w:p>
    <w:p>
      <w:pPr>
        <w:jc w:val="both"/>
        <w:ind w:right="20" w:firstLine="975"/>
        <w:spacing w:after="0" w:line="262" w:lineRule="auto"/>
        <w:tabs>
          <w:tab w:leader="none" w:pos="1632"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and the issuance of stock and stock option under federal securities laws, Delaware corporate and securities laws, the Code, and the applicable laws of any foreign country or jurisdiction where options will be or are being granted under the Plan.</w:t>
      </w:r>
    </w:p>
    <w:p>
      <w:pPr>
        <w:spacing w:after="0" w:line="182" w:lineRule="exact"/>
        <w:rPr>
          <w:rFonts w:ascii="Arial" w:cs="Arial" w:eastAsia="Arial" w:hAnsi="Arial"/>
          <w:sz w:val="18"/>
          <w:szCs w:val="18"/>
          <w:color w:val="auto"/>
        </w:rPr>
      </w:pPr>
    </w:p>
    <w:p>
      <w:pPr>
        <w:ind w:left="1620" w:hanging="645"/>
        <w:spacing w:after="0"/>
        <w:tabs>
          <w:tab w:leader="none" w:pos="16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color w:val="auto"/>
        </w:rPr>
      </w:pPr>
    </w:p>
    <w:p>
      <w:pPr>
        <w:ind w:right="120" w:firstLine="975"/>
        <w:spacing w:after="0" w:line="275" w:lineRule="auto"/>
        <w:tabs>
          <w:tab w:leader="none" w:pos="1632"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1620" w:hanging="645"/>
        <w:spacing w:after="0"/>
        <w:tabs>
          <w:tab w:leader="none" w:pos="16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rFonts w:ascii="Arial" w:cs="Arial" w:eastAsia="Arial" w:hAnsi="Arial"/>
          <w:sz w:val="18"/>
          <w:szCs w:val="18"/>
          <w:color w:val="auto"/>
        </w:rPr>
      </w:pPr>
    </w:p>
    <w:p>
      <w:pPr>
        <w:ind w:left="1660" w:hanging="685"/>
        <w:spacing w:after="0"/>
        <w:tabs>
          <w:tab w:leader="none" w:pos="16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3" w:lineRule="exact"/>
        <w:rPr>
          <w:rFonts w:ascii="Arial" w:cs="Arial" w:eastAsia="Arial" w:hAnsi="Arial"/>
          <w:sz w:val="18"/>
          <w:szCs w:val="18"/>
          <w:color w:val="auto"/>
        </w:rPr>
      </w:pPr>
    </w:p>
    <w:p>
      <w:pPr>
        <w:ind w:firstLine="975"/>
        <w:spacing w:after="0" w:line="275" w:lineRule="auto"/>
        <w:tabs>
          <w:tab w:leader="none" w:pos="1634" w:val="left"/>
        </w:tabs>
        <w:numPr>
          <w:ilvl w:val="2"/>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subsidiary or affiliate to render services. The term “Consultant” shall not include any person who is also an Officer or Director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jc w:val="both"/>
        <w:ind w:right="120" w:firstLine="975"/>
        <w:spacing w:after="0" w:line="306" w:lineRule="auto"/>
        <w:tabs>
          <w:tab w:leader="none" w:pos="1634" w:val="left"/>
        </w:tabs>
        <w:numPr>
          <w:ilvl w:val="2"/>
          <w:numId w:val="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Continuous Status as an Employee or Consultant</w:t>
      </w:r>
      <w:r>
        <w:rPr>
          <w:rFonts w:ascii="Arial" w:cs="Arial" w:eastAsia="Arial" w:hAnsi="Arial"/>
          <w:sz w:val="15"/>
          <w:szCs w:val="15"/>
          <w:color w:val="auto"/>
        </w:rPr>
        <w:t>” means that the 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w:t>
      </w:r>
    </w:p>
    <w:p>
      <w:pPr>
        <w:ind w:left="300" w:hanging="292"/>
        <w:spacing w:after="0"/>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change in status from either an Employee to a Consultant or a Consultant to an Employee. A leave of absence approved by the Company shall include 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-1022985</wp:posOffset>
            </wp:positionV>
            <wp:extent cx="726821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leave, military leave, or any other personal leave approved by an authorized representative of the Company.</w:t>
      </w:r>
    </w:p>
    <w:p>
      <w:pPr>
        <w:spacing w:after="0" w:line="209" w:lineRule="exact"/>
        <w:rPr>
          <w:sz w:val="20"/>
          <w:szCs w:val="20"/>
          <w:color w:val="auto"/>
        </w:rPr>
      </w:pPr>
    </w:p>
    <w:p>
      <w:pPr>
        <w:ind w:left="1640" w:hanging="665"/>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except Officers and Directors, employed by the Company or any parent, subsidiary or affiliate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9" w:lineRule="exact"/>
        <w:rPr>
          <w:sz w:val="20"/>
          <w:szCs w:val="20"/>
          <w:color w:val="auto"/>
        </w:rPr>
      </w:pPr>
    </w:p>
    <w:p>
      <w:pPr>
        <w:ind w:right="220" w:firstLine="975"/>
        <w:spacing w:after="0" w:line="258" w:lineRule="auto"/>
        <w:tabs>
          <w:tab w:leader="none" w:pos="1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as of any date, the average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85" w:lineRule="exact"/>
        <w:rPr>
          <w:rFonts w:ascii="Arial" w:cs="Arial" w:eastAsia="Arial" w:hAnsi="Arial"/>
          <w:sz w:val="18"/>
          <w:szCs w:val="18"/>
          <w:color w:val="auto"/>
        </w:rPr>
      </w:pPr>
    </w:p>
    <w:p>
      <w:pPr>
        <w:ind w:right="520" w:firstLine="975"/>
        <w:spacing w:after="0" w:line="275" w:lineRule="auto"/>
        <w:tabs>
          <w:tab w:leader="none" w:pos="1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70" w:lineRule="exact"/>
        <w:rPr>
          <w:rFonts w:ascii="Arial" w:cs="Arial" w:eastAsia="Arial" w:hAnsi="Arial"/>
          <w:sz w:val="18"/>
          <w:szCs w:val="18"/>
          <w:color w:val="auto"/>
        </w:rPr>
      </w:pPr>
    </w:p>
    <w:p>
      <w:pPr>
        <w:ind w:right="440" w:firstLine="975"/>
        <w:spacing w:after="0" w:line="275" w:lineRule="auto"/>
        <w:tabs>
          <w:tab w:leader="none" w:pos="1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70" w:lineRule="exact"/>
        <w:rPr>
          <w:rFonts w:ascii="Arial" w:cs="Arial" w:eastAsia="Arial" w:hAnsi="Arial"/>
          <w:sz w:val="18"/>
          <w:szCs w:val="18"/>
          <w:color w:val="auto"/>
        </w:rPr>
      </w:pPr>
    </w:p>
    <w:p>
      <w:pPr>
        <w:ind w:right="180" w:firstLine="975"/>
        <w:spacing w:after="0" w:line="275" w:lineRule="auto"/>
        <w:tabs>
          <w:tab w:leader="none" w:pos="1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stock option granted pursuant to the Plan. Such option is not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right="820" w:firstLine="975"/>
        <w:spacing w:after="0" w:line="275" w:lineRule="auto"/>
        <w:tabs>
          <w:tab w:leader="none" w:pos="1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ectPr>
          <w:pgSz w:w="11900" w:h="16838" w:orient="portrait"/>
          <w:cols w:equalWidth="0" w:num="1">
            <w:col w:w="11520"/>
          </w:cols>
          <w:pgMar w:left="240" w:top="363" w:right="139" w:bottom="148" w:gutter="0" w:footer="0" w:header="0"/>
        </w:sectPr>
      </w:pPr>
    </w:p>
    <w:bookmarkStart w:id="25" w:name="page26"/>
    <w:bookmarkEnd w:id="25"/>
    <w:p>
      <w:pPr>
        <w:ind w:left="1620" w:hanging="645"/>
        <w:spacing w:after="0"/>
        <w:tabs>
          <w:tab w:leader="none" w:pos="1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Exchange Program</w:t>
      </w:r>
      <w:r>
        <w:rPr>
          <w:rFonts w:ascii="Arial" w:cs="Arial" w:eastAsia="Arial" w:hAnsi="Arial"/>
          <w:sz w:val="15"/>
          <w:szCs w:val="15"/>
          <w:color w:val="auto"/>
        </w:rPr>
        <w:t>” means a program whereby outstanding options are surrendered in exchange for options with a lower exercise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09" w:lineRule="exact"/>
        <w:rPr>
          <w:sz w:val="20"/>
          <w:szCs w:val="20"/>
          <w:color w:val="auto"/>
        </w:rPr>
      </w:pPr>
    </w:p>
    <w:p>
      <w:pPr>
        <w:ind w:left="5680" w:right="5180" w:hanging="4705"/>
        <w:spacing w:after="0" w:line="608" w:lineRule="auto"/>
        <w:tabs>
          <w:tab w:leader="none" w:pos="1651" w:val="left"/>
        </w:tabs>
        <w:numPr>
          <w:ilvl w:val="0"/>
          <w:numId w:val="4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Optioned Stock</w:t>
      </w:r>
      <w:r>
        <w:rPr>
          <w:rFonts w:ascii="Arial" w:cs="Arial" w:eastAsia="Arial" w:hAnsi="Arial"/>
          <w:sz w:val="15"/>
          <w:szCs w:val="15"/>
          <w:color w:val="auto"/>
        </w:rPr>
        <w:t>” means the Common Stock subject to an Option. 2</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7" w:lineRule="exact"/>
        <w:rPr>
          <w:rFonts w:ascii="Arial" w:cs="Arial" w:eastAsia="Arial" w:hAnsi="Arial"/>
          <w:sz w:val="15"/>
          <w:szCs w:val="15"/>
          <w:color w:val="auto"/>
        </w:rPr>
      </w:pPr>
    </w:p>
    <w:p>
      <w:pPr>
        <w:ind w:left="1640" w:hanging="665"/>
        <w:spacing w:after="0"/>
        <w:tabs>
          <w:tab w:leader="none" w:pos="1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Nonstatutory Stock Option Plan.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-1165225</wp:posOffset>
            </wp:positionV>
            <wp:extent cx="726821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3" w:lineRule="exact"/>
        <w:rPr>
          <w:sz w:val="20"/>
          <w:szCs w:val="20"/>
          <w:color w:val="auto"/>
        </w:rPr>
      </w:pPr>
    </w:p>
    <w:p>
      <w:pPr>
        <w:ind w:right="100" w:firstLine="330"/>
        <w:spacing w:after="0" w:line="275" w:lineRule="auto"/>
        <w:tabs>
          <w:tab w:leader="none" w:pos="99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12 of the Plan, the maximum aggregate number of Shares which may be optioned and sold under the Plan is 800,000. The Shares may be authorized, but unissued, or reacquired Common Stock.</w:t>
      </w:r>
    </w:p>
    <w:p>
      <w:pPr>
        <w:spacing w:after="0" w:line="171" w:lineRule="exact"/>
        <w:rPr>
          <w:sz w:val="20"/>
          <w:szCs w:val="20"/>
          <w:color w:val="auto"/>
        </w:rPr>
      </w:pPr>
    </w:p>
    <w:p>
      <w:pPr>
        <w:ind w:right="160" w:firstLine="968"/>
        <w:spacing w:after="0" w:line="340" w:lineRule="auto"/>
        <w:rPr>
          <w:sz w:val="20"/>
          <w:szCs w:val="20"/>
          <w:color w:val="auto"/>
        </w:rPr>
      </w:pPr>
      <w:r>
        <w:rPr>
          <w:rFonts w:ascii="Arial" w:cs="Arial" w:eastAsia="Arial" w:hAnsi="Arial"/>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24" w:lineRule="exact"/>
        <w:rPr>
          <w:sz w:val="20"/>
          <w:szCs w:val="20"/>
          <w:color w:val="auto"/>
        </w:rPr>
      </w:pPr>
    </w:p>
    <w:p>
      <w:pPr>
        <w:ind w:left="1000" w:hanging="67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40" w:firstLine="975"/>
        <w:spacing w:after="0" w:line="258" w:lineRule="auto"/>
        <w:tabs>
          <w:tab w:leader="none" w:pos="1622"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85" w:lineRule="exact"/>
        <w:rPr>
          <w:rFonts w:ascii="Arial" w:cs="Arial" w:eastAsia="Arial" w:hAnsi="Arial"/>
          <w:sz w:val="18"/>
          <w:szCs w:val="18"/>
          <w:color w:val="auto"/>
        </w:rPr>
      </w:pPr>
    </w:p>
    <w:p>
      <w:pPr>
        <w:ind w:firstLine="975"/>
        <w:spacing w:after="0" w:line="275" w:lineRule="auto"/>
        <w:tabs>
          <w:tab w:leader="none" w:pos="1632"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280" w:hanging="659"/>
        <w:spacing w:after="0"/>
        <w:tabs>
          <w:tab w:leader="none" w:pos="22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 granted hereunder;</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23" w:lineRule="exact"/>
        <w:rPr>
          <w:rFonts w:ascii="Arial" w:cs="Arial" w:eastAsia="Arial" w:hAnsi="Arial"/>
          <w:sz w:val="18"/>
          <w:szCs w:val="18"/>
          <w:color w:val="auto"/>
        </w:rPr>
      </w:pPr>
    </w:p>
    <w:p>
      <w:pPr>
        <w:ind w:left="2280" w:hanging="659"/>
        <w:spacing w:after="0"/>
        <w:tabs>
          <w:tab w:leader="none" w:pos="22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3" w:lineRule="exact"/>
        <w:rPr>
          <w:rFonts w:ascii="Arial" w:cs="Arial" w:eastAsia="Arial" w:hAnsi="Arial"/>
          <w:sz w:val="18"/>
          <w:szCs w:val="18"/>
          <w:color w:val="auto"/>
        </w:rPr>
      </w:pPr>
    </w:p>
    <w:p>
      <w:pPr>
        <w:ind w:left="2280" w:hanging="659"/>
        <w:spacing w:after="0"/>
        <w:tabs>
          <w:tab w:leader="none" w:pos="22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1621"/>
        <w:spacing w:after="0" w:line="278" w:lineRule="auto"/>
        <w:tabs>
          <w:tab w:leader="none" w:pos="228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69" w:lineRule="exact"/>
        <w:rPr>
          <w:rFonts w:ascii="Arial" w:cs="Arial" w:eastAsia="Arial" w:hAnsi="Arial"/>
          <w:sz w:val="17"/>
          <w:szCs w:val="17"/>
          <w:color w:val="auto"/>
        </w:rPr>
      </w:pPr>
    </w:p>
    <w:p>
      <w:pPr>
        <w:ind w:right="340" w:firstLine="1621"/>
        <w:spacing w:after="0" w:line="275" w:lineRule="auto"/>
        <w:tabs>
          <w:tab w:leader="none" w:pos="22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70" w:lineRule="exact"/>
        <w:rPr>
          <w:rFonts w:ascii="Arial" w:cs="Arial" w:eastAsia="Arial" w:hAnsi="Arial"/>
          <w:sz w:val="18"/>
          <w:szCs w:val="18"/>
          <w:color w:val="auto"/>
        </w:rPr>
      </w:pPr>
    </w:p>
    <w:p>
      <w:pPr>
        <w:ind w:left="2300" w:hanging="679"/>
        <w:spacing w:after="0"/>
        <w:tabs>
          <w:tab w:leader="none" w:pos="2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3" w:lineRule="exact"/>
        <w:rPr>
          <w:rFonts w:ascii="Arial" w:cs="Arial" w:eastAsia="Arial" w:hAnsi="Arial"/>
          <w:sz w:val="18"/>
          <w:szCs w:val="18"/>
          <w:color w:val="auto"/>
        </w:rPr>
      </w:pPr>
    </w:p>
    <w:p>
      <w:pPr>
        <w:ind w:right="340" w:firstLine="1621"/>
        <w:spacing w:after="0" w:line="275" w:lineRule="auto"/>
        <w:tabs>
          <w:tab w:leader="none" w:pos="23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right="320" w:firstLine="1621"/>
        <w:spacing w:after="0" w:line="275" w:lineRule="auto"/>
        <w:tabs>
          <w:tab w:leader="none" w:pos="23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70" w:lineRule="exact"/>
        <w:rPr>
          <w:rFonts w:ascii="Arial" w:cs="Arial" w:eastAsia="Arial" w:hAnsi="Arial"/>
          <w:sz w:val="18"/>
          <w:szCs w:val="18"/>
          <w:color w:val="auto"/>
        </w:rPr>
      </w:pPr>
    </w:p>
    <w:p>
      <w:pPr>
        <w:ind w:left="2340" w:hanging="719"/>
        <w:spacing w:after="0"/>
        <w:tabs>
          <w:tab w:leader="none" w:pos="2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Option previously</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granted by the Administrator;</w:t>
      </w:r>
    </w:p>
    <w:p>
      <w:pPr>
        <w:spacing w:after="0" w:line="208" w:lineRule="exact"/>
        <w:rPr>
          <w:rFonts w:ascii="Arial" w:cs="Arial" w:eastAsia="Arial" w:hAnsi="Arial"/>
          <w:sz w:val="16"/>
          <w:szCs w:val="16"/>
          <w:color w:val="auto"/>
        </w:rPr>
      </w:pPr>
    </w:p>
    <w:p>
      <w:pPr>
        <w:ind w:left="2340" w:hanging="719"/>
        <w:spacing w:after="0"/>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institute and Option Exchange Program;</w:t>
      </w:r>
    </w:p>
    <w:p>
      <w:pPr>
        <w:spacing w:after="0" w:line="223" w:lineRule="exact"/>
        <w:rPr>
          <w:rFonts w:ascii="Arial" w:cs="Arial" w:eastAsia="Arial" w:hAnsi="Arial"/>
          <w:sz w:val="18"/>
          <w:szCs w:val="18"/>
          <w:color w:val="auto"/>
        </w:rPr>
      </w:pPr>
    </w:p>
    <w:p>
      <w:pPr>
        <w:ind w:right="180" w:firstLine="1621"/>
        <w:spacing w:after="0" w:line="306" w:lineRule="auto"/>
        <w:tabs>
          <w:tab w:leader="none" w:pos="233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46" w:lineRule="exact"/>
        <w:rPr>
          <w:rFonts w:ascii="Arial" w:cs="Arial" w:eastAsia="Arial" w:hAnsi="Arial"/>
          <w:sz w:val="17"/>
          <w:szCs w:val="17"/>
          <w:color w:val="auto"/>
        </w:rPr>
      </w:pPr>
    </w:p>
    <w:p>
      <w:pPr>
        <w:ind w:left="2300" w:hanging="679"/>
        <w:spacing w:after="0"/>
        <w:tabs>
          <w:tab w:leader="none" w:pos="2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ectPr>
          <w:pgSz w:w="11900" w:h="16838" w:orient="portrait"/>
          <w:cols w:equalWidth="0" w:num="1">
            <w:col w:w="11400"/>
          </w:cols>
          <w:pgMar w:left="240" w:top="125" w:right="259" w:bottom="200" w:gutter="0" w:footer="0" w:header="0"/>
        </w:sectPr>
      </w:pPr>
    </w:p>
    <w:bookmarkStart w:id="26" w:name="page27"/>
    <w:bookmarkEnd w:id="26"/>
    <w:p>
      <w:pPr>
        <w:ind w:right="480" w:firstLine="975"/>
        <w:spacing w:after="0" w:line="275" w:lineRule="auto"/>
        <w:tabs>
          <w:tab w:leader="none" w:pos="162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70" w:lineRule="exact"/>
        <w:rPr>
          <w:rFonts w:ascii="Arial" w:cs="Arial" w:eastAsia="Arial" w:hAnsi="Arial"/>
          <w:sz w:val="18"/>
          <w:szCs w:val="18"/>
          <w:color w:val="auto"/>
        </w:rPr>
      </w:pPr>
    </w:p>
    <w:p>
      <w:pPr>
        <w:ind w:left="1000" w:hanging="670"/>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to Employees and Consultants.</w:t>
      </w:r>
    </w:p>
    <w:p>
      <w:pPr>
        <w:spacing w:after="0" w:line="223" w:lineRule="exact"/>
        <w:rPr>
          <w:rFonts w:ascii="Arial" w:cs="Arial" w:eastAsia="Arial" w:hAnsi="Arial"/>
          <w:sz w:val="18"/>
          <w:szCs w:val="18"/>
          <w:color w:val="auto"/>
        </w:rPr>
      </w:pPr>
    </w:p>
    <w:p>
      <w:pPr>
        <w:ind w:right="340" w:firstLine="330"/>
        <w:spacing w:after="0" w:line="262" w:lineRule="auto"/>
        <w:tabs>
          <w:tab w:leader="none" w:pos="99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 w:hanging="670"/>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upon its adoption by the Board. It shall continue in effect until terminated under Section 14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08" w:lineRule="exact"/>
        <w:rPr>
          <w:rFonts w:ascii="Arial" w:cs="Arial" w:eastAsia="Arial" w:hAnsi="Arial"/>
          <w:sz w:val="16"/>
          <w:szCs w:val="16"/>
          <w:color w:val="auto"/>
        </w:rPr>
      </w:pPr>
    </w:p>
    <w:p>
      <w:pPr>
        <w:ind w:left="1000" w:hanging="67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w:t>
      </w:r>
    </w:p>
    <w:p>
      <w:pPr>
        <w:spacing w:after="0" w:line="223" w:lineRule="exact"/>
        <w:rPr>
          <w:rFonts w:ascii="Arial" w:cs="Arial" w:eastAsia="Arial" w:hAnsi="Arial"/>
          <w:sz w:val="18"/>
          <w:szCs w:val="18"/>
          <w:color w:val="auto"/>
        </w:rPr>
      </w:pPr>
    </w:p>
    <w:p>
      <w:pPr>
        <w:ind w:left="1000" w:hanging="67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680" w:firstLine="975"/>
        <w:spacing w:after="0" w:line="275" w:lineRule="auto"/>
        <w:tabs>
          <w:tab w:leader="none" w:pos="162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70" w:lineRule="exact"/>
        <w:rPr>
          <w:rFonts w:ascii="Arial" w:cs="Arial" w:eastAsia="Arial" w:hAnsi="Arial"/>
          <w:sz w:val="18"/>
          <w:szCs w:val="18"/>
          <w:color w:val="auto"/>
        </w:rPr>
      </w:pPr>
    </w:p>
    <w:p>
      <w:pPr>
        <w:ind w:right="20" w:firstLine="975"/>
        <w:spacing w:after="0" w:line="339" w:lineRule="auto"/>
        <w:tabs>
          <w:tab w:leader="none" w:pos="1632" w:val="left"/>
        </w:tabs>
        <w:numPr>
          <w:ilvl w:val="1"/>
          <w:numId w:val="55"/>
        </w:numPr>
        <w:rPr>
          <w:rFonts w:ascii="Arial" w:cs="Arial" w:eastAsia="Arial" w:hAnsi="Arial"/>
          <w:sz w:val="15"/>
          <w:szCs w:val="15"/>
          <w:color w:val="auto"/>
        </w:rPr>
      </w:pPr>
      <w:r>
        <w:rPr>
          <w:rFonts w:ascii="Arial" w:cs="Arial" w:eastAsia="Arial" w:hAnsi="Arial"/>
          <w:sz w:val="15"/>
          <w:szCs w:val="15"/>
          <w:u w:val="single" w:color="auto"/>
          <w:color w:val="auto"/>
        </w:rPr>
        <w:t>Waiting Period and Exercise Dates</w:t>
      </w:r>
      <w:r>
        <w:rPr>
          <w:rFonts w:ascii="Arial" w:cs="Arial" w:eastAsia="Arial" w:hAnsi="Arial"/>
          <w:sz w:val="15"/>
          <w:szCs w:val="15"/>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29" w:lineRule="exact"/>
        <w:rPr>
          <w:rFonts w:ascii="Arial" w:cs="Arial" w:eastAsia="Arial" w:hAnsi="Arial"/>
          <w:sz w:val="15"/>
          <w:szCs w:val="15"/>
          <w:color w:val="auto"/>
        </w:rPr>
      </w:pPr>
    </w:p>
    <w:p>
      <w:pPr>
        <w:ind w:right="420" w:firstLine="975"/>
        <w:spacing w:after="0" w:line="275" w:lineRule="auto"/>
        <w:tabs>
          <w:tab w:leader="none" w:pos="162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Such consideration may consist entirely of:</w:t>
      </w:r>
    </w:p>
    <w:p>
      <w:pPr>
        <w:spacing w:after="0" w:line="170" w:lineRule="exact"/>
        <w:rPr>
          <w:rFonts w:ascii="Arial" w:cs="Arial" w:eastAsia="Arial" w:hAnsi="Arial"/>
          <w:sz w:val="18"/>
          <w:szCs w:val="18"/>
          <w:color w:val="auto"/>
        </w:rPr>
      </w:pPr>
    </w:p>
    <w:p>
      <w:pPr>
        <w:ind w:left="2280" w:hanging="659"/>
        <w:spacing w:after="0"/>
        <w:tabs>
          <w:tab w:leader="none" w:pos="22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cash;</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check;</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3" w:lineRule="exact"/>
        <w:rPr>
          <w:rFonts w:ascii="Arial" w:cs="Arial" w:eastAsia="Arial" w:hAnsi="Arial"/>
          <w:sz w:val="18"/>
          <w:szCs w:val="18"/>
          <w:color w:val="auto"/>
        </w:rPr>
      </w:pPr>
    </w:p>
    <w:p>
      <w:pPr>
        <w:ind w:right="140" w:firstLine="1621"/>
        <w:spacing w:after="0" w:line="262" w:lineRule="auto"/>
        <w:tabs>
          <w:tab w:leader="none" w:pos="2282" w:val="left"/>
        </w:tabs>
        <w:numPr>
          <w:ilvl w:val="2"/>
          <w:numId w:val="55"/>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82" w:lineRule="exact"/>
        <w:rPr>
          <w:rFonts w:ascii="Arial" w:cs="Arial" w:eastAsia="Arial" w:hAnsi="Arial"/>
          <w:sz w:val="18"/>
          <w:szCs w:val="18"/>
          <w:color w:val="auto"/>
        </w:rPr>
      </w:pPr>
    </w:p>
    <w:p>
      <w:pPr>
        <w:ind w:right="440" w:firstLine="1621"/>
        <w:spacing w:after="0" w:line="378" w:lineRule="auto"/>
        <w:tabs>
          <w:tab w:leader="none" w:pos="2277" w:val="left"/>
        </w:tabs>
        <w:numPr>
          <w:ilvl w:val="2"/>
          <w:numId w:val="55"/>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01" w:lineRule="exact"/>
        <w:rPr>
          <w:rFonts w:ascii="Arial" w:cs="Arial" w:eastAsia="Arial" w:hAnsi="Arial"/>
          <w:sz w:val="15"/>
          <w:szCs w:val="15"/>
          <w:color w:val="auto"/>
        </w:rPr>
      </w:pPr>
    </w:p>
    <w:p>
      <w:pPr>
        <w:ind w:right="840" w:firstLine="1621"/>
        <w:spacing w:after="0" w:line="275" w:lineRule="auto"/>
        <w:tabs>
          <w:tab w:leader="none" w:pos="2282" w:val="left"/>
        </w:tabs>
        <w:numPr>
          <w:ilvl w:val="2"/>
          <w:numId w:val="55"/>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170" w:lineRule="exact"/>
        <w:rPr>
          <w:rFonts w:ascii="Arial" w:cs="Arial" w:eastAsia="Arial" w:hAnsi="Arial"/>
          <w:sz w:val="18"/>
          <w:szCs w:val="18"/>
          <w:color w:val="auto"/>
        </w:rPr>
      </w:pPr>
    </w:p>
    <w:p>
      <w:pPr>
        <w:ind w:left="2300" w:hanging="679"/>
        <w:spacing w:after="0"/>
        <w:tabs>
          <w:tab w:leader="none" w:pos="23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55"/>
        </w:numPr>
        <w:rPr>
          <w:rFonts w:ascii="Arial" w:cs="Arial" w:eastAsia="Arial" w:hAnsi="Arial"/>
          <w:sz w:val="17"/>
          <w:szCs w:val="17"/>
          <w:color w:val="auto"/>
        </w:rPr>
      </w:pPr>
      <w:r>
        <w:rPr>
          <w:rFonts w:ascii="Arial" w:cs="Arial" w:eastAsia="Arial" w:hAnsi="Arial"/>
          <w:sz w:val="17"/>
          <w:szCs w:val="17"/>
          <w:color w:val="auto"/>
        </w:rPr>
        <w:t>such other consideration and method of payment for the issuance of Shares to the extent permitted by Applicable Laws.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hanging="670"/>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40" w:firstLine="975"/>
        <w:spacing w:after="0" w:line="275" w:lineRule="auto"/>
        <w:tabs>
          <w:tab w:leader="none" w:pos="1622"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3" w:lineRule="exact"/>
        <w:rPr>
          <w:sz w:val="20"/>
          <w:szCs w:val="20"/>
          <w:color w:val="auto"/>
        </w:rPr>
      </w:pPr>
    </w:p>
    <w:p>
      <w:pPr>
        <w:ind w:firstLine="1613"/>
        <w:spacing w:after="0" w:line="289" w:lineRule="auto"/>
        <w:rPr>
          <w:sz w:val="20"/>
          <w:szCs w:val="20"/>
          <w:color w:val="auto"/>
        </w:rPr>
      </w:pPr>
      <w:r>
        <w:rPr>
          <w:rFonts w:ascii="Arial" w:cs="Arial" w:eastAsia="Arial" w:hAnsi="Arial"/>
          <w:sz w:val="16"/>
          <w:szCs w:val="16"/>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3" w:lineRule="exact"/>
        <w:rPr>
          <w:sz w:val="20"/>
          <w:szCs w:val="20"/>
          <w:color w:val="auto"/>
        </w:rPr>
      </w:pPr>
    </w:p>
    <w:p>
      <w:pPr>
        <w:ind w:right="40" w:firstLine="1613"/>
        <w:spacing w:after="0" w:line="27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ectPr>
          <w:pgSz w:w="11900" w:h="16838" w:orient="portrait"/>
          <w:cols w:equalWidth="0" w:num="1">
            <w:col w:w="11420"/>
          </w:cols>
          <w:pgMar w:left="240" w:top="125" w:right="239" w:bottom="0" w:gutter="0" w:footer="0" w:header="0"/>
        </w:sectPr>
      </w:pPr>
    </w:p>
    <w:bookmarkStart w:id="27" w:name="page28"/>
    <w:bookmarkEnd w:id="27"/>
    <w:p>
      <w:pPr>
        <w:ind w:right="40" w:firstLine="975"/>
        <w:spacing w:after="0" w:line="290" w:lineRule="auto"/>
        <w:tabs>
          <w:tab w:leader="none" w:pos="163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4" w:lineRule="exact"/>
        <w:rPr>
          <w:rFonts w:ascii="Arial" w:cs="Arial" w:eastAsia="Arial" w:hAnsi="Arial"/>
          <w:sz w:val="16"/>
          <w:szCs w:val="16"/>
          <w:color w:val="auto"/>
        </w:rPr>
      </w:pPr>
    </w:p>
    <w:p>
      <w:pPr>
        <w:ind w:firstLine="975"/>
        <w:spacing w:after="0" w:line="255" w:lineRule="auto"/>
        <w:tabs>
          <w:tab w:leader="none" w:pos="162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exercise his or her option within the time specified herein, the Option shall terminate, and the Shares covered by such Option shall revert to the Plan.</w:t>
      </w:r>
    </w:p>
    <w:p>
      <w:pPr>
        <w:spacing w:after="0" w:line="235" w:lineRule="exact"/>
        <w:rPr>
          <w:sz w:val="20"/>
          <w:szCs w:val="20"/>
          <w:color w:val="auto"/>
        </w:rPr>
      </w:pPr>
    </w:p>
    <w:p>
      <w:pPr>
        <w:ind w:right="20" w:firstLine="975"/>
        <w:spacing w:after="0" w:line="292" w:lineRule="auto"/>
        <w:tabs>
          <w:tab w:leader="none" w:pos="1632"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Death of Optionee</w:t>
      </w:r>
      <w:r>
        <w:rPr>
          <w:rFonts w:ascii="Arial" w:cs="Arial" w:eastAsia="Arial" w:hAnsi="Arial"/>
          <w:sz w:val="16"/>
          <w:szCs w:val="16"/>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62" w:lineRule="exact"/>
        <w:rPr>
          <w:rFonts w:ascii="Arial" w:cs="Arial" w:eastAsia="Arial" w:hAnsi="Arial"/>
          <w:sz w:val="16"/>
          <w:szCs w:val="16"/>
          <w:color w:val="auto"/>
        </w:rPr>
      </w:pPr>
    </w:p>
    <w:p>
      <w:pPr>
        <w:ind w:right="420" w:firstLine="975"/>
        <w:spacing w:after="0" w:line="258" w:lineRule="auto"/>
        <w:tabs>
          <w:tab w:leader="none" w:pos="1622"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5" w:lineRule="exact"/>
        <w:rPr>
          <w:rFonts w:ascii="Arial" w:cs="Arial" w:eastAsia="Arial" w:hAnsi="Arial"/>
          <w:sz w:val="18"/>
          <w:szCs w:val="18"/>
          <w:color w:val="auto"/>
        </w:rPr>
      </w:pPr>
    </w:p>
    <w:p>
      <w:pPr>
        <w:ind w:firstLine="330"/>
        <w:spacing w:after="0" w:line="262" w:lineRule="auto"/>
        <w:tabs>
          <w:tab w:leader="none" w:pos="9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0" w:firstLine="975"/>
        <w:spacing w:after="0" w:line="268" w:lineRule="auto"/>
        <w:tabs>
          <w:tab w:leader="none" w:pos="1622"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975"/>
        <w:spacing w:after="0" w:line="278" w:lineRule="auto"/>
        <w:tabs>
          <w:tab w:leader="none" w:pos="163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69" w:lineRule="exact"/>
        <w:rPr>
          <w:rFonts w:ascii="Arial" w:cs="Arial" w:eastAsia="Arial" w:hAnsi="Arial"/>
          <w:sz w:val="17"/>
          <w:szCs w:val="17"/>
          <w:color w:val="auto"/>
        </w:rPr>
      </w:pPr>
    </w:p>
    <w:p>
      <w:pPr>
        <w:ind w:right="20" w:firstLine="975"/>
        <w:spacing w:after="0" w:line="305" w:lineRule="auto"/>
        <w:tabs>
          <w:tab w:leader="none" w:pos="1622"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Merger or Asset Sale</w:t>
      </w:r>
      <w:r>
        <w:rPr>
          <w:rFonts w:ascii="Arial" w:cs="Arial" w:eastAsia="Arial" w:hAnsi="Arial"/>
          <w:sz w:val="15"/>
          <w:szCs w:val="15"/>
          <w:color w:val="auto"/>
        </w:rPr>
        <w:t>.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In the event that the successor corporation refuses to assume or substitute the Option, the Optionee shall fully vest in and have the right to exercise the Option as to all of the optioned stock. If an Option becomes fully vested and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ectPr>
          <w:pgSz w:w="11900" w:h="16838" w:orient="portrait"/>
          <w:cols w:equalWidth="0" w:num="1">
            <w:col w:w="11420"/>
          </w:cols>
          <w:pgMar w:left="240" w:top="340" w:right="239" w:bottom="0" w:gutter="0" w:footer="0" w:header="0"/>
        </w:sectPr>
      </w:pPr>
    </w:p>
    <w:bookmarkStart w:id="28" w:name="page29"/>
    <w:bookmarkEnd w:id="28"/>
    <w:p>
      <w:pPr>
        <w:ind w:left="1640" w:hanging="665"/>
        <w:spacing w:after="0"/>
        <w:tabs>
          <w:tab w:leader="none" w:pos="1640"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the unexercised portion of the Option shall become immediately exercisable.</w:t>
      </w:r>
    </w:p>
    <w:p>
      <w:pPr>
        <w:spacing w:after="0" w:line="246" w:lineRule="exact"/>
        <w:rPr>
          <w:rFonts w:ascii="Arial" w:cs="Arial" w:eastAsia="Arial" w:hAnsi="Arial"/>
          <w:sz w:val="16"/>
          <w:szCs w:val="16"/>
          <w:color w:val="auto"/>
        </w:rPr>
      </w:pPr>
    </w:p>
    <w:p>
      <w:pPr>
        <w:ind w:firstLine="330"/>
        <w:spacing w:after="0" w:line="262" w:lineRule="auto"/>
        <w:tabs>
          <w:tab w:leader="none" w:pos="100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60" w:firstLine="1018"/>
        <w:spacing w:after="0" w:line="325" w:lineRule="auto"/>
        <w:tabs>
          <w:tab w:leader="none" w:pos="1664" w:val="left"/>
        </w:tabs>
        <w:numPr>
          <w:ilvl w:val="2"/>
          <w:numId w:val="62"/>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may an amendment be made without prior approval of the shareholders of the Company if such amendment would:</w:t>
      </w:r>
    </w:p>
    <w:p>
      <w:pPr>
        <w:spacing w:after="0" w:line="223" w:lineRule="exact"/>
        <w:rPr>
          <w:sz w:val="20"/>
          <w:szCs w:val="20"/>
          <w:color w:val="auto"/>
        </w:rPr>
      </w:pPr>
    </w:p>
    <w:p>
      <w:pPr>
        <w:ind w:left="2120" w:hanging="499"/>
        <w:spacing w:after="0"/>
        <w:tabs>
          <w:tab w:leader="none" w:pos="2120" w:val="left"/>
        </w:tabs>
        <w:numPr>
          <w:ilvl w:val="3"/>
          <w:numId w:val="63"/>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3" w:lineRule="exact"/>
        <w:rPr>
          <w:rFonts w:ascii="Arial" w:cs="Arial" w:eastAsia="Arial" w:hAnsi="Arial"/>
          <w:sz w:val="18"/>
          <w:szCs w:val="18"/>
          <w:color w:val="auto"/>
        </w:rPr>
      </w:pPr>
    </w:p>
    <w:p>
      <w:pPr>
        <w:ind w:left="2120" w:hanging="499"/>
        <w:spacing w:after="0"/>
        <w:tabs>
          <w:tab w:leader="none" w:pos="2120" w:val="left"/>
        </w:tabs>
        <w:numPr>
          <w:ilvl w:val="3"/>
          <w:numId w:val="63"/>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3" w:lineRule="exact"/>
        <w:rPr>
          <w:rFonts w:ascii="Arial" w:cs="Arial" w:eastAsia="Arial" w:hAnsi="Arial"/>
          <w:sz w:val="18"/>
          <w:szCs w:val="18"/>
          <w:color w:val="auto"/>
        </w:rPr>
      </w:pPr>
    </w:p>
    <w:p>
      <w:pPr>
        <w:ind w:left="2120" w:hanging="499"/>
        <w:spacing w:after="0"/>
        <w:tabs>
          <w:tab w:leader="none" w:pos="2120" w:val="left"/>
        </w:tabs>
        <w:numPr>
          <w:ilvl w:val="3"/>
          <w:numId w:val="63"/>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3" w:lineRule="exact"/>
        <w:rPr>
          <w:rFonts w:ascii="Arial" w:cs="Arial" w:eastAsia="Arial" w:hAnsi="Arial"/>
          <w:sz w:val="18"/>
          <w:szCs w:val="18"/>
          <w:color w:val="auto"/>
        </w:rPr>
      </w:pPr>
    </w:p>
    <w:p>
      <w:pPr>
        <w:ind w:right="140" w:firstLine="1018"/>
        <w:spacing w:after="0" w:line="262" w:lineRule="auto"/>
        <w:tabs>
          <w:tab w:leader="none" w:pos="1674"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right="20" w:firstLine="975"/>
        <w:spacing w:after="0" w:line="310" w:lineRule="auto"/>
        <w:tabs>
          <w:tab w:leader="none" w:pos="162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47" w:lineRule="exact"/>
        <w:rPr>
          <w:rFonts w:ascii="Arial" w:cs="Arial" w:eastAsia="Arial" w:hAnsi="Arial"/>
          <w:sz w:val="16"/>
          <w:szCs w:val="16"/>
          <w:color w:val="auto"/>
        </w:rPr>
      </w:pPr>
    </w:p>
    <w:p>
      <w:pPr>
        <w:ind w:right="60" w:firstLine="975"/>
        <w:spacing w:after="0" w:line="285" w:lineRule="auto"/>
        <w:tabs>
          <w:tab w:leader="none" w:pos="1632"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3" w:lineRule="exact"/>
        <w:rPr>
          <w:rFonts w:ascii="Arial" w:cs="Arial" w:eastAsia="Arial" w:hAnsi="Arial"/>
          <w:sz w:val="17"/>
          <w:szCs w:val="17"/>
          <w:color w:val="auto"/>
        </w:rPr>
      </w:pPr>
    </w:p>
    <w:p>
      <w:pPr>
        <w:jc w:val="both"/>
        <w:ind w:firstLine="330"/>
        <w:spacing w:after="0" w:line="262" w:lineRule="auto"/>
        <w:tabs>
          <w:tab w:leader="none" w:pos="100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2" w:lineRule="exact"/>
        <w:rPr>
          <w:rFonts w:ascii="Arial" w:cs="Arial" w:eastAsia="Arial" w:hAnsi="Arial"/>
          <w:sz w:val="18"/>
          <w:szCs w:val="18"/>
          <w:color w:val="auto"/>
        </w:rPr>
      </w:pPr>
    </w:p>
    <w:p>
      <w:pPr>
        <w:ind w:right="340" w:firstLine="330"/>
        <w:spacing w:after="0" w:line="275" w:lineRule="auto"/>
        <w:tabs>
          <w:tab w:leader="none" w:pos="100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right="340" w:firstLine="330"/>
        <w:spacing w:after="0" w:line="275" w:lineRule="auto"/>
        <w:tabs>
          <w:tab w:leader="none" w:pos="100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40"/>
          </w:cols>
          <w:pgMar w:left="240" w:top="340" w:right="319" w:bottom="1440" w:gutter="0" w:footer="0" w:header="0"/>
        </w:sectPr>
      </w:pPr>
    </w:p>
    <w:bookmarkStart w:id="29" w:name="page30"/>
    <w:bookmarkEnd w:id="29"/>
    <w:p>
      <w:pPr>
        <w:ind w:left="10160"/>
        <w:spacing w:after="0"/>
        <w:rPr>
          <w:sz w:val="20"/>
          <w:szCs w:val="20"/>
          <w:color w:val="auto"/>
        </w:rPr>
      </w:pPr>
      <w:r>
        <w:rPr>
          <w:rFonts w:ascii="Arial" w:cs="Arial" w:eastAsia="Arial" w:hAnsi="Arial"/>
          <w:sz w:val="18"/>
          <w:szCs w:val="18"/>
          <w:b w:val="1"/>
          <w:bCs w:val="1"/>
          <w:color w:val="auto"/>
        </w:rPr>
        <w:t>EXHIBIT 10.132</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1998 NONSTATUTORY STOCK OPTION PLAN</w:t>
      </w:r>
    </w:p>
    <w:p>
      <w:pPr>
        <w:spacing w:after="0" w:line="200" w:lineRule="exact"/>
        <w:rPr>
          <w:sz w:val="20"/>
          <w:szCs w:val="20"/>
          <w:color w:val="auto"/>
        </w:rPr>
      </w:pPr>
    </w:p>
    <w:p>
      <w:pPr>
        <w:spacing w:after="0" w:line="224" w:lineRule="exact"/>
        <w:rPr>
          <w:sz w:val="20"/>
          <w:szCs w:val="20"/>
          <w:color w:val="auto"/>
        </w:rPr>
      </w:pPr>
    </w:p>
    <w:p>
      <w:pPr>
        <w:ind w:left="1320" w:hanging="667"/>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3" w:lineRule="exact"/>
        <w:rPr>
          <w:sz w:val="20"/>
          <w:szCs w:val="20"/>
          <w:color w:val="auto"/>
        </w:rPr>
      </w:pPr>
    </w:p>
    <w:p>
      <w:pPr>
        <w:ind w:left="1340" w:hanging="687"/>
        <w:spacing w:after="0"/>
        <w:tabs>
          <w:tab w:leader="none" w:pos="1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3" w:lineRule="exact"/>
        <w:rPr>
          <w:rFonts w:ascii="Arial" w:cs="Arial" w:eastAsia="Arial" w:hAnsi="Arial"/>
          <w:sz w:val="18"/>
          <w:szCs w:val="18"/>
          <w:color w:val="auto"/>
        </w:rPr>
      </w:pPr>
    </w:p>
    <w:p>
      <w:pPr>
        <w:ind w:left="1340" w:hanging="687"/>
        <w:spacing w:after="0"/>
        <w:tabs>
          <w:tab w:leader="none" w:pos="1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provide additional incentive to Employees and Consultants, and</w:t>
      </w:r>
    </w:p>
    <w:p>
      <w:pPr>
        <w:spacing w:after="0" w:line="223" w:lineRule="exact"/>
        <w:rPr>
          <w:rFonts w:ascii="Arial" w:cs="Arial" w:eastAsia="Arial" w:hAnsi="Arial"/>
          <w:sz w:val="18"/>
          <w:szCs w:val="18"/>
          <w:color w:val="auto"/>
        </w:rPr>
      </w:pPr>
    </w:p>
    <w:p>
      <w:pPr>
        <w:ind w:left="1340" w:hanging="687"/>
        <w:spacing w:after="0"/>
        <w:tabs>
          <w:tab w:leader="none" w:pos="1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options may be granted under the Plan.</w:t>
      </w:r>
    </w:p>
    <w:p>
      <w:pPr>
        <w:spacing w:after="0" w:line="223" w:lineRule="exact"/>
        <w:rPr>
          <w:sz w:val="20"/>
          <w:szCs w:val="20"/>
          <w:color w:val="auto"/>
        </w:rPr>
      </w:pPr>
    </w:p>
    <w:p>
      <w:pPr>
        <w:ind w:left="1000" w:hanging="670"/>
        <w:spacing w:after="0"/>
        <w:tabs>
          <w:tab w:leader="none" w:pos="100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3" w:lineRule="exact"/>
        <w:rPr>
          <w:rFonts w:ascii="Arial" w:cs="Arial" w:eastAsia="Arial" w:hAnsi="Arial"/>
          <w:sz w:val="18"/>
          <w:szCs w:val="18"/>
          <w:color w:val="auto"/>
        </w:rPr>
      </w:pPr>
    </w:p>
    <w:p>
      <w:pPr>
        <w:ind w:left="1620" w:hanging="645"/>
        <w:spacing w:after="0"/>
        <w:tabs>
          <w:tab w:leader="none" w:pos="1620" w:val="left"/>
        </w:tabs>
        <w:numPr>
          <w:ilvl w:val="2"/>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46" w:lineRule="exact"/>
        <w:rPr>
          <w:rFonts w:ascii="Arial" w:cs="Arial" w:eastAsia="Arial" w:hAnsi="Arial"/>
          <w:sz w:val="16"/>
          <w:szCs w:val="16"/>
          <w:color w:val="auto"/>
        </w:rPr>
      </w:pPr>
    </w:p>
    <w:p>
      <w:pPr>
        <w:ind w:right="20" w:firstLine="975"/>
        <w:spacing w:after="0" w:line="262" w:lineRule="auto"/>
        <w:tabs>
          <w:tab w:leader="none" w:pos="1632"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and the issuance of stock and stock option under federal and state securities laws, Delaware corporate law, the Code, and the applicable laws of any foreign country or jurisdiction where options will be or are being granted under the Plan.</w:t>
      </w:r>
    </w:p>
    <w:p>
      <w:pPr>
        <w:spacing w:after="0" w:line="182" w:lineRule="exact"/>
        <w:rPr>
          <w:rFonts w:ascii="Arial" w:cs="Arial" w:eastAsia="Arial" w:hAnsi="Arial"/>
          <w:sz w:val="18"/>
          <w:szCs w:val="18"/>
          <w:color w:val="auto"/>
        </w:rPr>
      </w:pPr>
    </w:p>
    <w:p>
      <w:pPr>
        <w:ind w:left="1620" w:hanging="645"/>
        <w:spacing w:after="0"/>
        <w:tabs>
          <w:tab w:leader="none" w:pos="1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color w:val="auto"/>
        </w:rPr>
      </w:pPr>
    </w:p>
    <w:p>
      <w:pPr>
        <w:ind w:right="120" w:firstLine="975"/>
        <w:spacing w:after="0" w:line="275" w:lineRule="auto"/>
        <w:tabs>
          <w:tab w:leader="none" w:pos="1632"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1620" w:hanging="645"/>
        <w:spacing w:after="0"/>
        <w:tabs>
          <w:tab w:leader="none" w:pos="1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rFonts w:ascii="Arial" w:cs="Arial" w:eastAsia="Arial" w:hAnsi="Arial"/>
          <w:sz w:val="18"/>
          <w:szCs w:val="18"/>
          <w:color w:val="auto"/>
        </w:rPr>
      </w:pPr>
    </w:p>
    <w:p>
      <w:pPr>
        <w:ind w:left="1660" w:hanging="685"/>
        <w:spacing w:after="0"/>
        <w:tabs>
          <w:tab w:leader="none" w:pos="16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3" w:lineRule="exact"/>
        <w:rPr>
          <w:rFonts w:ascii="Arial" w:cs="Arial" w:eastAsia="Arial" w:hAnsi="Arial"/>
          <w:sz w:val="18"/>
          <w:szCs w:val="18"/>
          <w:color w:val="auto"/>
        </w:rPr>
      </w:pPr>
    </w:p>
    <w:p>
      <w:pPr>
        <w:ind w:firstLine="975"/>
        <w:spacing w:after="0" w:line="275" w:lineRule="auto"/>
        <w:tabs>
          <w:tab w:leader="none" w:pos="1634"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subsidiary or affiliate to render services. The term “Consultant” shall not include any person who is also an Officer or Director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jc w:val="both"/>
        <w:ind w:right="120" w:firstLine="975"/>
        <w:spacing w:after="0" w:line="306" w:lineRule="auto"/>
        <w:tabs>
          <w:tab w:leader="none" w:pos="1634" w:val="left"/>
        </w:tabs>
        <w:numPr>
          <w:ilvl w:val="2"/>
          <w:numId w:val="6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Continuous Status as an Employee or Consultant</w:t>
      </w:r>
      <w:r>
        <w:rPr>
          <w:rFonts w:ascii="Arial" w:cs="Arial" w:eastAsia="Arial" w:hAnsi="Arial"/>
          <w:sz w:val="15"/>
          <w:szCs w:val="15"/>
          <w:color w:val="auto"/>
        </w:rPr>
        <w:t>” means that the 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w:t>
      </w:r>
    </w:p>
    <w:p>
      <w:pPr>
        <w:ind w:left="300" w:hanging="292"/>
        <w:spacing w:after="0"/>
        <w:tabs>
          <w:tab w:leader="none" w:pos="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 in status from either an Employee to a Consultant or a Consultant to an Employee. A leave of absence approved by the Company shall include 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-1022985</wp:posOffset>
            </wp:positionV>
            <wp:extent cx="726821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leave, military leave, or any other personal leave approved by an authorized representative of the Company.</w:t>
      </w:r>
    </w:p>
    <w:p>
      <w:pPr>
        <w:spacing w:after="0" w:line="209" w:lineRule="exact"/>
        <w:rPr>
          <w:sz w:val="20"/>
          <w:szCs w:val="20"/>
          <w:color w:val="auto"/>
        </w:rPr>
      </w:pPr>
    </w:p>
    <w:p>
      <w:pPr>
        <w:ind w:left="1640" w:hanging="665"/>
        <w:spacing w:after="0"/>
        <w:tabs>
          <w:tab w:leader="none" w:pos="1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except Officers and Directors, employed by the Company or any parent, subsidiary or affiliate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9" w:lineRule="exact"/>
        <w:rPr>
          <w:sz w:val="20"/>
          <w:szCs w:val="20"/>
          <w:color w:val="auto"/>
        </w:rPr>
      </w:pPr>
    </w:p>
    <w:p>
      <w:pPr>
        <w:ind w:right="120" w:firstLine="975"/>
        <w:spacing w:after="0" w:line="258" w:lineRule="auto"/>
        <w:tabs>
          <w:tab w:leader="none" w:pos="1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85" w:lineRule="exact"/>
        <w:rPr>
          <w:rFonts w:ascii="Arial" w:cs="Arial" w:eastAsia="Arial" w:hAnsi="Arial"/>
          <w:sz w:val="18"/>
          <w:szCs w:val="18"/>
          <w:color w:val="auto"/>
        </w:rPr>
      </w:pPr>
    </w:p>
    <w:p>
      <w:pPr>
        <w:ind w:right="520" w:firstLine="975"/>
        <w:spacing w:after="0" w:line="275" w:lineRule="auto"/>
        <w:tabs>
          <w:tab w:leader="none" w:pos="1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70" w:lineRule="exact"/>
        <w:rPr>
          <w:rFonts w:ascii="Arial" w:cs="Arial" w:eastAsia="Arial" w:hAnsi="Arial"/>
          <w:sz w:val="18"/>
          <w:szCs w:val="18"/>
          <w:color w:val="auto"/>
        </w:rPr>
      </w:pPr>
    </w:p>
    <w:p>
      <w:pPr>
        <w:ind w:right="440" w:firstLine="975"/>
        <w:spacing w:after="0" w:line="275" w:lineRule="auto"/>
        <w:tabs>
          <w:tab w:leader="none" w:pos="1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70" w:lineRule="exact"/>
        <w:rPr>
          <w:rFonts w:ascii="Arial" w:cs="Arial" w:eastAsia="Arial" w:hAnsi="Arial"/>
          <w:sz w:val="18"/>
          <w:szCs w:val="18"/>
          <w:color w:val="auto"/>
        </w:rPr>
      </w:pPr>
    </w:p>
    <w:p>
      <w:pPr>
        <w:ind w:right="180" w:firstLine="975"/>
        <w:spacing w:after="0" w:line="275" w:lineRule="auto"/>
        <w:tabs>
          <w:tab w:leader="none" w:pos="1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stock option granted pursuant to the Plan. Such option is not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right="820" w:firstLine="975"/>
        <w:spacing w:after="0" w:line="275" w:lineRule="auto"/>
        <w:tabs>
          <w:tab w:leader="none" w:pos="1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ectPr>
          <w:pgSz w:w="11900" w:h="16838" w:orient="portrait"/>
          <w:cols w:equalWidth="0" w:num="1">
            <w:col w:w="11520"/>
          </w:cols>
          <w:pgMar w:left="240" w:top="363" w:right="139" w:bottom="148" w:gutter="0" w:footer="0" w:header="0"/>
        </w:sectPr>
      </w:pPr>
    </w:p>
    <w:bookmarkStart w:id="30" w:name="page31"/>
    <w:bookmarkEnd w:id="30"/>
    <w:p>
      <w:pPr>
        <w:ind w:left="1620" w:hanging="645"/>
        <w:spacing w:after="0"/>
        <w:tabs>
          <w:tab w:leader="none" w:pos="16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Exchange Program</w:t>
      </w:r>
      <w:r>
        <w:rPr>
          <w:rFonts w:ascii="Arial" w:cs="Arial" w:eastAsia="Arial" w:hAnsi="Arial"/>
          <w:sz w:val="15"/>
          <w:szCs w:val="15"/>
          <w:color w:val="auto"/>
        </w:rPr>
        <w:t>” means a program whereby outstanding options are surrendered in exchange for options with a lower exercise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09" w:lineRule="exact"/>
        <w:rPr>
          <w:sz w:val="20"/>
          <w:szCs w:val="20"/>
          <w:color w:val="auto"/>
        </w:rPr>
      </w:pPr>
    </w:p>
    <w:p>
      <w:pPr>
        <w:ind w:left="5680" w:right="5180" w:hanging="4705"/>
        <w:spacing w:after="0" w:line="608" w:lineRule="auto"/>
        <w:tabs>
          <w:tab w:leader="none" w:pos="1651" w:val="left"/>
        </w:tabs>
        <w:numPr>
          <w:ilvl w:val="0"/>
          <w:numId w:val="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Optioned Stock</w:t>
      </w:r>
      <w:r>
        <w:rPr>
          <w:rFonts w:ascii="Arial" w:cs="Arial" w:eastAsia="Arial" w:hAnsi="Arial"/>
          <w:sz w:val="15"/>
          <w:szCs w:val="15"/>
          <w:color w:val="auto"/>
        </w:rPr>
        <w:t>” means the Common Stock subject to an Option. 2</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7" w:lineRule="exact"/>
        <w:rPr>
          <w:rFonts w:ascii="Arial" w:cs="Arial" w:eastAsia="Arial" w:hAnsi="Arial"/>
          <w:sz w:val="15"/>
          <w:szCs w:val="15"/>
          <w:color w:val="auto"/>
        </w:rPr>
      </w:pPr>
    </w:p>
    <w:p>
      <w:pPr>
        <w:ind w:left="1640" w:hanging="665"/>
        <w:spacing w:after="0"/>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Nonstatutory Stock Option Plan.</w:t>
      </w:r>
    </w:p>
    <w:p>
      <w:pPr>
        <w:spacing w:after="0" w:line="223" w:lineRule="exact"/>
        <w:rPr>
          <w:rFonts w:ascii="Arial" w:cs="Arial" w:eastAsia="Arial" w:hAnsi="Arial"/>
          <w:sz w:val="18"/>
          <w:szCs w:val="18"/>
          <w:color w:val="auto"/>
        </w:rPr>
      </w:pPr>
    </w:p>
    <w:p>
      <w:pPr>
        <w:ind w:left="1640" w:hanging="665"/>
        <w:spacing w:after="0"/>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-1165225</wp:posOffset>
            </wp:positionV>
            <wp:extent cx="726821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3" w:lineRule="exact"/>
        <w:rPr>
          <w:sz w:val="20"/>
          <w:szCs w:val="20"/>
          <w:color w:val="auto"/>
        </w:rPr>
      </w:pPr>
    </w:p>
    <w:p>
      <w:pPr>
        <w:ind w:right="100" w:firstLine="330"/>
        <w:spacing w:after="0" w:line="275" w:lineRule="auto"/>
        <w:tabs>
          <w:tab w:leader="none" w:pos="99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12 of the Plan, the maximum aggregate number of Shares which may be optioned and sold under the Plan is 1,750,000. The Shares may be authorized, but unissued, or reacquired Common Stock.</w:t>
      </w:r>
    </w:p>
    <w:p>
      <w:pPr>
        <w:spacing w:after="0" w:line="171" w:lineRule="exact"/>
        <w:rPr>
          <w:sz w:val="20"/>
          <w:szCs w:val="20"/>
          <w:color w:val="auto"/>
        </w:rPr>
      </w:pPr>
    </w:p>
    <w:p>
      <w:pPr>
        <w:ind w:right="160" w:firstLine="968"/>
        <w:spacing w:after="0" w:line="340" w:lineRule="auto"/>
        <w:rPr>
          <w:sz w:val="20"/>
          <w:szCs w:val="20"/>
          <w:color w:val="auto"/>
        </w:rPr>
      </w:pPr>
      <w:r>
        <w:rPr>
          <w:rFonts w:ascii="Arial" w:cs="Arial" w:eastAsia="Arial" w:hAnsi="Arial"/>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24" w:lineRule="exact"/>
        <w:rPr>
          <w:sz w:val="20"/>
          <w:szCs w:val="20"/>
          <w:color w:val="auto"/>
        </w:rPr>
      </w:pPr>
    </w:p>
    <w:p>
      <w:pPr>
        <w:ind w:left="1000" w:hanging="670"/>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40" w:firstLine="975"/>
        <w:spacing w:after="0" w:line="258" w:lineRule="auto"/>
        <w:tabs>
          <w:tab w:leader="none" w:pos="162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85" w:lineRule="exact"/>
        <w:rPr>
          <w:rFonts w:ascii="Arial" w:cs="Arial" w:eastAsia="Arial" w:hAnsi="Arial"/>
          <w:sz w:val="18"/>
          <w:szCs w:val="18"/>
          <w:color w:val="auto"/>
        </w:rPr>
      </w:pPr>
    </w:p>
    <w:p>
      <w:pPr>
        <w:ind w:firstLine="975"/>
        <w:spacing w:after="0" w:line="275" w:lineRule="auto"/>
        <w:tabs>
          <w:tab w:leader="none" w:pos="163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280" w:hanging="659"/>
        <w:spacing w:after="0"/>
        <w:tabs>
          <w:tab w:leader="none" w:pos="22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 hereunder;</w:t>
      </w:r>
    </w:p>
    <w:p>
      <w:pPr>
        <w:spacing w:after="0" w:line="209" w:lineRule="exact"/>
        <w:rPr>
          <w:sz w:val="20"/>
          <w:szCs w:val="20"/>
          <w:color w:val="auto"/>
        </w:rPr>
      </w:pPr>
    </w:p>
    <w:p>
      <w:pPr>
        <w:ind w:left="2300" w:hanging="679"/>
        <w:spacing w:after="0"/>
        <w:tabs>
          <w:tab w:leader="none" w:pos="2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23" w:lineRule="exact"/>
        <w:rPr>
          <w:rFonts w:ascii="Arial" w:cs="Arial" w:eastAsia="Arial" w:hAnsi="Arial"/>
          <w:sz w:val="18"/>
          <w:szCs w:val="18"/>
          <w:color w:val="auto"/>
        </w:rPr>
      </w:pPr>
    </w:p>
    <w:p>
      <w:pPr>
        <w:ind w:left="2280" w:hanging="659"/>
        <w:spacing w:after="0"/>
        <w:tabs>
          <w:tab w:leader="none" w:pos="2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3" w:lineRule="exact"/>
        <w:rPr>
          <w:rFonts w:ascii="Arial" w:cs="Arial" w:eastAsia="Arial" w:hAnsi="Arial"/>
          <w:sz w:val="18"/>
          <w:szCs w:val="18"/>
          <w:color w:val="auto"/>
        </w:rPr>
      </w:pPr>
    </w:p>
    <w:p>
      <w:pPr>
        <w:ind w:left="2280" w:hanging="659"/>
        <w:spacing w:after="0"/>
        <w:tabs>
          <w:tab w:leader="none" w:pos="2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1621"/>
        <w:spacing w:after="0" w:line="278" w:lineRule="auto"/>
        <w:tabs>
          <w:tab w:leader="none" w:pos="228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69" w:lineRule="exact"/>
        <w:rPr>
          <w:rFonts w:ascii="Arial" w:cs="Arial" w:eastAsia="Arial" w:hAnsi="Arial"/>
          <w:sz w:val="17"/>
          <w:szCs w:val="17"/>
          <w:color w:val="auto"/>
        </w:rPr>
      </w:pPr>
    </w:p>
    <w:p>
      <w:pPr>
        <w:ind w:right="340" w:firstLine="1621"/>
        <w:spacing w:after="0" w:line="275" w:lineRule="auto"/>
        <w:tabs>
          <w:tab w:leader="none" w:pos="22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70" w:lineRule="exact"/>
        <w:rPr>
          <w:rFonts w:ascii="Arial" w:cs="Arial" w:eastAsia="Arial" w:hAnsi="Arial"/>
          <w:sz w:val="18"/>
          <w:szCs w:val="18"/>
          <w:color w:val="auto"/>
        </w:rPr>
      </w:pPr>
    </w:p>
    <w:p>
      <w:pPr>
        <w:ind w:left="2300" w:hanging="679"/>
        <w:spacing w:after="0"/>
        <w:tabs>
          <w:tab w:leader="none" w:pos="2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3" w:lineRule="exact"/>
        <w:rPr>
          <w:rFonts w:ascii="Arial" w:cs="Arial" w:eastAsia="Arial" w:hAnsi="Arial"/>
          <w:sz w:val="18"/>
          <w:szCs w:val="18"/>
          <w:color w:val="auto"/>
        </w:rPr>
      </w:pPr>
    </w:p>
    <w:p>
      <w:pPr>
        <w:ind w:right="340" w:firstLine="1621"/>
        <w:spacing w:after="0" w:line="275" w:lineRule="auto"/>
        <w:tabs>
          <w:tab w:leader="none" w:pos="23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right="320" w:firstLine="1621"/>
        <w:spacing w:after="0" w:line="275" w:lineRule="auto"/>
        <w:tabs>
          <w:tab w:leader="none" w:pos="23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70" w:lineRule="exact"/>
        <w:rPr>
          <w:rFonts w:ascii="Arial" w:cs="Arial" w:eastAsia="Arial" w:hAnsi="Arial"/>
          <w:sz w:val="18"/>
          <w:szCs w:val="18"/>
          <w:color w:val="auto"/>
        </w:rPr>
      </w:pPr>
    </w:p>
    <w:p>
      <w:pPr>
        <w:ind w:left="2340" w:hanging="719"/>
        <w:spacing w:after="0"/>
        <w:tabs>
          <w:tab w:leader="none" w:pos="2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Option previously</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granted by the Administrator;</w:t>
      </w:r>
    </w:p>
    <w:p>
      <w:pPr>
        <w:spacing w:after="0" w:line="208" w:lineRule="exact"/>
        <w:rPr>
          <w:rFonts w:ascii="Arial" w:cs="Arial" w:eastAsia="Arial" w:hAnsi="Arial"/>
          <w:sz w:val="16"/>
          <w:szCs w:val="16"/>
          <w:color w:val="auto"/>
        </w:rPr>
      </w:pPr>
    </w:p>
    <w:p>
      <w:pPr>
        <w:ind w:left="2340" w:hanging="719"/>
        <w:spacing w:after="0"/>
        <w:tabs>
          <w:tab w:leader="none" w:pos="2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institute and Option Exchange Program;</w:t>
      </w:r>
    </w:p>
    <w:p>
      <w:pPr>
        <w:spacing w:after="0" w:line="223" w:lineRule="exact"/>
        <w:rPr>
          <w:rFonts w:ascii="Arial" w:cs="Arial" w:eastAsia="Arial" w:hAnsi="Arial"/>
          <w:sz w:val="18"/>
          <w:szCs w:val="18"/>
          <w:color w:val="auto"/>
        </w:rPr>
      </w:pPr>
    </w:p>
    <w:p>
      <w:pPr>
        <w:ind w:right="180" w:firstLine="1621"/>
        <w:spacing w:after="0" w:line="306" w:lineRule="auto"/>
        <w:tabs>
          <w:tab w:leader="none" w:pos="233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46" w:lineRule="exact"/>
        <w:rPr>
          <w:rFonts w:ascii="Arial" w:cs="Arial" w:eastAsia="Arial" w:hAnsi="Arial"/>
          <w:sz w:val="17"/>
          <w:szCs w:val="17"/>
          <w:color w:val="auto"/>
        </w:rPr>
      </w:pPr>
    </w:p>
    <w:p>
      <w:pPr>
        <w:ind w:left="2300" w:hanging="679"/>
        <w:spacing w:after="0"/>
        <w:tabs>
          <w:tab w:leader="none" w:pos="2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ectPr>
          <w:pgSz w:w="11900" w:h="16838" w:orient="portrait"/>
          <w:cols w:equalWidth="0" w:num="1">
            <w:col w:w="11400"/>
          </w:cols>
          <w:pgMar w:left="240" w:top="125" w:right="259" w:bottom="0" w:gutter="0" w:footer="0" w:header="0"/>
        </w:sectPr>
      </w:pPr>
    </w:p>
    <w:bookmarkStart w:id="31" w:name="page32"/>
    <w:bookmarkEnd w:id="31"/>
    <w:p>
      <w:pPr>
        <w:ind w:right="480" w:firstLine="975"/>
        <w:spacing w:after="0" w:line="275" w:lineRule="auto"/>
        <w:tabs>
          <w:tab w:leader="none" w:pos="162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70" w:lineRule="exact"/>
        <w:rPr>
          <w:rFonts w:ascii="Arial" w:cs="Arial" w:eastAsia="Arial" w:hAnsi="Arial"/>
          <w:sz w:val="18"/>
          <w:szCs w:val="18"/>
          <w:color w:val="auto"/>
        </w:rPr>
      </w:pPr>
    </w:p>
    <w:p>
      <w:pPr>
        <w:ind w:left="1000" w:hanging="670"/>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to Employees and Consultants.</w:t>
      </w:r>
    </w:p>
    <w:p>
      <w:pPr>
        <w:spacing w:after="0" w:line="223" w:lineRule="exact"/>
        <w:rPr>
          <w:rFonts w:ascii="Arial" w:cs="Arial" w:eastAsia="Arial" w:hAnsi="Arial"/>
          <w:sz w:val="18"/>
          <w:szCs w:val="18"/>
          <w:color w:val="auto"/>
        </w:rPr>
      </w:pPr>
    </w:p>
    <w:p>
      <w:pPr>
        <w:ind w:right="340" w:firstLine="330"/>
        <w:spacing w:after="0" w:line="262" w:lineRule="auto"/>
        <w:tabs>
          <w:tab w:leader="none" w:pos="99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 w:hanging="67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upon its adoption by the Board. It shall continue in effect until terminated under Section 14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08" w:lineRule="exact"/>
        <w:rPr>
          <w:rFonts w:ascii="Arial" w:cs="Arial" w:eastAsia="Arial" w:hAnsi="Arial"/>
          <w:sz w:val="16"/>
          <w:szCs w:val="16"/>
          <w:color w:val="auto"/>
        </w:rPr>
      </w:pPr>
    </w:p>
    <w:p>
      <w:pPr>
        <w:ind w:left="1000" w:hanging="670"/>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w:t>
      </w:r>
    </w:p>
    <w:p>
      <w:pPr>
        <w:spacing w:after="0" w:line="223" w:lineRule="exact"/>
        <w:rPr>
          <w:rFonts w:ascii="Arial" w:cs="Arial" w:eastAsia="Arial" w:hAnsi="Arial"/>
          <w:sz w:val="18"/>
          <w:szCs w:val="18"/>
          <w:color w:val="auto"/>
        </w:rPr>
      </w:pPr>
    </w:p>
    <w:p>
      <w:pPr>
        <w:ind w:left="1000" w:hanging="670"/>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680" w:firstLine="975"/>
        <w:spacing w:after="0" w:line="275" w:lineRule="auto"/>
        <w:tabs>
          <w:tab w:leader="none" w:pos="162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70" w:lineRule="exact"/>
        <w:rPr>
          <w:rFonts w:ascii="Arial" w:cs="Arial" w:eastAsia="Arial" w:hAnsi="Arial"/>
          <w:sz w:val="18"/>
          <w:szCs w:val="18"/>
          <w:color w:val="auto"/>
        </w:rPr>
      </w:pPr>
    </w:p>
    <w:p>
      <w:pPr>
        <w:ind w:right="20" w:firstLine="975"/>
        <w:spacing w:after="0" w:line="339" w:lineRule="auto"/>
        <w:tabs>
          <w:tab w:leader="none" w:pos="1632" w:val="left"/>
        </w:tabs>
        <w:numPr>
          <w:ilvl w:val="1"/>
          <w:numId w:val="80"/>
        </w:numPr>
        <w:rPr>
          <w:rFonts w:ascii="Arial" w:cs="Arial" w:eastAsia="Arial" w:hAnsi="Arial"/>
          <w:sz w:val="15"/>
          <w:szCs w:val="15"/>
          <w:color w:val="auto"/>
        </w:rPr>
      </w:pPr>
      <w:r>
        <w:rPr>
          <w:rFonts w:ascii="Arial" w:cs="Arial" w:eastAsia="Arial" w:hAnsi="Arial"/>
          <w:sz w:val="15"/>
          <w:szCs w:val="15"/>
          <w:u w:val="single" w:color="auto"/>
          <w:color w:val="auto"/>
        </w:rPr>
        <w:t>Waiting Period and Exercise Dates</w:t>
      </w:r>
      <w:r>
        <w:rPr>
          <w:rFonts w:ascii="Arial" w:cs="Arial" w:eastAsia="Arial" w:hAnsi="Arial"/>
          <w:sz w:val="15"/>
          <w:szCs w:val="15"/>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29" w:lineRule="exact"/>
        <w:rPr>
          <w:rFonts w:ascii="Arial" w:cs="Arial" w:eastAsia="Arial" w:hAnsi="Arial"/>
          <w:sz w:val="15"/>
          <w:szCs w:val="15"/>
          <w:color w:val="auto"/>
        </w:rPr>
      </w:pPr>
    </w:p>
    <w:p>
      <w:pPr>
        <w:ind w:right="420" w:firstLine="975"/>
        <w:spacing w:after="0" w:line="275" w:lineRule="auto"/>
        <w:tabs>
          <w:tab w:leader="none" w:pos="162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Such consideration may consist entirely of:</w:t>
      </w:r>
    </w:p>
    <w:p>
      <w:pPr>
        <w:spacing w:after="0" w:line="170" w:lineRule="exact"/>
        <w:rPr>
          <w:rFonts w:ascii="Arial" w:cs="Arial" w:eastAsia="Arial" w:hAnsi="Arial"/>
          <w:sz w:val="18"/>
          <w:szCs w:val="18"/>
          <w:color w:val="auto"/>
        </w:rPr>
      </w:pPr>
    </w:p>
    <w:p>
      <w:pPr>
        <w:ind w:left="2280" w:hanging="659"/>
        <w:spacing w:after="0"/>
        <w:tabs>
          <w:tab w:leader="none" w:pos="22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cash;</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check;</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3" w:lineRule="exact"/>
        <w:rPr>
          <w:rFonts w:ascii="Arial" w:cs="Arial" w:eastAsia="Arial" w:hAnsi="Arial"/>
          <w:sz w:val="18"/>
          <w:szCs w:val="18"/>
          <w:color w:val="auto"/>
        </w:rPr>
      </w:pPr>
    </w:p>
    <w:p>
      <w:pPr>
        <w:ind w:right="140" w:firstLine="1621"/>
        <w:spacing w:after="0" w:line="262" w:lineRule="auto"/>
        <w:tabs>
          <w:tab w:leader="none" w:pos="2282" w:val="left"/>
        </w:tabs>
        <w:numPr>
          <w:ilvl w:val="2"/>
          <w:numId w:val="80"/>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82" w:lineRule="exact"/>
        <w:rPr>
          <w:rFonts w:ascii="Arial" w:cs="Arial" w:eastAsia="Arial" w:hAnsi="Arial"/>
          <w:sz w:val="18"/>
          <w:szCs w:val="18"/>
          <w:color w:val="auto"/>
        </w:rPr>
      </w:pPr>
    </w:p>
    <w:p>
      <w:pPr>
        <w:ind w:right="440" w:firstLine="1621"/>
        <w:spacing w:after="0" w:line="378" w:lineRule="auto"/>
        <w:tabs>
          <w:tab w:leader="none" w:pos="2277" w:val="left"/>
        </w:tabs>
        <w:numPr>
          <w:ilvl w:val="2"/>
          <w:numId w:val="80"/>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01" w:lineRule="exact"/>
        <w:rPr>
          <w:rFonts w:ascii="Arial" w:cs="Arial" w:eastAsia="Arial" w:hAnsi="Arial"/>
          <w:sz w:val="15"/>
          <w:szCs w:val="15"/>
          <w:color w:val="auto"/>
        </w:rPr>
      </w:pPr>
    </w:p>
    <w:p>
      <w:pPr>
        <w:ind w:right="840" w:firstLine="1621"/>
        <w:spacing w:after="0" w:line="275" w:lineRule="auto"/>
        <w:tabs>
          <w:tab w:leader="none" w:pos="2282"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170" w:lineRule="exact"/>
        <w:rPr>
          <w:rFonts w:ascii="Arial" w:cs="Arial" w:eastAsia="Arial" w:hAnsi="Arial"/>
          <w:sz w:val="18"/>
          <w:szCs w:val="18"/>
          <w:color w:val="auto"/>
        </w:rPr>
      </w:pPr>
    </w:p>
    <w:p>
      <w:pPr>
        <w:ind w:left="2300" w:hanging="679"/>
        <w:spacing w:after="0"/>
        <w:tabs>
          <w:tab w:leader="none" w:pos="23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3" w:lineRule="exact"/>
        <w:rPr>
          <w:rFonts w:ascii="Arial" w:cs="Arial" w:eastAsia="Arial" w:hAnsi="Arial"/>
          <w:sz w:val="18"/>
          <w:szCs w:val="18"/>
          <w:color w:val="auto"/>
        </w:rPr>
      </w:pPr>
    </w:p>
    <w:p>
      <w:pPr>
        <w:ind w:left="2300" w:hanging="679"/>
        <w:spacing w:after="0"/>
        <w:tabs>
          <w:tab w:leader="none" w:pos="2300" w:val="left"/>
        </w:tabs>
        <w:numPr>
          <w:ilvl w:val="2"/>
          <w:numId w:val="80"/>
        </w:numPr>
        <w:rPr>
          <w:rFonts w:ascii="Arial" w:cs="Arial" w:eastAsia="Arial" w:hAnsi="Arial"/>
          <w:sz w:val="17"/>
          <w:szCs w:val="17"/>
          <w:color w:val="auto"/>
        </w:rPr>
      </w:pPr>
      <w:r>
        <w:rPr>
          <w:rFonts w:ascii="Arial" w:cs="Arial" w:eastAsia="Arial" w:hAnsi="Arial"/>
          <w:sz w:val="17"/>
          <w:szCs w:val="17"/>
          <w:color w:val="auto"/>
        </w:rPr>
        <w:t>such other consideration and method of payment for the issuance of Shares to the extent permitted by Applicable Laws.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hanging="670"/>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40" w:firstLine="975"/>
        <w:spacing w:after="0" w:line="275" w:lineRule="auto"/>
        <w:tabs>
          <w:tab w:leader="none" w:pos="162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3" w:lineRule="exact"/>
        <w:rPr>
          <w:sz w:val="20"/>
          <w:szCs w:val="20"/>
          <w:color w:val="auto"/>
        </w:rPr>
      </w:pPr>
    </w:p>
    <w:p>
      <w:pPr>
        <w:ind w:firstLine="1613"/>
        <w:spacing w:after="0" w:line="289" w:lineRule="auto"/>
        <w:rPr>
          <w:sz w:val="20"/>
          <w:szCs w:val="20"/>
          <w:color w:val="auto"/>
        </w:rPr>
      </w:pPr>
      <w:r>
        <w:rPr>
          <w:rFonts w:ascii="Arial" w:cs="Arial" w:eastAsia="Arial" w:hAnsi="Arial"/>
          <w:sz w:val="16"/>
          <w:szCs w:val="16"/>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3" w:lineRule="exact"/>
        <w:rPr>
          <w:sz w:val="20"/>
          <w:szCs w:val="20"/>
          <w:color w:val="auto"/>
        </w:rPr>
      </w:pPr>
    </w:p>
    <w:p>
      <w:pPr>
        <w:ind w:right="40" w:firstLine="1613"/>
        <w:spacing w:after="0" w:line="27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ectPr>
          <w:pgSz w:w="11900" w:h="16838" w:orient="portrait"/>
          <w:cols w:equalWidth="0" w:num="1">
            <w:col w:w="11420"/>
          </w:cols>
          <w:pgMar w:left="240" w:top="125" w:right="239" w:bottom="0" w:gutter="0" w:footer="0" w:header="0"/>
        </w:sectPr>
      </w:pPr>
    </w:p>
    <w:bookmarkStart w:id="32" w:name="page33"/>
    <w:bookmarkEnd w:id="32"/>
    <w:p>
      <w:pPr>
        <w:ind w:right="40" w:firstLine="975"/>
        <w:spacing w:after="0" w:line="290" w:lineRule="auto"/>
        <w:tabs>
          <w:tab w:leader="none" w:pos="163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4" w:lineRule="exact"/>
        <w:rPr>
          <w:rFonts w:ascii="Arial" w:cs="Arial" w:eastAsia="Arial" w:hAnsi="Arial"/>
          <w:sz w:val="16"/>
          <w:szCs w:val="16"/>
          <w:color w:val="auto"/>
        </w:rPr>
      </w:pPr>
    </w:p>
    <w:p>
      <w:pPr>
        <w:ind w:firstLine="975"/>
        <w:spacing w:after="0" w:line="255" w:lineRule="auto"/>
        <w:tabs>
          <w:tab w:leader="none" w:pos="162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exercise his or her option within the time specified herein, the Option shall terminate, and the Shares covered by such Option shall revert to the Plan.</w:t>
      </w:r>
    </w:p>
    <w:p>
      <w:pPr>
        <w:spacing w:after="0" w:line="235" w:lineRule="exact"/>
        <w:rPr>
          <w:sz w:val="20"/>
          <w:szCs w:val="20"/>
          <w:color w:val="auto"/>
        </w:rPr>
      </w:pPr>
    </w:p>
    <w:p>
      <w:pPr>
        <w:ind w:right="20" w:firstLine="975"/>
        <w:spacing w:after="0" w:line="292" w:lineRule="auto"/>
        <w:tabs>
          <w:tab w:leader="none" w:pos="1632"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Death of Optionee</w:t>
      </w:r>
      <w:r>
        <w:rPr>
          <w:rFonts w:ascii="Arial" w:cs="Arial" w:eastAsia="Arial" w:hAnsi="Arial"/>
          <w:sz w:val="16"/>
          <w:szCs w:val="16"/>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62" w:lineRule="exact"/>
        <w:rPr>
          <w:rFonts w:ascii="Arial" w:cs="Arial" w:eastAsia="Arial" w:hAnsi="Arial"/>
          <w:sz w:val="16"/>
          <w:szCs w:val="16"/>
          <w:color w:val="auto"/>
        </w:rPr>
      </w:pPr>
    </w:p>
    <w:p>
      <w:pPr>
        <w:ind w:right="420" w:firstLine="975"/>
        <w:spacing w:after="0" w:line="258" w:lineRule="auto"/>
        <w:tabs>
          <w:tab w:leader="none" w:pos="162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5" w:lineRule="exact"/>
        <w:rPr>
          <w:rFonts w:ascii="Arial" w:cs="Arial" w:eastAsia="Arial" w:hAnsi="Arial"/>
          <w:sz w:val="18"/>
          <w:szCs w:val="18"/>
          <w:color w:val="auto"/>
        </w:rPr>
      </w:pPr>
    </w:p>
    <w:p>
      <w:pPr>
        <w:ind w:firstLine="330"/>
        <w:spacing w:after="0" w:line="262" w:lineRule="auto"/>
        <w:tabs>
          <w:tab w:leader="none" w:pos="99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0" w:firstLine="975"/>
        <w:spacing w:after="0" w:line="268" w:lineRule="auto"/>
        <w:tabs>
          <w:tab w:leader="none" w:pos="1622"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975"/>
        <w:spacing w:after="0" w:line="278" w:lineRule="auto"/>
        <w:tabs>
          <w:tab w:leader="none" w:pos="163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69" w:lineRule="exact"/>
        <w:rPr>
          <w:rFonts w:ascii="Arial" w:cs="Arial" w:eastAsia="Arial" w:hAnsi="Arial"/>
          <w:sz w:val="17"/>
          <w:szCs w:val="17"/>
          <w:color w:val="auto"/>
        </w:rPr>
      </w:pPr>
    </w:p>
    <w:p>
      <w:pPr>
        <w:ind w:right="20" w:firstLine="975"/>
        <w:spacing w:after="0" w:line="305" w:lineRule="auto"/>
        <w:tabs>
          <w:tab w:leader="none" w:pos="1622"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Merger or Asset Sale</w:t>
      </w:r>
      <w:r>
        <w:rPr>
          <w:rFonts w:ascii="Arial" w:cs="Arial" w:eastAsia="Arial" w:hAnsi="Arial"/>
          <w:sz w:val="15"/>
          <w:szCs w:val="15"/>
          <w:color w:val="auto"/>
        </w:rPr>
        <w:t>.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In the event that the successor corporation refuses to assume or substitute the Option, the Optionee shall fully vest in and have the right to exercise the Option as to all of the Optioned Stock. If an Option becomes fully vested and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ectPr>
          <w:pgSz w:w="11900" w:h="16838" w:orient="portrait"/>
          <w:cols w:equalWidth="0" w:num="1">
            <w:col w:w="11420"/>
          </w:cols>
          <w:pgMar w:left="240" w:top="340" w:right="239" w:bottom="0" w:gutter="0" w:footer="0" w:header="0"/>
        </w:sectPr>
      </w:pPr>
    </w:p>
    <w:bookmarkStart w:id="33" w:name="page34"/>
    <w:bookmarkEnd w:id="33"/>
    <w:p>
      <w:pPr>
        <w:ind w:left="1640" w:hanging="665"/>
        <w:spacing w:after="0"/>
        <w:tabs>
          <w:tab w:leader="none" w:pos="164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the unexercised portion of the Option shall become immediately exercisable.</w:t>
      </w:r>
    </w:p>
    <w:p>
      <w:pPr>
        <w:spacing w:after="0" w:line="246" w:lineRule="exact"/>
        <w:rPr>
          <w:rFonts w:ascii="Arial" w:cs="Arial" w:eastAsia="Arial" w:hAnsi="Arial"/>
          <w:sz w:val="16"/>
          <w:szCs w:val="16"/>
          <w:color w:val="auto"/>
        </w:rPr>
      </w:pPr>
    </w:p>
    <w:p>
      <w:pPr>
        <w:ind w:firstLine="330"/>
        <w:spacing w:after="0" w:line="262" w:lineRule="auto"/>
        <w:tabs>
          <w:tab w:leader="none" w:pos="100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60" w:firstLine="1018"/>
        <w:spacing w:after="0" w:line="325" w:lineRule="auto"/>
        <w:tabs>
          <w:tab w:leader="none" w:pos="1664" w:val="left"/>
        </w:tabs>
        <w:numPr>
          <w:ilvl w:val="2"/>
          <w:numId w:val="87"/>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may an amendment be made without prior approval of the shareholders of the Company if such amendment would:</w:t>
      </w:r>
    </w:p>
    <w:p>
      <w:pPr>
        <w:spacing w:after="0" w:line="223" w:lineRule="exact"/>
        <w:rPr>
          <w:sz w:val="20"/>
          <w:szCs w:val="20"/>
          <w:color w:val="auto"/>
        </w:rPr>
      </w:pPr>
    </w:p>
    <w:p>
      <w:pPr>
        <w:ind w:left="2120" w:hanging="499"/>
        <w:spacing w:after="0"/>
        <w:tabs>
          <w:tab w:leader="none" w:pos="2120" w:val="left"/>
        </w:tabs>
        <w:numPr>
          <w:ilvl w:val="2"/>
          <w:numId w:val="88"/>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3" w:lineRule="exact"/>
        <w:rPr>
          <w:rFonts w:ascii="Arial" w:cs="Arial" w:eastAsia="Arial" w:hAnsi="Arial"/>
          <w:sz w:val="18"/>
          <w:szCs w:val="18"/>
          <w:color w:val="auto"/>
        </w:rPr>
      </w:pPr>
    </w:p>
    <w:p>
      <w:pPr>
        <w:ind w:left="2120" w:hanging="499"/>
        <w:spacing w:after="0"/>
        <w:tabs>
          <w:tab w:leader="none" w:pos="2120" w:val="left"/>
        </w:tabs>
        <w:numPr>
          <w:ilvl w:val="2"/>
          <w:numId w:val="88"/>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3" w:lineRule="exact"/>
        <w:rPr>
          <w:rFonts w:ascii="Arial" w:cs="Arial" w:eastAsia="Arial" w:hAnsi="Arial"/>
          <w:sz w:val="18"/>
          <w:szCs w:val="18"/>
          <w:color w:val="auto"/>
        </w:rPr>
      </w:pPr>
    </w:p>
    <w:p>
      <w:pPr>
        <w:ind w:left="2120" w:hanging="499"/>
        <w:spacing w:after="0"/>
        <w:tabs>
          <w:tab w:leader="none" w:pos="2120" w:val="left"/>
        </w:tabs>
        <w:numPr>
          <w:ilvl w:val="2"/>
          <w:numId w:val="88"/>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3" w:lineRule="exact"/>
        <w:rPr>
          <w:rFonts w:ascii="Arial" w:cs="Arial" w:eastAsia="Arial" w:hAnsi="Arial"/>
          <w:sz w:val="18"/>
          <w:szCs w:val="18"/>
          <w:color w:val="auto"/>
        </w:rPr>
      </w:pPr>
    </w:p>
    <w:p>
      <w:pPr>
        <w:ind w:right="140" w:firstLine="975"/>
        <w:spacing w:after="0" w:line="262" w:lineRule="auto"/>
        <w:tabs>
          <w:tab w:leader="none" w:pos="163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2" w:lineRule="exact"/>
        <w:rPr>
          <w:rFonts w:ascii="Arial" w:cs="Arial" w:eastAsia="Arial" w:hAnsi="Arial"/>
          <w:sz w:val="18"/>
          <w:szCs w:val="18"/>
          <w:color w:val="auto"/>
        </w:rPr>
      </w:pPr>
    </w:p>
    <w:p>
      <w:pPr>
        <w:ind w:left="1000" w:hanging="670"/>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right="20" w:firstLine="975"/>
        <w:spacing w:after="0" w:line="310" w:lineRule="auto"/>
        <w:tabs>
          <w:tab w:leader="none" w:pos="1622"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47" w:lineRule="exact"/>
        <w:rPr>
          <w:rFonts w:ascii="Arial" w:cs="Arial" w:eastAsia="Arial" w:hAnsi="Arial"/>
          <w:sz w:val="16"/>
          <w:szCs w:val="16"/>
          <w:color w:val="auto"/>
        </w:rPr>
      </w:pPr>
    </w:p>
    <w:p>
      <w:pPr>
        <w:ind w:right="60" w:firstLine="975"/>
        <w:spacing w:after="0" w:line="285" w:lineRule="auto"/>
        <w:tabs>
          <w:tab w:leader="none" w:pos="1632"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3" w:lineRule="exact"/>
        <w:rPr>
          <w:rFonts w:ascii="Arial" w:cs="Arial" w:eastAsia="Arial" w:hAnsi="Arial"/>
          <w:sz w:val="17"/>
          <w:szCs w:val="17"/>
          <w:color w:val="auto"/>
        </w:rPr>
      </w:pPr>
    </w:p>
    <w:p>
      <w:pPr>
        <w:jc w:val="both"/>
        <w:ind w:firstLine="330"/>
        <w:spacing w:after="0" w:line="262" w:lineRule="auto"/>
        <w:tabs>
          <w:tab w:leader="none" w:pos="100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2" w:lineRule="exact"/>
        <w:rPr>
          <w:rFonts w:ascii="Arial" w:cs="Arial" w:eastAsia="Arial" w:hAnsi="Arial"/>
          <w:sz w:val="18"/>
          <w:szCs w:val="18"/>
          <w:color w:val="auto"/>
        </w:rPr>
      </w:pPr>
    </w:p>
    <w:p>
      <w:pPr>
        <w:ind w:right="340" w:firstLine="330"/>
        <w:spacing w:after="0" w:line="275" w:lineRule="auto"/>
        <w:tabs>
          <w:tab w:leader="none" w:pos="100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right="340" w:firstLine="330"/>
        <w:spacing w:after="0" w:line="275" w:lineRule="auto"/>
        <w:tabs>
          <w:tab w:leader="none" w:pos="100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40"/>
          </w:cols>
          <w:pgMar w:left="240" w:top="340"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10.139</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1989 EMPLOYEE STOCK PURCHASE PLAN</w:t>
      </w:r>
    </w:p>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constitute the provisions of the 1989 Employee Stock Purchase Plan of Micron Technology, Inc.:</w:t>
      </w:r>
    </w:p>
    <w:p>
      <w:pPr>
        <w:spacing w:after="0" w:line="223" w:lineRule="exact"/>
        <w:rPr>
          <w:sz w:val="20"/>
          <w:szCs w:val="20"/>
          <w:color w:val="auto"/>
        </w:rPr>
      </w:pPr>
    </w:p>
    <w:p>
      <w:pPr>
        <w:ind w:right="400" w:firstLine="724"/>
        <w:spacing w:after="0" w:line="278" w:lineRule="auto"/>
        <w:tabs>
          <w:tab w:leader="none" w:pos="143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69" w:lineRule="exact"/>
        <w:rPr>
          <w:rFonts w:ascii="Arial" w:cs="Arial" w:eastAsia="Arial" w:hAnsi="Arial"/>
          <w:sz w:val="17"/>
          <w:szCs w:val="17"/>
          <w:color w:val="auto"/>
        </w:rPr>
      </w:pPr>
    </w:p>
    <w:p>
      <w:pPr>
        <w:ind w:left="1440" w:hanging="716"/>
        <w:spacing w:after="0"/>
        <w:tabs>
          <w:tab w:leader="none" w:pos="14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committee of the Board appointed by the Board to administer the Plan, if any is appointed.</w:t>
      </w:r>
    </w:p>
    <w:p>
      <w:pPr>
        <w:spacing w:after="0" w:line="234" w:lineRule="exact"/>
        <w:rPr>
          <w:rFonts w:ascii="Arial" w:cs="Arial" w:eastAsia="Arial" w:hAnsi="Arial"/>
          <w:sz w:val="17"/>
          <w:szCs w:val="17"/>
          <w:color w:val="auto"/>
        </w:rPr>
      </w:pPr>
    </w:p>
    <w:p>
      <w:pPr>
        <w:ind w:left="2140" w:hanging="699"/>
        <w:spacing w:after="0"/>
        <w:tabs>
          <w:tab w:leader="none" w:pos="2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$.10 par value, of the Company.</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Micron Technology, Inc., a Delaware corporation.</w:t>
      </w:r>
    </w:p>
    <w:p>
      <w:pPr>
        <w:spacing w:after="0" w:line="223" w:lineRule="exact"/>
        <w:rPr>
          <w:rFonts w:ascii="Arial" w:cs="Arial" w:eastAsia="Arial" w:hAnsi="Arial"/>
          <w:sz w:val="18"/>
          <w:szCs w:val="18"/>
          <w:color w:val="auto"/>
        </w:rPr>
      </w:pPr>
    </w:p>
    <w:p>
      <w:pPr>
        <w:ind w:right="40" w:firstLine="1441"/>
        <w:spacing w:after="0" w:line="258" w:lineRule="auto"/>
        <w:tabs>
          <w:tab w:leader="none" w:pos="215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85" w:lineRule="exact"/>
        <w:rPr>
          <w:sz w:val="20"/>
          <w:szCs w:val="20"/>
          <w:color w:val="auto"/>
        </w:rPr>
      </w:pPr>
    </w:p>
    <w:p>
      <w:pPr>
        <w:ind w:right="20" w:firstLine="717"/>
        <w:spacing w:after="0" w:line="268" w:lineRule="auto"/>
        <w:rPr>
          <w:sz w:val="20"/>
          <w:szCs w:val="20"/>
          <w:color w:val="auto"/>
        </w:rPr>
      </w:pPr>
      <w:r>
        <w:rPr>
          <w:rFonts w:ascii="Arial" w:cs="Arial" w:eastAsia="Arial" w:hAnsi="Arial"/>
          <w:sz w:val="17"/>
          <w:szCs w:val="17"/>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83" w:lineRule="exact"/>
        <w:rPr>
          <w:sz w:val="20"/>
          <w:szCs w:val="20"/>
          <w:color w:val="auto"/>
        </w:rPr>
      </w:pPr>
    </w:p>
    <w:p>
      <w:pPr>
        <w:ind w:right="340" w:firstLine="1441"/>
        <w:spacing w:after="0" w:line="310" w:lineRule="auto"/>
        <w:tabs>
          <w:tab w:leader="none" w:pos="2135"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389" w:lineRule="exact"/>
        <w:rPr>
          <w:rFonts w:ascii="Arial" w:cs="Arial" w:eastAsia="Arial" w:hAnsi="Arial"/>
          <w:sz w:val="16"/>
          <w:szCs w:val="16"/>
          <w:color w:val="auto"/>
        </w:rPr>
      </w:pPr>
    </w:p>
    <w:p>
      <w:pPr>
        <w:ind w:right="320" w:firstLine="1441"/>
        <w:spacing w:after="0" w:line="275" w:lineRule="auto"/>
        <w:tabs>
          <w:tab w:leader="none" w:pos="21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right="160" w:firstLine="1441"/>
        <w:spacing w:after="0" w:line="275" w:lineRule="auto"/>
        <w:tabs>
          <w:tab w:leader="none" w:pos="2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including an officer, who is continuously employed for at least twenty (20) hours per week and more than five (5) months in a calendar year by the Company or one of its Designated Subsidiaries.</w:t>
      </w:r>
    </w:p>
    <w:p>
      <w:pPr>
        <w:spacing w:after="0" w:line="170" w:lineRule="exact"/>
        <w:rPr>
          <w:rFonts w:ascii="Arial" w:cs="Arial" w:eastAsia="Arial" w:hAnsi="Arial"/>
          <w:sz w:val="18"/>
          <w:szCs w:val="18"/>
          <w:color w:val="auto"/>
        </w:rPr>
      </w:pPr>
    </w:p>
    <w:p>
      <w:pPr>
        <w:ind w:left="2140" w:hanging="699"/>
        <w:spacing w:after="0"/>
        <w:tabs>
          <w:tab w:leader="none" w:pos="2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shall mean the first day of each Offering Period.</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Trading Day of each Offering Period of the Plan.</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shall mean a period of three (3) months during which an option granted pursuant to the Plan may be exercised.</w:t>
      </w:r>
    </w:p>
    <w:p>
      <w:pPr>
        <w:spacing w:after="0" w:line="246" w:lineRule="exact"/>
        <w:rPr>
          <w:rFonts w:ascii="Arial" w:cs="Arial" w:eastAsia="Arial" w:hAnsi="Arial"/>
          <w:sz w:val="16"/>
          <w:szCs w:val="16"/>
          <w:color w:val="auto"/>
        </w:rPr>
      </w:pPr>
    </w:p>
    <w:p>
      <w:pPr>
        <w:ind w:left="2140" w:hanging="699"/>
        <w:spacing w:after="0"/>
        <w:tabs>
          <w:tab w:leader="none" w:pos="2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Employee Stock Purchase Plan.</w:t>
      </w:r>
    </w:p>
    <w:p>
      <w:pPr>
        <w:spacing w:after="0" w:line="223" w:lineRule="exact"/>
        <w:rPr>
          <w:rFonts w:ascii="Arial" w:cs="Arial" w:eastAsia="Arial" w:hAnsi="Arial"/>
          <w:sz w:val="18"/>
          <w:szCs w:val="18"/>
          <w:color w:val="auto"/>
        </w:rPr>
      </w:pPr>
    </w:p>
    <w:p>
      <w:pPr>
        <w:ind w:right="460" w:firstLine="1441"/>
        <w:spacing w:after="0" w:line="340" w:lineRule="auto"/>
        <w:tabs>
          <w:tab w:leader="none" w:pos="2135"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23" w:lineRule="exact"/>
        <w:rPr>
          <w:rFonts w:ascii="Arial" w:cs="Arial" w:eastAsia="Arial" w:hAnsi="Arial"/>
          <w:sz w:val="16"/>
          <w:szCs w:val="16"/>
          <w:color w:val="auto"/>
        </w:rPr>
      </w:pPr>
    </w:p>
    <w:p>
      <w:pPr>
        <w:ind w:left="2140" w:hanging="699"/>
        <w:spacing w:after="0"/>
        <w:tabs>
          <w:tab w:leader="none" w:pos="2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national stock exchanges and Nasdaq system are open for trading.</w:t>
      </w:r>
    </w:p>
    <w:p>
      <w:pPr>
        <w:spacing w:after="0" w:line="223" w:lineRule="exact"/>
        <w:rPr>
          <w:rFonts w:ascii="Arial" w:cs="Arial" w:eastAsia="Arial" w:hAnsi="Arial"/>
          <w:sz w:val="18"/>
          <w:szCs w:val="18"/>
          <w:color w:val="auto"/>
        </w:rPr>
      </w:pPr>
    </w:p>
    <w:p>
      <w:pPr>
        <w:ind w:left="1440" w:hanging="716"/>
        <w:spacing w:after="0"/>
        <w:tabs>
          <w:tab w:leader="none" w:pos="14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00" w:firstLine="1441"/>
        <w:spacing w:after="0" w:line="262" w:lineRule="auto"/>
        <w:tabs>
          <w:tab w:leader="none" w:pos="2125"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Employee as defined in paragraph 2 who has been continuously employed by the Company or any subsidiary of the Company for at least one (1) consecutive month and who shall be employed by the Company on a given Enrollment Date shall be eligible to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-3376295</wp:posOffset>
            </wp:positionV>
            <wp:extent cx="726821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363" w:right="239" w:bottom="0" w:gutter="0" w:footer="0" w:header="0"/>
        </w:sectPr>
      </w:pPr>
    </w:p>
    <w:bookmarkStart w:id="35" w:name="page36"/>
    <w:bookmarkEnd w:id="35"/>
    <w:p>
      <w:pPr>
        <w:ind w:left="-8" w:right="180" w:firstLine="1441"/>
        <w:spacing w:after="0" w:line="292" w:lineRule="auto"/>
        <w:tabs>
          <w:tab w:leader="none" w:pos="2127"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62" w:lineRule="exact"/>
        <w:rPr>
          <w:rFonts w:ascii="Arial" w:cs="Arial" w:eastAsia="Arial" w:hAnsi="Arial"/>
          <w:sz w:val="16"/>
          <w:szCs w:val="16"/>
          <w:color w:val="auto"/>
        </w:rPr>
      </w:pPr>
    </w:p>
    <w:p>
      <w:pPr>
        <w:jc w:val="both"/>
        <w:ind w:left="-8" w:right="40" w:firstLine="1441"/>
        <w:spacing w:after="0" w:line="258" w:lineRule="auto"/>
        <w:tabs>
          <w:tab w:leader="none" w:pos="211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Employees who participate in the Plan shall have the same rights and privileges, except for differences that may be mandated by local law and that are consistent with Code Section 423(b)(5); provided that Employees participating in any sub-plan adopted pursuant to Section 14(c) that is not designed to qualify under Section 423 of the Code need not have the same rights and privileges as Employees participating in the Code Section 423 plan.</w:t>
      </w:r>
    </w:p>
    <w:p>
      <w:pPr>
        <w:spacing w:after="0" w:line="185" w:lineRule="exact"/>
        <w:rPr>
          <w:rFonts w:ascii="Arial" w:cs="Arial" w:eastAsia="Arial" w:hAnsi="Arial"/>
          <w:sz w:val="18"/>
          <w:szCs w:val="18"/>
          <w:color w:val="auto"/>
        </w:rPr>
      </w:pPr>
    </w:p>
    <w:p>
      <w:pPr>
        <w:ind w:left="-8" w:right="20" w:firstLine="724"/>
        <w:spacing w:after="0" w:line="274" w:lineRule="auto"/>
        <w:tabs>
          <w:tab w:leader="none" w:pos="1426"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shall be implemented by consecutive 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74" w:lineRule="exact"/>
        <w:rPr>
          <w:rFonts w:ascii="Arial" w:cs="Arial" w:eastAsia="Arial" w:hAnsi="Arial"/>
          <w:sz w:val="17"/>
          <w:szCs w:val="17"/>
          <w:color w:val="auto"/>
        </w:rPr>
      </w:pPr>
    </w:p>
    <w:p>
      <w:pPr>
        <w:ind w:left="1432" w:hanging="716"/>
        <w:spacing w:after="0"/>
        <w:tabs>
          <w:tab w:leader="none" w:pos="143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8" w:right="280" w:firstLine="1441"/>
        <w:spacing w:after="0" w:line="310" w:lineRule="auto"/>
        <w:tabs>
          <w:tab w:leader="none" w:pos="2117"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 unless a different time for filing the subscription agreement is set by the Board for all eligible Employees with respect to a given Offering Period.</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71755</wp:posOffset>
            </wp:positionV>
            <wp:extent cx="726821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right="160" w:firstLine="1441"/>
        <w:spacing w:after="0" w:line="306" w:lineRule="auto"/>
        <w:tabs>
          <w:tab w:leader="none" w:pos="2127" w:val="left"/>
        </w:tabs>
        <w:numPr>
          <w:ilvl w:val="2"/>
          <w:numId w:val="96"/>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46" w:lineRule="exact"/>
        <w:rPr>
          <w:rFonts w:ascii="Arial" w:cs="Arial" w:eastAsia="Arial" w:hAnsi="Arial"/>
          <w:sz w:val="17"/>
          <w:szCs w:val="17"/>
          <w:color w:val="auto"/>
        </w:rPr>
      </w:pPr>
    </w:p>
    <w:p>
      <w:pPr>
        <w:ind w:left="1432" w:hanging="716"/>
        <w:spacing w:after="0"/>
        <w:tabs>
          <w:tab w:leader="none" w:pos="1432"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8" w:right="120" w:firstLine="1441"/>
        <w:spacing w:after="0" w:line="278" w:lineRule="auto"/>
        <w:tabs>
          <w:tab w:leader="none" w:pos="2117" w:val="left"/>
        </w:tabs>
        <w:numPr>
          <w:ilvl w:val="2"/>
          <w:numId w:val="97"/>
        </w:numPr>
        <w:rPr>
          <w:rFonts w:ascii="Arial" w:cs="Arial" w:eastAsia="Arial" w:hAnsi="Arial"/>
          <w:sz w:val="17"/>
          <w:szCs w:val="17"/>
          <w:color w:val="auto"/>
        </w:rPr>
      </w:pPr>
      <w:r>
        <w:rPr>
          <w:rFonts w:ascii="Arial" w:cs="Arial" w:eastAsia="Arial" w:hAnsi="Arial"/>
          <w:sz w:val="17"/>
          <w:szCs w:val="17"/>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69" w:lineRule="exact"/>
        <w:rPr>
          <w:rFonts w:ascii="Arial" w:cs="Arial" w:eastAsia="Arial" w:hAnsi="Arial"/>
          <w:sz w:val="17"/>
          <w:szCs w:val="17"/>
          <w:color w:val="auto"/>
        </w:rPr>
      </w:pPr>
    </w:p>
    <w:p>
      <w:pPr>
        <w:ind w:left="-8" w:right="140" w:firstLine="1441"/>
        <w:spacing w:after="0" w:line="275" w:lineRule="auto"/>
        <w:tabs>
          <w:tab w:leader="none" w:pos="2127" w:val="left"/>
        </w:tabs>
        <w:numPr>
          <w:ilvl w:val="2"/>
          <w:numId w:val="97"/>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w:t>
      </w:r>
    </w:p>
    <w:p>
      <w:pPr>
        <w:spacing w:after="0" w:line="170" w:lineRule="exact"/>
        <w:rPr>
          <w:rFonts w:ascii="Arial" w:cs="Arial" w:eastAsia="Arial" w:hAnsi="Arial"/>
          <w:sz w:val="18"/>
          <w:szCs w:val="18"/>
          <w:color w:val="auto"/>
        </w:rPr>
      </w:pPr>
    </w:p>
    <w:p>
      <w:pPr>
        <w:ind w:left="-8" w:right="20" w:firstLine="1441"/>
        <w:spacing w:after="0" w:line="262" w:lineRule="auto"/>
        <w:tabs>
          <w:tab w:leader="none" w:pos="2117" w:val="left"/>
        </w:tabs>
        <w:numPr>
          <w:ilvl w:val="2"/>
          <w:numId w:val="97"/>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82" w:lineRule="exact"/>
        <w:rPr>
          <w:rFonts w:ascii="Arial" w:cs="Arial" w:eastAsia="Arial" w:hAnsi="Arial"/>
          <w:sz w:val="18"/>
          <w:szCs w:val="18"/>
          <w:color w:val="auto"/>
        </w:rPr>
      </w:pPr>
    </w:p>
    <w:p>
      <w:pPr>
        <w:ind w:left="-8" w:right="100" w:firstLine="1441"/>
        <w:spacing w:after="0" w:line="295" w:lineRule="auto"/>
        <w:tabs>
          <w:tab w:leader="none" w:pos="2127" w:val="left"/>
        </w:tabs>
        <w:numPr>
          <w:ilvl w:val="2"/>
          <w:numId w:val="97"/>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59" w:lineRule="exact"/>
        <w:rPr>
          <w:rFonts w:ascii="Arial" w:cs="Arial" w:eastAsia="Arial" w:hAnsi="Arial"/>
          <w:sz w:val="16"/>
          <w:szCs w:val="16"/>
          <w:color w:val="auto"/>
        </w:rPr>
      </w:pPr>
    </w:p>
    <w:p>
      <w:pPr>
        <w:ind w:left="1432" w:hanging="716"/>
        <w:spacing w:after="0"/>
        <w:tabs>
          <w:tab w:leader="none" w:pos="1432"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8" w:right="140" w:firstLine="1441"/>
        <w:spacing w:after="0" w:line="286" w:lineRule="auto"/>
        <w:tabs>
          <w:tab w:leader="none" w:pos="2117" w:val="left"/>
        </w:tabs>
        <w:numPr>
          <w:ilvl w:val="2"/>
          <w:numId w:val="97"/>
        </w:numPr>
        <w:rPr>
          <w:rFonts w:ascii="Arial" w:cs="Arial" w:eastAsia="Arial" w:hAnsi="Arial"/>
          <w:sz w:val="16"/>
          <w:szCs w:val="16"/>
          <w:color w:val="auto"/>
        </w:rPr>
      </w:pPr>
      <w:r>
        <w:rPr>
          <w:rFonts w:ascii="Arial" w:cs="Arial" w:eastAsia="Arial" w:hAnsi="Arial"/>
          <w:sz w:val="16"/>
          <w:szCs w:val="16"/>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w:t>
      </w:r>
    </w:p>
    <w:p>
      <w:pPr>
        <w:spacing w:after="0" w:line="2" w:lineRule="exact"/>
        <w:rPr>
          <w:rFonts w:ascii="Arial" w:cs="Arial" w:eastAsia="Arial" w:hAnsi="Arial"/>
          <w:sz w:val="16"/>
          <w:szCs w:val="16"/>
          <w:color w:val="auto"/>
        </w:rPr>
      </w:pPr>
    </w:p>
    <w:p>
      <w:pPr>
        <w:ind w:left="-8" w:right="80" w:firstLine="8"/>
        <w:spacing w:after="0" w:line="290" w:lineRule="auto"/>
        <w:tabs>
          <w:tab w:leader="none" w:pos="206" w:val="left"/>
        </w:tabs>
        <w:numPr>
          <w:ilvl w:val="0"/>
          <w:numId w:val="98"/>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164" w:lineRule="exact"/>
        <w:rPr>
          <w:rFonts w:ascii="Arial" w:cs="Arial" w:eastAsia="Arial" w:hAnsi="Arial"/>
          <w:sz w:val="16"/>
          <w:szCs w:val="16"/>
          <w:color w:val="auto"/>
        </w:rPr>
      </w:pPr>
    </w:p>
    <w:p>
      <w:pPr>
        <w:ind w:left="-8" w:firstLine="1441"/>
        <w:spacing w:after="0" w:line="271" w:lineRule="auto"/>
        <w:tabs>
          <w:tab w:leader="none" w:pos="2127" w:val="left"/>
        </w:tabs>
        <w:numPr>
          <w:ilvl w:val="2"/>
          <w:numId w:val="98"/>
        </w:numPr>
        <w:rPr>
          <w:rFonts w:ascii="Arial" w:cs="Arial" w:eastAsia="Arial" w:hAnsi="Arial"/>
          <w:sz w:val="17"/>
          <w:szCs w:val="17"/>
          <w:color w:val="auto"/>
        </w:rPr>
      </w:pPr>
      <w:r>
        <w:rPr>
          <w:rFonts w:ascii="Arial" w:cs="Arial" w:eastAsia="Arial" w:hAnsi="Arial"/>
          <w:sz w:val="17"/>
          <w:szCs w:val="17"/>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75" w:lineRule="exact"/>
        <w:rPr>
          <w:rFonts w:ascii="Arial" w:cs="Arial" w:eastAsia="Arial" w:hAnsi="Arial"/>
          <w:sz w:val="17"/>
          <w:szCs w:val="17"/>
          <w:color w:val="auto"/>
        </w:rPr>
      </w:pPr>
    </w:p>
    <w:p>
      <w:pPr>
        <w:ind w:left="-8" w:right="60" w:firstLine="724"/>
        <w:spacing w:after="0" w:line="262" w:lineRule="auto"/>
        <w:tabs>
          <w:tab w:leader="none" w:pos="142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paragraph 11, his or her option for the purchase of shares will be exercised automatically on the Exercise Date of the Offering Period, and the maximum number of full shares subject to option will be purchased for him or her at the applicable option</w:t>
      </w:r>
    </w:p>
    <w:p>
      <w:pPr>
        <w:sectPr>
          <w:pgSz w:w="11900" w:h="16838" w:orient="portrait"/>
          <w:cols w:equalWidth="0" w:num="1">
            <w:col w:w="11412"/>
          </w:cols>
          <w:pgMar w:left="248" w:top="125" w:right="239" w:bottom="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auto"/>
        </w:rPr>
        <w:t>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24" w:lineRule="exact"/>
        <w:rPr>
          <w:sz w:val="20"/>
          <w:szCs w:val="20"/>
          <w:color w:val="auto"/>
        </w:rPr>
      </w:pPr>
    </w:p>
    <w:p>
      <w:pPr>
        <w:ind w:left="1440" w:hanging="71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Paragraph Intentionally Left Blank.</w:t>
      </w:r>
    </w:p>
    <w:p>
      <w:pPr>
        <w:spacing w:after="0" w:line="223" w:lineRule="exact"/>
        <w:rPr>
          <w:rFonts w:ascii="Arial" w:cs="Arial" w:eastAsia="Arial" w:hAnsi="Arial"/>
          <w:sz w:val="18"/>
          <w:szCs w:val="18"/>
          <w:color w:val="auto"/>
        </w:rPr>
      </w:pPr>
    </w:p>
    <w:p>
      <w:pPr>
        <w:ind w:right="20" w:firstLine="724"/>
        <w:spacing w:after="0" w:line="272" w:lineRule="auto"/>
        <w:tabs>
          <w:tab w:leader="none" w:pos="143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Following the Exercise Date of each Offering Period, unless a participant requests the issuance of a certificate representing the participant’s shares, the 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76" w:lineRule="exact"/>
        <w:rPr>
          <w:rFonts w:ascii="Arial" w:cs="Arial" w:eastAsia="Arial" w:hAnsi="Arial"/>
          <w:sz w:val="17"/>
          <w:szCs w:val="17"/>
          <w:color w:val="auto"/>
        </w:rPr>
      </w:pPr>
    </w:p>
    <w:p>
      <w:pPr>
        <w:ind w:left="1440" w:hanging="71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firstLine="1441"/>
        <w:spacing w:after="0" w:line="254" w:lineRule="auto"/>
        <w:tabs>
          <w:tab w:leader="none" w:pos="212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91" w:lineRule="exact"/>
        <w:rPr>
          <w:rFonts w:ascii="Arial" w:cs="Arial" w:eastAsia="Arial" w:hAnsi="Arial"/>
          <w:sz w:val="18"/>
          <w:szCs w:val="18"/>
          <w:color w:val="auto"/>
        </w:rPr>
      </w:pPr>
    </w:p>
    <w:p>
      <w:pPr>
        <w:ind w:right="20" w:firstLine="1441"/>
        <w:spacing w:after="0" w:line="285" w:lineRule="auto"/>
        <w:tabs>
          <w:tab w:leader="none" w:pos="2135" w:val="left"/>
        </w:tabs>
        <w:numPr>
          <w:ilvl w:val="1"/>
          <w:numId w:val="99"/>
        </w:numPr>
        <w:rPr>
          <w:rFonts w:ascii="Arial" w:cs="Arial" w:eastAsia="Arial" w:hAnsi="Arial"/>
          <w:sz w:val="17"/>
          <w:szCs w:val="17"/>
          <w:color w:val="auto"/>
        </w:rPr>
      </w:pPr>
      <w:r>
        <w:rPr>
          <w:rFonts w:ascii="Arial" w:cs="Arial" w:eastAsia="Arial" w:hAnsi="Arial"/>
          <w:sz w:val="17"/>
          <w:szCs w:val="17"/>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3" w:lineRule="exact"/>
        <w:rPr>
          <w:rFonts w:ascii="Arial" w:cs="Arial" w:eastAsia="Arial" w:hAnsi="Arial"/>
          <w:sz w:val="17"/>
          <w:szCs w:val="17"/>
          <w:color w:val="auto"/>
        </w:rPr>
      </w:pPr>
    </w:p>
    <w:p>
      <w:pPr>
        <w:ind w:right="60" w:firstLine="1441"/>
        <w:spacing w:after="0" w:line="262" w:lineRule="auto"/>
        <w:tabs>
          <w:tab w:leader="none" w:pos="2125"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182" w:lineRule="exact"/>
        <w:rPr>
          <w:rFonts w:ascii="Arial" w:cs="Arial" w:eastAsia="Arial" w:hAnsi="Arial"/>
          <w:sz w:val="18"/>
          <w:szCs w:val="18"/>
          <w:color w:val="auto"/>
        </w:rPr>
      </w:pPr>
    </w:p>
    <w:p>
      <w:pPr>
        <w:ind w:right="700" w:firstLine="1441"/>
        <w:spacing w:after="0" w:line="275" w:lineRule="auto"/>
        <w:tabs>
          <w:tab w:leader="none" w:pos="213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70" w:lineRule="exact"/>
        <w:rPr>
          <w:rFonts w:ascii="Arial" w:cs="Arial" w:eastAsia="Arial" w:hAnsi="Arial"/>
          <w:sz w:val="18"/>
          <w:szCs w:val="18"/>
          <w:color w:val="auto"/>
        </w:rPr>
      </w:pPr>
    </w:p>
    <w:p>
      <w:pPr>
        <w:ind w:left="1440" w:hanging="71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23" w:lineRule="exact"/>
        <w:rPr>
          <w:rFonts w:ascii="Arial" w:cs="Arial" w:eastAsia="Arial" w:hAnsi="Arial"/>
          <w:sz w:val="18"/>
          <w:szCs w:val="18"/>
          <w:color w:val="auto"/>
        </w:rPr>
      </w:pPr>
    </w:p>
    <w:p>
      <w:pPr>
        <w:ind w:left="1440" w:hanging="71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0" w:firstLine="1441"/>
        <w:spacing w:after="0" w:line="271" w:lineRule="auto"/>
        <w:tabs>
          <w:tab w:leader="none" w:pos="2125"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maximum number of shares of the Company’s Common Stock which shall be made available for sale under the Plan shall be 20,500,000,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5" w:lineRule="exact"/>
        <w:rPr>
          <w:rFonts w:ascii="Arial" w:cs="Arial" w:eastAsia="Arial" w:hAnsi="Arial"/>
          <w:sz w:val="17"/>
          <w:szCs w:val="17"/>
          <w:color w:val="auto"/>
        </w:rPr>
      </w:pPr>
    </w:p>
    <w:p>
      <w:pPr>
        <w:ind w:left="2140" w:hanging="699"/>
        <w:spacing w:after="0"/>
        <w:tabs>
          <w:tab w:leader="none" w:pos="21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140" w:hanging="699"/>
        <w:spacing w:after="0"/>
        <w:tabs>
          <w:tab w:leader="none" w:pos="21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Plan will be registered in the name of the participant.</w:t>
      </w:r>
    </w:p>
    <w:p>
      <w:pPr>
        <w:spacing w:after="0" w:line="223" w:lineRule="exact"/>
        <w:rPr>
          <w:rFonts w:ascii="Arial" w:cs="Arial" w:eastAsia="Arial" w:hAnsi="Arial"/>
          <w:sz w:val="18"/>
          <w:szCs w:val="18"/>
          <w:color w:val="auto"/>
        </w:rPr>
      </w:pPr>
    </w:p>
    <w:p>
      <w:pPr>
        <w:ind w:right="120" w:firstLine="724"/>
        <w:spacing w:after="0" w:line="262" w:lineRule="auto"/>
        <w:tabs>
          <w:tab w:leader="none" w:pos="143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Board of the 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182" w:lineRule="exact"/>
        <w:rPr>
          <w:rFonts w:ascii="Arial" w:cs="Arial" w:eastAsia="Arial" w:hAnsi="Arial"/>
          <w:sz w:val="18"/>
          <w:szCs w:val="18"/>
          <w:color w:val="auto"/>
        </w:rPr>
      </w:pPr>
    </w:p>
    <w:p>
      <w:pPr>
        <w:ind w:right="180" w:firstLine="1441"/>
        <w:spacing w:after="0" w:line="275" w:lineRule="auto"/>
        <w:tabs>
          <w:tab w:leader="none" w:pos="212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70" w:lineRule="exact"/>
        <w:rPr>
          <w:rFonts w:ascii="Arial" w:cs="Arial" w:eastAsia="Arial" w:hAnsi="Arial"/>
          <w:sz w:val="18"/>
          <w:szCs w:val="18"/>
          <w:color w:val="auto"/>
        </w:rPr>
      </w:pPr>
    </w:p>
    <w:p>
      <w:pPr>
        <w:ind w:left="2140" w:hanging="699"/>
        <w:spacing w:after="0"/>
        <w:tabs>
          <w:tab w:leader="none" w:pos="21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If a Committee is established to administer the Plan, no member of the Board who is eligible to participate in the Plan may be a</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 of the Committee.</w:t>
      </w:r>
    </w:p>
    <w:p>
      <w:pPr>
        <w:spacing w:after="0" w:line="208" w:lineRule="exact"/>
        <w:rPr>
          <w:rFonts w:ascii="Arial" w:cs="Arial" w:eastAsia="Arial" w:hAnsi="Arial"/>
          <w:sz w:val="16"/>
          <w:szCs w:val="16"/>
          <w:color w:val="auto"/>
        </w:rPr>
      </w:pPr>
    </w:p>
    <w:p>
      <w:pPr>
        <w:ind w:right="120" w:firstLine="1441"/>
        <w:spacing w:after="0" w:line="292" w:lineRule="auto"/>
        <w:tabs>
          <w:tab w:leader="none" w:pos="212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 withholding procedures and handling of stock certificates which vary with local requirements. With respect to any Designated Subsidiary that employs participants who reside outside of the United States and notwithstanding anything herein to the contrary, the Board or the Committee may, in its sole discretion, amend or vary the terms of the Plan in order to conform such terms with the requirements of local law or to meet the objectives and purpose of the</w:t>
      </w:r>
    </w:p>
    <w:p>
      <w:pPr>
        <w:sectPr>
          <w:pgSz w:w="11900" w:h="16838" w:orient="portrait"/>
          <w:cols w:equalWidth="0" w:num="1">
            <w:col w:w="11420"/>
          </w:cols>
          <w:pgMar w:left="240" w:top="340" w:right="239" w:bottom="0" w:gutter="0" w:footer="0" w:header="0"/>
        </w:sectPr>
      </w:pPr>
    </w:p>
    <w:bookmarkStart w:id="37" w:name="page38"/>
    <w:bookmarkEnd w:id="37"/>
    <w:p>
      <w:pPr>
        <w:ind w:right="20"/>
        <w:spacing w:after="0" w:line="258" w:lineRule="auto"/>
        <w:rPr>
          <w:sz w:val="20"/>
          <w:szCs w:val="20"/>
          <w:color w:val="auto"/>
        </w:rPr>
      </w:pPr>
      <w:r>
        <w:rPr>
          <w:rFonts w:ascii="Arial" w:cs="Arial" w:eastAsia="Arial" w:hAnsi="Arial"/>
          <w:sz w:val="18"/>
          <w:szCs w:val="18"/>
          <w:color w:val="auto"/>
        </w:rPr>
        <w:t>Plan. The Board or the Committee may, where appropriate, establish one or more sub-plans applicable to particular Designated Subsidiaries or locations to reflect such amended or varied provisions and which sub-plans may be designed to be outside the 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pacing w:after="0" w:line="185" w:lineRule="exact"/>
        <w:rPr>
          <w:sz w:val="20"/>
          <w:szCs w:val="20"/>
          <w:color w:val="auto"/>
        </w:rPr>
      </w:pPr>
    </w:p>
    <w:p>
      <w:pPr>
        <w:ind w:left="1440" w:hanging="716"/>
        <w:spacing w:after="0"/>
        <w:tabs>
          <w:tab w:leader="none" w:pos="14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20" w:firstLine="1441"/>
        <w:spacing w:after="0" w:line="258" w:lineRule="auto"/>
        <w:tabs>
          <w:tab w:leader="none" w:pos="212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85" w:lineRule="exact"/>
        <w:rPr>
          <w:rFonts w:ascii="Arial" w:cs="Arial" w:eastAsia="Arial" w:hAnsi="Arial"/>
          <w:sz w:val="18"/>
          <w:szCs w:val="18"/>
          <w:color w:val="auto"/>
        </w:rPr>
      </w:pPr>
    </w:p>
    <w:p>
      <w:pPr>
        <w:ind w:right="180" w:firstLine="1441"/>
        <w:spacing w:after="0" w:line="295" w:lineRule="auto"/>
        <w:tabs>
          <w:tab w:leader="none" w:pos="213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9" w:lineRule="exact"/>
        <w:rPr>
          <w:rFonts w:ascii="Arial" w:cs="Arial" w:eastAsia="Arial" w:hAnsi="Arial"/>
          <w:sz w:val="16"/>
          <w:szCs w:val="16"/>
          <w:color w:val="auto"/>
        </w:rPr>
      </w:pPr>
    </w:p>
    <w:p>
      <w:pPr>
        <w:ind w:right="200" w:firstLine="724"/>
        <w:spacing w:after="0" w:line="278" w:lineRule="auto"/>
        <w:tabs>
          <w:tab w:leader="none" w:pos="1433"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Transferability of Rights</w:t>
      </w:r>
      <w:r>
        <w:rPr>
          <w:rFonts w:ascii="Arial" w:cs="Arial" w:eastAsia="Arial" w:hAnsi="Arial"/>
          <w:sz w:val="17"/>
          <w:szCs w:val="17"/>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69" w:lineRule="exact"/>
        <w:rPr>
          <w:rFonts w:ascii="Arial" w:cs="Arial" w:eastAsia="Arial" w:hAnsi="Arial"/>
          <w:sz w:val="17"/>
          <w:szCs w:val="17"/>
          <w:color w:val="auto"/>
        </w:rPr>
      </w:pPr>
    </w:p>
    <w:p>
      <w:pPr>
        <w:ind w:right="320" w:firstLine="724"/>
        <w:spacing w:after="0" w:line="275" w:lineRule="auto"/>
        <w:tabs>
          <w:tab w:leader="none" w:pos="143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firstLine="724"/>
        <w:spacing w:after="0" w:line="262" w:lineRule="auto"/>
        <w:tabs>
          <w:tab w:leader="none" w:pos="143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182" w:lineRule="exact"/>
        <w:rPr>
          <w:rFonts w:ascii="Arial" w:cs="Arial" w:eastAsia="Arial" w:hAnsi="Arial"/>
          <w:sz w:val="18"/>
          <w:szCs w:val="18"/>
          <w:color w:val="auto"/>
        </w:rPr>
      </w:pPr>
    </w:p>
    <w:p>
      <w:pPr>
        <w:ind w:right="20" w:firstLine="724"/>
        <w:spacing w:after="0" w:line="287" w:lineRule="auto"/>
        <w:tabs>
          <w:tab w:leader="none" w:pos="143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6" w:lineRule="exact"/>
        <w:rPr>
          <w:sz w:val="20"/>
          <w:szCs w:val="20"/>
          <w:color w:val="auto"/>
        </w:rPr>
      </w:pPr>
    </w:p>
    <w:p>
      <w:pPr>
        <w:ind w:firstLine="717"/>
        <w:spacing w:after="0" w:line="288" w:lineRule="auto"/>
        <w:rPr>
          <w:sz w:val="20"/>
          <w:szCs w:val="20"/>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 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 the participant has withdrawn from the Offering Period, as provided in Section 11(a) hereof, prior to the new Exercise Date.</w:t>
      </w:r>
    </w:p>
    <w:p>
      <w:pPr>
        <w:spacing w:after="0" w:line="164" w:lineRule="exact"/>
        <w:rPr>
          <w:sz w:val="20"/>
          <w:szCs w:val="20"/>
          <w:color w:val="auto"/>
        </w:rPr>
      </w:pPr>
    </w:p>
    <w:p>
      <w:pPr>
        <w:ind w:right="20" w:firstLine="717"/>
        <w:spacing w:after="0" w:line="258"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85" w:lineRule="exact"/>
        <w:rPr>
          <w:sz w:val="20"/>
          <w:szCs w:val="20"/>
          <w:color w:val="auto"/>
        </w:rPr>
      </w:pPr>
    </w:p>
    <w:p>
      <w:pPr>
        <w:ind w:right="20" w:firstLine="724"/>
        <w:spacing w:after="0" w:line="258" w:lineRule="auto"/>
        <w:tabs>
          <w:tab w:leader="none" w:pos="143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of Directors of the Company may 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85" w:lineRule="exact"/>
        <w:rPr>
          <w:rFonts w:ascii="Arial" w:cs="Arial" w:eastAsia="Arial" w:hAnsi="Arial"/>
          <w:sz w:val="18"/>
          <w:szCs w:val="18"/>
          <w:color w:val="auto"/>
        </w:rPr>
      </w:pPr>
    </w:p>
    <w:p>
      <w:pPr>
        <w:ind w:left="2140" w:hanging="699"/>
        <w:spacing w:after="0"/>
        <w:tabs>
          <w:tab w:leader="none" w:pos="2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3" w:lineRule="exact"/>
        <w:rPr>
          <w:rFonts w:ascii="Arial" w:cs="Arial" w:eastAsia="Arial" w:hAnsi="Arial"/>
          <w:sz w:val="18"/>
          <w:szCs w:val="18"/>
          <w:color w:val="auto"/>
        </w:rPr>
      </w:pPr>
    </w:p>
    <w:p>
      <w:pPr>
        <w:jc w:val="both"/>
        <w:ind w:right="380" w:firstLine="1441"/>
        <w:spacing w:after="0" w:line="262" w:lineRule="auto"/>
        <w:tabs>
          <w:tab w:leader="none" w:pos="213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ectPr>
          <w:pgSz w:w="11900" w:h="16838" w:orient="portrait"/>
          <w:cols w:equalWidth="0" w:num="1">
            <w:col w:w="11400"/>
          </w:cols>
          <w:pgMar w:left="240" w:top="125" w:right="259" w:bottom="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8210"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0" w:firstLine="2158"/>
        <w:spacing w:after="0" w:line="262" w:lineRule="auto"/>
        <w:tabs>
          <w:tab w:leader="none" w:pos="28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182" w:lineRule="exact"/>
        <w:rPr>
          <w:rFonts w:ascii="Arial" w:cs="Arial" w:eastAsia="Arial" w:hAnsi="Arial"/>
          <w:sz w:val="18"/>
          <w:szCs w:val="18"/>
          <w:color w:val="auto"/>
        </w:rPr>
      </w:pPr>
    </w:p>
    <w:p>
      <w:pPr>
        <w:ind w:right="380" w:firstLine="2158"/>
        <w:spacing w:after="0" w:line="275" w:lineRule="auto"/>
        <w:tabs>
          <w:tab w:leader="none" w:pos="28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shortening any Offering Period so that Offering Period ends on a new Exercise Date, including an Offering Period underway at the time of the Board action.</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Plan participants.</w:t>
      </w:r>
    </w:p>
    <w:p>
      <w:pPr>
        <w:spacing w:after="0" w:line="223" w:lineRule="exact"/>
        <w:rPr>
          <w:sz w:val="20"/>
          <w:szCs w:val="20"/>
          <w:color w:val="auto"/>
        </w:rPr>
      </w:pPr>
    </w:p>
    <w:p>
      <w:pPr>
        <w:ind w:right="300" w:firstLine="724"/>
        <w:spacing w:after="0" w:line="262" w:lineRule="auto"/>
        <w:tabs>
          <w:tab w:leader="none" w:pos="143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2" w:lineRule="exact"/>
        <w:rPr>
          <w:rFonts w:ascii="Arial" w:cs="Arial" w:eastAsia="Arial" w:hAnsi="Arial"/>
          <w:sz w:val="18"/>
          <w:szCs w:val="18"/>
          <w:color w:val="auto"/>
        </w:rPr>
      </w:pPr>
    </w:p>
    <w:p>
      <w:pPr>
        <w:ind w:right="300" w:firstLine="724"/>
        <w:spacing w:after="0" w:line="310" w:lineRule="auto"/>
        <w:tabs>
          <w:tab w:leader="none" w:pos="143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Shareholder Approval</w:t>
      </w:r>
      <w:r>
        <w:rPr>
          <w:rFonts w:ascii="Arial" w:cs="Arial" w:eastAsia="Arial" w:hAnsi="Arial"/>
          <w:sz w:val="16"/>
          <w:szCs w:val="16"/>
          <w:color w:val="auto"/>
        </w:rPr>
        <w:t>.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47" w:lineRule="exact"/>
        <w:rPr>
          <w:rFonts w:ascii="Arial" w:cs="Arial" w:eastAsia="Arial" w:hAnsi="Arial"/>
          <w:sz w:val="16"/>
          <w:szCs w:val="16"/>
          <w:color w:val="auto"/>
        </w:rPr>
      </w:pPr>
    </w:p>
    <w:p>
      <w:pPr>
        <w:ind w:right="140" w:firstLine="1441"/>
        <w:spacing w:after="0" w:line="258" w:lineRule="auto"/>
        <w:tabs>
          <w:tab w:leader="none" w:pos="212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(1) solicited substantially in accordance with Section 14(a) of the Securities Exchange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85" w:lineRule="exact"/>
        <w:rPr>
          <w:rFonts w:ascii="Arial" w:cs="Arial" w:eastAsia="Arial" w:hAnsi="Arial"/>
          <w:sz w:val="18"/>
          <w:szCs w:val="18"/>
          <w:color w:val="auto"/>
        </w:rPr>
      </w:pPr>
    </w:p>
    <w:p>
      <w:pPr>
        <w:ind w:left="2140" w:hanging="699"/>
        <w:spacing w:after="0"/>
        <w:tabs>
          <w:tab w:leader="none" w:pos="21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obtained at or prior to the first annual meeting of shareholders held subsequent to the first registration of Common Stock under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12 of the Act.</w:t>
      </w:r>
    </w:p>
    <w:p>
      <w:pPr>
        <w:spacing w:after="0" w:line="209" w:lineRule="exact"/>
        <w:rPr>
          <w:sz w:val="20"/>
          <w:szCs w:val="20"/>
          <w:color w:val="auto"/>
        </w:rPr>
      </w:pPr>
    </w:p>
    <w:p>
      <w:pPr>
        <w:ind w:right="40" w:firstLine="1433"/>
        <w:spacing w:after="0" w:line="258" w:lineRule="auto"/>
        <w:rPr>
          <w:sz w:val="20"/>
          <w:szCs w:val="20"/>
          <w:color w:val="auto"/>
        </w:rPr>
      </w:pPr>
      <w:r>
        <w:rPr>
          <w:rFonts w:ascii="Arial" w:cs="Arial" w:eastAsia="Arial" w:hAnsi="Arial"/>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185" w:lineRule="exact"/>
        <w:rPr>
          <w:sz w:val="20"/>
          <w:szCs w:val="20"/>
          <w:color w:val="auto"/>
        </w:rPr>
      </w:pPr>
    </w:p>
    <w:p>
      <w:pPr>
        <w:ind w:right="40" w:firstLine="724"/>
        <w:spacing w:after="0" w:line="300" w:lineRule="auto"/>
        <w:tabs>
          <w:tab w:leader="none" w:pos="143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55" w:lineRule="exact"/>
        <w:rPr>
          <w:sz w:val="20"/>
          <w:szCs w:val="20"/>
          <w:color w:val="auto"/>
        </w:rPr>
      </w:pPr>
    </w:p>
    <w:p>
      <w:pPr>
        <w:jc w:val="both"/>
        <w:ind w:right="240" w:firstLine="1433"/>
        <w:spacing w:after="0" w:line="285"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4" w:lineRule="exact"/>
        <w:rPr>
          <w:sz w:val="20"/>
          <w:szCs w:val="20"/>
          <w:color w:val="auto"/>
        </w:rPr>
      </w:pPr>
    </w:p>
    <w:p>
      <w:pPr>
        <w:ind w:firstLine="724"/>
        <w:spacing w:after="0" w:line="262" w:lineRule="auto"/>
        <w:tabs>
          <w:tab w:leader="none" w:pos="1433"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the earlier to occur of its adoption by the Board of Directors or its approval by the shareholders of the Company as described in paragraph 22. It shall continue in effect for a term of twenty (20) years unless sooner terminated under paragraph 20.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10.151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2001 STOCK OPTION PLAN</w:t>
      </w:r>
    </w:p>
    <w:p>
      <w:pPr>
        <w:spacing w:after="0" w:line="200" w:lineRule="exact"/>
        <w:rPr>
          <w:sz w:val="20"/>
          <w:szCs w:val="20"/>
          <w:color w:val="auto"/>
        </w:rPr>
      </w:pPr>
    </w:p>
    <w:p>
      <w:pPr>
        <w:spacing w:after="0" w:line="242" w:lineRule="exact"/>
        <w:rPr>
          <w:sz w:val="20"/>
          <w:szCs w:val="20"/>
          <w:color w:val="auto"/>
        </w:rPr>
      </w:pPr>
    </w:p>
    <w:p>
      <w:pPr>
        <w:ind w:left="1440" w:hanging="716"/>
        <w:spacing w:after="0"/>
        <w:tabs>
          <w:tab w:leader="none" w:pos="1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Stock Option Plan are:</w:t>
      </w:r>
    </w:p>
    <w:p>
      <w:pPr>
        <w:spacing w:after="0" w:line="227" w:lineRule="exact"/>
        <w:rPr>
          <w:sz w:val="20"/>
          <w:szCs w:val="20"/>
          <w:color w:val="auto"/>
        </w:rPr>
      </w:pPr>
    </w:p>
    <w:p>
      <w:pPr>
        <w:ind w:left="1420" w:hanging="696"/>
        <w:spacing w:after="0"/>
        <w:tabs>
          <w:tab w:leader="none" w:pos="1420" w:val="left"/>
        </w:tabs>
        <w:numPr>
          <w:ilvl w:val="0"/>
          <w:numId w:val="110"/>
        </w:numPr>
        <w:rPr>
          <w:rFonts w:ascii="Arial" w:cs="Arial" w:eastAsia="Arial" w:hAnsi="Arial"/>
          <w:sz w:val="22"/>
          <w:szCs w:val="22"/>
          <w:color w:val="auto"/>
        </w:rPr>
      </w:pPr>
      <w:r>
        <w:rPr>
          <w:rFonts w:ascii="Arial" w:cs="Arial" w:eastAsia="Arial" w:hAnsi="Arial"/>
          <w:sz w:val="18"/>
          <w:szCs w:val="18"/>
          <w:color w:val="auto"/>
        </w:rPr>
        <w:t>to attract and retain the best available personnel for positions of substantial responsibility,</w:t>
      </w:r>
    </w:p>
    <w:p>
      <w:pPr>
        <w:spacing w:after="0" w:line="204" w:lineRule="exact"/>
        <w:rPr>
          <w:rFonts w:ascii="Arial" w:cs="Arial" w:eastAsia="Arial" w:hAnsi="Arial"/>
          <w:sz w:val="22"/>
          <w:szCs w:val="22"/>
          <w:color w:val="auto"/>
        </w:rPr>
      </w:pPr>
    </w:p>
    <w:p>
      <w:pPr>
        <w:ind w:left="1420" w:hanging="696"/>
        <w:spacing w:after="0"/>
        <w:tabs>
          <w:tab w:leader="none" w:pos="1420" w:val="left"/>
        </w:tabs>
        <w:numPr>
          <w:ilvl w:val="0"/>
          <w:numId w:val="110"/>
        </w:numPr>
        <w:rPr>
          <w:rFonts w:ascii="Arial" w:cs="Arial" w:eastAsia="Arial" w:hAnsi="Arial"/>
          <w:sz w:val="22"/>
          <w:szCs w:val="22"/>
          <w:color w:val="auto"/>
        </w:rPr>
      </w:pPr>
      <w:r>
        <w:rPr>
          <w:rFonts w:ascii="Arial" w:cs="Arial" w:eastAsia="Arial" w:hAnsi="Arial"/>
          <w:sz w:val="18"/>
          <w:szCs w:val="18"/>
          <w:color w:val="auto"/>
        </w:rPr>
        <w:t>to provide additional incentive to Employees, Directors, and Consultants, and</w:t>
      </w:r>
    </w:p>
    <w:p>
      <w:pPr>
        <w:spacing w:after="0" w:line="204" w:lineRule="exact"/>
        <w:rPr>
          <w:rFonts w:ascii="Arial" w:cs="Arial" w:eastAsia="Arial" w:hAnsi="Arial"/>
          <w:sz w:val="22"/>
          <w:szCs w:val="22"/>
          <w:color w:val="auto"/>
        </w:rPr>
      </w:pPr>
    </w:p>
    <w:p>
      <w:pPr>
        <w:ind w:left="1420" w:hanging="696"/>
        <w:spacing w:after="0"/>
        <w:tabs>
          <w:tab w:leader="none" w:pos="1420" w:val="left"/>
        </w:tabs>
        <w:numPr>
          <w:ilvl w:val="0"/>
          <w:numId w:val="110"/>
        </w:numPr>
        <w:rPr>
          <w:rFonts w:ascii="Arial" w:cs="Arial" w:eastAsia="Arial" w:hAnsi="Arial"/>
          <w:sz w:val="22"/>
          <w:szCs w:val="22"/>
          <w:color w:val="auto"/>
        </w:rPr>
      </w:pPr>
      <w:r>
        <w:rPr>
          <w:rFonts w:ascii="Arial" w:cs="Arial" w:eastAsia="Arial" w:hAnsi="Arial"/>
          <w:sz w:val="18"/>
          <w:szCs w:val="18"/>
          <w:color w:val="auto"/>
        </w:rPr>
        <w:t>to promote the success of the Company’s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may be Incentive Stock Options or Nonstatutory Stock Options, as determined by the Administrator at the time of grant.</w:t>
      </w:r>
    </w:p>
    <w:p>
      <w:pPr>
        <w:spacing w:after="0" w:line="235" w:lineRule="exact"/>
        <w:rPr>
          <w:sz w:val="20"/>
          <w:szCs w:val="20"/>
          <w:color w:val="auto"/>
        </w:rPr>
      </w:pPr>
    </w:p>
    <w:p>
      <w:pPr>
        <w:ind w:left="1440" w:hanging="716"/>
        <w:spacing w:after="0"/>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09" w:lineRule="exact"/>
        <w:rPr>
          <w:sz w:val="20"/>
          <w:szCs w:val="20"/>
          <w:color w:val="auto"/>
        </w:rPr>
      </w:pPr>
    </w:p>
    <w:p>
      <w:pPr>
        <w:ind w:right="200" w:firstLine="1441"/>
        <w:spacing w:after="0" w:line="275" w:lineRule="auto"/>
        <w:tabs>
          <w:tab w:leader="none" w:pos="21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70" w:lineRule="exact"/>
        <w:rPr>
          <w:rFonts w:ascii="Arial" w:cs="Arial" w:eastAsia="Arial" w:hAnsi="Arial"/>
          <w:sz w:val="18"/>
          <w:szCs w:val="18"/>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color w:val="auto"/>
        </w:rPr>
      </w:pPr>
    </w:p>
    <w:p>
      <w:pPr>
        <w:ind w:right="80" w:firstLine="1441"/>
        <w:spacing w:after="0" w:line="275" w:lineRule="auto"/>
        <w:tabs>
          <w:tab w:leader="none" w:pos="21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rFonts w:ascii="Arial" w:cs="Arial" w:eastAsia="Arial" w:hAnsi="Arial"/>
          <w:sz w:val="18"/>
          <w:szCs w:val="18"/>
          <w:color w:val="auto"/>
        </w:rPr>
      </w:pPr>
    </w:p>
    <w:p>
      <w:pPr>
        <w:ind w:left="2160" w:hanging="719"/>
        <w:spacing w:after="0"/>
        <w:tabs>
          <w:tab w:leader="none" w:pos="2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3" w:lineRule="exact"/>
        <w:rPr>
          <w:rFonts w:ascii="Arial" w:cs="Arial" w:eastAsia="Arial" w:hAnsi="Arial"/>
          <w:sz w:val="18"/>
          <w:szCs w:val="18"/>
          <w:color w:val="auto"/>
        </w:rPr>
      </w:pPr>
    </w:p>
    <w:p>
      <w:pPr>
        <w:ind w:right="100" w:firstLine="1441"/>
        <w:spacing w:after="0" w:line="275" w:lineRule="auto"/>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 services and who is compensated for such services.</w:t>
      </w:r>
    </w:p>
    <w:p>
      <w:pPr>
        <w:spacing w:after="0" w:line="170" w:lineRule="exact"/>
        <w:rPr>
          <w:rFonts w:ascii="Arial" w:cs="Arial" w:eastAsia="Arial" w:hAnsi="Arial"/>
          <w:sz w:val="18"/>
          <w:szCs w:val="18"/>
          <w:color w:val="auto"/>
        </w:rPr>
      </w:pPr>
    </w:p>
    <w:p>
      <w:pPr>
        <w:ind w:firstLine="1441"/>
        <w:spacing w:after="0" w:line="289" w:lineRule="auto"/>
        <w:tabs>
          <w:tab w:leader="none" w:pos="2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 or Consultant</w:t>
      </w:r>
      <w:r>
        <w:rPr>
          <w:rFonts w:ascii="Arial" w:cs="Arial" w:eastAsia="Arial" w:hAnsi="Arial"/>
          <w:sz w:val="16"/>
          <w:szCs w:val="16"/>
          <w:color w:val="auto"/>
        </w:rPr>
        <w:t>” means that the employment or consulting relationship with the Company, any Parent, or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63" w:lineRule="exact"/>
        <w:rPr>
          <w:rFonts w:ascii="Arial" w:cs="Arial" w:eastAsia="Arial" w:hAnsi="Arial"/>
          <w:sz w:val="16"/>
          <w:szCs w:val="16"/>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right="160" w:firstLine="1441"/>
        <w:spacing w:after="0" w:line="340" w:lineRule="auto"/>
        <w:tabs>
          <w:tab w:leader="none" w:pos="2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23" w:lineRule="exact"/>
        <w:rPr>
          <w:rFonts w:ascii="Arial" w:cs="Arial" w:eastAsia="Arial" w:hAnsi="Arial"/>
          <w:sz w:val="16"/>
          <w:szCs w:val="16"/>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3" w:lineRule="exact"/>
        <w:rPr>
          <w:rFonts w:ascii="Arial" w:cs="Arial" w:eastAsia="Arial" w:hAnsi="Arial"/>
          <w:sz w:val="18"/>
          <w:szCs w:val="18"/>
          <w:color w:val="auto"/>
        </w:rPr>
      </w:pPr>
    </w:p>
    <w:p>
      <w:pPr>
        <w:ind w:right="40" w:firstLine="1943"/>
        <w:spacing w:after="0" w:line="300" w:lineRule="auto"/>
        <w:tabs>
          <w:tab w:leader="none" w:pos="2374"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6"/>
          <w:szCs w:val="16"/>
          <w:i w:val="1"/>
          <w:iCs w:val="1"/>
          <w:color w:val="auto"/>
        </w:rPr>
        <w:t>Bloomberg L.L.P.</w:t>
      </w:r>
      <w:r>
        <w:rPr>
          <w:rFonts w:ascii="Arial" w:cs="Arial" w:eastAsia="Arial" w:hAnsi="Arial"/>
          <w:sz w:val="16"/>
          <w:szCs w:val="16"/>
          <w:color w:val="auto"/>
        </w:rPr>
        <w:t xml:space="preserve"> or such other source as the Administrator deems reliable;</w:t>
      </w:r>
    </w:p>
    <w:p>
      <w:pPr>
        <w:spacing w:after="0" w:line="155" w:lineRule="exact"/>
        <w:rPr>
          <w:rFonts w:ascii="Arial" w:cs="Arial" w:eastAsia="Arial" w:hAnsi="Arial"/>
          <w:sz w:val="16"/>
          <w:szCs w:val="16"/>
          <w:color w:val="auto"/>
        </w:rPr>
      </w:pPr>
    </w:p>
    <w:p>
      <w:pPr>
        <w:ind w:right="200" w:firstLine="1943"/>
        <w:spacing w:after="0" w:line="258" w:lineRule="auto"/>
        <w:tabs>
          <w:tab w:leader="none" w:pos="237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8"/>
          <w:szCs w:val="18"/>
          <w:i w:val="1"/>
          <w:iCs w:val="1"/>
          <w:color w:val="auto"/>
        </w:rPr>
        <w:t>Bloomberg L.L.P.</w:t>
      </w:r>
      <w:r>
        <w:rPr>
          <w:rFonts w:ascii="Arial" w:cs="Arial" w:eastAsia="Arial" w:hAnsi="Arial"/>
          <w:sz w:val="18"/>
          <w:szCs w:val="18"/>
          <w:color w:val="auto"/>
        </w:rPr>
        <w:t xml:space="preserve"> or such other source as the Administrator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-2674620</wp:posOffset>
            </wp:positionV>
            <wp:extent cx="726821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363" w:right="239" w:bottom="0" w:gutter="0" w:footer="0" w:header="0"/>
        </w:sectPr>
      </w:pPr>
    </w:p>
    <w:bookmarkStart w:id="40" w:name="page41"/>
    <w:bookmarkEnd w:id="40"/>
    <w:p>
      <w:pPr>
        <w:spacing w:after="0" w:line="126" w:lineRule="exact"/>
        <w:rPr>
          <w:sz w:val="20"/>
          <w:szCs w:val="20"/>
          <w:color w:val="auto"/>
        </w:rPr>
      </w:pPr>
    </w:p>
    <w:p>
      <w:pPr>
        <w:ind w:left="2400" w:hanging="457"/>
        <w:spacing w:after="0"/>
        <w:tabs>
          <w:tab w:leader="none" w:pos="24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 faith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w:t>
      </w:r>
    </w:p>
    <w:p>
      <w:pPr>
        <w:spacing w:after="0" w:line="209" w:lineRule="exact"/>
        <w:rPr>
          <w:sz w:val="20"/>
          <w:szCs w:val="20"/>
          <w:color w:val="auto"/>
        </w:rPr>
      </w:pPr>
    </w:p>
    <w:p>
      <w:pPr>
        <w:ind w:right="200" w:firstLine="1441"/>
        <w:spacing w:after="0" w:line="275" w:lineRule="auto"/>
        <w:tabs>
          <w:tab w:leader="none" w:pos="21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2140" w:hanging="699"/>
        <w:spacing w:after="0"/>
        <w:tabs>
          <w:tab w:leader="none" w:pos="2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does not qualify as an Incentive Stock Option.</w:t>
      </w:r>
    </w:p>
    <w:p>
      <w:pPr>
        <w:spacing w:after="0" w:line="223" w:lineRule="exact"/>
        <w:rPr>
          <w:rFonts w:ascii="Arial" w:cs="Arial" w:eastAsia="Arial" w:hAnsi="Arial"/>
          <w:sz w:val="18"/>
          <w:szCs w:val="18"/>
          <w:color w:val="auto"/>
        </w:rPr>
      </w:pPr>
    </w:p>
    <w:p>
      <w:pPr>
        <w:ind w:right="180" w:firstLine="1441"/>
        <w:spacing w:after="0" w:line="275" w:lineRule="auto"/>
        <w:tabs>
          <w:tab w:leader="none" w:pos="21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70" w:lineRule="exact"/>
        <w:rPr>
          <w:rFonts w:ascii="Arial" w:cs="Arial" w:eastAsia="Arial" w:hAnsi="Arial"/>
          <w:sz w:val="18"/>
          <w:szCs w:val="18"/>
          <w:color w:val="auto"/>
        </w:rPr>
      </w:pPr>
    </w:p>
    <w:p>
      <w:pPr>
        <w:ind w:right="100" w:firstLine="1441"/>
        <w:spacing w:after="0" w:line="275" w:lineRule="auto"/>
        <w:tabs>
          <w:tab w:leader="none" w:pos="21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2140" w:hanging="699"/>
        <w:spacing w:after="0"/>
        <w:tabs>
          <w:tab w:leader="none" w:pos="2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3" w:lineRule="exact"/>
        <w:rPr>
          <w:rFonts w:ascii="Arial" w:cs="Arial" w:eastAsia="Arial" w:hAnsi="Arial"/>
          <w:sz w:val="18"/>
          <w:szCs w:val="18"/>
          <w:color w:val="auto"/>
        </w:rPr>
      </w:pPr>
    </w:p>
    <w:p>
      <w:pPr>
        <w:ind w:right="100" w:firstLine="1441"/>
        <w:spacing w:after="0" w:line="275" w:lineRule="auto"/>
        <w:tabs>
          <w:tab w:leader="none" w:pos="21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70" w:lineRule="exact"/>
        <w:rPr>
          <w:rFonts w:ascii="Arial" w:cs="Arial" w:eastAsia="Arial" w:hAnsi="Arial"/>
          <w:sz w:val="18"/>
          <w:szCs w:val="18"/>
          <w:color w:val="auto"/>
        </w:rPr>
      </w:pPr>
    </w:p>
    <w:p>
      <w:pPr>
        <w:ind w:left="2140" w:hanging="699"/>
        <w:spacing w:after="0"/>
        <w:tabs>
          <w:tab w:leader="none" w:pos="2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23" w:lineRule="exact"/>
        <w:rPr>
          <w:rFonts w:ascii="Arial" w:cs="Arial" w:eastAsia="Arial" w:hAnsi="Arial"/>
          <w:sz w:val="18"/>
          <w:szCs w:val="18"/>
          <w:color w:val="auto"/>
        </w:rPr>
      </w:pPr>
    </w:p>
    <w:p>
      <w:pPr>
        <w:ind w:left="2180" w:hanging="739"/>
        <w:spacing w:after="0"/>
        <w:tabs>
          <w:tab w:leader="none" w:pos="2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3" w:lineRule="exact"/>
        <w:rPr>
          <w:rFonts w:ascii="Arial" w:cs="Arial" w:eastAsia="Arial" w:hAnsi="Arial"/>
          <w:sz w:val="18"/>
          <w:szCs w:val="18"/>
          <w:color w:val="auto"/>
        </w:rPr>
      </w:pPr>
    </w:p>
    <w:p>
      <w:pPr>
        <w:ind w:left="2140" w:hanging="699"/>
        <w:spacing w:after="0"/>
        <w:tabs>
          <w:tab w:leader="none" w:pos="2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2001 Option Plan.</w:t>
      </w:r>
    </w:p>
    <w:p>
      <w:pPr>
        <w:spacing w:after="0" w:line="223" w:lineRule="exact"/>
        <w:rPr>
          <w:rFonts w:ascii="Arial" w:cs="Arial" w:eastAsia="Arial" w:hAnsi="Arial"/>
          <w:sz w:val="18"/>
          <w:szCs w:val="18"/>
          <w:color w:val="auto"/>
        </w:rPr>
      </w:pPr>
    </w:p>
    <w:p>
      <w:pPr>
        <w:ind w:right="480" w:firstLine="1441"/>
        <w:spacing w:after="0" w:line="275" w:lineRule="auto"/>
        <w:tabs>
          <w:tab w:leader="none" w:pos="21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71" w:lineRule="exact"/>
        <w:rPr>
          <w:sz w:val="20"/>
          <w:szCs w:val="20"/>
          <w:color w:val="auto"/>
        </w:rPr>
      </w:pPr>
    </w:p>
    <w:p>
      <w:pPr>
        <w:ind w:left="2120" w:hanging="679"/>
        <w:spacing w:after="0"/>
        <w:tabs>
          <w:tab w:leader="none" w:pos="21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180" w:firstLine="1441"/>
        <w:spacing w:after="0" w:line="262" w:lineRule="auto"/>
        <w:tabs>
          <w:tab w:leader="none" w:pos="213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182" w:lineRule="exact"/>
        <w:rPr>
          <w:rFonts w:ascii="Arial" w:cs="Arial" w:eastAsia="Arial" w:hAnsi="Arial"/>
          <w:sz w:val="18"/>
          <w:szCs w:val="18"/>
          <w:color w:val="auto"/>
        </w:rPr>
      </w:pPr>
    </w:p>
    <w:p>
      <w:pPr>
        <w:ind w:right="240" w:firstLine="724"/>
        <w:spacing w:after="0" w:line="306" w:lineRule="auto"/>
        <w:tabs>
          <w:tab w:leader="none" w:pos="1433"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12 of the Plan, the maximum aggregate number of Shares which may be optioned and sold under the Plan is 30,000,000 Shares. The Shares may be authorized, but unissued, or reacquired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-1333500</wp:posOffset>
            </wp:positionV>
            <wp:extent cx="726821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127" w:lineRule="exact"/>
        <w:rPr>
          <w:sz w:val="20"/>
          <w:szCs w:val="20"/>
          <w:color w:val="auto"/>
        </w:rPr>
      </w:pPr>
    </w:p>
    <w:p>
      <w:pPr>
        <w:ind w:right="120" w:firstLine="717"/>
        <w:spacing w:after="0" w:line="285" w:lineRule="auto"/>
        <w:rPr>
          <w:sz w:val="20"/>
          <w:szCs w:val="20"/>
          <w:color w:val="auto"/>
        </w:rPr>
      </w:pPr>
      <w:r>
        <w:rPr>
          <w:rFonts w:ascii="Arial" w:cs="Arial" w:eastAsia="Arial" w:hAnsi="Arial"/>
          <w:sz w:val="17"/>
          <w:szCs w:val="17"/>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Shares that have actually been issued under the Plan shall not be returned to the Plan and shall not become available for future distribution under the Plan.</w:t>
      </w:r>
    </w:p>
    <w:p>
      <w:pPr>
        <w:spacing w:after="0" w:line="164" w:lineRule="exact"/>
        <w:rPr>
          <w:sz w:val="20"/>
          <w:szCs w:val="20"/>
          <w:color w:val="auto"/>
        </w:rPr>
      </w:pPr>
    </w:p>
    <w:p>
      <w:pPr>
        <w:ind w:left="1440" w:hanging="716"/>
        <w:spacing w:after="0"/>
        <w:tabs>
          <w:tab w:leader="none" w:pos="14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223" w:lineRule="exact"/>
        <w:rPr>
          <w:rFonts w:ascii="Arial" w:cs="Arial" w:eastAsia="Arial" w:hAnsi="Arial"/>
          <w:sz w:val="18"/>
          <w:szCs w:val="18"/>
          <w:color w:val="auto"/>
        </w:rPr>
      </w:pPr>
    </w:p>
    <w:p>
      <w:pPr>
        <w:ind w:firstLine="1441"/>
        <w:spacing w:after="0" w:line="283" w:lineRule="auto"/>
        <w:tabs>
          <w:tab w:leader="none" w:pos="2125" w:val="left"/>
        </w:tabs>
        <w:numPr>
          <w:ilvl w:val="2"/>
          <w:numId w:val="117"/>
        </w:numPr>
        <w:rPr>
          <w:rFonts w:ascii="Arial" w:cs="Arial" w:eastAsia="Arial" w:hAnsi="Arial"/>
          <w:sz w:val="16"/>
          <w:szCs w:val="16"/>
          <w:color w:val="auto"/>
        </w:rPr>
      </w:pPr>
      <w:r>
        <w:rPr>
          <w:rFonts w:ascii="Arial" w:cs="Arial" w:eastAsia="Arial" w:hAnsi="Arial"/>
          <w:sz w:val="16"/>
          <w:szCs w:val="16"/>
          <w:u w:val="single" w:color="auto"/>
          <w:color w:val="auto"/>
        </w:rPr>
        <w:t>Administrator</w:t>
      </w:r>
      <w:r>
        <w:rPr>
          <w:rFonts w:ascii="Arial" w:cs="Arial" w:eastAsia="Arial" w:hAnsi="Arial"/>
          <w:sz w:val="16"/>
          <w:szCs w:val="16"/>
          <w:color w:val="auto"/>
        </w:rPr>
        <w:t>. The Plan shall be administered by a Committee appointed by the Board (which Committee shall consist of two or more directors) or, at the 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w:t>
      </w:r>
    </w:p>
    <w:p>
      <w:pPr>
        <w:spacing w:after="0" w:line="1" w:lineRule="exact"/>
        <w:rPr>
          <w:rFonts w:ascii="Arial" w:cs="Arial" w:eastAsia="Arial" w:hAnsi="Arial"/>
          <w:sz w:val="16"/>
          <w:szCs w:val="16"/>
          <w:color w:val="auto"/>
        </w:rPr>
      </w:pPr>
    </w:p>
    <w:p>
      <w:pPr>
        <w:ind w:right="180" w:firstLine="8"/>
        <w:spacing w:after="0" w:line="254" w:lineRule="auto"/>
        <w:tabs>
          <w:tab w:leader="none" w:pos="21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88" w:lineRule="exact"/>
        <w:rPr>
          <w:rFonts w:ascii="Arial" w:cs="Arial" w:eastAsia="Arial" w:hAnsi="Arial"/>
          <w:sz w:val="18"/>
          <w:szCs w:val="18"/>
          <w:color w:val="auto"/>
        </w:rPr>
      </w:pPr>
    </w:p>
    <w:p>
      <w:pPr>
        <w:ind w:right="60" w:firstLine="1441"/>
        <w:spacing w:after="0" w:line="275" w:lineRule="auto"/>
        <w:tabs>
          <w:tab w:leader="none" w:pos="2135" w:val="left"/>
        </w:tabs>
        <w:numPr>
          <w:ilvl w:val="2"/>
          <w:numId w:val="118"/>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380" w:hanging="437"/>
        <w:spacing w:after="0"/>
        <w:tabs>
          <w:tab w:leader="none" w:pos="2380" w:val="left"/>
        </w:tabs>
        <w:numPr>
          <w:ilvl w:val="3"/>
          <w:numId w:val="118"/>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23" w:lineRule="exact"/>
        <w:rPr>
          <w:rFonts w:ascii="Arial" w:cs="Arial" w:eastAsia="Arial" w:hAnsi="Arial"/>
          <w:sz w:val="18"/>
          <w:szCs w:val="18"/>
          <w:color w:val="auto"/>
        </w:rPr>
      </w:pPr>
    </w:p>
    <w:p>
      <w:pPr>
        <w:ind w:left="2380" w:hanging="437"/>
        <w:spacing w:after="0"/>
        <w:tabs>
          <w:tab w:leader="none" w:pos="2380" w:val="left"/>
        </w:tabs>
        <w:numPr>
          <w:ilvl w:val="3"/>
          <w:numId w:val="118"/>
        </w:numPr>
        <w:rPr>
          <w:rFonts w:ascii="Arial" w:cs="Arial" w:eastAsia="Arial" w:hAnsi="Arial"/>
          <w:sz w:val="18"/>
          <w:szCs w:val="18"/>
          <w:color w:val="auto"/>
        </w:rPr>
      </w:pPr>
      <w:r>
        <w:rPr>
          <w:rFonts w:ascii="Arial" w:cs="Arial" w:eastAsia="Arial" w:hAnsi="Arial"/>
          <w:sz w:val="18"/>
          <w:szCs w:val="18"/>
          <w:color w:val="auto"/>
        </w:rPr>
        <w:t>to select the Employees, Directors, and Consultants to whom Options may be granted hereunder;</w:t>
      </w:r>
    </w:p>
    <w:p>
      <w:pPr>
        <w:spacing w:after="0" w:line="223" w:lineRule="exact"/>
        <w:rPr>
          <w:rFonts w:ascii="Arial" w:cs="Arial" w:eastAsia="Arial" w:hAnsi="Arial"/>
          <w:sz w:val="18"/>
          <w:szCs w:val="18"/>
          <w:color w:val="auto"/>
        </w:rPr>
      </w:pPr>
    </w:p>
    <w:p>
      <w:pPr>
        <w:ind w:left="2400" w:hanging="457"/>
        <w:spacing w:after="0"/>
        <w:tabs>
          <w:tab w:leader="none" w:pos="2400" w:val="left"/>
        </w:tabs>
        <w:numPr>
          <w:ilvl w:val="3"/>
          <w:numId w:val="118"/>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w:t>
      </w:r>
    </w:p>
    <w:p>
      <w:pPr>
        <w:spacing w:after="0" w:line="223" w:lineRule="exact"/>
        <w:rPr>
          <w:rFonts w:ascii="Arial" w:cs="Arial" w:eastAsia="Arial" w:hAnsi="Arial"/>
          <w:sz w:val="18"/>
          <w:szCs w:val="18"/>
          <w:color w:val="auto"/>
        </w:rPr>
      </w:pPr>
    </w:p>
    <w:p>
      <w:pPr>
        <w:ind w:left="2380" w:hanging="437"/>
        <w:spacing w:after="0"/>
        <w:tabs>
          <w:tab w:leader="none" w:pos="2380" w:val="left"/>
        </w:tabs>
        <w:numPr>
          <w:ilvl w:val="3"/>
          <w:numId w:val="118"/>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3" w:lineRule="exact"/>
        <w:rPr>
          <w:rFonts w:ascii="Arial" w:cs="Arial" w:eastAsia="Arial" w:hAnsi="Arial"/>
          <w:sz w:val="18"/>
          <w:szCs w:val="18"/>
          <w:color w:val="auto"/>
        </w:rPr>
      </w:pPr>
    </w:p>
    <w:p>
      <w:pPr>
        <w:ind w:left="2380" w:hanging="437"/>
        <w:spacing w:after="0"/>
        <w:tabs>
          <w:tab w:leader="none" w:pos="2380" w:val="left"/>
        </w:tabs>
        <w:numPr>
          <w:ilvl w:val="3"/>
          <w:numId w:val="118"/>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3" w:lineRule="exact"/>
        <w:rPr>
          <w:rFonts w:ascii="Arial" w:cs="Arial" w:eastAsia="Arial" w:hAnsi="Arial"/>
          <w:sz w:val="18"/>
          <w:szCs w:val="18"/>
          <w:color w:val="auto"/>
        </w:rPr>
      </w:pPr>
    </w:p>
    <w:p>
      <w:pPr>
        <w:ind w:right="20" w:firstLine="1943"/>
        <w:spacing w:after="0" w:line="340" w:lineRule="auto"/>
        <w:tabs>
          <w:tab w:leader="none" w:pos="2374" w:val="left"/>
        </w:tabs>
        <w:numPr>
          <w:ilvl w:val="3"/>
          <w:numId w:val="118"/>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w:t>
      </w:r>
    </w:p>
    <w:p>
      <w:pPr>
        <w:sectPr>
          <w:pgSz w:w="11900" w:h="16965" w:orient="portrait"/>
          <w:cols w:equalWidth="0" w:num="1">
            <w:col w:w="11400"/>
          </w:cols>
          <w:pgMar w:left="240" w:top="125" w:right="259" w:bottom="0" w:gutter="0" w:footer="0" w:header="0"/>
        </w:sectPr>
      </w:pPr>
    </w:p>
    <w:bookmarkStart w:id="41" w:name="page42"/>
    <w:bookmarkEnd w:id="41"/>
    <w:p>
      <w:pPr>
        <w:ind w:right="300"/>
        <w:spacing w:after="0" w:line="275" w:lineRule="auto"/>
        <w:rPr>
          <w:sz w:val="20"/>
          <w:szCs w:val="20"/>
          <w:color w:val="auto"/>
        </w:rPr>
      </w:pPr>
      <w:r>
        <w:rPr>
          <w:rFonts w:ascii="Arial" w:cs="Arial" w:eastAsia="Arial" w:hAnsi="Arial"/>
          <w:sz w:val="18"/>
          <w:szCs w:val="18"/>
          <w:color w:val="auto"/>
        </w:rPr>
        <w:t>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1" w:lineRule="exact"/>
        <w:rPr>
          <w:sz w:val="20"/>
          <w:szCs w:val="20"/>
          <w:color w:val="auto"/>
        </w:rPr>
      </w:pPr>
    </w:p>
    <w:p>
      <w:pPr>
        <w:ind w:left="5660" w:right="2800" w:hanging="3717"/>
        <w:spacing w:after="0" w:line="774" w:lineRule="auto"/>
        <w:tabs>
          <w:tab w:leader="none" w:pos="2377"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 3</w:t>
      </w:r>
    </w:p>
    <w:p>
      <w:pPr>
        <w:spacing w:after="0" w:line="372" w:lineRule="exact"/>
        <w:rPr>
          <w:rFonts w:ascii="Arial" w:cs="Arial" w:eastAsia="Arial" w:hAnsi="Arial"/>
          <w:sz w:val="18"/>
          <w:szCs w:val="18"/>
          <w:color w:val="auto"/>
        </w:rPr>
      </w:pPr>
    </w:p>
    <w:p>
      <w:pPr>
        <w:ind w:right="340" w:firstLine="1943"/>
        <w:spacing w:after="0" w:line="275" w:lineRule="auto"/>
        <w:tabs>
          <w:tab w:leader="none" w:pos="2384"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right="600" w:firstLine="1943"/>
        <w:spacing w:after="0" w:line="275" w:lineRule="auto"/>
        <w:tabs>
          <w:tab w:leader="none" w:pos="2418"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170" w:lineRule="exact"/>
        <w:rPr>
          <w:rFonts w:ascii="Arial" w:cs="Arial" w:eastAsia="Arial" w:hAnsi="Arial"/>
          <w:sz w:val="18"/>
          <w:szCs w:val="18"/>
          <w:color w:val="auto"/>
        </w:rPr>
      </w:pPr>
    </w:p>
    <w:p>
      <w:pPr>
        <w:ind w:left="2420" w:hanging="477"/>
        <w:spacing w:after="0"/>
        <w:tabs>
          <w:tab w:leader="none" w:pos="24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w:t>
      </w:r>
    </w:p>
    <w:p>
      <w:pPr>
        <w:spacing w:after="0" w:line="223" w:lineRule="exact"/>
        <w:rPr>
          <w:rFonts w:ascii="Arial" w:cs="Arial" w:eastAsia="Arial" w:hAnsi="Arial"/>
          <w:sz w:val="18"/>
          <w:szCs w:val="18"/>
          <w:color w:val="auto"/>
        </w:rPr>
      </w:pPr>
    </w:p>
    <w:p>
      <w:pPr>
        <w:ind w:firstLine="1943"/>
        <w:spacing w:after="0" w:line="300" w:lineRule="auto"/>
        <w:tabs>
          <w:tab w:leader="none" w:pos="2418" w:val="left"/>
        </w:tabs>
        <w:numPr>
          <w:ilvl w:val="2"/>
          <w:numId w:val="119"/>
        </w:numPr>
        <w:rPr>
          <w:rFonts w:ascii="Arial" w:cs="Arial" w:eastAsia="Arial" w:hAnsi="Arial"/>
          <w:sz w:val="16"/>
          <w:szCs w:val="16"/>
          <w:color w:val="auto"/>
        </w:rPr>
      </w:pPr>
      <w:r>
        <w:rPr>
          <w:rFonts w:ascii="Arial" w:cs="Arial" w:eastAsia="Arial" w:hAnsi="Arial"/>
          <w:sz w:val="16"/>
          <w:szCs w:val="16"/>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55" w:lineRule="exact"/>
        <w:rPr>
          <w:rFonts w:ascii="Arial" w:cs="Arial" w:eastAsia="Arial" w:hAnsi="Arial"/>
          <w:sz w:val="16"/>
          <w:szCs w:val="16"/>
          <w:color w:val="auto"/>
        </w:rPr>
      </w:pPr>
    </w:p>
    <w:p>
      <w:pPr>
        <w:ind w:right="100" w:firstLine="1441"/>
        <w:spacing w:after="0" w:line="275" w:lineRule="auto"/>
        <w:tabs>
          <w:tab w:leader="none" w:pos="2125"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70" w:lineRule="exact"/>
        <w:rPr>
          <w:rFonts w:ascii="Arial" w:cs="Arial" w:eastAsia="Arial" w:hAnsi="Arial"/>
          <w:sz w:val="18"/>
          <w:szCs w:val="18"/>
          <w:color w:val="auto"/>
        </w:rPr>
      </w:pPr>
    </w:p>
    <w:p>
      <w:pPr>
        <w:ind w:right="560" w:firstLine="724"/>
        <w:spacing w:after="0" w:line="340" w:lineRule="auto"/>
        <w:tabs>
          <w:tab w:leader="none" w:pos="143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may be granted to Employees, Directors, and Consultants. Incentive Stock Options may be granted only to Employees. If otherwise eligible, an Employee or Consultant who has been granted an Option may be granted additional Options.</w:t>
      </w:r>
    </w:p>
    <w:p>
      <w:pPr>
        <w:spacing w:after="0" w:line="123" w:lineRule="exact"/>
        <w:rPr>
          <w:rFonts w:ascii="Arial" w:cs="Arial" w:eastAsia="Arial" w:hAnsi="Arial"/>
          <w:sz w:val="16"/>
          <w:szCs w:val="16"/>
          <w:color w:val="auto"/>
        </w:rPr>
      </w:pPr>
    </w:p>
    <w:p>
      <w:pPr>
        <w:ind w:left="1440" w:hanging="716"/>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Limitations.</w:t>
      </w:r>
    </w:p>
    <w:p>
      <w:pPr>
        <w:spacing w:after="0" w:line="223" w:lineRule="exact"/>
        <w:rPr>
          <w:rFonts w:ascii="Arial" w:cs="Arial" w:eastAsia="Arial" w:hAnsi="Arial"/>
          <w:sz w:val="18"/>
          <w:szCs w:val="18"/>
          <w:color w:val="auto"/>
        </w:rPr>
      </w:pPr>
    </w:p>
    <w:p>
      <w:pPr>
        <w:ind w:right="80" w:firstLine="1441"/>
        <w:spacing w:after="0" w:line="254" w:lineRule="auto"/>
        <w:tabs>
          <w:tab w:leader="none" w:pos="212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1" w:lineRule="exact"/>
        <w:rPr>
          <w:rFonts w:ascii="Arial" w:cs="Arial" w:eastAsia="Arial" w:hAnsi="Arial"/>
          <w:sz w:val="18"/>
          <w:szCs w:val="18"/>
          <w:color w:val="auto"/>
        </w:rPr>
      </w:pPr>
    </w:p>
    <w:p>
      <w:pPr>
        <w:ind w:right="160" w:firstLine="1441"/>
        <w:spacing w:after="0" w:line="262" w:lineRule="auto"/>
        <w:tabs>
          <w:tab w:leader="none" w:pos="213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82" w:lineRule="exact"/>
        <w:rPr>
          <w:rFonts w:ascii="Arial" w:cs="Arial" w:eastAsia="Arial" w:hAnsi="Arial"/>
          <w:sz w:val="18"/>
          <w:szCs w:val="18"/>
          <w:color w:val="auto"/>
        </w:rPr>
      </w:pPr>
    </w:p>
    <w:p>
      <w:pPr>
        <w:ind w:left="2140" w:hanging="699"/>
        <w:spacing w:after="0"/>
        <w:tabs>
          <w:tab w:leader="none" w:pos="21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to Employees:</w:t>
      </w:r>
    </w:p>
    <w:p>
      <w:pPr>
        <w:spacing w:after="0" w:line="223" w:lineRule="exact"/>
        <w:rPr>
          <w:rFonts w:ascii="Arial" w:cs="Arial" w:eastAsia="Arial" w:hAnsi="Arial"/>
          <w:sz w:val="18"/>
          <w:szCs w:val="18"/>
          <w:color w:val="auto"/>
        </w:rPr>
      </w:pPr>
    </w:p>
    <w:p>
      <w:pPr>
        <w:ind w:left="2380" w:hanging="437"/>
        <w:spacing w:after="0"/>
        <w:tabs>
          <w:tab w:leader="none" w:pos="2380" w:val="left"/>
        </w:tabs>
        <w:numPr>
          <w:ilvl w:val="2"/>
          <w:numId w:val="121"/>
        </w:numPr>
        <w:rPr>
          <w:rFonts w:ascii="Arial" w:cs="Arial" w:eastAsia="Arial" w:hAnsi="Arial"/>
          <w:sz w:val="17"/>
          <w:szCs w:val="17"/>
          <w:color w:val="auto"/>
        </w:rPr>
      </w:pPr>
      <w:r>
        <w:rPr>
          <w:rFonts w:ascii="Arial" w:cs="Arial" w:eastAsia="Arial" w:hAnsi="Arial"/>
          <w:sz w:val="17"/>
          <w:szCs w:val="17"/>
          <w:color w:val="auto"/>
        </w:rPr>
        <w:t>No Employee shall be granted, in any fiscal year of the Company, Options to purchase more than 2,000,000 Shares.</w:t>
      </w:r>
    </w:p>
    <w:p>
      <w:pPr>
        <w:spacing w:after="0" w:line="234" w:lineRule="exact"/>
        <w:rPr>
          <w:rFonts w:ascii="Arial" w:cs="Arial" w:eastAsia="Arial" w:hAnsi="Arial"/>
          <w:sz w:val="17"/>
          <w:szCs w:val="17"/>
          <w:color w:val="auto"/>
        </w:rPr>
      </w:pPr>
    </w:p>
    <w:p>
      <w:pPr>
        <w:ind w:left="2380" w:hanging="437"/>
        <w:spacing w:after="0"/>
        <w:tabs>
          <w:tab w:leader="none" w:pos="2380" w:val="left"/>
        </w:tabs>
        <w:numPr>
          <w:ilvl w:val="2"/>
          <w:numId w:val="121"/>
        </w:numPr>
        <w:rPr>
          <w:rFonts w:ascii="Arial" w:cs="Arial" w:eastAsia="Arial" w:hAnsi="Arial"/>
          <w:sz w:val="16"/>
          <w:szCs w:val="16"/>
          <w:color w:val="auto"/>
        </w:rPr>
      </w:pPr>
      <w:r>
        <w:rPr>
          <w:rFonts w:ascii="Arial" w:cs="Arial" w:eastAsia="Arial" w:hAnsi="Arial"/>
          <w:sz w:val="16"/>
          <w:szCs w:val="16"/>
          <w:color w:val="auto"/>
        </w:rPr>
        <w:t>The foregoing limitations shall be adjusted proportionately in connection with any change in the Company’s capitalization as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described in Section 12.</w:t>
      </w:r>
    </w:p>
    <w:p>
      <w:pPr>
        <w:spacing w:after="0" w:line="208" w:lineRule="exact"/>
        <w:rPr>
          <w:rFonts w:ascii="Arial" w:cs="Arial" w:eastAsia="Arial" w:hAnsi="Arial"/>
          <w:sz w:val="16"/>
          <w:szCs w:val="16"/>
          <w:color w:val="auto"/>
        </w:rPr>
      </w:pPr>
    </w:p>
    <w:p>
      <w:pPr>
        <w:ind w:right="40" w:firstLine="724"/>
        <w:spacing w:after="0" w:line="262" w:lineRule="auto"/>
        <w:tabs>
          <w:tab w:leader="none" w:pos="143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82" w:lineRule="exact"/>
        <w:rPr>
          <w:rFonts w:ascii="Arial" w:cs="Arial" w:eastAsia="Arial" w:hAnsi="Arial"/>
          <w:sz w:val="18"/>
          <w:szCs w:val="18"/>
          <w:color w:val="auto"/>
        </w:rPr>
      </w:pPr>
    </w:p>
    <w:p>
      <w:pPr>
        <w:ind w:right="120" w:firstLine="724"/>
        <w:spacing w:after="0" w:line="258" w:lineRule="auto"/>
        <w:tabs>
          <w:tab w:leader="none" w:pos="143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 but shall not exceed ten (10) years; provided, however, that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-6908165</wp:posOffset>
            </wp:positionV>
            <wp:extent cx="726821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40" w:hanging="716"/>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Option Exercise Price and Consideration.</w:t>
      </w:r>
    </w:p>
    <w:p>
      <w:pPr>
        <w:spacing w:after="0" w:line="223" w:lineRule="exact"/>
        <w:rPr>
          <w:rFonts w:ascii="Arial" w:cs="Arial" w:eastAsia="Arial" w:hAnsi="Arial"/>
          <w:sz w:val="18"/>
          <w:szCs w:val="18"/>
          <w:color w:val="auto"/>
        </w:rPr>
      </w:pPr>
    </w:p>
    <w:p>
      <w:pPr>
        <w:ind w:firstLine="1441"/>
        <w:spacing w:after="0" w:line="255" w:lineRule="auto"/>
        <w:tabs>
          <w:tab w:leader="none" w:pos="2125"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 In the case of an Incentive Stock 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90" w:lineRule="exact"/>
        <w:rPr>
          <w:rFonts w:ascii="Arial" w:cs="Arial" w:eastAsia="Arial" w:hAnsi="Arial"/>
          <w:sz w:val="18"/>
          <w:szCs w:val="18"/>
          <w:color w:val="auto"/>
        </w:rPr>
      </w:pPr>
    </w:p>
    <w:p>
      <w:pPr>
        <w:ind w:right="140" w:firstLine="1441"/>
        <w:spacing w:after="0" w:line="262" w:lineRule="auto"/>
        <w:tabs>
          <w:tab w:leader="none" w:pos="2135"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ectPr>
          <w:pgSz w:w="11900" w:h="16838" w:orient="portrait"/>
          <w:cols w:equalWidth="0" w:num="1">
            <w:col w:w="11420"/>
          </w:cols>
          <w:pgMar w:left="240" w:top="125" w:right="239" w:bottom="0" w:gutter="0" w:footer="0" w:header="0"/>
        </w:sectPr>
      </w:pPr>
    </w:p>
    <w:bookmarkStart w:id="42" w:name="page43"/>
    <w:bookmarkEnd w:id="42"/>
    <w:p>
      <w:pPr>
        <w:ind w:right="40" w:firstLine="1441"/>
        <w:spacing w:after="0" w:line="262" w:lineRule="auto"/>
        <w:tabs>
          <w:tab w:leader="none" w:pos="2125"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The Administrator shall determine the acceptable form of consideration at the time of grant. Such consideration may consist entirely of:</w:t>
      </w:r>
    </w:p>
    <w:p>
      <w:pPr>
        <w:spacing w:after="0" w:line="182" w:lineRule="exact"/>
        <w:rPr>
          <w:rFonts w:ascii="Arial" w:cs="Arial" w:eastAsia="Arial" w:hAnsi="Arial"/>
          <w:sz w:val="18"/>
          <w:szCs w:val="18"/>
          <w:color w:val="auto"/>
        </w:rPr>
      </w:pPr>
    </w:p>
    <w:p>
      <w:pPr>
        <w:ind w:left="2380" w:hanging="437"/>
        <w:spacing w:after="0"/>
        <w:tabs>
          <w:tab w:leader="none" w:pos="238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cash;</w:t>
      </w:r>
    </w:p>
    <w:p>
      <w:pPr>
        <w:spacing w:after="0" w:line="223" w:lineRule="exact"/>
        <w:rPr>
          <w:rFonts w:ascii="Arial" w:cs="Arial" w:eastAsia="Arial" w:hAnsi="Arial"/>
          <w:sz w:val="18"/>
          <w:szCs w:val="18"/>
          <w:color w:val="auto"/>
        </w:rPr>
      </w:pPr>
    </w:p>
    <w:p>
      <w:pPr>
        <w:ind w:left="2380" w:hanging="437"/>
        <w:spacing w:after="0"/>
        <w:tabs>
          <w:tab w:leader="none" w:pos="238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check;</w:t>
      </w:r>
    </w:p>
    <w:p>
      <w:pPr>
        <w:spacing w:after="0" w:line="223" w:lineRule="exact"/>
        <w:rPr>
          <w:rFonts w:ascii="Arial" w:cs="Arial" w:eastAsia="Arial" w:hAnsi="Arial"/>
          <w:sz w:val="18"/>
          <w:szCs w:val="18"/>
          <w:color w:val="auto"/>
        </w:rPr>
      </w:pPr>
    </w:p>
    <w:p>
      <w:pPr>
        <w:ind w:left="2400" w:hanging="457"/>
        <w:spacing w:after="0"/>
        <w:tabs>
          <w:tab w:leader="none" w:pos="240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3" w:lineRule="exact"/>
        <w:rPr>
          <w:rFonts w:ascii="Arial" w:cs="Arial" w:eastAsia="Arial" w:hAnsi="Arial"/>
          <w:sz w:val="18"/>
          <w:szCs w:val="18"/>
          <w:color w:val="auto"/>
        </w:rPr>
      </w:pPr>
    </w:p>
    <w:p>
      <w:pPr>
        <w:ind w:right="440" w:firstLine="1943"/>
        <w:spacing w:after="0" w:line="306" w:lineRule="auto"/>
        <w:tabs>
          <w:tab w:leader="none" w:pos="2374" w:val="left"/>
        </w:tabs>
        <w:numPr>
          <w:ilvl w:val="2"/>
          <w:numId w:val="123"/>
        </w:numPr>
        <w:rPr>
          <w:rFonts w:ascii="Arial" w:cs="Arial" w:eastAsia="Arial" w:hAnsi="Arial"/>
          <w:sz w:val="17"/>
          <w:szCs w:val="17"/>
          <w:color w:val="auto"/>
        </w:rPr>
      </w:pPr>
      <w:r>
        <w:rPr>
          <w:rFonts w:ascii="Arial" w:cs="Arial" w:eastAsia="Arial" w:hAnsi="Arial"/>
          <w:sz w:val="17"/>
          <w:szCs w:val="17"/>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46" w:lineRule="exact"/>
        <w:rPr>
          <w:rFonts w:ascii="Arial" w:cs="Arial" w:eastAsia="Arial" w:hAnsi="Arial"/>
          <w:sz w:val="17"/>
          <w:szCs w:val="17"/>
          <w:color w:val="auto"/>
        </w:rPr>
      </w:pPr>
    </w:p>
    <w:p>
      <w:pPr>
        <w:ind w:right="80" w:firstLine="1943"/>
        <w:spacing w:after="0" w:line="295" w:lineRule="auto"/>
        <w:tabs>
          <w:tab w:leader="none" w:pos="2369" w:val="left"/>
        </w:tabs>
        <w:numPr>
          <w:ilvl w:val="2"/>
          <w:numId w:val="123"/>
        </w:numPr>
        <w:rPr>
          <w:rFonts w:ascii="Arial" w:cs="Arial" w:eastAsia="Arial" w:hAnsi="Arial"/>
          <w:sz w:val="16"/>
          <w:szCs w:val="16"/>
          <w:color w:val="auto"/>
        </w:rPr>
      </w:pPr>
      <w:r>
        <w:rPr>
          <w:rFonts w:ascii="Arial" w:cs="Arial" w:eastAsia="Arial" w:hAnsi="Arial"/>
          <w:sz w:val="16"/>
          <w:szCs w:val="16"/>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59" w:lineRule="exact"/>
        <w:rPr>
          <w:rFonts w:ascii="Arial" w:cs="Arial" w:eastAsia="Arial" w:hAnsi="Arial"/>
          <w:sz w:val="16"/>
          <w:szCs w:val="16"/>
          <w:color w:val="auto"/>
        </w:rPr>
      </w:pPr>
    </w:p>
    <w:p>
      <w:pPr>
        <w:ind w:right="400" w:firstLine="1943"/>
        <w:spacing w:after="0" w:line="275" w:lineRule="auto"/>
        <w:tabs>
          <w:tab w:leader="none" w:pos="237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170" w:lineRule="exact"/>
        <w:rPr>
          <w:rFonts w:ascii="Arial" w:cs="Arial" w:eastAsia="Arial" w:hAnsi="Arial"/>
          <w:sz w:val="18"/>
          <w:szCs w:val="18"/>
          <w:color w:val="auto"/>
        </w:rPr>
      </w:pPr>
    </w:p>
    <w:p>
      <w:pPr>
        <w:ind w:left="2380" w:hanging="437"/>
        <w:spacing w:after="0"/>
        <w:tabs>
          <w:tab w:leader="none" w:pos="238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3" w:lineRule="exact"/>
        <w:rPr>
          <w:rFonts w:ascii="Arial" w:cs="Arial" w:eastAsia="Arial" w:hAnsi="Arial"/>
          <w:sz w:val="18"/>
          <w:szCs w:val="18"/>
          <w:color w:val="auto"/>
        </w:rPr>
      </w:pPr>
    </w:p>
    <w:p>
      <w:pPr>
        <w:ind w:left="2400" w:hanging="457"/>
        <w:spacing w:after="0"/>
        <w:tabs>
          <w:tab w:leader="none" w:pos="240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such other consideration and method of payment for the issuance of Shares to the extent approved by the Administrator and</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by Applicable Laws.</w:t>
      </w:r>
    </w:p>
    <w:p>
      <w:pPr>
        <w:spacing w:after="0" w:line="208" w:lineRule="exact"/>
        <w:rPr>
          <w:rFonts w:ascii="Arial" w:cs="Arial" w:eastAsia="Arial" w:hAnsi="Arial"/>
          <w:sz w:val="16"/>
          <w:szCs w:val="16"/>
          <w:color w:val="auto"/>
        </w:rPr>
      </w:pPr>
    </w:p>
    <w:p>
      <w:pPr>
        <w:ind w:left="1440" w:hanging="716"/>
        <w:spacing w:after="0"/>
        <w:tabs>
          <w:tab w:leader="none" w:pos="1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Exercise of Option.</w:t>
      </w:r>
    </w:p>
    <w:p>
      <w:pPr>
        <w:spacing w:after="0" w:line="223" w:lineRule="exact"/>
        <w:rPr>
          <w:rFonts w:ascii="Arial" w:cs="Arial" w:eastAsia="Arial" w:hAnsi="Arial"/>
          <w:sz w:val="18"/>
          <w:szCs w:val="18"/>
          <w:color w:val="auto"/>
        </w:rPr>
      </w:pPr>
    </w:p>
    <w:p>
      <w:pPr>
        <w:ind w:right="180" w:firstLine="1441"/>
        <w:spacing w:after="0" w:line="275" w:lineRule="auto"/>
        <w:tabs>
          <w:tab w:leader="none" w:pos="2125"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3" w:lineRule="exact"/>
        <w:rPr>
          <w:sz w:val="20"/>
          <w:szCs w:val="20"/>
          <w:color w:val="auto"/>
        </w:rPr>
      </w:pPr>
    </w:p>
    <w:p>
      <w:pPr>
        <w:ind w:right="80" w:firstLine="1433"/>
        <w:spacing w:after="0" w:line="255" w:lineRule="auto"/>
        <w:rPr>
          <w:sz w:val="20"/>
          <w:szCs w:val="20"/>
          <w:color w:val="auto"/>
        </w:rPr>
      </w:pPr>
      <w:r>
        <w:rPr>
          <w:rFonts w:ascii="Arial" w:cs="Arial" w:eastAsia="Arial" w:hAnsi="Arial"/>
          <w:sz w:val="18"/>
          <w:szCs w:val="18"/>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20"/>
        <w:spacing w:after="0" w:line="285" w:lineRule="auto"/>
        <w:rPr>
          <w:sz w:val="20"/>
          <w:szCs w:val="20"/>
          <w:color w:val="auto"/>
        </w:rPr>
      </w:pPr>
      <w:r>
        <w:rPr>
          <w:rFonts w:ascii="Arial" w:cs="Arial" w:eastAsia="Arial" w:hAnsi="Arial"/>
          <w:sz w:val="17"/>
          <w:szCs w:val="17"/>
          <w:color w:val="auto"/>
        </w:rPr>
        <w:t>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64" w:lineRule="exact"/>
        <w:rPr>
          <w:sz w:val="20"/>
          <w:szCs w:val="20"/>
          <w:color w:val="auto"/>
        </w:rPr>
      </w:pPr>
    </w:p>
    <w:p>
      <w:pPr>
        <w:ind w:right="280" w:firstLine="1433"/>
        <w:spacing w:after="0" w:line="27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71" w:lineRule="exact"/>
        <w:rPr>
          <w:sz w:val="20"/>
          <w:szCs w:val="20"/>
          <w:color w:val="auto"/>
        </w:rPr>
      </w:pPr>
    </w:p>
    <w:p>
      <w:pPr>
        <w:ind w:right="60" w:firstLine="1441"/>
        <w:spacing w:after="0" w:line="289" w:lineRule="auto"/>
        <w:tabs>
          <w:tab w:leader="none" w:pos="2135"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3" w:lineRule="exact"/>
        <w:rPr>
          <w:rFonts w:ascii="Arial" w:cs="Arial" w:eastAsia="Arial" w:hAnsi="Arial"/>
          <w:sz w:val="16"/>
          <w:szCs w:val="16"/>
          <w:color w:val="auto"/>
        </w:rPr>
      </w:pPr>
    </w:p>
    <w:p>
      <w:pPr>
        <w:ind w:firstLine="1441"/>
        <w:spacing w:after="0" w:line="272" w:lineRule="auto"/>
        <w:tabs>
          <w:tab w:leader="none" w:pos="2125"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Disability of Optionee</w:t>
      </w:r>
      <w:r>
        <w:rPr>
          <w:rFonts w:ascii="Arial" w:cs="Arial" w:eastAsia="Arial" w:hAnsi="Arial"/>
          <w:sz w:val="17"/>
          <w:szCs w:val="17"/>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6" w:lineRule="exact"/>
        <w:rPr>
          <w:rFonts w:ascii="Arial" w:cs="Arial" w:eastAsia="Arial" w:hAnsi="Arial"/>
          <w:sz w:val="17"/>
          <w:szCs w:val="17"/>
          <w:color w:val="auto"/>
        </w:rPr>
      </w:pPr>
    </w:p>
    <w:p>
      <w:pPr>
        <w:jc w:val="both"/>
        <w:ind w:right="20" w:firstLine="1441"/>
        <w:spacing w:after="0" w:line="253" w:lineRule="auto"/>
        <w:tabs>
          <w:tab w:leader="none" w:pos="213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Death of Optionee</w:t>
      </w:r>
      <w:r>
        <w:rPr>
          <w:rFonts w:ascii="Arial" w:cs="Arial" w:eastAsia="Arial" w:hAnsi="Arial"/>
          <w:sz w:val="18"/>
          <w:szCs w:val="18"/>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ectPr>
          <w:pgSz w:w="11900" w:h="16838" w:orient="portrait"/>
          <w:cols w:equalWidth="0" w:num="1">
            <w:col w:w="11400"/>
          </w:cols>
          <w:pgMar w:left="240" w:top="125" w:right="259" w:bottom="0" w:gutter="0" w:footer="0" w:header="0"/>
        </w:sectPr>
      </w:pPr>
    </w:p>
    <w:bookmarkStart w:id="43" w:name="page44"/>
    <w:bookmarkEnd w:id="43"/>
    <w:p>
      <w:pPr>
        <w:spacing w:after="0" w:line="4" w:lineRule="exact"/>
        <w:rPr>
          <w:sz w:val="20"/>
          <w:szCs w:val="20"/>
          <w:color w:val="auto"/>
        </w:rPr>
      </w:pPr>
    </w:p>
    <w:p>
      <w:pPr>
        <w:ind w:firstLine="1441"/>
        <w:spacing w:after="0" w:line="258" w:lineRule="auto"/>
        <w:tabs>
          <w:tab w:leader="none" w:pos="2125"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5" w:lineRule="exact"/>
        <w:rPr>
          <w:rFonts w:ascii="Arial" w:cs="Arial" w:eastAsia="Arial" w:hAnsi="Arial"/>
          <w:sz w:val="18"/>
          <w:szCs w:val="18"/>
          <w:color w:val="auto"/>
        </w:rPr>
      </w:pPr>
    </w:p>
    <w:p>
      <w:pPr>
        <w:ind w:right="180" w:firstLine="724"/>
        <w:spacing w:after="0" w:line="258" w:lineRule="auto"/>
        <w:tabs>
          <w:tab w:leader="none" w:pos="142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determined otherwise by the Administrator, an Option may not be sold, pledged, assigned, hypothecated, 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85" w:lineRule="exact"/>
        <w:rPr>
          <w:rFonts w:ascii="Arial" w:cs="Arial" w:eastAsia="Arial" w:hAnsi="Arial"/>
          <w:sz w:val="18"/>
          <w:szCs w:val="18"/>
          <w:color w:val="auto"/>
        </w:rPr>
      </w:pPr>
    </w:p>
    <w:p>
      <w:pPr>
        <w:ind w:left="1440" w:hanging="716"/>
        <w:spacing w:after="0"/>
        <w:tabs>
          <w:tab w:leader="none" w:pos="1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Adjustments Upon Changes in Capitalization, Dissolution, Corporate Transaction, or Change in Control.</w:t>
      </w:r>
    </w:p>
    <w:p>
      <w:pPr>
        <w:spacing w:after="0" w:line="223" w:lineRule="exact"/>
        <w:rPr>
          <w:rFonts w:ascii="Arial" w:cs="Arial" w:eastAsia="Arial" w:hAnsi="Arial"/>
          <w:sz w:val="18"/>
          <w:szCs w:val="18"/>
          <w:color w:val="auto"/>
        </w:rPr>
      </w:pPr>
    </w:p>
    <w:p>
      <w:pPr>
        <w:ind w:firstLine="1498"/>
        <w:spacing w:after="0" w:line="266" w:lineRule="auto"/>
        <w:tabs>
          <w:tab w:leader="none" w:pos="2207" w:val="left"/>
        </w:tabs>
        <w:numPr>
          <w:ilvl w:val="2"/>
          <w:numId w:val="127"/>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xml:space="preserve">. </w:t>
      </w:r>
      <w:r>
        <w:rPr>
          <w:rFonts w:ascii="Arial" w:cs="Arial" w:eastAsia="Arial" w:hAnsi="Arial"/>
          <w:sz w:val="17"/>
          <w:szCs w:val="17"/>
          <w:color w:val="auto"/>
        </w:rPr>
        <w:t>In the event of a corporate transaction involving the Company (including, without limitation, any stock</w:t>
      </w:r>
      <w:r>
        <w:rPr>
          <w:rFonts w:ascii="Arial" w:cs="Arial" w:eastAsia="Arial" w:hAnsi="Arial"/>
          <w:sz w:val="18"/>
          <w:szCs w:val="18"/>
          <w:color w:val="auto"/>
        </w:rPr>
        <w:t xml:space="preserve"> </w:t>
      </w:r>
      <w:r>
        <w:rPr>
          <w:rFonts w:ascii="Arial" w:cs="Arial" w:eastAsia="Arial" w:hAnsi="Arial"/>
          <w:sz w:val="17"/>
          <w:szCs w:val="17"/>
          <w:color w:val="auto"/>
        </w:rPr>
        <w:t>dividend, stock split, extraordinary cash 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90" w:lineRule="exact"/>
        <w:rPr>
          <w:sz w:val="20"/>
          <w:szCs w:val="20"/>
          <w:color w:val="auto"/>
        </w:rPr>
      </w:pPr>
    </w:p>
    <w:p>
      <w:pPr>
        <w:ind w:right="40" w:firstLine="1441"/>
        <w:spacing w:after="0" w:line="274" w:lineRule="auto"/>
        <w:tabs>
          <w:tab w:leader="none" w:pos="2135"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To the extent not previously exercised, Options will terminate immediately prior to the consummation of any 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74" w:lineRule="exact"/>
        <w:rPr>
          <w:rFonts w:ascii="Arial" w:cs="Arial" w:eastAsia="Arial" w:hAnsi="Arial"/>
          <w:sz w:val="17"/>
          <w:szCs w:val="17"/>
          <w:color w:val="auto"/>
        </w:rPr>
      </w:pPr>
    </w:p>
    <w:p>
      <w:pPr>
        <w:ind w:firstLine="1441"/>
        <w:spacing w:after="0" w:line="268" w:lineRule="auto"/>
        <w:tabs>
          <w:tab w:leader="none" w:pos="2125"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Corporate Transaction</w:t>
      </w:r>
      <w:r>
        <w:rPr>
          <w:rFonts w:ascii="Arial" w:cs="Arial" w:eastAsia="Arial" w:hAnsi="Arial"/>
          <w:sz w:val="17"/>
          <w:szCs w:val="17"/>
          <w:color w:val="auto"/>
        </w:rPr>
        <w:t>. In the event of a reorganization, merger, consolidation, statutory share exchange or similar form of corporate transaction involving 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 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79" w:lineRule="exact"/>
        <w:rPr>
          <w:rFonts w:ascii="Arial" w:cs="Arial" w:eastAsia="Arial" w:hAnsi="Arial"/>
          <w:sz w:val="17"/>
          <w:szCs w:val="17"/>
          <w:color w:val="auto"/>
        </w:rPr>
      </w:pPr>
    </w:p>
    <w:p>
      <w:pPr>
        <w:ind w:right="60" w:firstLine="1441"/>
        <w:spacing w:after="0" w:line="262" w:lineRule="auto"/>
        <w:tabs>
          <w:tab w:leader="none" w:pos="2135"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the unexercised portion of each Option then outstanding shall become wholly vested and immediately exercisable. To the extent that this provision causes Incentive Stock Options to exceed the dollar limitation set forth in Section 6(a), the excess Options shall be deemed to be Nonstatutory Stock Options.</w:t>
      </w:r>
    </w:p>
    <w:p>
      <w:pPr>
        <w:spacing w:after="0" w:line="182" w:lineRule="exact"/>
        <w:rPr>
          <w:rFonts w:ascii="Arial" w:cs="Arial" w:eastAsia="Arial" w:hAnsi="Arial"/>
          <w:sz w:val="18"/>
          <w:szCs w:val="18"/>
          <w:color w:val="auto"/>
        </w:rPr>
      </w:pPr>
    </w:p>
    <w:p>
      <w:pPr>
        <w:ind w:right="180" w:firstLine="724"/>
        <w:spacing w:after="0" w:line="262" w:lineRule="auto"/>
        <w:tabs>
          <w:tab w:leader="none" w:pos="143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2" w:lineRule="exact"/>
        <w:rPr>
          <w:rFonts w:ascii="Arial" w:cs="Arial" w:eastAsia="Arial" w:hAnsi="Arial"/>
          <w:sz w:val="18"/>
          <w:szCs w:val="18"/>
          <w:color w:val="auto"/>
        </w:rPr>
      </w:pPr>
    </w:p>
    <w:p>
      <w:pPr>
        <w:ind w:left="1440" w:hanging="716"/>
        <w:spacing w:after="0"/>
        <w:tabs>
          <w:tab w:leader="none" w:pos="1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Amendment and Termination of the Plan.</w:t>
      </w:r>
    </w:p>
    <w:p>
      <w:pPr>
        <w:spacing w:after="0" w:line="223" w:lineRule="exact"/>
        <w:rPr>
          <w:rFonts w:ascii="Arial" w:cs="Arial" w:eastAsia="Arial" w:hAnsi="Arial"/>
          <w:sz w:val="18"/>
          <w:szCs w:val="18"/>
          <w:color w:val="auto"/>
        </w:rPr>
      </w:pPr>
    </w:p>
    <w:p>
      <w:pPr>
        <w:ind w:right="60" w:firstLine="1498"/>
        <w:spacing w:after="0" w:line="281" w:lineRule="auto"/>
        <w:tabs>
          <w:tab w:leader="none" w:pos="2207" w:val="left"/>
        </w:tabs>
        <w:numPr>
          <w:ilvl w:val="2"/>
          <w:numId w:val="129"/>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xml:space="preserve">. Except as provided herein, the Board may at any time amend, alter, suspend, or terminate the Plan </w:t>
      </w:r>
      <w:r>
        <w:rPr>
          <w:rFonts w:ascii="Arial" w:cs="Arial" w:eastAsia="Arial" w:hAnsi="Arial"/>
          <w:sz w:val="16"/>
          <w:szCs w:val="16"/>
          <w:color w:val="auto"/>
        </w:rPr>
        <w:t>without shareholder approval; provided, however, that the Board may condition any amendment or modification on the approval of shareholders of the</w:t>
      </w:r>
      <w:r>
        <w:rPr>
          <w:rFonts w:ascii="Arial" w:cs="Arial" w:eastAsia="Arial" w:hAnsi="Arial"/>
          <w:sz w:val="17"/>
          <w:szCs w:val="17"/>
          <w:color w:val="auto"/>
        </w:rPr>
        <w:t xml:space="preserve"> </w:t>
      </w:r>
      <w:r>
        <w:rPr>
          <w:rFonts w:ascii="Arial" w:cs="Arial" w:eastAsia="Arial" w:hAnsi="Arial"/>
          <w:sz w:val="16"/>
          <w:szCs w:val="16"/>
          <w:color w:val="auto"/>
        </w:rPr>
        <w:t>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173" w:lineRule="exact"/>
        <w:rPr>
          <w:rFonts w:ascii="Arial" w:cs="Arial" w:eastAsia="Arial" w:hAnsi="Arial"/>
          <w:sz w:val="17"/>
          <w:szCs w:val="17"/>
          <w:color w:val="auto"/>
        </w:rPr>
      </w:pPr>
    </w:p>
    <w:p>
      <w:pPr>
        <w:ind w:left="2400" w:hanging="457"/>
        <w:spacing w:after="0"/>
        <w:tabs>
          <w:tab w:leader="none" w:pos="2400" w:val="left"/>
        </w:tabs>
        <w:numPr>
          <w:ilvl w:val="3"/>
          <w:numId w:val="129"/>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3" w:lineRule="exact"/>
        <w:rPr>
          <w:rFonts w:ascii="Arial" w:cs="Arial" w:eastAsia="Arial" w:hAnsi="Arial"/>
          <w:sz w:val="18"/>
          <w:szCs w:val="18"/>
          <w:color w:val="auto"/>
        </w:rPr>
      </w:pPr>
    </w:p>
    <w:p>
      <w:pPr>
        <w:ind w:left="2400" w:hanging="457"/>
        <w:spacing w:after="0"/>
        <w:tabs>
          <w:tab w:leader="none" w:pos="2400" w:val="left"/>
        </w:tabs>
        <w:numPr>
          <w:ilvl w:val="3"/>
          <w:numId w:val="129"/>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43"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400" w:hanging="457"/>
        <w:spacing w:after="0"/>
        <w:tabs>
          <w:tab w:leader="none" w:pos="24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materially increase the benefits which may accrue to participants under the Plan.</w:t>
      </w:r>
    </w:p>
    <w:p>
      <w:pPr>
        <w:sectPr>
          <w:pgSz w:w="11900" w:h="16843" w:orient="portrait"/>
          <w:cols w:equalWidth="0" w:num="1">
            <w:col w:w="11400"/>
          </w:cols>
          <w:pgMar w:left="240" w:top="125" w:right="259" w:bottom="0" w:gutter="0" w:footer="0" w:header="0"/>
          <w:type w:val="continuous"/>
        </w:sectPr>
      </w:pPr>
    </w:p>
    <w:bookmarkStart w:id="44" w:name="page45"/>
    <w:bookmarkEnd w:id="44"/>
    <w:p>
      <w:pPr>
        <w:ind w:left="-120" w:right="80" w:firstLine="1441"/>
        <w:spacing w:after="0" w:line="262" w:lineRule="auto"/>
        <w:tabs>
          <w:tab w:leader="none" w:pos="2015"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2" w:lineRule="exact"/>
        <w:rPr>
          <w:rFonts w:ascii="Arial" w:cs="Arial" w:eastAsia="Arial" w:hAnsi="Arial"/>
          <w:sz w:val="18"/>
          <w:szCs w:val="18"/>
          <w:color w:val="auto"/>
        </w:rPr>
      </w:pPr>
    </w:p>
    <w:p>
      <w:pPr>
        <w:ind w:left="1320" w:hanging="716"/>
        <w:spacing w:after="0"/>
        <w:tabs>
          <w:tab w:leader="none" w:pos="1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Conditions Upon Issuance of Shares.</w:t>
      </w:r>
    </w:p>
    <w:p>
      <w:pPr>
        <w:spacing w:after="0" w:line="223" w:lineRule="exact"/>
        <w:rPr>
          <w:rFonts w:ascii="Arial" w:cs="Arial" w:eastAsia="Arial" w:hAnsi="Arial"/>
          <w:sz w:val="18"/>
          <w:szCs w:val="18"/>
          <w:color w:val="auto"/>
        </w:rPr>
      </w:pPr>
    </w:p>
    <w:p>
      <w:pPr>
        <w:jc w:val="both"/>
        <w:ind w:left="-120" w:right="40" w:firstLine="1441"/>
        <w:spacing w:after="0" w:line="300" w:lineRule="auto"/>
        <w:tabs>
          <w:tab w:leader="none" w:pos="2005"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5" w:lineRule="exact"/>
        <w:rPr>
          <w:rFonts w:ascii="Arial" w:cs="Arial" w:eastAsia="Arial" w:hAnsi="Arial"/>
          <w:sz w:val="16"/>
          <w:szCs w:val="16"/>
          <w:color w:val="auto"/>
        </w:rPr>
      </w:pPr>
    </w:p>
    <w:p>
      <w:pPr>
        <w:jc w:val="both"/>
        <w:ind w:left="-120" w:right="80" w:firstLine="1441"/>
        <w:spacing w:after="0" w:line="285" w:lineRule="auto"/>
        <w:tabs>
          <w:tab w:leader="none" w:pos="2015"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3" w:lineRule="exact"/>
        <w:rPr>
          <w:rFonts w:ascii="Arial" w:cs="Arial" w:eastAsia="Arial" w:hAnsi="Arial"/>
          <w:sz w:val="17"/>
          <w:szCs w:val="17"/>
          <w:color w:val="auto"/>
        </w:rPr>
      </w:pPr>
    </w:p>
    <w:p>
      <w:pPr>
        <w:ind w:left="1320" w:hanging="716"/>
        <w:spacing w:after="0"/>
        <w:tabs>
          <w:tab w:leader="none" w:pos="1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Liability of Company.</w:t>
      </w:r>
    </w:p>
    <w:p>
      <w:pPr>
        <w:spacing w:after="0" w:line="223" w:lineRule="exact"/>
        <w:rPr>
          <w:rFonts w:ascii="Arial" w:cs="Arial" w:eastAsia="Arial" w:hAnsi="Arial"/>
          <w:sz w:val="18"/>
          <w:szCs w:val="18"/>
          <w:color w:val="auto"/>
        </w:rPr>
      </w:pPr>
    </w:p>
    <w:p>
      <w:pPr>
        <w:jc w:val="both"/>
        <w:ind w:left="-120" w:right="180" w:firstLine="1441"/>
        <w:spacing w:after="0" w:line="310" w:lineRule="auto"/>
        <w:tabs>
          <w:tab w:leader="none" w:pos="2005"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Inability to Obtain Authority</w:t>
      </w:r>
      <w:r>
        <w:rPr>
          <w:rFonts w:ascii="Arial" w:cs="Arial" w:eastAsia="Arial" w:hAnsi="Arial"/>
          <w:sz w:val="16"/>
          <w:szCs w:val="16"/>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47" w:lineRule="exact"/>
        <w:rPr>
          <w:rFonts w:ascii="Arial" w:cs="Arial" w:eastAsia="Arial" w:hAnsi="Arial"/>
          <w:sz w:val="16"/>
          <w:szCs w:val="16"/>
          <w:color w:val="auto"/>
        </w:rPr>
      </w:pPr>
    </w:p>
    <w:p>
      <w:pPr>
        <w:ind w:left="-120" w:right="120" w:firstLine="1441"/>
        <w:spacing w:after="0" w:line="258" w:lineRule="auto"/>
        <w:tabs>
          <w:tab w:leader="none" w:pos="2015"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Grants Exceeding Allotted Shares</w:t>
      </w:r>
      <w:r>
        <w:rPr>
          <w:rFonts w:ascii="Arial" w:cs="Arial" w:eastAsia="Arial" w:hAnsi="Arial"/>
          <w:sz w:val="18"/>
          <w:szCs w:val="18"/>
          <w:color w:val="auto"/>
        </w:rPr>
        <w:t>.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85" w:lineRule="exact"/>
        <w:rPr>
          <w:rFonts w:ascii="Arial" w:cs="Arial" w:eastAsia="Arial" w:hAnsi="Arial"/>
          <w:sz w:val="18"/>
          <w:szCs w:val="18"/>
          <w:color w:val="auto"/>
        </w:rPr>
      </w:pPr>
    </w:p>
    <w:p>
      <w:pPr>
        <w:ind w:left="-120" w:right="100" w:firstLine="724"/>
        <w:spacing w:after="0" w:line="275" w:lineRule="auto"/>
        <w:tabs>
          <w:tab w:leader="none" w:pos="131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left="-120" w:right="260" w:firstLine="724"/>
        <w:spacing w:after="0" w:line="262" w:lineRule="auto"/>
        <w:tabs>
          <w:tab w:leader="none" w:pos="131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182" w:lineRule="exact"/>
        <w:rPr>
          <w:rFonts w:ascii="Arial" w:cs="Arial" w:eastAsia="Arial" w:hAnsi="Arial"/>
          <w:sz w:val="18"/>
          <w:szCs w:val="18"/>
          <w:color w:val="auto"/>
        </w:rPr>
      </w:pPr>
    </w:p>
    <w:p>
      <w:pPr>
        <w:ind w:left="-120" w:firstLine="724"/>
        <w:spacing w:after="0" w:line="275" w:lineRule="auto"/>
        <w:tabs>
          <w:tab w:leader="none" w:pos="131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71755</wp:posOffset>
            </wp:positionV>
            <wp:extent cx="726821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00"/>
          </w:cols>
          <w:pgMar w:left="360" w:top="3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10.152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EMPLOYMENT INDUCEMENT STOCK OPTION PLAN</w:t>
      </w:r>
    </w:p>
    <w:p>
      <w:pPr>
        <w:spacing w:after="0" w:line="200" w:lineRule="exact"/>
        <w:rPr>
          <w:sz w:val="20"/>
          <w:szCs w:val="20"/>
          <w:color w:val="auto"/>
        </w:rPr>
      </w:pPr>
    </w:p>
    <w:p>
      <w:pPr>
        <w:spacing w:after="0" w:line="224" w:lineRule="exact"/>
        <w:rPr>
          <w:sz w:val="20"/>
          <w:szCs w:val="20"/>
          <w:color w:val="auto"/>
        </w:rPr>
      </w:pPr>
    </w:p>
    <w:p>
      <w:pPr>
        <w:ind w:right="160" w:firstLine="724"/>
        <w:spacing w:after="0" w:line="262" w:lineRule="auto"/>
        <w:tabs>
          <w:tab w:leader="none" w:pos="143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Employment Inducement Stock Option Plan are to attract and retain the best available personnel for new employment positions with the Company or its Subsidiaries and thereby promote the success of the Company’s business. Options granted under the Plan shall be Nonstatutory Stock Options.</w:t>
      </w:r>
    </w:p>
    <w:p>
      <w:pPr>
        <w:spacing w:after="0" w:line="182" w:lineRule="exact"/>
        <w:rPr>
          <w:rFonts w:ascii="Arial" w:cs="Arial" w:eastAsia="Arial" w:hAnsi="Arial"/>
          <w:sz w:val="18"/>
          <w:szCs w:val="18"/>
          <w:color w:val="auto"/>
        </w:rPr>
      </w:pPr>
    </w:p>
    <w:p>
      <w:pPr>
        <w:ind w:left="1440" w:hanging="716"/>
        <w:spacing w:after="0"/>
        <w:tabs>
          <w:tab w:leader="none" w:pos="14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3" w:lineRule="exact"/>
        <w:rPr>
          <w:rFonts w:ascii="Arial" w:cs="Arial" w:eastAsia="Arial" w:hAnsi="Arial"/>
          <w:sz w:val="18"/>
          <w:szCs w:val="18"/>
          <w:color w:val="auto"/>
        </w:rPr>
      </w:pPr>
    </w:p>
    <w:p>
      <w:pPr>
        <w:ind w:left="1980" w:hanging="682"/>
        <w:spacing w:after="0"/>
        <w:tabs>
          <w:tab w:leader="none" w:pos="19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08" w:lineRule="exact"/>
        <w:rPr>
          <w:rFonts w:ascii="Arial" w:cs="Arial" w:eastAsia="Arial" w:hAnsi="Arial"/>
          <w:sz w:val="16"/>
          <w:szCs w:val="16"/>
          <w:color w:val="auto"/>
        </w:rPr>
      </w:pPr>
    </w:p>
    <w:p>
      <w:pPr>
        <w:ind w:right="40" w:firstLine="1298"/>
        <w:spacing w:after="0" w:line="275" w:lineRule="auto"/>
        <w:tabs>
          <w:tab w:leader="none" w:pos="199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70" w:lineRule="exact"/>
        <w:rPr>
          <w:rFonts w:ascii="Arial" w:cs="Arial" w:eastAsia="Arial" w:hAnsi="Arial"/>
          <w:sz w:val="18"/>
          <w:szCs w:val="18"/>
          <w:color w:val="auto"/>
        </w:rPr>
      </w:pPr>
    </w:p>
    <w:p>
      <w:pPr>
        <w:ind w:left="1980" w:hanging="682"/>
        <w:spacing w:after="0"/>
        <w:tabs>
          <w:tab w:leader="none" w:pos="1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color w:val="auto"/>
        </w:rPr>
      </w:pPr>
    </w:p>
    <w:p>
      <w:pPr>
        <w:ind w:right="40" w:firstLine="1298"/>
        <w:spacing w:after="0" w:line="275" w:lineRule="auto"/>
        <w:tabs>
          <w:tab w:leader="none" w:pos="199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1980" w:hanging="682"/>
        <w:spacing w:after="0"/>
        <w:tabs>
          <w:tab w:leader="none" w:pos="1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rFonts w:ascii="Arial" w:cs="Arial" w:eastAsia="Arial" w:hAnsi="Arial"/>
          <w:sz w:val="18"/>
          <w:szCs w:val="18"/>
          <w:color w:val="auto"/>
        </w:rPr>
      </w:pPr>
    </w:p>
    <w:p>
      <w:pPr>
        <w:ind w:left="2020" w:hanging="722"/>
        <w:spacing w:after="0"/>
        <w:tabs>
          <w:tab w:leader="none" w:pos="20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3" w:lineRule="exact"/>
        <w:rPr>
          <w:rFonts w:ascii="Arial" w:cs="Arial" w:eastAsia="Arial" w:hAnsi="Arial"/>
          <w:sz w:val="18"/>
          <w:szCs w:val="18"/>
          <w:color w:val="auto"/>
        </w:rPr>
      </w:pPr>
    </w:p>
    <w:p>
      <w:pPr>
        <w:ind w:left="2000" w:hanging="702"/>
        <w:spacing w:after="0"/>
        <w:tabs>
          <w:tab w:leader="none" w:pos="2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3" w:lineRule="exact"/>
        <w:rPr>
          <w:rFonts w:ascii="Arial" w:cs="Arial" w:eastAsia="Arial" w:hAnsi="Arial"/>
          <w:sz w:val="18"/>
          <w:szCs w:val="18"/>
          <w:color w:val="auto"/>
        </w:rPr>
      </w:pPr>
    </w:p>
    <w:p>
      <w:pPr>
        <w:ind w:left="2000" w:hanging="702"/>
        <w:spacing w:after="0"/>
        <w:tabs>
          <w:tab w:leader="none" w:pos="2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3" w:lineRule="exact"/>
        <w:rPr>
          <w:rFonts w:ascii="Arial" w:cs="Arial" w:eastAsia="Arial" w:hAnsi="Arial"/>
          <w:sz w:val="18"/>
          <w:szCs w:val="18"/>
          <w:color w:val="auto"/>
        </w:rPr>
      </w:pPr>
    </w:p>
    <w:p>
      <w:pPr>
        <w:ind w:left="2000" w:hanging="702"/>
        <w:spacing w:after="0"/>
        <w:tabs>
          <w:tab w:leader="none" w:pos="2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any Subsidiary to render services.</w:t>
      </w:r>
    </w:p>
    <w:p>
      <w:pPr>
        <w:spacing w:after="0" w:line="223" w:lineRule="exact"/>
        <w:rPr>
          <w:rFonts w:ascii="Arial" w:cs="Arial" w:eastAsia="Arial" w:hAnsi="Arial"/>
          <w:sz w:val="18"/>
          <w:szCs w:val="18"/>
          <w:color w:val="auto"/>
        </w:rPr>
      </w:pPr>
    </w:p>
    <w:p>
      <w:pPr>
        <w:ind w:firstLine="1298"/>
        <w:spacing w:after="0" w:line="272" w:lineRule="auto"/>
        <w:tabs>
          <w:tab w:leader="none" w:pos="199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Continuous Status as an Employee or Consultant</w:t>
      </w:r>
      <w:r>
        <w:rPr>
          <w:rFonts w:ascii="Arial" w:cs="Arial" w:eastAsia="Arial" w:hAnsi="Arial"/>
          <w:sz w:val="17"/>
          <w:szCs w:val="17"/>
          <w:color w:val="auto"/>
        </w:rPr>
        <w:t>” means that the employment or consulting relationship with the Company or any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any Subsidiary, or any successor, or (iii) the transition from an Employee to a Consultant provided that the person becomes a Consultant immediately after his or her employment is terminated, or (iv) in the discretion of the Administrator as specified at or prior to such occurrence, in the case of a spin-off, sale, or disposition of the Optionee’s employer from the Company or any Parent or Subsidiary.</w:t>
      </w:r>
    </w:p>
    <w:p>
      <w:pPr>
        <w:spacing w:after="0" w:line="176" w:lineRule="exact"/>
        <w:rPr>
          <w:rFonts w:ascii="Arial" w:cs="Arial" w:eastAsia="Arial" w:hAnsi="Arial"/>
          <w:sz w:val="17"/>
          <w:szCs w:val="17"/>
          <w:color w:val="auto"/>
        </w:rPr>
      </w:pPr>
    </w:p>
    <w:p>
      <w:pPr>
        <w:ind w:left="2000" w:hanging="702"/>
        <w:spacing w:after="0"/>
        <w:tabs>
          <w:tab w:leader="none" w:pos="2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3" w:lineRule="exact"/>
        <w:rPr>
          <w:rFonts w:ascii="Arial" w:cs="Arial" w:eastAsia="Arial" w:hAnsi="Arial"/>
          <w:sz w:val="18"/>
          <w:szCs w:val="18"/>
          <w:color w:val="auto"/>
        </w:rPr>
      </w:pPr>
    </w:p>
    <w:p>
      <w:pPr>
        <w:ind w:left="2000" w:hanging="702"/>
        <w:spacing w:after="0"/>
        <w:tabs>
          <w:tab w:leader="none" w:pos="2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3" w:lineRule="exact"/>
        <w:rPr>
          <w:rFonts w:ascii="Arial" w:cs="Arial" w:eastAsia="Arial" w:hAnsi="Arial"/>
          <w:sz w:val="18"/>
          <w:szCs w:val="18"/>
          <w:color w:val="auto"/>
        </w:rPr>
      </w:pPr>
    </w:p>
    <w:p>
      <w:pPr>
        <w:ind w:right="240" w:firstLine="1298"/>
        <w:spacing w:after="0" w:line="262" w:lineRule="auto"/>
        <w:tabs>
          <w:tab w:leader="none" w:pos="199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Director, who is a common law employee of the Company or any Subsidiary of the Company. Neither service as a Director nor payment of a Director’s fee by the Company shall be sufficient to constitute “employment” by the Company.</w:t>
      </w:r>
    </w:p>
    <w:p>
      <w:pPr>
        <w:spacing w:after="0" w:line="182" w:lineRule="exact"/>
        <w:rPr>
          <w:rFonts w:ascii="Arial" w:cs="Arial" w:eastAsia="Arial" w:hAnsi="Arial"/>
          <w:sz w:val="18"/>
          <w:szCs w:val="18"/>
          <w:color w:val="auto"/>
        </w:rPr>
      </w:pPr>
    </w:p>
    <w:p>
      <w:pPr>
        <w:ind w:left="2000" w:hanging="702"/>
        <w:spacing w:after="0"/>
        <w:tabs>
          <w:tab w:leader="none" w:pos="2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000" w:hanging="702"/>
        <w:spacing w:after="0"/>
        <w:tabs>
          <w:tab w:leader="none" w:pos="2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3" w:lineRule="exact"/>
        <w:rPr>
          <w:rFonts w:ascii="Arial" w:cs="Arial" w:eastAsia="Arial" w:hAnsi="Arial"/>
          <w:sz w:val="18"/>
          <w:szCs w:val="18"/>
          <w:color w:val="auto"/>
        </w:rPr>
      </w:pPr>
    </w:p>
    <w:p>
      <w:pPr>
        <w:ind w:right="60" w:firstLine="2158"/>
        <w:spacing w:after="0" w:line="278" w:lineRule="auto"/>
        <w:tabs>
          <w:tab w:leader="none" w:pos="2857" w:val="left"/>
        </w:tabs>
        <w:numPr>
          <w:ilvl w:val="2"/>
          <w:numId w:val="133"/>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on the day of determination, as reported by </w:t>
      </w:r>
      <w:r>
        <w:rPr>
          <w:rFonts w:ascii="Arial" w:cs="Arial" w:eastAsia="Arial" w:hAnsi="Arial"/>
          <w:sz w:val="17"/>
          <w:szCs w:val="17"/>
          <w:i w:val="1"/>
          <w:iCs w:val="1"/>
          <w:color w:val="auto"/>
        </w:rPr>
        <w:t>Bloomberg L.L.P.</w:t>
      </w:r>
      <w:r>
        <w:rPr>
          <w:rFonts w:ascii="Arial" w:cs="Arial" w:eastAsia="Arial" w:hAnsi="Arial"/>
          <w:sz w:val="17"/>
          <w:szCs w:val="17"/>
          <w:color w:val="auto"/>
        </w:rPr>
        <w:t xml:space="preserve"> or such other source as the Administrator deems reliable;</w:t>
      </w:r>
    </w:p>
    <w:p>
      <w:pPr>
        <w:spacing w:after="0" w:line="169" w:lineRule="exact"/>
        <w:rPr>
          <w:rFonts w:ascii="Arial" w:cs="Arial" w:eastAsia="Arial" w:hAnsi="Arial"/>
          <w:sz w:val="17"/>
          <w:szCs w:val="17"/>
          <w:color w:val="auto"/>
        </w:rPr>
      </w:pPr>
    </w:p>
    <w:p>
      <w:pPr>
        <w:ind w:right="40" w:firstLine="2158"/>
        <w:spacing w:after="0" w:line="285" w:lineRule="auto"/>
        <w:tabs>
          <w:tab w:leader="none" w:pos="2862" w:val="left"/>
        </w:tabs>
        <w:numPr>
          <w:ilvl w:val="2"/>
          <w:numId w:val="133"/>
        </w:numPr>
        <w:rPr>
          <w:rFonts w:ascii="Arial" w:cs="Arial" w:eastAsia="Arial" w:hAnsi="Arial"/>
          <w:sz w:val="17"/>
          <w:szCs w:val="17"/>
          <w:color w:val="auto"/>
        </w:rPr>
      </w:pPr>
      <w:r>
        <w:rPr>
          <w:rFonts w:ascii="Arial" w:cs="Arial" w:eastAsia="Arial" w:hAnsi="Arial"/>
          <w:sz w:val="17"/>
          <w:szCs w:val="17"/>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day of determination, as reported by </w:t>
      </w:r>
      <w:r>
        <w:rPr>
          <w:rFonts w:ascii="Arial" w:cs="Arial" w:eastAsia="Arial" w:hAnsi="Arial"/>
          <w:sz w:val="17"/>
          <w:szCs w:val="17"/>
          <w:i w:val="1"/>
          <w:iCs w:val="1"/>
          <w:color w:val="auto"/>
        </w:rPr>
        <w:t>Bloomberg L.L.P.</w:t>
      </w:r>
      <w:r>
        <w:rPr>
          <w:rFonts w:ascii="Arial" w:cs="Arial" w:eastAsia="Arial" w:hAnsi="Arial"/>
          <w:sz w:val="17"/>
          <w:szCs w:val="17"/>
          <w:color w:val="auto"/>
        </w:rPr>
        <w:t xml:space="preserve"> or such other source as the Administrator deems reliable;</w:t>
      </w:r>
    </w:p>
    <w:p>
      <w:pPr>
        <w:spacing w:after="0" w:line="163" w:lineRule="exact"/>
        <w:rPr>
          <w:rFonts w:ascii="Arial" w:cs="Arial" w:eastAsia="Arial" w:hAnsi="Arial"/>
          <w:sz w:val="17"/>
          <w:szCs w:val="17"/>
          <w:color w:val="auto"/>
        </w:rPr>
      </w:pPr>
    </w:p>
    <w:p>
      <w:pPr>
        <w:ind w:left="2880" w:hanging="722"/>
        <w:spacing w:after="0"/>
        <w:tabs>
          <w:tab w:leader="none" w:pos="288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 by the Administrator.</w:t>
      </w:r>
    </w:p>
    <w:p>
      <w:pPr>
        <w:spacing w:after="0" w:line="208" w:lineRule="exact"/>
        <w:rPr>
          <w:rFonts w:ascii="Arial" w:cs="Arial" w:eastAsia="Arial" w:hAnsi="Arial"/>
          <w:sz w:val="16"/>
          <w:szCs w:val="16"/>
          <w:color w:val="auto"/>
        </w:rPr>
      </w:pPr>
    </w:p>
    <w:p>
      <w:pPr>
        <w:ind w:right="260" w:firstLine="1298"/>
        <w:spacing w:after="0" w:line="275" w:lineRule="auto"/>
        <w:tabs>
          <w:tab w:leader="none" w:pos="201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does not qualify as an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right="100" w:firstLine="1298"/>
        <w:spacing w:after="0" w:line="275" w:lineRule="auto"/>
        <w:tabs>
          <w:tab w:leader="none" w:pos="201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-3093720</wp:posOffset>
            </wp:positionV>
            <wp:extent cx="726821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363" w:right="239" w:bottom="174" w:gutter="0" w:footer="0" w:header="0"/>
        </w:sectPr>
      </w:pPr>
    </w:p>
    <w:bookmarkStart w:id="46" w:name="page47"/>
    <w:bookmarkEnd w:id="46"/>
    <w:p>
      <w:pPr>
        <w:ind w:right="360" w:firstLine="1298"/>
        <w:spacing w:after="0" w:line="275" w:lineRule="auto"/>
        <w:tabs>
          <w:tab w:leader="none" w:pos="203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2000" w:hanging="702"/>
        <w:spacing w:after="0"/>
        <w:tabs>
          <w:tab w:leader="none" w:pos="2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3" w:lineRule="exact"/>
        <w:rPr>
          <w:rFonts w:ascii="Arial" w:cs="Arial" w:eastAsia="Arial" w:hAnsi="Arial"/>
          <w:sz w:val="18"/>
          <w:szCs w:val="18"/>
          <w:color w:val="auto"/>
        </w:rPr>
      </w:pPr>
    </w:p>
    <w:p>
      <w:pPr>
        <w:ind w:firstLine="1298"/>
        <w:spacing w:after="0" w:line="275" w:lineRule="auto"/>
        <w:tabs>
          <w:tab w:leader="none" w:pos="20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70" w:lineRule="exact"/>
        <w:rPr>
          <w:rFonts w:ascii="Arial" w:cs="Arial" w:eastAsia="Arial" w:hAnsi="Arial"/>
          <w:sz w:val="18"/>
          <w:szCs w:val="18"/>
          <w:color w:val="auto"/>
        </w:rPr>
      </w:pPr>
    </w:p>
    <w:p>
      <w:pPr>
        <w:ind w:left="2020" w:hanging="722"/>
        <w:spacing w:after="0"/>
        <w:tabs>
          <w:tab w:leader="none" w:pos="20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23" w:lineRule="exact"/>
        <w:rPr>
          <w:rFonts w:ascii="Arial" w:cs="Arial" w:eastAsia="Arial" w:hAnsi="Arial"/>
          <w:sz w:val="18"/>
          <w:szCs w:val="18"/>
          <w:color w:val="auto"/>
        </w:rPr>
      </w:pPr>
    </w:p>
    <w:p>
      <w:pPr>
        <w:ind w:left="2020" w:hanging="722"/>
        <w:spacing w:after="0"/>
        <w:tabs>
          <w:tab w:leader="none" w:pos="20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who holds an outstanding Option granted under the Plan.</w:t>
      </w:r>
    </w:p>
    <w:p>
      <w:pPr>
        <w:spacing w:after="0" w:line="223" w:lineRule="exact"/>
        <w:rPr>
          <w:rFonts w:ascii="Arial" w:cs="Arial" w:eastAsia="Arial" w:hAnsi="Arial"/>
          <w:sz w:val="18"/>
          <w:szCs w:val="18"/>
          <w:color w:val="auto"/>
        </w:rPr>
      </w:pPr>
    </w:p>
    <w:p>
      <w:pPr>
        <w:ind w:left="2020" w:hanging="722"/>
        <w:spacing w:after="0"/>
        <w:tabs>
          <w:tab w:leader="none" w:pos="20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3" w:lineRule="exact"/>
        <w:rPr>
          <w:rFonts w:ascii="Arial" w:cs="Arial" w:eastAsia="Arial" w:hAnsi="Arial"/>
          <w:sz w:val="18"/>
          <w:szCs w:val="18"/>
          <w:color w:val="auto"/>
        </w:rPr>
      </w:pPr>
    </w:p>
    <w:p>
      <w:pPr>
        <w:ind w:left="2080" w:hanging="782"/>
        <w:spacing w:after="0"/>
        <w:tabs>
          <w:tab w:leader="none" w:pos="2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2002 Employment Inducement Stock Option Plan.</w:t>
      </w:r>
    </w:p>
    <w:p>
      <w:pPr>
        <w:spacing w:after="0" w:line="223" w:lineRule="exact"/>
        <w:rPr>
          <w:rFonts w:ascii="Arial" w:cs="Arial" w:eastAsia="Arial" w:hAnsi="Arial"/>
          <w:sz w:val="18"/>
          <w:szCs w:val="18"/>
          <w:color w:val="auto"/>
        </w:rPr>
      </w:pPr>
    </w:p>
    <w:p>
      <w:pPr>
        <w:ind w:right="420" w:firstLine="1298"/>
        <w:spacing w:after="0" w:line="275" w:lineRule="auto"/>
        <w:tabs>
          <w:tab w:leader="none" w:pos="201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70" w:lineRule="exact"/>
        <w:rPr>
          <w:rFonts w:ascii="Arial" w:cs="Arial" w:eastAsia="Arial" w:hAnsi="Arial"/>
          <w:sz w:val="18"/>
          <w:szCs w:val="18"/>
          <w:color w:val="auto"/>
        </w:rPr>
      </w:pPr>
    </w:p>
    <w:p>
      <w:pPr>
        <w:ind w:left="2060" w:hanging="762"/>
        <w:spacing w:after="0"/>
        <w:tabs>
          <w:tab w:leader="none" w:pos="2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23" w:lineRule="exact"/>
        <w:rPr>
          <w:sz w:val="20"/>
          <w:szCs w:val="20"/>
          <w:color w:val="auto"/>
        </w:rPr>
      </w:pPr>
    </w:p>
    <w:p>
      <w:pPr>
        <w:ind w:firstLine="1298"/>
        <w:spacing w:after="0" w:line="275" w:lineRule="auto"/>
        <w:tabs>
          <w:tab w:leader="none" w:pos="19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 and shall also include any other entity in which the Company, or any Subsidiary of the Company has a significant ownership interest.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0" w:firstLine="653"/>
        <w:spacing w:after="0" w:line="306" w:lineRule="auto"/>
        <w:tabs>
          <w:tab w:leader="none" w:pos="1362"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12 of the Plan, the maximum aggregate number of Shares which may be optioned and sold under the Plan is 1,000,000 Shares. The Shares may be authorized, but unissued, or reacquired Common Stock.</w:t>
      </w:r>
    </w:p>
    <w:p>
      <w:pPr>
        <w:spacing w:after="0" w:line="147" w:lineRule="exact"/>
        <w:rPr>
          <w:sz w:val="20"/>
          <w:szCs w:val="20"/>
          <w:color w:val="auto"/>
        </w:rPr>
      </w:pPr>
    </w:p>
    <w:p>
      <w:pPr>
        <w:ind w:right="120" w:firstLine="645"/>
        <w:spacing w:after="0" w:line="285" w:lineRule="auto"/>
        <w:rPr>
          <w:sz w:val="20"/>
          <w:szCs w:val="20"/>
          <w:color w:val="auto"/>
        </w:rPr>
      </w:pPr>
      <w:r>
        <w:rPr>
          <w:rFonts w:ascii="Arial" w:cs="Arial" w:eastAsia="Arial" w:hAnsi="Arial"/>
          <w:sz w:val="17"/>
          <w:szCs w:val="17"/>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Shares that have actually been issued under the Plan shall not be returned to the Plan and shall not become available for future distribution under the Plan.</w:t>
      </w:r>
    </w:p>
    <w:p>
      <w:pPr>
        <w:spacing w:after="0" w:line="164" w:lineRule="exact"/>
        <w:rPr>
          <w:sz w:val="20"/>
          <w:szCs w:val="20"/>
          <w:color w:val="auto"/>
        </w:rPr>
      </w:pPr>
    </w:p>
    <w:p>
      <w:pPr>
        <w:ind w:left="1360" w:hanging="707"/>
        <w:spacing w:after="0"/>
        <w:tabs>
          <w:tab w:leader="none" w:pos="13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3" w:lineRule="exact"/>
        <w:rPr>
          <w:sz w:val="20"/>
          <w:szCs w:val="20"/>
          <w:color w:val="auto"/>
        </w:rPr>
      </w:pPr>
    </w:p>
    <w:p>
      <w:pPr>
        <w:ind w:right="100" w:firstLine="653"/>
        <w:spacing w:after="0" w:line="252" w:lineRule="auto"/>
        <w:tabs>
          <w:tab w:leader="none" w:pos="133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Plan shall be administered by a Committee appointed by the Board (which Committee shall consist of two or more Directors) or, at the discretion of the Board from time to time, the Plan may be administered by the Board. It is intended that the Directors appointed to serve on the Committee shall be “non-employee directors” (within the meaning of Rule 16b-3). However, the mere fact that a Committee member shall fail to so qualify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94" w:lineRule="exact"/>
        <w:rPr>
          <w:rFonts w:ascii="Arial" w:cs="Arial" w:eastAsia="Arial" w:hAnsi="Arial"/>
          <w:sz w:val="18"/>
          <w:szCs w:val="18"/>
          <w:color w:val="auto"/>
        </w:rPr>
      </w:pPr>
    </w:p>
    <w:p>
      <w:pPr>
        <w:ind w:right="220" w:firstLine="1298"/>
        <w:spacing w:after="0" w:line="275" w:lineRule="auto"/>
        <w:tabs>
          <w:tab w:leader="none" w:pos="1992"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660" w:hanging="717"/>
        <w:spacing w:after="0"/>
        <w:tabs>
          <w:tab w:leader="none" w:pos="26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23" w:lineRule="exact"/>
        <w:rPr>
          <w:rFonts w:ascii="Arial" w:cs="Arial" w:eastAsia="Arial" w:hAnsi="Arial"/>
          <w:sz w:val="18"/>
          <w:szCs w:val="18"/>
          <w:color w:val="auto"/>
        </w:rPr>
      </w:pPr>
    </w:p>
    <w:p>
      <w:pPr>
        <w:ind w:right="300" w:firstLine="1943"/>
        <w:spacing w:after="0" w:line="275" w:lineRule="auto"/>
        <w:tabs>
          <w:tab w:leader="none" w:pos="2647"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select the Employees to whom Options may be granted hereunder; provided, however, that Options may be granted hereunder only to a person as an inducement for him or her to accept employment with the Company or any Subsidiary;</w:t>
      </w:r>
    </w:p>
    <w:p>
      <w:pPr>
        <w:spacing w:after="0" w:line="170" w:lineRule="exact"/>
        <w:rPr>
          <w:rFonts w:ascii="Arial" w:cs="Arial" w:eastAsia="Arial" w:hAnsi="Arial"/>
          <w:sz w:val="18"/>
          <w:szCs w:val="18"/>
          <w:color w:val="auto"/>
        </w:rPr>
      </w:pPr>
    </w:p>
    <w:p>
      <w:pPr>
        <w:ind w:left="2660" w:hanging="717"/>
        <w:spacing w:after="0"/>
        <w:tabs>
          <w:tab w:leader="none" w:pos="26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w:t>
      </w:r>
    </w:p>
    <w:p>
      <w:pPr>
        <w:spacing w:after="0" w:line="223" w:lineRule="exact"/>
        <w:rPr>
          <w:rFonts w:ascii="Arial" w:cs="Arial" w:eastAsia="Arial" w:hAnsi="Arial"/>
          <w:sz w:val="18"/>
          <w:szCs w:val="18"/>
          <w:color w:val="auto"/>
        </w:rPr>
      </w:pPr>
    </w:p>
    <w:p>
      <w:pPr>
        <w:ind w:left="2660" w:hanging="717"/>
        <w:spacing w:after="0"/>
        <w:tabs>
          <w:tab w:leader="none" w:pos="26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3" w:lineRule="exact"/>
        <w:rPr>
          <w:rFonts w:ascii="Arial" w:cs="Arial" w:eastAsia="Arial" w:hAnsi="Arial"/>
          <w:sz w:val="18"/>
          <w:szCs w:val="18"/>
          <w:color w:val="auto"/>
        </w:rPr>
      </w:pPr>
    </w:p>
    <w:p>
      <w:pPr>
        <w:ind w:left="2640" w:hanging="697"/>
        <w:spacing w:after="0"/>
        <w:tabs>
          <w:tab w:leader="none" w:pos="264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3" w:lineRule="exact"/>
        <w:rPr>
          <w:rFonts w:ascii="Arial" w:cs="Arial" w:eastAsia="Arial" w:hAnsi="Arial"/>
          <w:sz w:val="18"/>
          <w:szCs w:val="18"/>
          <w:color w:val="auto"/>
        </w:rPr>
      </w:pPr>
    </w:p>
    <w:p>
      <w:pPr>
        <w:ind w:right="20" w:firstLine="1943"/>
        <w:spacing w:after="0" w:line="278" w:lineRule="auto"/>
        <w:tabs>
          <w:tab w:leader="none" w:pos="2642" w:val="left"/>
        </w:tabs>
        <w:numPr>
          <w:ilvl w:val="2"/>
          <w:numId w:val="138"/>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69" w:lineRule="exact"/>
        <w:rPr>
          <w:rFonts w:ascii="Arial" w:cs="Arial" w:eastAsia="Arial" w:hAnsi="Arial"/>
          <w:sz w:val="17"/>
          <w:szCs w:val="17"/>
          <w:color w:val="auto"/>
        </w:rPr>
      </w:pPr>
    </w:p>
    <w:p>
      <w:pPr>
        <w:ind w:left="2660" w:hanging="717"/>
        <w:spacing w:after="0"/>
        <w:tabs>
          <w:tab w:leader="none" w:pos="266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5" w:right="259" w:bottom="684" w:gutter="0" w:footer="0" w:header="0"/>
        </w:sectPr>
      </w:pPr>
    </w:p>
    <w:bookmarkStart w:id="47" w:name="page48"/>
    <w:bookmarkEnd w:id="47"/>
    <w:p>
      <w:pPr>
        <w:ind w:right="60" w:firstLine="1943"/>
        <w:spacing w:after="0" w:line="275" w:lineRule="auto"/>
        <w:tabs>
          <w:tab w:leader="none" w:pos="265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left="2700" w:hanging="757"/>
        <w:spacing w:after="0"/>
        <w:tabs>
          <w:tab w:leader="none" w:pos="27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 of the Plan);</w:t>
      </w:r>
    </w:p>
    <w:p>
      <w:pPr>
        <w:spacing w:after="0" w:line="223" w:lineRule="exact"/>
        <w:rPr>
          <w:rFonts w:ascii="Arial" w:cs="Arial" w:eastAsia="Arial" w:hAnsi="Arial"/>
          <w:sz w:val="18"/>
          <w:szCs w:val="18"/>
          <w:color w:val="auto"/>
        </w:rPr>
      </w:pPr>
    </w:p>
    <w:p>
      <w:pPr>
        <w:ind w:right="340" w:firstLine="1943"/>
        <w:spacing w:after="0" w:line="275" w:lineRule="auto"/>
        <w:tabs>
          <w:tab w:leader="none" w:pos="268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 and</w:t>
      </w:r>
    </w:p>
    <w:p>
      <w:pPr>
        <w:spacing w:after="0" w:line="170" w:lineRule="exact"/>
        <w:rPr>
          <w:rFonts w:ascii="Arial" w:cs="Arial" w:eastAsia="Arial" w:hAnsi="Arial"/>
          <w:sz w:val="18"/>
          <w:szCs w:val="18"/>
          <w:color w:val="auto"/>
        </w:rPr>
      </w:pPr>
    </w:p>
    <w:p>
      <w:pPr>
        <w:ind w:left="2700" w:hanging="757"/>
        <w:spacing w:after="0"/>
        <w:tabs>
          <w:tab w:leader="none" w:pos="27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w:t>
      </w:r>
    </w:p>
    <w:p>
      <w:pPr>
        <w:spacing w:after="0" w:line="223" w:lineRule="exact"/>
        <w:rPr>
          <w:rFonts w:ascii="Arial" w:cs="Arial" w:eastAsia="Arial" w:hAnsi="Arial"/>
          <w:sz w:val="18"/>
          <w:szCs w:val="18"/>
          <w:color w:val="auto"/>
        </w:rPr>
      </w:pPr>
    </w:p>
    <w:p>
      <w:pPr>
        <w:ind w:right="120" w:firstLine="1943"/>
        <w:spacing w:after="0" w:line="255" w:lineRule="auto"/>
        <w:tabs>
          <w:tab w:leader="none" w:pos="269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to allow Optionees to satisfy withholding tax obligations by electing to have the Company withhold from the Shares to be issued upon exercise of an Option that number of Shares having a Fair Market Value equal to the minimum amount (and not any greater amount) required by law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90" w:lineRule="exact"/>
        <w:rPr>
          <w:rFonts w:ascii="Arial" w:cs="Arial" w:eastAsia="Arial" w:hAnsi="Arial"/>
          <w:sz w:val="18"/>
          <w:szCs w:val="18"/>
          <w:color w:val="auto"/>
        </w:rPr>
      </w:pPr>
    </w:p>
    <w:p>
      <w:pPr>
        <w:ind w:right="20" w:firstLine="1298"/>
        <w:spacing w:after="0" w:line="275" w:lineRule="auto"/>
        <w:tabs>
          <w:tab w:leader="none" w:pos="1982"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pacing w:after="0" w:line="170" w:lineRule="exact"/>
        <w:rPr>
          <w:rFonts w:ascii="Arial" w:cs="Arial" w:eastAsia="Arial" w:hAnsi="Arial"/>
          <w:sz w:val="18"/>
          <w:szCs w:val="18"/>
          <w:color w:val="auto"/>
        </w:rPr>
      </w:pPr>
    </w:p>
    <w:p>
      <w:pPr>
        <w:jc w:val="both"/>
        <w:ind w:firstLine="653"/>
        <w:spacing w:after="0" w:line="262" w:lineRule="auto"/>
        <w:tabs>
          <w:tab w:leader="none" w:pos="136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hereunder only to a person who is being hired as an Employee of the Company or any Subsidiary as an inducement to such employment. A person who has been granted an Option under this Plan may not be granted additional Options under this Plan, but may be granted options or other awards under other plans of the Company.</w:t>
      </w:r>
    </w:p>
    <w:p>
      <w:pPr>
        <w:spacing w:after="0" w:line="182" w:lineRule="exact"/>
        <w:rPr>
          <w:rFonts w:ascii="Arial" w:cs="Arial" w:eastAsia="Arial" w:hAnsi="Arial"/>
          <w:sz w:val="18"/>
          <w:szCs w:val="18"/>
          <w:color w:val="auto"/>
        </w:rPr>
      </w:pPr>
    </w:p>
    <w:p>
      <w:pPr>
        <w:ind w:left="1360" w:hanging="707"/>
        <w:spacing w:after="0"/>
        <w:tabs>
          <w:tab w:leader="none" w:pos="13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right="300" w:firstLine="1298"/>
        <w:spacing w:after="0" w:line="262" w:lineRule="auto"/>
        <w:tabs>
          <w:tab w:leader="none" w:pos="198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with the Company, nor shall they interfere in any way with the Optionee’s right or the Company’s right to terminate such employment at any time, with or without cause.</w:t>
      </w:r>
    </w:p>
    <w:p>
      <w:pPr>
        <w:spacing w:after="0" w:line="182" w:lineRule="exact"/>
        <w:rPr>
          <w:rFonts w:ascii="Arial" w:cs="Arial" w:eastAsia="Arial" w:hAnsi="Arial"/>
          <w:sz w:val="18"/>
          <w:szCs w:val="18"/>
          <w:color w:val="auto"/>
        </w:rPr>
      </w:pPr>
    </w:p>
    <w:p>
      <w:pPr>
        <w:ind w:left="2000" w:hanging="702"/>
        <w:spacing w:after="0"/>
        <w:tabs>
          <w:tab w:leader="none" w:pos="20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hereunder:</w:t>
      </w:r>
    </w:p>
    <w:p>
      <w:pPr>
        <w:spacing w:after="0" w:line="223" w:lineRule="exact"/>
        <w:rPr>
          <w:rFonts w:ascii="Arial" w:cs="Arial" w:eastAsia="Arial" w:hAnsi="Arial"/>
          <w:sz w:val="18"/>
          <w:szCs w:val="18"/>
          <w:color w:val="auto"/>
        </w:rPr>
      </w:pPr>
    </w:p>
    <w:p>
      <w:pPr>
        <w:ind w:left="2660" w:hanging="717"/>
        <w:spacing w:after="0"/>
        <w:tabs>
          <w:tab w:leader="none" w:pos="26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No Employee shall be granted under the Plan Options to purchase more than 500,000 Shares.</w:t>
      </w:r>
    </w:p>
    <w:p>
      <w:pPr>
        <w:spacing w:after="0" w:line="223" w:lineRule="exact"/>
        <w:rPr>
          <w:rFonts w:ascii="Arial" w:cs="Arial" w:eastAsia="Arial" w:hAnsi="Arial"/>
          <w:sz w:val="18"/>
          <w:szCs w:val="18"/>
          <w:color w:val="auto"/>
        </w:rPr>
      </w:pPr>
    </w:p>
    <w:p>
      <w:pPr>
        <w:ind w:right="1000" w:firstLine="1943"/>
        <w:spacing w:after="0" w:line="275" w:lineRule="auto"/>
        <w:tabs>
          <w:tab w:leader="none" w:pos="2647"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foregoing limitations shall be adjusted proportionately in connection with any change in the Company’s capitalization as described in Section 12.</w:t>
      </w:r>
    </w:p>
    <w:p>
      <w:pPr>
        <w:spacing w:after="0" w:line="385" w:lineRule="exact"/>
        <w:rPr>
          <w:rFonts w:ascii="Arial" w:cs="Arial" w:eastAsia="Arial" w:hAnsi="Arial"/>
          <w:sz w:val="18"/>
          <w:szCs w:val="18"/>
          <w:color w:val="auto"/>
        </w:rPr>
      </w:pPr>
    </w:p>
    <w:p>
      <w:pPr>
        <w:ind w:left="1360" w:hanging="707"/>
        <w:spacing w:after="0"/>
        <w:tabs>
          <w:tab w:leader="none" w:pos="13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upon its adoption by the Board.</w:t>
      </w:r>
    </w:p>
    <w:p>
      <w:pPr>
        <w:spacing w:after="0" w:line="223" w:lineRule="exact"/>
        <w:rPr>
          <w:rFonts w:ascii="Arial" w:cs="Arial" w:eastAsia="Arial" w:hAnsi="Arial"/>
          <w:sz w:val="18"/>
          <w:szCs w:val="18"/>
          <w:color w:val="auto"/>
        </w:rPr>
      </w:pPr>
    </w:p>
    <w:p>
      <w:pPr>
        <w:ind w:left="1360" w:hanging="707"/>
        <w:spacing w:after="0"/>
        <w:tabs>
          <w:tab w:leader="none" w:pos="13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 but shall not exceed ten (10) years.</w:t>
      </w:r>
    </w:p>
    <w:p>
      <w:pPr>
        <w:spacing w:after="0" w:line="223" w:lineRule="exact"/>
        <w:rPr>
          <w:rFonts w:ascii="Arial" w:cs="Arial" w:eastAsia="Arial" w:hAnsi="Arial"/>
          <w:sz w:val="18"/>
          <w:szCs w:val="18"/>
          <w:color w:val="auto"/>
        </w:rPr>
      </w:pPr>
    </w:p>
    <w:p>
      <w:pPr>
        <w:ind w:left="1400" w:hanging="747"/>
        <w:spacing w:after="0"/>
        <w:tabs>
          <w:tab w:leader="none" w:pos="14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20" w:firstLine="1298"/>
        <w:spacing w:after="0" w:line="275" w:lineRule="auto"/>
        <w:tabs>
          <w:tab w:leader="none" w:pos="1982"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40" w:firstLine="1298"/>
        <w:spacing w:after="0" w:line="262" w:lineRule="auto"/>
        <w:tabs>
          <w:tab w:leader="none" w:pos="2017"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2" w:lineRule="exact"/>
        <w:rPr>
          <w:rFonts w:ascii="Arial" w:cs="Arial" w:eastAsia="Arial" w:hAnsi="Arial"/>
          <w:sz w:val="18"/>
          <w:szCs w:val="18"/>
          <w:color w:val="auto"/>
        </w:rPr>
      </w:pPr>
    </w:p>
    <w:p>
      <w:pPr>
        <w:ind w:right="320" w:firstLine="1298"/>
        <w:spacing w:after="0" w:line="340" w:lineRule="auto"/>
        <w:tabs>
          <w:tab w:leader="none" w:pos="2007"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shall determine the acceptable form of consideration for exercising an Option, including the method of payment. The Administrator shall determine the acceptable form of consideration. Such consideration may consist entirely of:</w:t>
      </w:r>
    </w:p>
    <w:p>
      <w:pPr>
        <w:spacing w:after="0" w:line="129" w:lineRule="exact"/>
        <w:rPr>
          <w:rFonts w:ascii="Arial" w:cs="Arial" w:eastAsia="Arial" w:hAnsi="Arial"/>
          <w:sz w:val="16"/>
          <w:szCs w:val="16"/>
          <w:color w:val="auto"/>
        </w:rPr>
      </w:pPr>
    </w:p>
    <w:p>
      <w:pPr>
        <w:ind w:left="2680" w:hanging="737"/>
        <w:spacing w:after="0"/>
        <w:tabs>
          <w:tab w:leader="none" w:pos="2680" w:val="left"/>
        </w:tabs>
        <w:numPr>
          <w:ilvl w:val="1"/>
          <w:numId w:val="142"/>
        </w:numPr>
        <w:rPr>
          <w:rFonts w:ascii="Arial" w:cs="Arial" w:eastAsia="Arial" w:hAnsi="Arial"/>
          <w:sz w:val="18"/>
          <w:szCs w:val="18"/>
          <w:color w:val="auto"/>
        </w:rPr>
      </w:pPr>
      <w:r>
        <w:rPr>
          <w:rFonts w:ascii="Arial" w:cs="Arial" w:eastAsia="Arial" w:hAnsi="Arial"/>
          <w:sz w:val="17"/>
          <w:szCs w:val="17"/>
          <w:color w:val="auto"/>
        </w:rPr>
        <w:t>cash;</w:t>
      </w:r>
    </w:p>
    <w:p>
      <w:pPr>
        <w:spacing w:after="0" w:line="217" w:lineRule="exact"/>
        <w:rPr>
          <w:rFonts w:ascii="Arial" w:cs="Arial" w:eastAsia="Arial" w:hAnsi="Arial"/>
          <w:sz w:val="18"/>
          <w:szCs w:val="18"/>
          <w:color w:val="auto"/>
        </w:rPr>
      </w:pPr>
    </w:p>
    <w:p>
      <w:pPr>
        <w:ind w:left="2660" w:hanging="717"/>
        <w:spacing w:after="0"/>
        <w:tabs>
          <w:tab w:leader="none" w:pos="2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check;</w:t>
      </w:r>
    </w:p>
    <w:p>
      <w:pPr>
        <w:spacing w:after="0" w:line="223" w:lineRule="exact"/>
        <w:rPr>
          <w:rFonts w:ascii="Arial" w:cs="Arial" w:eastAsia="Arial" w:hAnsi="Arial"/>
          <w:sz w:val="18"/>
          <w:szCs w:val="18"/>
          <w:color w:val="auto"/>
        </w:rPr>
      </w:pPr>
    </w:p>
    <w:p>
      <w:pPr>
        <w:ind w:left="2660" w:hanging="717"/>
        <w:spacing w:after="0"/>
        <w:tabs>
          <w:tab w:leader="none" w:pos="2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3" w:lineRule="exact"/>
        <w:rPr>
          <w:rFonts w:ascii="Arial" w:cs="Arial" w:eastAsia="Arial" w:hAnsi="Arial"/>
          <w:sz w:val="18"/>
          <w:szCs w:val="18"/>
          <w:color w:val="auto"/>
        </w:rPr>
      </w:pPr>
    </w:p>
    <w:p>
      <w:pPr>
        <w:ind w:right="180" w:firstLine="1943"/>
        <w:spacing w:after="0" w:line="306" w:lineRule="auto"/>
        <w:tabs>
          <w:tab w:leader="none" w:pos="264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46" w:lineRule="exact"/>
        <w:rPr>
          <w:rFonts w:ascii="Arial" w:cs="Arial" w:eastAsia="Arial" w:hAnsi="Arial"/>
          <w:sz w:val="17"/>
          <w:szCs w:val="17"/>
          <w:color w:val="auto"/>
        </w:rPr>
      </w:pPr>
    </w:p>
    <w:p>
      <w:pPr>
        <w:ind w:firstLine="1943"/>
        <w:spacing w:after="0" w:line="295" w:lineRule="auto"/>
        <w:tabs>
          <w:tab w:leader="none" w:pos="263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59" w:lineRule="exact"/>
        <w:rPr>
          <w:rFonts w:ascii="Arial" w:cs="Arial" w:eastAsia="Arial" w:hAnsi="Arial"/>
          <w:sz w:val="16"/>
          <w:szCs w:val="16"/>
          <w:color w:val="auto"/>
        </w:rPr>
      </w:pPr>
    </w:p>
    <w:p>
      <w:pPr>
        <w:ind w:right="140" w:firstLine="1943"/>
        <w:spacing w:after="0" w:line="275" w:lineRule="auto"/>
        <w:tabs>
          <w:tab w:leader="none" w:pos="264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ectPr>
          <w:pgSz w:w="11900" w:h="16838" w:orient="portrait"/>
          <w:cols w:equalWidth="0" w:num="1">
            <w:col w:w="11420"/>
          </w:cols>
          <w:pgMar w:left="240" w:top="125" w:right="239" w:bottom="0" w:gutter="0" w:footer="0" w:header="0"/>
        </w:sectPr>
      </w:pPr>
    </w:p>
    <w:bookmarkStart w:id="48" w:name="page49"/>
    <w:bookmarkEnd w:id="48"/>
    <w:p>
      <w:pPr>
        <w:spacing w:after="0" w:line="126" w:lineRule="exact"/>
        <w:rPr>
          <w:sz w:val="20"/>
          <w:szCs w:val="20"/>
          <w:color w:val="auto"/>
        </w:rPr>
      </w:pPr>
    </w:p>
    <w:p>
      <w:pPr>
        <w:ind w:left="2660" w:hanging="717"/>
        <w:spacing w:after="0"/>
        <w:tabs>
          <w:tab w:leader="none" w:pos="2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3" w:lineRule="exact"/>
        <w:rPr>
          <w:rFonts w:ascii="Arial" w:cs="Arial" w:eastAsia="Arial" w:hAnsi="Arial"/>
          <w:sz w:val="18"/>
          <w:szCs w:val="18"/>
          <w:color w:val="auto"/>
        </w:rPr>
      </w:pPr>
    </w:p>
    <w:p>
      <w:pPr>
        <w:ind w:left="2660" w:hanging="717"/>
        <w:spacing w:after="0"/>
        <w:tabs>
          <w:tab w:leader="none" w:pos="26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such other consideration and method of payment for the issuance of Shares to the extent approved by the Administrator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permitted by Applicable Laws.</w:t>
      </w:r>
    </w:p>
    <w:p>
      <w:pPr>
        <w:spacing w:after="0" w:line="208" w:lineRule="exact"/>
        <w:rPr>
          <w:rFonts w:ascii="Arial" w:cs="Arial" w:eastAsia="Arial" w:hAnsi="Arial"/>
          <w:sz w:val="16"/>
          <w:szCs w:val="16"/>
          <w:color w:val="auto"/>
        </w:rPr>
      </w:pPr>
    </w:p>
    <w:p>
      <w:pPr>
        <w:ind w:left="1360" w:hanging="707"/>
        <w:spacing w:after="0"/>
        <w:tabs>
          <w:tab w:leader="none" w:pos="13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3" w:lineRule="exact"/>
        <w:rPr>
          <w:sz w:val="20"/>
          <w:szCs w:val="20"/>
          <w:color w:val="auto"/>
        </w:rPr>
      </w:pPr>
    </w:p>
    <w:p>
      <w:pPr>
        <w:ind w:right="140" w:firstLine="1298"/>
        <w:spacing w:after="0" w:line="275" w:lineRule="auto"/>
        <w:tabs>
          <w:tab w:leader="none" w:pos="198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hereunder shall be exercisable according to the terms of the Plan and at such times and under such conditions as determined by the Administrator and set forth in the Option Agreement.</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3" w:lineRule="exact"/>
        <w:rPr>
          <w:sz w:val="20"/>
          <w:szCs w:val="20"/>
          <w:color w:val="auto"/>
        </w:rPr>
      </w:pPr>
    </w:p>
    <w:p>
      <w:pPr>
        <w:ind w:right="40" w:firstLine="1936"/>
        <w:spacing w:after="0" w:line="253" w:lineRule="auto"/>
        <w:rPr>
          <w:sz w:val="20"/>
          <w:szCs w:val="20"/>
          <w:color w:val="auto"/>
        </w:rPr>
      </w:pPr>
      <w:r>
        <w:rPr>
          <w:rFonts w:ascii="Arial" w:cs="Arial" w:eastAsia="Arial" w:hAnsi="Arial"/>
          <w:sz w:val="18"/>
          <w:szCs w:val="18"/>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1936"/>
        <w:spacing w:after="0" w:line="27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71" w:lineRule="exact"/>
        <w:rPr>
          <w:sz w:val="20"/>
          <w:szCs w:val="20"/>
          <w:color w:val="auto"/>
        </w:rPr>
      </w:pPr>
    </w:p>
    <w:p>
      <w:pPr>
        <w:ind w:right="20" w:firstLine="1298"/>
        <w:spacing w:after="0" w:line="253" w:lineRule="auto"/>
        <w:tabs>
          <w:tab w:leader="none" w:pos="199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Consulting Relationship</w:t>
      </w:r>
      <w:r>
        <w:rPr>
          <w:rFonts w:ascii="Arial" w:cs="Arial" w:eastAsia="Arial" w:hAnsi="Arial"/>
          <w:sz w:val="18"/>
          <w:szCs w:val="18"/>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0" w:lineRule="exact"/>
        <w:rPr>
          <w:rFonts w:ascii="Arial" w:cs="Arial" w:eastAsia="Arial" w:hAnsi="Arial"/>
          <w:sz w:val="18"/>
          <w:szCs w:val="18"/>
          <w:color w:val="auto"/>
        </w:rPr>
      </w:pPr>
    </w:p>
    <w:p>
      <w:pPr>
        <w:ind w:firstLine="1298"/>
        <w:spacing w:after="0" w:line="254" w:lineRule="auto"/>
        <w:tabs>
          <w:tab w:leader="none" w:pos="198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1" w:lineRule="exact"/>
        <w:rPr>
          <w:rFonts w:ascii="Arial" w:cs="Arial" w:eastAsia="Arial" w:hAnsi="Arial"/>
          <w:sz w:val="18"/>
          <w:szCs w:val="18"/>
          <w:color w:val="auto"/>
        </w:rPr>
      </w:pPr>
    </w:p>
    <w:p>
      <w:pPr>
        <w:ind w:right="40" w:firstLine="1298"/>
        <w:spacing w:after="0" w:line="253" w:lineRule="auto"/>
        <w:tabs>
          <w:tab w:leader="none" w:pos="199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Death of Optionee</w:t>
      </w:r>
      <w:r>
        <w:rPr>
          <w:rFonts w:ascii="Arial" w:cs="Arial" w:eastAsia="Arial" w:hAnsi="Arial"/>
          <w:sz w:val="18"/>
          <w:szCs w:val="18"/>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93" w:lineRule="exact"/>
        <w:rPr>
          <w:rFonts w:ascii="Arial" w:cs="Arial" w:eastAsia="Arial" w:hAnsi="Arial"/>
          <w:sz w:val="18"/>
          <w:szCs w:val="18"/>
          <w:color w:val="auto"/>
        </w:rPr>
      </w:pPr>
    </w:p>
    <w:p>
      <w:pPr>
        <w:ind w:right="160" w:firstLine="1298"/>
        <w:spacing w:after="0" w:line="258" w:lineRule="auto"/>
        <w:tabs>
          <w:tab w:leader="none" w:pos="198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 for the time period, if any, required by the RAM Plan.</w:t>
      </w:r>
    </w:p>
    <w:p>
      <w:pPr>
        <w:spacing w:after="0" w:line="185" w:lineRule="exact"/>
        <w:rPr>
          <w:rFonts w:ascii="Arial" w:cs="Arial" w:eastAsia="Arial" w:hAnsi="Arial"/>
          <w:sz w:val="18"/>
          <w:szCs w:val="18"/>
          <w:color w:val="auto"/>
        </w:rPr>
      </w:pPr>
    </w:p>
    <w:p>
      <w:pPr>
        <w:jc w:val="both"/>
        <w:ind w:right="320" w:firstLine="653"/>
        <w:spacing w:after="0" w:line="258"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determined otherwise by the Administrator, an Option may not be sold, pledged, assigned, hypothecated, 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85" w:lineRule="exact"/>
        <w:rPr>
          <w:rFonts w:ascii="Arial" w:cs="Arial" w:eastAsia="Arial" w:hAnsi="Arial"/>
          <w:sz w:val="18"/>
          <w:szCs w:val="18"/>
          <w:color w:val="auto"/>
        </w:rPr>
      </w:pPr>
    </w:p>
    <w:p>
      <w:pPr>
        <w:ind w:left="1400" w:hanging="747"/>
        <w:spacing w:after="0"/>
        <w:tabs>
          <w:tab w:leader="none" w:pos="14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Corporate Transaction, or Change in Control</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20" w:firstLine="1298"/>
        <w:spacing w:after="0" w:line="303" w:lineRule="auto"/>
        <w:tabs>
          <w:tab w:leader="none" w:pos="2007"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xml:space="preserve">. </w:t>
      </w:r>
      <w:r>
        <w:rPr>
          <w:rFonts w:ascii="Arial" w:cs="Arial" w:eastAsia="Arial" w:hAnsi="Arial"/>
          <w:sz w:val="16"/>
          <w:szCs w:val="16"/>
          <w:color w:val="auto"/>
        </w:rPr>
        <w:t>In the event of a corporate transaction involving the Company (including, without limitation, any stock</w:t>
      </w:r>
      <w:r>
        <w:rPr>
          <w:rFonts w:ascii="Arial" w:cs="Arial" w:eastAsia="Arial" w:hAnsi="Arial"/>
          <w:sz w:val="17"/>
          <w:szCs w:val="17"/>
          <w:color w:val="auto"/>
        </w:rPr>
        <w:t xml:space="preserve"> </w:t>
      </w:r>
      <w:r>
        <w:rPr>
          <w:rFonts w:ascii="Arial" w:cs="Arial" w:eastAsia="Arial" w:hAnsi="Arial"/>
          <w:sz w:val="16"/>
          <w:szCs w:val="16"/>
          <w:color w:val="auto"/>
        </w:rPr>
        <w:t>dividend, stock split, extraordinary cash dividend, recapitalization, reorganization, merger, consolidation, split-up, spin-off, combination or exchange of</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20"/>
        <w:spacing w:after="0" w:line="340" w:lineRule="auto"/>
        <w:rPr>
          <w:sz w:val="20"/>
          <w:szCs w:val="20"/>
          <w:color w:val="auto"/>
        </w:rPr>
      </w:pPr>
      <w:r>
        <w:rPr>
          <w:rFonts w:ascii="Arial" w:cs="Arial" w:eastAsia="Arial" w:hAnsi="Arial"/>
          <w:sz w:val="16"/>
          <w:szCs w:val="16"/>
          <w:color w:val="auto"/>
        </w:rPr>
        <w:t>shares), the authorization limits under Sections 3 and 6(b)(i) of the Plan shall be adjusted proportionately, and the Administrator may adjust Options to preserve the benefits or potential benefits of the Options. Action by the Administrator may include: (i) adjustment of the number and kind of shares which</w:t>
      </w:r>
    </w:p>
    <w:p>
      <w:pPr>
        <w:sectPr>
          <w:pgSz w:w="11900" w:h="16965" w:orient="portrait"/>
          <w:cols w:equalWidth="0" w:num="1">
            <w:col w:w="11420"/>
          </w:cols>
          <w:pgMar w:left="240" w:top="125" w:right="239" w:bottom="0" w:gutter="0" w:footer="0" w:header="0"/>
        </w:sectPr>
      </w:pPr>
    </w:p>
    <w:bookmarkStart w:id="49" w:name="page50"/>
    <w:bookmarkEnd w:id="49"/>
    <w:p>
      <w:pPr>
        <w:ind w:right="120"/>
        <w:spacing w:after="0" w:line="290" w:lineRule="auto"/>
        <w:rPr>
          <w:sz w:val="20"/>
          <w:szCs w:val="20"/>
          <w:color w:val="auto"/>
        </w:rPr>
      </w:pPr>
      <w:r>
        <w:rPr>
          <w:rFonts w:ascii="Arial" w:cs="Arial" w:eastAsia="Arial" w:hAnsi="Arial"/>
          <w:sz w:val="16"/>
          <w:szCs w:val="16"/>
          <w:color w:val="auto"/>
        </w:rPr>
        <w:t>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in the event a stock dividend or stock split is declared upon the Shares, the authorization limits under Sections 3 and 6(b)(i) shall be increased proportionately, and the shares of Stock then subject to each Option shall be increased proportionately without any change in the aggregate purchase price therefor.</w:t>
      </w:r>
    </w:p>
    <w:p>
      <w:pPr>
        <w:spacing w:after="0" w:line="164" w:lineRule="exact"/>
        <w:rPr>
          <w:sz w:val="20"/>
          <w:szCs w:val="20"/>
          <w:color w:val="auto"/>
        </w:rPr>
      </w:pPr>
    </w:p>
    <w:p>
      <w:pPr>
        <w:ind w:right="140" w:firstLine="1298"/>
        <w:spacing w:after="0" w:line="258" w:lineRule="auto"/>
        <w:tabs>
          <w:tab w:leader="none" w:pos="2017"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To the extent not previously exercised, Options will terminate immediately prior to the consummation of any 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85" w:lineRule="exact"/>
        <w:rPr>
          <w:rFonts w:ascii="Arial" w:cs="Arial" w:eastAsia="Arial" w:hAnsi="Arial"/>
          <w:sz w:val="18"/>
          <w:szCs w:val="18"/>
          <w:color w:val="auto"/>
        </w:rPr>
      </w:pPr>
    </w:p>
    <w:p>
      <w:pPr>
        <w:ind w:right="40" w:firstLine="1298"/>
        <w:spacing w:after="0" w:line="255" w:lineRule="auto"/>
        <w:tabs>
          <w:tab w:leader="none" w:pos="2007"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In the event of a reorganization, merger, consolidation, statutory share exchange or similar form of corporate transaction involving 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 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w:t>
      </w:r>
      <w:r>
        <w:rPr>
          <w:rFonts w:ascii="Arial" w:cs="Arial" w:eastAsia="Arial" w:hAnsi="Arial"/>
          <w:sz w:val="17"/>
          <w:szCs w:val="17"/>
          <w:color w:val="auto"/>
        </w:rPr>
        <w:t>in the event of a merger or sale of assets, the Administrator shall notify the</w:t>
      </w:r>
      <w:r>
        <w:rPr>
          <w:rFonts w:ascii="Arial" w:cs="Arial" w:eastAsia="Arial" w:hAnsi="Arial"/>
          <w:sz w:val="18"/>
          <w:szCs w:val="18"/>
          <w:color w:val="auto"/>
        </w:rPr>
        <w:t xml:space="preserve"> </w:t>
      </w:r>
      <w:r>
        <w:rPr>
          <w:rFonts w:ascii="Arial" w:cs="Arial" w:eastAsia="Arial" w:hAnsi="Arial"/>
          <w:sz w:val="17"/>
          <w:szCs w:val="17"/>
          <w:color w:val="auto"/>
        </w:rPr>
        <w:t>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w:t>
      </w:r>
    </w:p>
    <w:p>
      <w:pPr>
        <w:spacing w:after="0" w:line="191" w:lineRule="exact"/>
        <w:rPr>
          <w:rFonts w:ascii="Arial" w:cs="Arial" w:eastAsia="Arial" w:hAnsi="Arial"/>
          <w:sz w:val="18"/>
          <w:szCs w:val="18"/>
          <w:color w:val="auto"/>
        </w:rPr>
      </w:pPr>
    </w:p>
    <w:p>
      <w:pPr>
        <w:ind w:right="80" w:firstLine="1298"/>
        <w:spacing w:after="0" w:line="275" w:lineRule="auto"/>
        <w:tabs>
          <w:tab w:leader="none" w:pos="2017"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the unexercised portion of each Option then outstanding shall become wholly vested and immediately exercisable.</w:t>
      </w:r>
    </w:p>
    <w:p>
      <w:pPr>
        <w:spacing w:after="0" w:line="170" w:lineRule="exact"/>
        <w:rPr>
          <w:rFonts w:ascii="Arial" w:cs="Arial" w:eastAsia="Arial" w:hAnsi="Arial"/>
          <w:sz w:val="18"/>
          <w:szCs w:val="18"/>
          <w:color w:val="auto"/>
        </w:rPr>
      </w:pPr>
    </w:p>
    <w:p>
      <w:pPr>
        <w:ind w:firstLine="653"/>
        <w:spacing w:after="0" w:line="262" w:lineRule="auto"/>
        <w:tabs>
          <w:tab w:leader="none" w:pos="138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2" w:lineRule="exact"/>
        <w:rPr>
          <w:rFonts w:ascii="Arial" w:cs="Arial" w:eastAsia="Arial" w:hAnsi="Arial"/>
          <w:sz w:val="18"/>
          <w:szCs w:val="18"/>
          <w:color w:val="auto"/>
        </w:rPr>
      </w:pPr>
    </w:p>
    <w:p>
      <w:pPr>
        <w:ind w:left="1400" w:hanging="747"/>
        <w:spacing w:after="0"/>
        <w:tabs>
          <w:tab w:leader="none" w:pos="14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 and Outstanding Options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60" w:firstLine="1298"/>
        <w:spacing w:after="0" w:line="268" w:lineRule="auto"/>
        <w:tabs>
          <w:tab w:leader="none" w:pos="2007"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xml:space="preserve">. The Board may at any time amend, alter, suspend, or terminate the Plan </w:t>
      </w:r>
      <w:r>
        <w:rPr>
          <w:rFonts w:ascii="Arial" w:cs="Arial" w:eastAsia="Arial" w:hAnsi="Arial"/>
          <w:sz w:val="17"/>
          <w:szCs w:val="17"/>
          <w:color w:val="auto"/>
        </w:rPr>
        <w:t>without shareholder</w:t>
      </w:r>
      <w:r>
        <w:rPr>
          <w:rFonts w:ascii="Arial" w:cs="Arial" w:eastAsia="Arial" w:hAnsi="Arial"/>
          <w:sz w:val="18"/>
          <w:szCs w:val="18"/>
          <w:color w:val="auto"/>
        </w:rPr>
        <w:t xml:space="preserve"> </w:t>
      </w:r>
      <w:r>
        <w:rPr>
          <w:rFonts w:ascii="Arial" w:cs="Arial" w:eastAsia="Arial" w:hAnsi="Arial"/>
          <w:sz w:val="17"/>
          <w:szCs w:val="17"/>
          <w:color w:val="auto"/>
        </w:rPr>
        <w:t>approval; provided, however, that the Board may condition any amendment or modification on the approval of shareholders of the Company if such approval is necessary or deemed advisable with respect to tax, securities or other applicable laws, policies or regulations.</w:t>
      </w:r>
    </w:p>
    <w:p>
      <w:pPr>
        <w:spacing w:after="0" w:line="179" w:lineRule="exact"/>
        <w:rPr>
          <w:rFonts w:ascii="Arial" w:cs="Arial" w:eastAsia="Arial" w:hAnsi="Arial"/>
          <w:sz w:val="18"/>
          <w:szCs w:val="18"/>
          <w:color w:val="auto"/>
        </w:rPr>
      </w:pPr>
    </w:p>
    <w:p>
      <w:pPr>
        <w:ind w:right="20" w:firstLine="1298"/>
        <w:spacing w:after="0" w:line="262" w:lineRule="auto"/>
        <w:tabs>
          <w:tab w:leader="none" w:pos="2017"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or any outstanding Option shall impair the rights of any Optionee, unless mutually agreed otherwise between the Optionee and the Administrator, which agreement must be in writing and signed by the Optionee and the Company.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520" w:firstLine="1298"/>
        <w:spacing w:after="0" w:line="268" w:lineRule="auto"/>
        <w:tabs>
          <w:tab w:leader="none" w:pos="2007"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Shareholder Approval Required for Certain Actions</w:t>
      </w:r>
      <w:r>
        <w:rPr>
          <w:rFonts w:ascii="Arial" w:cs="Arial" w:eastAsia="Arial" w:hAnsi="Arial"/>
          <w:sz w:val="18"/>
          <w:szCs w:val="18"/>
          <w:color w:val="auto"/>
        </w:rPr>
        <w:t xml:space="preserve">. </w:t>
      </w:r>
      <w:r>
        <w:rPr>
          <w:rFonts w:ascii="Arial" w:cs="Arial" w:eastAsia="Arial" w:hAnsi="Arial"/>
          <w:sz w:val="17"/>
          <w:szCs w:val="17"/>
          <w:color w:val="auto"/>
        </w:rPr>
        <w:t>The original term of any Option may not be extended without the prior</w:t>
      </w:r>
      <w:r>
        <w:rPr>
          <w:rFonts w:ascii="Arial" w:cs="Arial" w:eastAsia="Arial" w:hAnsi="Arial"/>
          <w:sz w:val="18"/>
          <w:szCs w:val="18"/>
          <w:color w:val="auto"/>
        </w:rPr>
        <w:t xml:space="preserve"> </w:t>
      </w:r>
      <w:r>
        <w:rPr>
          <w:rFonts w:ascii="Arial" w:cs="Arial" w:eastAsia="Arial" w:hAnsi="Arial"/>
          <w:sz w:val="17"/>
          <w:szCs w:val="17"/>
          <w:color w:val="auto"/>
        </w:rPr>
        <w:t>approval of the shareholders of the Company. Except as otherwise provided in Section 12, the exercise price of any Option may not be reduced, directly or indirectly, without the prior approval of the shareholders of the Company.</w:t>
      </w:r>
    </w:p>
    <w:p>
      <w:pPr>
        <w:spacing w:after="0" w:line="180" w:lineRule="exact"/>
        <w:rPr>
          <w:sz w:val="20"/>
          <w:szCs w:val="20"/>
          <w:color w:val="auto"/>
        </w:rPr>
      </w:pPr>
    </w:p>
    <w:p>
      <w:pPr>
        <w:ind w:left="2040" w:hanging="742"/>
        <w:spacing w:after="0"/>
        <w:tabs>
          <w:tab w:leader="none" w:pos="20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3" w:lineRule="exact"/>
        <w:rPr>
          <w:sz w:val="20"/>
          <w:szCs w:val="20"/>
          <w:color w:val="auto"/>
        </w:rPr>
      </w:pPr>
    </w:p>
    <w:p>
      <w:pPr>
        <w:ind w:right="80" w:firstLine="1298"/>
        <w:spacing w:after="0" w:line="255" w:lineRule="auto"/>
        <w:tabs>
          <w:tab w:leader="none" w:pos="2007"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90" w:lineRule="exact"/>
        <w:rPr>
          <w:rFonts w:ascii="Arial" w:cs="Arial" w:eastAsia="Arial" w:hAnsi="Arial"/>
          <w:sz w:val="18"/>
          <w:szCs w:val="18"/>
          <w:color w:val="auto"/>
        </w:rPr>
      </w:pPr>
    </w:p>
    <w:p>
      <w:pPr>
        <w:jc w:val="both"/>
        <w:ind w:right="80" w:firstLine="1298"/>
        <w:spacing w:after="0" w:line="262" w:lineRule="auto"/>
        <w:tabs>
          <w:tab w:leader="none" w:pos="2017"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2" w:lineRule="exact"/>
        <w:rPr>
          <w:rFonts w:ascii="Arial" w:cs="Arial" w:eastAsia="Arial" w:hAnsi="Arial"/>
          <w:sz w:val="18"/>
          <w:szCs w:val="18"/>
          <w:color w:val="auto"/>
        </w:rPr>
      </w:pPr>
    </w:p>
    <w:p>
      <w:pPr>
        <w:ind w:left="1360" w:hanging="707"/>
        <w:spacing w:after="0"/>
        <w:tabs>
          <w:tab w:leader="none" w:pos="13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80" w:firstLine="1298"/>
        <w:spacing w:after="0" w:line="285" w:lineRule="auto"/>
        <w:tabs>
          <w:tab w:leader="none" w:pos="1982"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3" w:lineRule="exact"/>
        <w:rPr>
          <w:rFonts w:ascii="Arial" w:cs="Arial" w:eastAsia="Arial" w:hAnsi="Arial"/>
          <w:sz w:val="17"/>
          <w:szCs w:val="17"/>
          <w:color w:val="auto"/>
        </w:rPr>
      </w:pPr>
    </w:p>
    <w:p>
      <w:pPr>
        <w:ind w:right="380" w:firstLine="1298"/>
        <w:spacing w:after="0" w:line="262" w:lineRule="auto"/>
        <w:tabs>
          <w:tab w:leader="none" w:pos="1992"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Grants Exceeding Allotted Shares</w:t>
      </w:r>
      <w:r>
        <w:rPr>
          <w:rFonts w:ascii="Arial" w:cs="Arial" w:eastAsia="Arial" w:hAnsi="Arial"/>
          <w:sz w:val="18"/>
          <w:szCs w:val="18"/>
          <w:color w:val="auto"/>
        </w:rPr>
        <w:t>. If the Optioned Stock covered by an Option exceeds, as of the date of grant, the number of Shares which may be issued under the Plan, such Option shall be void with respect to such excess Optioned Stock, unless approval of an amendment sufficiently increasing the number of shares subject to the Plan is timely obtained.</w:t>
      </w:r>
    </w:p>
    <w:p>
      <w:pPr>
        <w:spacing w:after="0" w:line="182" w:lineRule="exact"/>
        <w:rPr>
          <w:rFonts w:ascii="Arial" w:cs="Arial" w:eastAsia="Arial" w:hAnsi="Arial"/>
          <w:sz w:val="18"/>
          <w:szCs w:val="18"/>
          <w:color w:val="auto"/>
        </w:rPr>
      </w:pPr>
    </w:p>
    <w:p>
      <w:pPr>
        <w:ind w:right="260" w:firstLine="653"/>
        <w:spacing w:after="0" w:line="275" w:lineRule="auto"/>
        <w:tabs>
          <w:tab w:leader="none" w:pos="136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ectPr>
          <w:pgSz w:w="11900" w:h="16838" w:orient="portrait"/>
          <w:cols w:equalWidth="0" w:num="1">
            <w:col w:w="11420"/>
          </w:cols>
          <w:pgMar w:left="240" w:top="125" w:right="239" w:bottom="0" w:gutter="0" w:footer="0" w:header="0"/>
        </w:sectPr>
      </w:pPr>
    </w:p>
    <w:bookmarkStart w:id="50" w:name="page51"/>
    <w:bookmarkEnd w:id="50"/>
    <w:p>
      <w:pPr>
        <w:ind w:left="-180" w:firstLine="653"/>
        <w:spacing w:after="0" w:line="275" w:lineRule="auto"/>
        <w:tabs>
          <w:tab w:leader="none" w:pos="1182"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71755</wp:posOffset>
            </wp:positionV>
            <wp:extent cx="726821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060"/>
          </w:cols>
          <w:pgMar w:left="420" w:top="125" w:right="419" w:bottom="1440" w:gutter="0" w:footer="0" w:header="0"/>
        </w:sectPr>
      </w:pPr>
    </w:p>
    <w:bookmarkStart w:id="51" w:name="page52"/>
    <w:bookmarkEnd w:id="51"/>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4" w:lineRule="exact"/>
        <w:rPr>
          <w:sz w:val="20"/>
          <w:szCs w:val="20"/>
          <w:color w:val="auto"/>
        </w:rPr>
      </w:pPr>
    </w:p>
    <w:p>
      <w:pPr>
        <w:ind w:right="60" w:firstLine="645"/>
        <w:spacing w:after="0" w:line="258" w:lineRule="auto"/>
        <w:rPr>
          <w:sz w:val="20"/>
          <w:szCs w:val="20"/>
          <w:color w:val="auto"/>
        </w:rPr>
      </w:pPr>
      <w:r>
        <w:rPr>
          <w:rFonts w:ascii="Arial" w:cs="Arial" w:eastAsia="Arial" w:hAnsi="Arial"/>
          <w:sz w:val="18"/>
          <w:szCs w:val="18"/>
          <w:color w:val="auto"/>
        </w:rPr>
        <w:t>I, Steven R. Appleton, certify, pursuant to 18 U.S.C. Section 1350, as adopted pursuant to Section 906 of the Sarbanes-Oxley Act of 2002, that the quarterly report of Micron Technology, Inc. on Form 10-Q for the quarter ended November 28, 2002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Date: January 13, 2003</w:t>
            </w:r>
          </w:p>
        </w:tc>
        <w:tc>
          <w:tcPr>
            <w:tcW w:w="7700" w:type="dxa"/>
            <w:vAlign w:val="bottom"/>
            <w:gridSpan w:val="2"/>
          </w:tcPr>
          <w:p>
            <w:pPr>
              <w:ind w:left="2020"/>
              <w:spacing w:after="0"/>
              <w:rPr>
                <w:sz w:val="20"/>
                <w:szCs w:val="20"/>
                <w:color w:val="auto"/>
              </w:rPr>
            </w:pPr>
            <w:r>
              <w:rPr>
                <w:rFonts w:ascii="Arial" w:cs="Arial" w:eastAsia="Arial" w:hAnsi="Arial"/>
                <w:sz w:val="18"/>
                <w:szCs w:val="18"/>
                <w:color w:val="auto"/>
              </w:rPr>
              <w:t>By:   /S/ STEVEN R. APPLETON</w:t>
            </w:r>
          </w:p>
        </w:tc>
      </w:tr>
      <w:tr>
        <w:trPr>
          <w:trHeight w:val="194"/>
        </w:trPr>
        <w:tc>
          <w:tcPr>
            <w:tcW w:w="3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R. Appleton</w:t>
            </w:r>
          </w:p>
        </w:tc>
      </w:tr>
      <w:tr>
        <w:trPr>
          <w:trHeight w:val="215"/>
        </w:trPr>
        <w:tc>
          <w:tcPr>
            <w:tcW w:w="3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Chairman of the Board, Chief Executive Officer</w:t>
            </w:r>
          </w:p>
        </w:tc>
      </w:tr>
      <w:tr>
        <w:trPr>
          <w:trHeight w:val="230"/>
        </w:trPr>
        <w:tc>
          <w:tcPr>
            <w:tcW w:w="3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4" w:lineRule="exact"/>
        <w:rPr>
          <w:sz w:val="20"/>
          <w:szCs w:val="20"/>
          <w:color w:val="auto"/>
        </w:rPr>
      </w:pPr>
    </w:p>
    <w:p>
      <w:pPr>
        <w:jc w:val="both"/>
        <w:ind w:right="60" w:firstLine="645"/>
        <w:spacing w:after="0" w:line="258" w:lineRule="auto"/>
        <w:rPr>
          <w:sz w:val="20"/>
          <w:szCs w:val="20"/>
          <w:color w:val="auto"/>
        </w:rPr>
      </w:pPr>
      <w:r>
        <w:rPr>
          <w:rFonts w:ascii="Arial" w:cs="Arial" w:eastAsia="Arial" w:hAnsi="Arial"/>
          <w:sz w:val="18"/>
          <w:szCs w:val="18"/>
          <w:color w:val="auto"/>
        </w:rPr>
        <w:t>I, Wilbur G. Stover, Jr., certify, pursuant to 18 U.S.C. Section 1350, as adopted pursuant to Section 906 of the Sarbanes-Oxley Act of 2002, that the quarterly report of Micron Technology, Inc. on Form 10-Q for the quarter ended November 28, 2002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Date: January 13, 2003</w:t>
            </w:r>
          </w:p>
        </w:tc>
        <w:tc>
          <w:tcPr>
            <w:tcW w:w="7700" w:type="dxa"/>
            <w:vAlign w:val="bottom"/>
            <w:gridSpan w:val="2"/>
          </w:tcPr>
          <w:p>
            <w:pPr>
              <w:ind w:left="2020"/>
              <w:spacing w:after="0"/>
              <w:rPr>
                <w:sz w:val="20"/>
                <w:szCs w:val="20"/>
                <w:color w:val="auto"/>
              </w:rPr>
            </w:pPr>
            <w:r>
              <w:rPr>
                <w:rFonts w:ascii="Arial" w:cs="Arial" w:eastAsia="Arial" w:hAnsi="Arial"/>
                <w:sz w:val="18"/>
                <w:szCs w:val="18"/>
                <w:color w:val="auto"/>
              </w:rPr>
              <w:t>By:   /S/ WILBUR G. STOVER, JR.</w:t>
            </w:r>
          </w:p>
        </w:tc>
        <w:tc>
          <w:tcPr>
            <w:tcW w:w="20" w:type="dxa"/>
            <w:vAlign w:val="bottom"/>
          </w:tcPr>
          <w:p>
            <w:pPr>
              <w:spacing w:after="0"/>
              <w:rPr>
                <w:sz w:val="19"/>
                <w:szCs w:val="19"/>
                <w:color w:val="auto"/>
              </w:rPr>
            </w:pPr>
          </w:p>
        </w:tc>
      </w:tr>
      <w:tr>
        <w:trPr>
          <w:trHeight w:val="194"/>
        </w:trPr>
        <w:tc>
          <w:tcPr>
            <w:tcW w:w="3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Wilbur G. Stover, Jr.</w:t>
            </w:r>
          </w:p>
        </w:tc>
        <w:tc>
          <w:tcPr>
            <w:tcW w:w="20" w:type="dxa"/>
            <w:vAlign w:val="bottom"/>
          </w:tcPr>
          <w:p>
            <w:pPr>
              <w:spacing w:after="0"/>
              <w:rPr>
                <w:sz w:val="16"/>
                <w:szCs w:val="16"/>
                <w:color w:val="auto"/>
              </w:rPr>
            </w:pPr>
          </w:p>
        </w:tc>
      </w:tr>
      <w:tr>
        <w:trPr>
          <w:trHeight w:val="215"/>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9"/>
                <w:szCs w:val="19"/>
                <w:color w:val="auto"/>
              </w:rPr>
            </w:pPr>
          </w:p>
        </w:tc>
      </w:tr>
      <w:tr>
        <w:trPr>
          <w:trHeight w:val="534"/>
        </w:trPr>
        <w:tc>
          <w:tcPr>
            <w:tcW w:w="37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40"/>
      </w:cols>
      <w:pgMar w:left="240" w:top="57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o"/>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1)"/>
      <w:numFmt w:val="lowerLetter"/>
      <w:start w:val="1"/>
    </w:lvl>
  </w:abstractNum>
  <w:abstractNum w:abstractNumId="8">
    <w:nsid w:val="6A5EE64"/>
    <w:multiLevelType w:val="hybridMultilevel"/>
    <w:lvl w:ilvl="0">
      <w:lvlJc w:val="left"/>
      <w:lvlText w:val="(%1)"/>
      <w:numFmt w:val="lowerLetter"/>
      <w:start w:val="2"/>
    </w:lvl>
  </w:abstractNum>
  <w:abstractNum w:abstractNumId="9">
    <w:nsid w:val="14330624"/>
    <w:multiLevelType w:val="hybridMultilevel"/>
    <w:lvl w:ilvl="0">
      <w:lvlJc w:val="left"/>
      <w:lvlText w:val="(%1)"/>
      <w:numFmt w:val="lowerLetter"/>
      <w:start w:val="2"/>
    </w:lvl>
  </w:abstractNum>
  <w:abstractNum w:abstractNumId="10">
    <w:nsid w:val="7FFFCA11"/>
    <w:multiLevelType w:val="hybridMultilevel"/>
    <w:lvl w:ilvl="0">
      <w:lvlJc w:val="left"/>
      <w:lvlText w:val="(%1)"/>
      <w:numFmt w:val="lowerLetter"/>
      <w:start w:val="1"/>
    </w:lvl>
  </w:abstractNum>
  <w:abstractNum w:abstractNumId="11">
    <w:nsid w:val="1A27709E"/>
    <w:multiLevelType w:val="hybridMultilevel"/>
    <w:lvl w:ilvl="0">
      <w:lvlJc w:val="left"/>
      <w:lvlText w:val="(%1)"/>
      <w:numFmt w:val="decimal"/>
      <w:start w:val="1"/>
    </w:lvl>
    <w:lvl w:ilvl="1">
      <w:lvlJc w:val="left"/>
      <w:lvlText w:val="(%2)"/>
      <w:numFmt w:val="lowerLetter"/>
      <w:start w:val="2"/>
    </w:lvl>
  </w:abstractNum>
  <w:abstractNum w:abstractNumId="12">
    <w:nsid w:val="71EA1109"/>
    <w:multiLevelType w:val="hybridMultilevel"/>
    <w:lvl w:ilvl="0">
      <w:lvlJc w:val="left"/>
      <w:lvlText w:val="%1."/>
      <w:numFmt w:val="decimal"/>
      <w:start w:val="1"/>
    </w:lvl>
    <w:lvl w:ilvl="1">
      <w:lvlJc w:val="left"/>
      <w:lvlText w:val="%2."/>
      <w:numFmt w:val="lowerLetter"/>
      <w:start w:val="1"/>
    </w:lvl>
  </w:abstractNum>
  <w:abstractNum w:abstractNumId="13">
    <w:nsid w:val="100F59DC"/>
    <w:multiLevelType w:val="hybridMultilevel"/>
    <w:lvl w:ilvl="0">
      <w:lvlJc w:val="left"/>
      <w:lvlText w:val="%1."/>
      <w:numFmt w:val="decimal"/>
      <w:start w:val="6"/>
    </w:lvl>
  </w:abstractNum>
  <w:abstractNum w:abstractNumId="14">
    <w:nsid w:val="7FB7E0AA"/>
    <w:multiLevelType w:val="hybridMultilevel"/>
    <w:lvl w:ilvl="0">
      <w:lvlJc w:val="left"/>
      <w:lvlText w:val="%1."/>
      <w:numFmt w:val="decimal"/>
      <w:start w:val="1"/>
    </w:lvl>
    <w:lvl w:ilvl="1">
      <w:lvlJc w:val="left"/>
      <w:lvlText w:val="%2."/>
      <w:numFmt w:val="lowerLetter"/>
      <w:start w:val="1"/>
    </w:lvl>
  </w:abstractNum>
  <w:abstractNum w:abstractNumId="15">
    <w:nsid w:val="6EB5BD4"/>
    <w:multiLevelType w:val="hybridMultilevel"/>
    <w:lvl w:ilvl="0">
      <w:lvlJc w:val="left"/>
      <w:lvlText w:val="%1."/>
      <w:numFmt w:val="decimal"/>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8">
    <w:nsid w:val="885E1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9">
    <w:nsid w:val="76272110"/>
    <w:multiLevelType w:val="hybridMultilevel"/>
    <w:lvl w:ilvl="0">
      <w:lvlJc w:val="left"/>
      <w:lvlText w:val="(%1)"/>
      <w:numFmt w:val="lowerLetter"/>
      <w:start w:val="11"/>
    </w:lvl>
  </w:abstractNum>
  <w:abstractNum w:abstractNumId="20">
    <w:nsid w:val="4C04A8AF"/>
    <w:multiLevelType w:val="hybridMultilevel"/>
    <w:lvl w:ilvl="0">
      <w:lvlJc w:val="left"/>
      <w:lvlText w:val="(%1)"/>
      <w:numFmt w:val="lowerLetter"/>
      <w:start w:val="14"/>
    </w:lvl>
  </w:abstractNum>
  <w:abstractNum w:abstractNumId="21">
    <w:nsid w:val="1716703B"/>
    <w:multiLevelType w:val="hybridMultilevel"/>
    <w:lvl w:ilvl="0">
      <w:lvlJc w:val="left"/>
      <w:lvlText w:val="(%1)"/>
      <w:numFmt w:val="lowerLetter"/>
      <w:start w:val="19"/>
    </w:lvl>
  </w:abstractNum>
  <w:abstractNum w:abstractNumId="22">
    <w:nsid w:val="14E17E33"/>
    <w:multiLevelType w:val="hybridMultilevel"/>
    <w:lvl w:ilvl="0">
      <w:lvlJc w:val="left"/>
      <w:lvlText w:val="(%1)"/>
      <w:numFmt w:val="lowerLetter"/>
      <w:start w:val="20"/>
    </w:lvl>
  </w:abstractNum>
  <w:abstractNum w:abstractNumId="23">
    <w:nsid w:val="3222E7CD"/>
    <w:multiLevelType w:val="hybridMultilevel"/>
    <w:lvl w:ilvl="0">
      <w:lvlJc w:val="left"/>
      <w:lvlText w:val="(%1)"/>
      <w:numFmt w:val="lowerLetter"/>
      <w:start w:val="22"/>
    </w:lvl>
  </w:abstractNum>
  <w:abstractNum w:abstractNumId="24">
    <w:nsid w:val="74DE0EE3"/>
    <w:multiLevelType w:val="hybridMultilevel"/>
    <w:lvl w:ilvl="0">
      <w:lvlJc w:val="left"/>
      <w:lvlText w:val="%1."/>
      <w:numFmt w:val="decimal"/>
      <w:start w:val="3"/>
    </w:lvl>
  </w:abstractNum>
  <w:abstractNum w:abstractNumId="25">
    <w:nsid w:val="68EBC5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
    <w:nsid w:val="2DF6D648"/>
    <w:multiLevelType w:val="hybridMultilevel"/>
    <w:lvl w:ilvl="0">
      <w:lvlJc w:val="left"/>
      <w:lvlText w:val="(%1)"/>
      <w:numFmt w:val="lowerRoman"/>
      <w:start w:val="3"/>
    </w:lvl>
  </w:abstractNum>
  <w:abstractNum w:abstractNumId="27">
    <w:nsid w:val="46B7D447"/>
    <w:multiLevelType w:val="hybridMultilevel"/>
    <w:lvl w:ilvl="0">
      <w:lvlJc w:val="left"/>
      <w:lvlText w:val="(%1)"/>
      <w:numFmt w:val="lowerRoman"/>
      <w:start w:val="7"/>
    </w:lvl>
  </w:abstractNum>
  <w:abstractNum w:abstractNumId="28">
    <w:nsid w:val="4A2AC315"/>
    <w:multiLevelType w:val="hybridMultilevel"/>
    <w:lvl w:ilvl="0">
      <w:lvlJc w:val="left"/>
      <w:lvlText w:val="%1"/>
      <w:numFmt w:val="decimal"/>
      <w:start w:val="1"/>
    </w:lvl>
    <w:lvl w:ilvl="1">
      <w:lvlJc w:val="left"/>
      <w:lvlText w:val="(%2)"/>
      <w:numFmt w:val="lowerLetter"/>
      <w:start w:val="3"/>
    </w:lvl>
  </w:abstractNum>
  <w:abstractNum w:abstractNumId="29">
    <w:nsid w:val="39EE015C"/>
    <w:multiLevelType w:val="hybridMultilevel"/>
    <w:lvl w:ilvl="0">
      <w:lvlJc w:val="left"/>
      <w:lvlText w:val="%1."/>
      <w:numFmt w:val="decimal"/>
      <w:start w:val="5"/>
    </w:lvl>
    <w:lvl w:ilvl="1">
      <w:lvlJc w:val="left"/>
      <w:lvlText w:val="%2"/>
      <w:numFmt w:val="lowerLetter"/>
      <w:start w:val="1"/>
    </w:lvl>
  </w:abstractNum>
  <w:abstractNum w:abstractNumId="30">
    <w:nsid w:val="57FC4FB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1">
    <w:nsid w:val="CC1016F"/>
    <w:multiLevelType w:val="hybridMultilevel"/>
    <w:lvl w:ilvl="0">
      <w:lvlJc w:val="left"/>
      <w:lvlText w:val="%1."/>
      <w:numFmt w:val="decimal"/>
      <w:start w:val="10"/>
    </w:lvl>
    <w:lvl w:ilvl="1">
      <w:lvlJc w:val="left"/>
      <w:lvlText w:val="(%2)"/>
      <w:numFmt w:val="lowerLetter"/>
      <w:start w:val="1"/>
    </w:lvl>
  </w:abstractNum>
  <w:abstractNum w:abstractNumId="32">
    <w:nsid w:val="43F18422"/>
    <w:multiLevelType w:val="hybridMultilevel"/>
    <w:lvl w:ilvl="0">
      <w:lvlJc w:val="left"/>
      <w:lvlText w:val="(%1)"/>
      <w:numFmt w:val="lowerLetter"/>
      <w:start w:val="2"/>
    </w:lvl>
  </w:abstractNum>
  <w:abstractNum w:abstractNumId="33">
    <w:nsid w:val="60EF0119"/>
    <w:multiLevelType w:val="hybridMultilevel"/>
    <w:lvl w:ilvl="0">
      <w:lvlJc w:val="left"/>
      <w:lvlText w:val="%1"/>
      <w:numFmt w:val="decimal"/>
      <w:start w:val="1"/>
    </w:lvl>
    <w:lvl w:ilvl="1">
      <w:lvlJc w:val="left"/>
      <w:lvlText w:val="(%2)"/>
      <w:numFmt w:val="lowerLetter"/>
      <w:start w:val="4"/>
    </w:lvl>
  </w:abstractNum>
  <w:abstractNum w:abstractNumId="34">
    <w:nsid w:val="26F324BA"/>
    <w:multiLevelType w:val="hybridMultilevel"/>
    <w:lvl w:ilvl="0">
      <w:lvlJc w:val="left"/>
      <w:lvlText w:val="%1."/>
      <w:numFmt w:val="decimal"/>
      <w:start w:val="11"/>
    </w:lvl>
    <w:lvl w:ilvl="1">
      <w:lvlJc w:val="left"/>
      <w:lvlText w:val="(%2)"/>
      <w:numFmt w:val="lowerLetter"/>
      <w:start w:val="1"/>
    </w:lvl>
  </w:abstractNum>
  <w:abstractNum w:abstractNumId="35">
    <w:nsid w:val="7F01579B"/>
    <w:multiLevelType w:val="hybridMultilevel"/>
    <w:lvl w:ilvl="0">
      <w:lvlJc w:val="left"/>
      <w:lvlText w:val="(%1)"/>
      <w:numFmt w:val="lowerLetter"/>
      <w:start w:val="2"/>
    </w:lvl>
  </w:abstractNum>
  <w:abstractNum w:abstractNumId="36">
    <w:nsid w:val="49DA307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7">
    <w:nsid w:val="7055A5F5"/>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38">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50801EE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
    <w:nsid w:val="488AC1A"/>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1">
    <w:nsid w:val="5FB8011C"/>
    <w:multiLevelType w:val="hybridMultilevel"/>
    <w:lvl w:ilvl="0">
      <w:lvlJc w:val="left"/>
      <w:lvlText w:val="%1."/>
      <w:numFmt w:val="decimal"/>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4">
    <w:nsid w:val="6FC75AF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5">
    <w:nsid w:val="6A5F7029"/>
    <w:multiLevelType w:val="hybridMultilevel"/>
    <w:lvl w:ilvl="0">
      <w:lvlJc w:val="left"/>
      <w:lvlText w:val="(%1)"/>
      <w:numFmt w:val="lowerLetter"/>
      <w:start w:val="11"/>
    </w:lvl>
  </w:abstractNum>
  <w:abstractNum w:abstractNumId="46">
    <w:nsid w:val="7D5E18F8"/>
    <w:multiLevelType w:val="hybridMultilevel"/>
    <w:lvl w:ilvl="0">
      <w:lvlJc w:val="left"/>
      <w:lvlText w:val="(%1)"/>
      <w:numFmt w:val="lowerLetter"/>
      <w:start w:val="14"/>
    </w:lvl>
  </w:abstractNum>
  <w:abstractNum w:abstractNumId="47">
    <w:nsid w:val="5F3534A4"/>
    <w:multiLevelType w:val="hybridMultilevel"/>
    <w:lvl w:ilvl="0">
      <w:lvlJc w:val="left"/>
      <w:lvlText w:val="(%1)"/>
      <w:numFmt w:val="lowerLetter"/>
      <w:start w:val="19"/>
    </w:lvl>
  </w:abstractNum>
  <w:abstractNum w:abstractNumId="48">
    <w:nsid w:val="73A1821B"/>
    <w:multiLevelType w:val="hybridMultilevel"/>
    <w:lvl w:ilvl="0">
      <w:lvlJc w:val="left"/>
      <w:lvlText w:val="(%1)"/>
      <w:numFmt w:val="lowerLetter"/>
      <w:start w:val="20"/>
    </w:lvl>
  </w:abstractNum>
  <w:abstractNum w:abstractNumId="49">
    <w:nsid w:val="7DE67713"/>
    <w:multiLevelType w:val="hybridMultilevel"/>
    <w:lvl w:ilvl="0">
      <w:lvlJc w:val="left"/>
      <w:lvlText w:val="%1."/>
      <w:numFmt w:val="decimal"/>
      <w:start w:val="3"/>
    </w:lvl>
  </w:abstractNum>
  <w:abstractNum w:abstractNumId="50">
    <w:nsid w:val="555C55B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1">
    <w:nsid w:val="3FA62ACA"/>
    <w:multiLevelType w:val="hybridMultilevel"/>
    <w:lvl w:ilvl="0">
      <w:lvlJc w:val="left"/>
      <w:lvlText w:val="(%1)"/>
      <w:numFmt w:val="lowerRoman"/>
      <w:start w:val="6"/>
    </w:lvl>
  </w:abstractNum>
  <w:abstractNum w:abstractNumId="52">
    <w:nsid w:val="14FCE74E"/>
    <w:multiLevelType w:val="hybridMultilevel"/>
    <w:lvl w:ilvl="0">
      <w:lvlJc w:val="left"/>
      <w:lvlText w:val="%1"/>
      <w:numFmt w:val="decimal"/>
      <w:start w:val="1"/>
    </w:lvl>
    <w:lvl w:ilvl="1">
      <w:lvlJc w:val="left"/>
      <w:lvlText w:val="(%2)"/>
      <w:numFmt w:val="lowerLetter"/>
      <w:start w:val="3"/>
    </w:lvl>
  </w:abstractNum>
  <w:abstractNum w:abstractNumId="53">
    <w:nsid w:val="6A3DD3E8"/>
    <w:multiLevelType w:val="hybridMultilevel"/>
    <w:lvl w:ilvl="0">
      <w:lvlJc w:val="left"/>
      <w:lvlText w:val="%1."/>
      <w:numFmt w:val="decimal"/>
      <w:start w:val="5"/>
    </w:lvl>
    <w:lvl w:ilvl="1">
      <w:lvlJc w:val="left"/>
      <w:lvlText w:val="%2"/>
      <w:numFmt w:val="lowerLetter"/>
      <w:start w:val="1"/>
    </w:lvl>
  </w:abstractNum>
  <w:abstractNum w:abstractNumId="54">
    <w:nsid w:val="71C9129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
    <w:nsid w:val="9DAF632"/>
    <w:multiLevelType w:val="hybridMultilevel"/>
    <w:lvl w:ilvl="0">
      <w:lvlJc w:val="left"/>
      <w:lvlText w:val="%1."/>
      <w:numFmt w:val="decimal"/>
      <w:start w:val="10"/>
    </w:lvl>
    <w:lvl w:ilvl="1">
      <w:lvlJc w:val="left"/>
      <w:lvlText w:val="(%2)"/>
      <w:numFmt w:val="lowerLetter"/>
      <w:start w:val="1"/>
    </w:lvl>
  </w:abstractNum>
  <w:abstractNum w:abstractNumId="56">
    <w:nsid w:val="53299938"/>
    <w:multiLevelType w:val="hybridMultilevel"/>
    <w:lvl w:ilvl="0">
      <w:lvlJc w:val="left"/>
      <w:lvlText w:val="(%1)"/>
      <w:numFmt w:val="lowerLetter"/>
      <w:start w:val="2"/>
    </w:lvl>
  </w:abstractNum>
  <w:abstractNum w:abstractNumId="57">
    <w:nsid w:val="1FBFE8E0"/>
    <w:multiLevelType w:val="hybridMultilevel"/>
    <w:lvl w:ilvl="0">
      <w:lvlJc w:val="left"/>
      <w:lvlText w:val="%1"/>
      <w:numFmt w:val="decimal"/>
      <w:start w:val="1"/>
    </w:lvl>
    <w:lvl w:ilvl="1">
      <w:lvlJc w:val="left"/>
      <w:lvlText w:val="(%2)"/>
      <w:numFmt w:val="lowerLetter"/>
      <w:start w:val="4"/>
    </w:lvl>
  </w:abstractNum>
  <w:abstractNum w:abstractNumId="58">
    <w:nsid w:val="5092CA79"/>
    <w:multiLevelType w:val="hybridMultilevel"/>
    <w:lvl w:ilvl="0">
      <w:lvlJc w:val="left"/>
      <w:lvlText w:val="%1."/>
      <w:numFmt w:val="decimal"/>
      <w:start w:val="11"/>
    </w:lvl>
    <w:lvl w:ilvl="1">
      <w:lvlJc w:val="left"/>
      <w:lvlText w:val="(%2)"/>
      <w:numFmt w:val="lowerLetter"/>
      <w:start w:val="1"/>
    </w:lvl>
  </w:abstractNum>
  <w:abstractNum w:abstractNumId="59">
    <w:nsid w:val="1D545C4D"/>
    <w:multiLevelType w:val="hybridMultilevel"/>
    <w:lvl w:ilvl="0">
      <w:lvlJc w:val="left"/>
      <w:lvlText w:val="(%1)"/>
      <w:numFmt w:val="lowerLetter"/>
      <w:start w:val="2"/>
    </w:lvl>
  </w:abstractNum>
  <w:abstractNum w:abstractNumId="60">
    <w:nsid w:val="59ADEA3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1">
    <w:nsid w:val="288F1A34"/>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62">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3">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64">
    <w:nsid w:val="97E1B4E"/>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5">
    <w:nsid w:val="51088277"/>
    <w:multiLevelType w:val="hybridMultilevel"/>
    <w:lvl w:ilvl="0">
      <w:lvlJc w:val="left"/>
      <w:lvlText w:val="%1."/>
      <w:numFmt w:val="decimal"/>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8">
    <w:nsid w:val="415E286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69">
    <w:nsid w:val="7C58FD05"/>
    <w:multiLevelType w:val="hybridMultilevel"/>
    <w:lvl w:ilvl="0">
      <w:lvlJc w:val="left"/>
      <w:lvlText w:val="(%1)"/>
      <w:numFmt w:val="lowerLetter"/>
      <w:start w:val="11"/>
    </w:lvl>
  </w:abstractNum>
  <w:abstractNum w:abstractNumId="70">
    <w:nsid w:val="23D86AAC"/>
    <w:multiLevelType w:val="hybridMultilevel"/>
    <w:lvl w:ilvl="0">
      <w:lvlJc w:val="left"/>
      <w:lvlText w:val="(%1)"/>
      <w:numFmt w:val="lowerLetter"/>
      <w:start w:val="14"/>
    </w:lvl>
  </w:abstractNum>
  <w:abstractNum w:abstractNumId="71">
    <w:nsid w:val="45E6D486"/>
    <w:multiLevelType w:val="hybridMultilevel"/>
    <w:lvl w:ilvl="0">
      <w:lvlJc w:val="left"/>
      <w:lvlText w:val="(%1)"/>
      <w:numFmt w:val="lowerLetter"/>
      <w:start w:val="19"/>
    </w:lvl>
  </w:abstractNum>
  <w:abstractNum w:abstractNumId="72">
    <w:nsid w:val="5C10FE21"/>
    <w:multiLevelType w:val="hybridMultilevel"/>
    <w:lvl w:ilvl="0">
      <w:lvlJc w:val="left"/>
      <w:lvlText w:val="(%1)"/>
      <w:numFmt w:val="lowerLetter"/>
      <w:start w:val="20"/>
    </w:lvl>
  </w:abstractNum>
  <w:abstractNum w:abstractNumId="73">
    <w:nsid w:val="E7FFA2B"/>
    <w:multiLevelType w:val="hybridMultilevel"/>
    <w:lvl w:ilvl="0">
      <w:lvlJc w:val="left"/>
      <w:lvlText w:val="%1."/>
      <w:numFmt w:val="decimal"/>
      <w:start w:val="3"/>
    </w:lvl>
  </w:abstractNum>
  <w:abstractNum w:abstractNumId="74">
    <w:nsid w:val="3C5991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5">
    <w:nsid w:val="4BD8591A"/>
    <w:multiLevelType w:val="hybridMultilevel"/>
    <w:lvl w:ilvl="0">
      <w:lvlJc w:val="left"/>
      <w:lvlText w:val="(%1)"/>
      <w:numFmt w:val="lowerRoman"/>
      <w:start w:val="3"/>
    </w:lvl>
  </w:abstractNum>
  <w:abstractNum w:abstractNumId="76">
    <w:nsid w:val="78DF6A55"/>
    <w:multiLevelType w:val="hybridMultilevel"/>
    <w:lvl w:ilvl="0">
      <w:lvlJc w:val="left"/>
      <w:lvlText w:val="(%1)"/>
      <w:numFmt w:val="lowerRoman"/>
      <w:start w:val="6"/>
    </w:lvl>
  </w:abstractNum>
  <w:abstractNum w:abstractNumId="77">
    <w:nsid w:val="39B7AAA2"/>
    <w:multiLevelType w:val="hybridMultilevel"/>
    <w:lvl w:ilvl="0">
      <w:lvlJc w:val="left"/>
      <w:lvlText w:val="%1"/>
      <w:numFmt w:val="decimal"/>
      <w:start w:val="1"/>
    </w:lvl>
    <w:lvl w:ilvl="1">
      <w:lvlJc w:val="left"/>
      <w:lvlText w:val="(%2)"/>
      <w:numFmt w:val="lowerLetter"/>
      <w:start w:val="3"/>
    </w:lvl>
  </w:abstractNum>
  <w:abstractNum w:abstractNumId="78">
    <w:nsid w:val="2B0D8DBE"/>
    <w:multiLevelType w:val="hybridMultilevel"/>
    <w:lvl w:ilvl="0">
      <w:lvlJc w:val="left"/>
      <w:lvlText w:val="%1."/>
      <w:numFmt w:val="decimal"/>
      <w:start w:val="5"/>
    </w:lvl>
    <w:lvl w:ilvl="1">
      <w:lvlJc w:val="left"/>
      <w:lvlText w:val="%2"/>
      <w:numFmt w:val="lowerLetter"/>
      <w:start w:val="1"/>
    </w:lvl>
  </w:abstractNum>
  <w:abstractNum w:abstractNumId="79">
    <w:nsid w:val="6C80EC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379E21B5"/>
    <w:multiLevelType w:val="hybridMultilevel"/>
    <w:lvl w:ilvl="0">
      <w:lvlJc w:val="left"/>
      <w:lvlText w:val="%1."/>
      <w:numFmt w:val="decimal"/>
      <w:start w:val="10"/>
    </w:lvl>
    <w:lvl w:ilvl="1">
      <w:lvlJc w:val="left"/>
      <w:lvlText w:val="(%2)"/>
      <w:numFmt w:val="lowerLetter"/>
      <w:start w:val="1"/>
    </w:lvl>
  </w:abstractNum>
  <w:abstractNum w:abstractNumId="81">
    <w:nsid w:val="69E373"/>
    <w:multiLevelType w:val="hybridMultilevel"/>
    <w:lvl w:ilvl="0">
      <w:lvlJc w:val="left"/>
      <w:lvlText w:val="(%1)"/>
      <w:numFmt w:val="lowerLetter"/>
      <w:start w:val="2"/>
    </w:lvl>
  </w:abstractNum>
  <w:abstractNum w:abstractNumId="82">
    <w:nsid w:val="2C27173B"/>
    <w:multiLevelType w:val="hybridMultilevel"/>
    <w:lvl w:ilvl="0">
      <w:lvlJc w:val="left"/>
      <w:lvlText w:val="%1"/>
      <w:numFmt w:val="decimal"/>
      <w:start w:val="1"/>
    </w:lvl>
    <w:lvl w:ilvl="1">
      <w:lvlJc w:val="left"/>
      <w:lvlText w:val="(%2)"/>
      <w:numFmt w:val="lowerLetter"/>
      <w:start w:val="4"/>
    </w:lvl>
  </w:abstractNum>
  <w:abstractNum w:abstractNumId="83">
    <w:nsid w:val="4C9B0904"/>
    <w:multiLevelType w:val="hybridMultilevel"/>
    <w:lvl w:ilvl="0">
      <w:lvlJc w:val="left"/>
      <w:lvlText w:val="%1."/>
      <w:numFmt w:val="decimal"/>
      <w:start w:val="11"/>
    </w:lvl>
    <w:lvl w:ilvl="1">
      <w:lvlJc w:val="left"/>
      <w:lvlText w:val="(%2)"/>
      <w:numFmt w:val="lowerLetter"/>
      <w:start w:val="1"/>
    </w:lvl>
  </w:abstractNum>
  <w:abstractNum w:abstractNumId="84">
    <w:nsid w:val="6AA7B75C"/>
    <w:multiLevelType w:val="hybridMultilevel"/>
    <w:lvl w:ilvl="0">
      <w:lvlJc w:val="left"/>
      <w:lvlText w:val="(%1)"/>
      <w:numFmt w:val="lowerLetter"/>
      <w:start w:val="2"/>
    </w:lvl>
  </w:abstractNum>
  <w:abstractNum w:abstractNumId="85">
    <w:nsid w:val="1DF029D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6">
    <w:nsid w:val="5675FF36"/>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87">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3DB012B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9">
    <w:nsid w:val="2708C9A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90">
    <w:nsid w:val="5B25ACE2"/>
    <w:multiLevelType w:val="hybridMultilevel"/>
    <w:lvl w:ilvl="0">
      <w:lvlJc w:val="left"/>
      <w:lvlText w:val="%1."/>
      <w:numFmt w:val="decimal"/>
      <w:start w:val="1"/>
    </w:lvl>
    <w:lvl w:ilvl="1">
      <w:lvlJc w:val="left"/>
      <w:lvlText w:val="(%2)"/>
      <w:numFmt w:val="lowerLetter"/>
      <w:start w:val="1"/>
    </w:lvl>
  </w:abstractNum>
  <w:abstractNum w:abstractNumId="91">
    <w:nsid w:val="175DFCF0"/>
    <w:multiLevelType w:val="hybridMultilevel"/>
    <w:lvl w:ilvl="0">
      <w:lvlJc w:val="left"/>
      <w:lvlText w:val="%1"/>
      <w:numFmt w:val="decimal"/>
      <w:start w:val="1"/>
    </w:lvl>
    <w:lvl w:ilvl="1">
      <w:lvlJc w:val="left"/>
      <w:lvlText w:val="(%2)"/>
      <w:numFmt w:val="lowerLetter"/>
      <w:start w:val="7"/>
    </w:lvl>
  </w:abstractNum>
  <w:abstractNum w:abstractNumId="92">
    <w:nsid w:val="4F97E3E4"/>
    <w:multiLevelType w:val="hybridMultilevel"/>
    <w:lvl w:ilvl="0">
      <w:lvlJc w:val="left"/>
      <w:lvlText w:val="%1."/>
      <w:numFmt w:val="decimal"/>
      <w:start w:val="3"/>
    </w:lvl>
    <w:lvl w:ilvl="1">
      <w:lvlJc w:val="left"/>
      <w:lvlText w:val="(%2)"/>
      <w:numFmt w:val="lowerLetter"/>
      <w:start w:val="1"/>
    </w:lvl>
  </w:abstractNum>
  <w:abstractNum w:abstractNumId="93">
    <w:nsid w:val="53B0A9E"/>
    <w:multiLevelType w:val="hybridMultilevel"/>
    <w:lvl w:ilvl="0">
      <w:lvlJc w:val="left"/>
      <w:lvlText w:val="%1"/>
      <w:numFmt w:val="decimal"/>
      <w:start w:val="1"/>
    </w:lvl>
    <w:lvl w:ilvl="1">
      <w:lvlJc w:val="left"/>
      <w:lvlText w:val="(%2)"/>
      <w:numFmt w:val="lowerLetter"/>
      <w:start w:val="2"/>
    </w:lvl>
  </w:abstractNum>
  <w:abstractNum w:abstractNumId="94">
    <w:nsid w:val="34FD6B4F"/>
    <w:multiLevelType w:val="hybridMultilevel"/>
    <w:lvl w:ilvl="0">
      <w:lvlJc w:val="left"/>
      <w:lvlText w:val="%1."/>
      <w:numFmt w:val="decimal"/>
      <w:start w:val="4"/>
    </w:lvl>
    <w:lvl w:ilvl="1">
      <w:lvlJc w:val="left"/>
      <w:lvlText w:val="(%2)"/>
      <w:numFmt w:val="lowerLetter"/>
      <w:start w:val="1"/>
    </w:lvl>
  </w:abstractNum>
  <w:abstractNum w:abstractNumId="95">
    <w:nsid w:val="5915FF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6">
    <w:nsid w:val="56438D15"/>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97">
    <w:nsid w:val="519E3149"/>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2"/>
    </w:lvl>
  </w:abstractNum>
  <w:abstractNum w:abstractNumId="98">
    <w:nsid w:val="2C6E4AFD"/>
    <w:multiLevelType w:val="hybridMultilevel"/>
    <w:lvl w:ilvl="0">
      <w:lvlJc w:val="left"/>
      <w:lvlText w:val="%1."/>
      <w:numFmt w:val="decimal"/>
      <w:start w:val="9"/>
    </w:lvl>
    <w:lvl w:ilvl="1">
      <w:lvlJc w:val="left"/>
      <w:lvlText w:val="(%2)"/>
      <w:numFmt w:val="lowerLetter"/>
      <w:start w:val="1"/>
    </w:lvl>
  </w:abstractNum>
  <w:abstractNum w:abstractNumId="99">
    <w:nsid w:val="17A1B582"/>
    <w:multiLevelType w:val="hybridMultilevel"/>
    <w:lvl w:ilvl="0">
      <w:lvlJc w:val="left"/>
      <w:lvlText w:val="%1"/>
      <w:numFmt w:val="decimal"/>
      <w:start w:val="1"/>
    </w:lvl>
    <w:lvl w:ilvl="1">
      <w:lvlJc w:val="left"/>
      <w:lvlText w:val="(%2)"/>
      <w:numFmt w:val="lowerLetter"/>
      <w:start w:val="3"/>
    </w:lvl>
  </w:abstractNum>
  <w:abstractNum w:abstractNumId="100">
    <w:nsid w:val="4DF72E4E"/>
    <w:multiLevelType w:val="hybridMultilevel"/>
    <w:lvl w:ilvl="0">
      <w:lvlJc w:val="left"/>
      <w:lvlText w:val="%1."/>
      <w:numFmt w:val="decimal"/>
      <w:start w:val="14"/>
    </w:lvl>
    <w:lvl w:ilvl="1">
      <w:lvlJc w:val="left"/>
      <w:lvlText w:val="(%2)"/>
      <w:numFmt w:val="lowerLetter"/>
      <w:start w:val="1"/>
    </w:lvl>
  </w:abstractNum>
  <w:abstractNum w:abstractNumId="101">
    <w:nsid w:val="5046B5A9"/>
    <w:multiLevelType w:val="hybridMultilevel"/>
    <w:lvl w:ilvl="0">
      <w:lvlJc w:val="left"/>
      <w:lvlText w:val="%1."/>
      <w:numFmt w:val="decimal"/>
      <w:start w:val="15"/>
    </w:lvl>
    <w:lvl w:ilvl="1">
      <w:lvlJc w:val="left"/>
      <w:lvlText w:val="(%2)"/>
      <w:numFmt w:val="lowerLetter"/>
      <w:start w:val="1"/>
    </w:lvl>
  </w:abstractNum>
  <w:abstractNum w:abstractNumId="102">
    <w:nsid w:val="5D888A08"/>
    <w:multiLevelType w:val="hybridMultilevel"/>
    <w:lvl w:ilvl="0">
      <w:lvlJc w:val="left"/>
      <w:lvlText w:val="%1."/>
      <w:numFmt w:val="decimal"/>
      <w:start w:val="18"/>
    </w:lvl>
  </w:abstractNum>
  <w:abstractNum w:abstractNumId="103">
    <w:nsid w:val="2A082C70"/>
    <w:multiLevelType w:val="hybridMultilevel"/>
    <w:lvl w:ilvl="0">
      <w:lvlJc w:val="left"/>
      <w:lvlText w:val="%1."/>
      <w:numFmt w:val="decimal"/>
      <w:start w:val="20"/>
    </w:lvl>
    <w:lvl w:ilvl="1">
      <w:lvlJc w:val="left"/>
      <w:lvlText w:val="(%2)"/>
      <w:numFmt w:val="lowerLetter"/>
      <w:start w:val="1"/>
    </w:lvl>
  </w:abstractNum>
  <w:abstractNum w:abstractNumId="104">
    <w:nsid w:val="5EC6AFD4"/>
    <w:multiLevelType w:val="hybridMultilevel"/>
    <w:lvl w:ilvl="0">
      <w:lvlJc w:val="left"/>
      <w:lvlText w:val="(%1)"/>
      <w:numFmt w:val="lowerRoman"/>
      <w:start w:val="1"/>
    </w:lvl>
  </w:abstractNum>
  <w:abstractNum w:abstractNumId="105">
    <w:nsid w:val="19E21BB2"/>
    <w:multiLevelType w:val="hybridMultilevel"/>
    <w:lvl w:ilvl="0">
      <w:lvlJc w:val="left"/>
      <w:lvlText w:val="%1."/>
      <w:numFmt w:val="decimal"/>
      <w:start w:val="21"/>
    </w:lvl>
    <w:lvl w:ilvl="1">
      <w:lvlJc w:val="left"/>
      <w:lvlText w:val="(%2)"/>
      <w:numFmt w:val="lowerLetter"/>
      <w:start w:val="1"/>
    </w:lvl>
  </w:abstractNum>
  <w:abstractNum w:abstractNumId="106">
    <w:nsid w:val="75E0858A"/>
    <w:multiLevelType w:val="hybridMultilevel"/>
    <w:lvl w:ilvl="0">
      <w:lvlJc w:val="left"/>
      <w:lvlText w:val="%1."/>
      <w:numFmt w:val="decimal"/>
      <w:start w:val="23"/>
    </w:lvl>
  </w:abstractNum>
  <w:abstractNum w:abstractNumId="107">
    <w:nsid w:val="57A61A29"/>
    <w:multiLevelType w:val="hybridMultilevel"/>
    <w:lvl w:ilvl="0">
      <w:lvlJc w:val="left"/>
      <w:lvlText w:val="%1."/>
      <w:numFmt w:val="decimal"/>
      <w:start w:val="24"/>
    </w:lvl>
  </w:abstractNum>
  <w:abstractNum w:abstractNumId="108">
    <w:nsid w:val="5399C654"/>
    <w:multiLevelType w:val="hybridMultilevel"/>
    <w:lvl w:ilvl="0">
      <w:lvlJc w:val="left"/>
      <w:lvlText w:val="%1."/>
      <w:numFmt w:val="decimal"/>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1."/>
      <w:numFmt w:val="decimal"/>
      <w:start w:val="2"/>
    </w:lvl>
    <w:lvl w:ilvl="1">
      <w:lvlJc w:val="left"/>
      <w:lvlText w:val="(%2)"/>
      <w:numFmt w:val="lowerLetter"/>
      <w:start w:val="1"/>
    </w:lvl>
  </w:abstractNum>
  <w:abstractNum w:abstractNumId="111">
    <w:nsid w:val="B37E80A"/>
    <w:multiLevelType w:val="hybridMultilevel"/>
    <w:lvl w:ilvl="0">
      <w:lvlJc w:val="left"/>
      <w:lvlText w:val="(%1)"/>
      <w:numFmt w:val="lowerLetter"/>
      <w:start w:val="2"/>
    </w:lvl>
    <w:lvl w:ilvl="1">
      <w:lvlJc w:val="left"/>
      <w:lvlText w:val="(%2)"/>
      <w:numFmt w:val="lowerRoman"/>
      <w:start w:val="1"/>
    </w:lvl>
  </w:abstractNum>
  <w:abstractNum w:abstractNumId="112">
    <w:nsid w:val="2157F6BC"/>
    <w:multiLevelType w:val="hybridMultilevel"/>
    <w:lvl w:ilvl="0">
      <w:lvlJc w:val="left"/>
      <w:lvlText w:val="(%1)"/>
      <w:numFmt w:val="lowerRoman"/>
      <w:start w:val="3"/>
    </w:lvl>
  </w:abstractNum>
  <w:abstractNum w:abstractNumId="113">
    <w:nsid w:val="704E1DD5"/>
    <w:multiLevelType w:val="hybridMultilevel"/>
    <w:lvl w:ilvl="0">
      <w:lvlJc w:val="left"/>
      <w:lvlText w:val="(%1)"/>
      <w:numFmt w:val="lowerLetter"/>
      <w:start w:val="16"/>
    </w:lvl>
  </w:abstractNum>
  <w:abstractNum w:abstractNumId="114">
    <w:nsid w:val="57D2F10E"/>
    <w:multiLevelType w:val="hybridMultilevel"/>
    <w:lvl w:ilvl="0">
      <w:lvlJc w:val="left"/>
      <w:lvlText w:val="%1"/>
      <w:numFmt w:val="decimal"/>
      <w:start w:val="1"/>
    </w:lvl>
    <w:lvl w:ilvl="1">
      <w:lvlJc w:val="left"/>
      <w:lvlText w:val="(%2)"/>
      <w:numFmt w:val="lowerLetter"/>
      <w:start w:val="27"/>
    </w:lvl>
  </w:abstractNum>
  <w:abstractNum w:abstractNumId="115">
    <w:nsid w:val="BFFAE18"/>
    <w:multiLevelType w:val="hybridMultilevel"/>
    <w:lvl w:ilvl="0">
      <w:lvlJc w:val="left"/>
      <w:lvlText w:val="%1."/>
      <w:numFmt w:val="decimal"/>
      <w:start w:val="3"/>
    </w:lvl>
    <w:lvl w:ilvl="1">
      <w:lvlJc w:val="left"/>
      <w:lvlText w:val="%2"/>
      <w:numFmt w:val="lowerLetter"/>
      <w:start w:val="1"/>
    </w:lvl>
  </w:abstractNum>
  <w:abstractNum w:abstractNumId="116">
    <w:nsid w:val="E3E47A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17">
    <w:nsid w:val="2E48F04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18">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19">
    <w:nsid w:val="4BEE5A5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0">
    <w:nsid w:val="5551B9F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1">
    <w:nsid w:val="24F6AB8E"/>
    <w:multiLevelType w:val="hybridMultilevel"/>
    <w:lvl w:ilvl="0">
      <w:lvlJc w:val="left"/>
      <w:lvlText w:val="%1."/>
      <w:numFmt w:val="decimal"/>
      <w:start w:val="9"/>
    </w:lvl>
    <w:lvl w:ilvl="1">
      <w:lvlJc w:val="left"/>
      <w:lvlText w:val="(%2)"/>
      <w:numFmt w:val="lowerLetter"/>
      <w:start w:val="1"/>
    </w:lvl>
  </w:abstractNum>
  <w:abstractNum w:abstractNumId="122">
    <w:nsid w:val="634C574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3">
    <w:nsid w:val="24E99DD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4">
    <w:nsid w:val="2A31B62D"/>
    <w:multiLevelType w:val="hybridMultilevel"/>
    <w:lvl w:ilvl="0">
      <w:lvlJc w:val="left"/>
      <w:lvlText w:val="(%1)"/>
      <w:numFmt w:val="lowerLetter"/>
      <w:start w:val="2"/>
    </w:lvl>
  </w:abstractNum>
  <w:abstractNum w:abstractNumId="125">
    <w:nsid w:val="1849C29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26">
    <w:nsid w:val="7DFF9D0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27">
    <w:nsid w:val="75434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128">
    <w:nsid w:val="69E7F3E5"/>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29">
    <w:nsid w:val="2A6DE806"/>
    <w:multiLevelType w:val="hybridMultilevel"/>
    <w:lvl w:ilvl="0">
      <w:lvlJc w:val="left"/>
      <w:lvlText w:val="(%1)"/>
      <w:numFmt w:val="lowerRoman"/>
      <w:start w:val="3"/>
    </w:lvl>
  </w:abstractNum>
  <w:abstractNum w:abstractNumId="130">
    <w:nsid w:val="1816F8C4"/>
    <w:multiLevelType w:val="hybridMultilevel"/>
    <w:lvl w:ilvl="0">
      <w:lvlJc w:val="left"/>
      <w:lvlText w:val="%1"/>
      <w:numFmt w:val="decimal"/>
      <w:start w:val="1"/>
    </w:lvl>
    <w:lvl w:ilvl="1">
      <w:lvlJc w:val="left"/>
      <w:lvlText w:val="(%2)"/>
      <w:numFmt w:val="lowerLetter"/>
      <w:start w:val="2"/>
    </w:lvl>
  </w:abstractNum>
  <w:abstractNum w:abstractNumId="131">
    <w:nsid w:val="37DF2233"/>
    <w:multiLevelType w:val="hybridMultilevel"/>
    <w:lvl w:ilvl="0">
      <w:lvlJc w:val="left"/>
      <w:lvlText w:val="%1."/>
      <w:numFmt w:val="decimal"/>
      <w:start w:val="15"/>
    </w:lvl>
    <w:lvl w:ilvl="1">
      <w:lvlJc w:val="left"/>
      <w:lvlText w:val="(%2)"/>
      <w:numFmt w:val="lowerLetter"/>
      <w:start w:val="1"/>
    </w:lvl>
  </w:abstractNum>
  <w:abstractNum w:abstractNumId="132">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3">
    <w:nsid w:val="759F82CD"/>
    <w:multiLevelType w:val="hybridMultilevel"/>
    <w:lvl w:ilvl="0">
      <w:lvlJc w:val="left"/>
      <w:lvlText w:val="(%1)"/>
      <w:numFmt w:val="lowerLetter"/>
      <w:start w:val="18"/>
    </w:lvl>
  </w:abstractNum>
  <w:abstractNum w:abstractNumId="134">
    <w:nsid w:val="61E74EA3"/>
    <w:multiLevelType w:val="hybridMultilevel"/>
    <w:lvl w:ilvl="0">
      <w:lvlJc w:val="left"/>
      <w:lvlText w:val="(%1)"/>
      <w:numFmt w:val="lowerLetter"/>
      <w:start w:val="27"/>
    </w:lvl>
  </w:abstractNum>
  <w:abstractNum w:abstractNumId="135">
    <w:nsid w:val="597B4D84"/>
    <w:multiLevelType w:val="hybridMultilevel"/>
    <w:lvl w:ilvl="0">
      <w:lvlJc w:val="left"/>
      <w:lvlText w:val="%1."/>
      <w:numFmt w:val="decimal"/>
      <w:start w:val="3"/>
    </w:lvl>
  </w:abstractNum>
  <w:abstractNum w:abstractNumId="136">
    <w:nsid w:val="F819E7F"/>
    <w:multiLevelType w:val="hybridMultilevel"/>
    <w:lvl w:ilvl="0">
      <w:lvlJc w:val="left"/>
      <w:lvlText w:val="%1."/>
      <w:numFmt w:val="decimal"/>
      <w:start w:val="4"/>
    </w:lvl>
  </w:abstractNum>
  <w:abstractNum w:abstractNumId="137">
    <w:nsid w:val="57C7D42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8">
    <w:nsid w:val="312167A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39">
    <w:nsid w:val="631B64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0">
    <w:nsid w:val="78B5E77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1">
    <w:nsid w:val="75486E47"/>
    <w:multiLevelType w:val="hybridMultilevel"/>
    <w:lvl w:ilvl="0">
      <w:lvlJc w:val="left"/>
      <w:lvlText w:val="(%1)"/>
      <w:numFmt w:val="lowerLetter"/>
      <w:start w:val="2"/>
    </w:lvl>
    <w:lvl w:ilvl="1">
      <w:lvlJc w:val="left"/>
      <w:lvlText w:val="(%2)"/>
      <w:numFmt w:val="lowerRoman"/>
      <w:start w:val="1"/>
    </w:lvl>
  </w:abstractNum>
  <w:abstractNum w:abstractNumId="142">
    <w:nsid w:val="6E534CDE"/>
    <w:multiLevelType w:val="hybridMultilevel"/>
    <w:lvl w:ilvl="0">
      <w:lvlJc w:val="left"/>
      <w:lvlText w:val="%1"/>
      <w:numFmt w:val="decimal"/>
      <w:start w:val="1"/>
    </w:lvl>
    <w:lvl w:ilvl="1">
      <w:lvlJc w:val="left"/>
      <w:lvlText w:val="(%2)"/>
      <w:numFmt w:val="lowerRoman"/>
      <w:start w:val="7"/>
    </w:lvl>
  </w:abstractNum>
  <w:abstractNum w:abstractNumId="143">
    <w:nsid w:val="1A0DDE32"/>
    <w:multiLevelType w:val="hybridMultilevel"/>
    <w:lvl w:ilvl="0">
      <w:lvlJc w:val="left"/>
      <w:lvlText w:val="%1."/>
      <w:numFmt w:val="decimal"/>
      <w:start w:val="10"/>
    </w:lvl>
    <w:lvl w:ilvl="1">
      <w:lvlJc w:val="left"/>
      <w:lvlText w:val="%2"/>
      <w:numFmt w:val="lowerRoman"/>
      <w:start w:val="1"/>
    </w:lvl>
  </w:abstractNum>
  <w:abstractNum w:abstractNumId="144">
    <w:nsid w:val="65968C1C"/>
    <w:multiLevelType w:val="hybridMultilevel"/>
    <w:lvl w:ilvl="0">
      <w:lvlJc w:val="left"/>
      <w:lvlText w:val="(%1)"/>
      <w:numFmt w:val="lowerLetter"/>
      <w:start w:val="1"/>
    </w:lvl>
  </w:abstractNum>
  <w:abstractNum w:abstractNumId="145">
    <w:nsid w:val="46263DEC"/>
    <w:multiLevelType w:val="hybridMultilevel"/>
    <w:lvl w:ilvl="0">
      <w:lvlJc w:val="left"/>
      <w:lvlText w:val="%1"/>
      <w:numFmt w:val="decimal"/>
      <w:start w:val="1"/>
    </w:lvl>
    <w:lvl w:ilvl="1">
      <w:lvlJc w:val="left"/>
      <w:lvlText w:val="(%2)"/>
      <w:numFmt w:val="lowerLetter"/>
      <w:start w:val="2"/>
    </w:lvl>
  </w:abstractNum>
  <w:abstractNum w:abstractNumId="146">
    <w:nsid w:val="260D8C4A"/>
    <w:multiLevelType w:val="hybridMultilevel"/>
    <w:lvl w:ilvl="0">
      <w:lvlJc w:val="left"/>
      <w:lvlText w:val="%1."/>
      <w:numFmt w:val="decimal"/>
      <w:start w:val="11"/>
    </w:lvl>
    <w:lvl w:ilvl="1">
      <w:lvlJc w:val="left"/>
      <w:lvlText w:val="(%2)"/>
      <w:numFmt w:val="lowerLetter"/>
      <w:start w:val="1"/>
    </w:lvl>
  </w:abstractNum>
  <w:abstractNum w:abstractNumId="147">
    <w:nsid w:val="73D4D3C4"/>
    <w:multiLevelType w:val="hybridMultilevel"/>
    <w:lvl w:ilvl="0">
      <w:lvlJc w:val="left"/>
      <w:lvlText w:val="%1"/>
      <w:numFmt w:val="decimal"/>
      <w:start w:val="1"/>
    </w:lvl>
    <w:lvl w:ilvl="1">
      <w:lvlJc w:val="left"/>
      <w:lvlText w:val="(%2)"/>
      <w:numFmt w:val="lowerLetter"/>
      <w:start w:val="2"/>
    </w:lvl>
  </w:abstractNum>
  <w:abstractNum w:abstractNumId="148">
    <w:nsid w:val="746F2E30"/>
    <w:multiLevelType w:val="hybridMultilevel"/>
    <w:lvl w:ilvl="0">
      <w:lvlJc w:val="left"/>
      <w:lvlText w:val="%1."/>
      <w:numFmt w:val="decimal"/>
      <w:start w:val="13"/>
    </w:lvl>
    <w:lvl w:ilvl="1">
      <w:lvlJc w:val="left"/>
      <w:lvlText w:val="(%2)"/>
      <w:numFmt w:val="lowerLetter"/>
      <w:start w:val="1"/>
    </w:lvl>
  </w:abstractNum>
  <w:abstractNum w:abstractNumId="149">
    <w:nsid w:val="6FDE8AF6"/>
    <w:multiLevelType w:val="hybridMultilevel"/>
    <w:lvl w:ilvl="0">
      <w:lvlJc w:val="left"/>
      <w:lvlText w:val="(%1)"/>
      <w:numFmt w:val="lowerLetter"/>
      <w:start w:val="3"/>
    </w:lvl>
  </w:abstractNum>
  <w:abstractNum w:abstractNumId="150">
    <w:nsid w:val="3FC32E20"/>
    <w:multiLevelType w:val="hybridMultilevel"/>
    <w:lvl w:ilvl="0">
      <w:lvlJc w:val="left"/>
      <w:lvlText w:val="%1."/>
      <w:numFmt w:val="decimal"/>
      <w:start w:val="15"/>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6"/>
    </w:lvl>
    <w:lvl w:ilvl="1">
      <w:lvlJc w:val="left"/>
      <w:lvlText w:val="(%2)"/>
      <w:numFmt w:val="lowerLetter"/>
      <w:start w:val="1"/>
    </w:lvl>
  </w:abstractNum>
  <w:abstractNum w:abstractNumId="153">
    <w:nsid w:val="230F856C"/>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2019-12-13T13:06:43Z</dcterms:created>
  <dcterms:modified xsi:type="dcterms:W3CDTF">2019-12-13T13:06:43Z</dcterms:modified>
</cp:coreProperties>
</file>