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26,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September 26, 2017, we announced the financial results for our fourth quarter and year ended August 31, 2017. The full text of the press release issued in connection with the announcement is attached as Exhibit 99.1 to this Current Report on Form 8-K.</w:t>
      </w:r>
    </w:p>
    <w:p>
      <w:pPr>
        <w:spacing w:after="0" w:line="251"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33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37" w:lineRule="exact"/>
        <w:rPr>
          <w:sz w:val="20"/>
          <w:szCs w:val="20"/>
          <w:color w:val="auto"/>
        </w:rPr>
      </w:pPr>
    </w:p>
    <w:p>
      <w:pPr>
        <w:ind w:right="600" w:firstLine="324"/>
        <w:spacing w:after="0" w:line="312" w:lineRule="auto"/>
        <w:rPr>
          <w:sz w:val="20"/>
          <w:szCs w:val="20"/>
          <w:color w:val="auto"/>
        </w:rPr>
      </w:pPr>
      <w:r>
        <w:rPr>
          <w:rFonts w:ascii="Arial" w:cs="Arial" w:eastAsia="Arial" w:hAnsi="Arial"/>
          <w:sz w:val="16"/>
          <w:szCs w:val="16"/>
          <w:color w:val="auto"/>
        </w:rPr>
        <w:t>The information in Item 7.01 of this Current Report on Form 8-K shall not be deemed "filed" for purposes of Section 18 of the Exchange Act or otherwise subject to the liabilities of that section. In addition, this information shall not be incorporated by reference into any filing or other document pursuant to the Securities Act, or the Exchange Act, except as shall be expressly set forth by specific reference in such filing or document.</w:t>
      </w: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furnishing certain information regarding our business on Exhibit 99.2 to this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6"/>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6"/>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issued on September 26, 2017</w:t>
              </w:r>
            </w:hyperlink>
          </w:p>
        </w:tc>
        <w:tc>
          <w:tcPr>
            <w:tcW w:w="6580" w:type="dxa"/>
            <w:vAlign w:val="bottom"/>
            <w:gridSpan w:val="2"/>
          </w:tcPr>
          <w:p>
            <w:pPr>
              <w:spacing w:after="0"/>
              <w:rPr>
                <w:sz w:val="17"/>
                <w:szCs w:val="17"/>
                <w:color w:val="auto"/>
              </w:rPr>
            </w:pPr>
          </w:p>
        </w:tc>
      </w:tr>
      <w:tr>
        <w:trPr>
          <w:trHeight w:val="250"/>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Disclosure regarding business of Micron Technology, Inc.</w:t>
              </w:r>
            </w:hyperlink>
          </w:p>
        </w:tc>
        <w:tc>
          <w:tcPr>
            <w:tcW w:w="5600" w:type="dxa"/>
            <w:vAlign w:val="bottom"/>
          </w:tcPr>
          <w:p>
            <w:pPr>
              <w:spacing w:after="0"/>
              <w:rPr>
                <w:sz w:val="21"/>
                <w:szCs w:val="2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94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180"/>
              <w:spacing w:after="0"/>
              <w:rPr>
                <w:sz w:val="20"/>
                <w:szCs w:val="20"/>
                <w:color w:val="auto"/>
              </w:rPr>
            </w:pPr>
            <w:r>
              <w:rPr>
                <w:rFonts w:ascii="Arial" w:cs="Arial" w:eastAsia="Arial" w:hAnsi="Arial"/>
                <w:sz w:val="18"/>
                <w:szCs w:val="18"/>
                <w:color w:val="auto"/>
              </w:rPr>
              <w:t>September 26, 2017</w:t>
            </w:r>
          </w:p>
        </w:tc>
        <w:tc>
          <w:tcPr>
            <w:tcW w:w="2600" w:type="dxa"/>
            <w:vAlign w:val="bottom"/>
          </w:tcPr>
          <w:p>
            <w:pPr>
              <w:ind w:left="16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0" w:type="dxa"/>
            <w:vAlign w:val="bottom"/>
          </w:tcPr>
          <w:p>
            <w:pPr>
              <w:ind w:left="16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26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6"/>
              </w:rPr>
              <w:t>Contacts:Shanye Hudson</w:t>
            </w:r>
          </w:p>
        </w:tc>
        <w:tc>
          <w:tcPr>
            <w:tcW w:w="2260" w:type="dxa"/>
            <w:vAlign w:val="bottom"/>
          </w:tcPr>
          <w:p>
            <w:pPr>
              <w:spacing w:after="0"/>
              <w:rPr>
                <w:sz w:val="20"/>
                <w:szCs w:val="20"/>
                <w:color w:val="auto"/>
              </w:rPr>
            </w:pPr>
            <w:r>
              <w:rPr>
                <w:rFonts w:ascii="Arial" w:cs="Arial" w:eastAsia="Arial" w:hAnsi="Arial"/>
                <w:sz w:val="22"/>
                <w:szCs w:val="22"/>
                <w:color w:val="auto"/>
              </w:rPr>
              <w:t>Marc Musgrove</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19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7"/>
              </w:rPr>
              <w:t>shudson@micron.com</w:t>
            </w:r>
          </w:p>
        </w:tc>
        <w:tc>
          <w:tcPr>
            <w:tcW w:w="380" w:type="dxa"/>
            <w:vAlign w:val="bottom"/>
          </w:tcPr>
          <w:p>
            <w:pPr>
              <w:spacing w:after="0"/>
              <w:rPr>
                <w:sz w:val="21"/>
                <w:szCs w:val="21"/>
                <w:color w:val="auto"/>
              </w:rPr>
            </w:pPr>
          </w:p>
        </w:tc>
        <w:tc>
          <w:tcPr>
            <w:tcW w:w="22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mmusgrove@micron.com</w:t>
            </w:r>
          </w:p>
        </w:tc>
      </w:tr>
      <w:tr>
        <w:trPr>
          <w:trHeight w:val="328"/>
        </w:trPr>
        <w:tc>
          <w:tcPr>
            <w:tcW w:w="3200" w:type="dxa"/>
            <w:vAlign w:val="bottom"/>
            <w:gridSpan w:val="2"/>
          </w:tcPr>
          <w:p>
            <w:pPr>
              <w:ind w:left="1260"/>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(208) 363-2405</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AND FULL YEAR OF 2017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Delivered record results, reflecting solid operational execution,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healthy product demand, and positive industry dynamics.</w:t>
      </w:r>
    </w:p>
    <w:p>
      <w:pPr>
        <w:spacing w:after="0" w:line="236" w:lineRule="exact"/>
        <w:rPr>
          <w:sz w:val="20"/>
          <w:szCs w:val="20"/>
          <w:color w:val="auto"/>
        </w:rPr>
      </w:pPr>
    </w:p>
    <w:p>
      <w:pPr>
        <w:ind w:right="8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September 26, 2017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and full year of 2017, which ended August 31, 2017.</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Q4 2017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$6.14 billion, 91% higher compared with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$2.37 billion, or $1.99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$2.39 billion, or $2.02 per diluted share</w:t>
      </w:r>
    </w:p>
    <w:p>
      <w:pPr>
        <w:spacing w:after="0" w:line="242" w:lineRule="exact"/>
        <w:rPr>
          <w:sz w:val="20"/>
          <w:szCs w:val="20"/>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$20.32 billion, 64% higher compared with the prior fiscal year</w:t>
      </w:r>
    </w:p>
    <w:p>
      <w:pPr>
        <w:spacing w:after="0" w:line="21"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GAAP net income of $5.09 billion, or $4.41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Non-GAAP net income of $5.65 billion, or $4.96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Cash flows from operations of $8.15 billion</w:t>
      </w:r>
    </w:p>
    <w:p>
      <w:pPr>
        <w:spacing w:after="0" w:line="242" w:lineRule="exact"/>
        <w:rPr>
          <w:sz w:val="20"/>
          <w:szCs w:val="20"/>
          <w:color w:val="auto"/>
        </w:rPr>
      </w:pPr>
    </w:p>
    <w:p>
      <w:pPr>
        <w:ind w:right="380" w:firstLine="324"/>
        <w:spacing w:after="0" w:line="263" w:lineRule="auto"/>
        <w:rPr>
          <w:sz w:val="20"/>
          <w:szCs w:val="20"/>
          <w:color w:val="auto"/>
        </w:rPr>
      </w:pPr>
      <w:r>
        <w:rPr>
          <w:rFonts w:ascii="Arial" w:cs="Arial" w:eastAsia="Arial" w:hAnsi="Arial"/>
          <w:sz w:val="21"/>
          <w:szCs w:val="21"/>
          <w:color w:val="auto"/>
        </w:rPr>
        <w:t>"Micron delivered exceptional fourth quarter and fiscal year results, reflecting solid execution and robust demand for our memory and storage solutions," said Micron President and CEO Sanjay Mehrotra. "We expect healthy industry fundamentals to continue into 2018, supported by increasingly diverse end markets and applications. We believe our focus on accelerating the deployment of advanced technologies and solutions will address our customers' evolving requirements, further strengthen our financial foundation, and enhance shareholder value."</w:t>
      </w:r>
    </w:p>
    <w:p>
      <w:pPr>
        <w:spacing w:after="0" w:line="359"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330" w:type="dxa"/>
        <w:tblCellMar>
          <w:top w:w="0" w:type="dxa"/>
          <w:left w:w="0" w:type="dxa"/>
          <w:bottom w:w="0" w:type="dxa"/>
          <w:right w:w="0" w:type="dxa"/>
        </w:tblCellMar>
      </w:tblPr>
      <w:tr>
        <w:trPr>
          <w:trHeight w:val="281"/>
        </w:trPr>
        <w:tc>
          <w:tcPr>
            <w:tcW w:w="302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78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5"/>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FQ4-17</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FQ3-17</w:t>
            </w:r>
          </w:p>
        </w:tc>
        <w:tc>
          <w:tcPr>
            <w:tcW w:w="160" w:type="dxa"/>
            <w:vAlign w:val="bottom"/>
          </w:tcPr>
          <w:p>
            <w:pPr>
              <w:spacing w:after="0"/>
              <w:rPr>
                <w:sz w:val="20"/>
                <w:szCs w:val="20"/>
                <w:color w:val="auto"/>
              </w:rPr>
            </w:pPr>
          </w:p>
        </w:tc>
        <w:tc>
          <w:tcPr>
            <w:tcW w:w="8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FQ4-16</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FQ4-17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FQ3-17</w:t>
            </w:r>
          </w:p>
        </w:tc>
        <w:tc>
          <w:tcPr>
            <w:tcW w:w="16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FQ4-16</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3,217</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3,112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2,609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2,671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598</w:t>
            </w:r>
          </w:p>
        </w:tc>
      </w:tr>
      <w:tr>
        <w:trPr>
          <w:trHeight w:val="270"/>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50.7%</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46.9%</w:t>
            </w:r>
          </w:p>
        </w:tc>
        <w:tc>
          <w:tcPr>
            <w:tcW w:w="160" w:type="dxa"/>
            <w:vAlign w:val="bottom"/>
          </w:tcPr>
          <w:p>
            <w:pPr>
              <w:spacing w:after="0"/>
              <w:rPr>
                <w:sz w:val="23"/>
                <w:szCs w:val="23"/>
                <w:color w:val="auto"/>
              </w:rPr>
            </w:pPr>
          </w:p>
        </w:tc>
        <w:tc>
          <w:tcPr>
            <w:tcW w:w="8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i w:val="1"/>
                <w:iCs w:val="1"/>
                <w:color w:val="auto"/>
                <w:w w:val="96"/>
              </w:rPr>
              <w:t>18.0 %</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i w:val="1"/>
                <w:iCs w:val="1"/>
                <w:color w:val="auto"/>
              </w:rPr>
              <w:t>51.3%</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0"/>
              </w:rPr>
              <w:t>48.0%</w:t>
            </w:r>
          </w:p>
        </w:tc>
        <w:tc>
          <w:tcPr>
            <w:tcW w:w="16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18.6%</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302"/>
        </w:trPr>
        <w:tc>
          <w:tcPr>
            <w:tcW w:w="3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40.8%</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35.3%</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i w:val="1"/>
                <w:iCs w:val="1"/>
                <w:color w:val="auto"/>
              </w:rPr>
              <w:t>(1.0)%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41.5%</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i w:val="1"/>
                <w:iCs w:val="1"/>
                <w:color w:val="auto"/>
                <w:w w:val="90"/>
              </w:rPr>
              <w:t>37.2%</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2.1%</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Net income (loss)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2,368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1,647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1,896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3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1.99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(0.16)</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1.62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4" w:name="page5"/>
    <w:bookmarkEnd w:id="4"/>
    <w:p>
      <w:pPr>
        <w:ind w:left="1340"/>
        <w:spacing w:after="0"/>
        <w:rPr>
          <w:sz w:val="20"/>
          <w:szCs w:val="20"/>
          <w:color w:val="auto"/>
        </w:rPr>
      </w:pPr>
      <w:r>
        <w:rPr>
          <w:rFonts w:ascii="Arial" w:cs="Arial" w:eastAsia="Arial" w:hAnsi="Arial"/>
          <w:sz w:val="22"/>
          <w:szCs w:val="22"/>
          <w:b w:val="1"/>
          <w:bCs w:val="1"/>
          <w:color w:val="auto"/>
        </w:rPr>
        <w:t>Annual Financial Results</w:t>
      </w:r>
    </w:p>
    <w:p>
      <w:pPr>
        <w:spacing w:after="0" w:line="28" w:lineRule="exact"/>
        <w:rPr>
          <w:sz w:val="20"/>
          <w:szCs w:val="20"/>
          <w:color w:val="auto"/>
        </w:rPr>
      </w:pPr>
    </w:p>
    <w:tbl>
      <w:tblPr>
        <w:tblLayout w:type="fixed"/>
        <w:tblInd w:w="1330" w:type="dxa"/>
        <w:tblCellMar>
          <w:top w:w="0" w:type="dxa"/>
          <w:left w:w="0" w:type="dxa"/>
          <w:bottom w:w="0" w:type="dxa"/>
          <w:right w:w="0" w:type="dxa"/>
        </w:tblCellMar>
      </w:tblPr>
      <w:tr>
        <w:trPr>
          <w:trHeight w:val="281"/>
        </w:trPr>
        <w:tc>
          <w:tcPr>
            <w:tcW w:w="4020" w:type="dxa"/>
            <w:vAlign w:val="bottom"/>
            <w:tcBorders>
              <w:top w:val="single" w:sz="8" w:color="auto"/>
              <w:left w:val="single" w:sz="8" w:color="auto"/>
              <w:righ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gridSpan w:val="3"/>
          </w:tcPr>
          <w:p>
            <w:pPr>
              <w:jc w:val="right"/>
              <w:ind w:right="530"/>
              <w:spacing w:after="0" w:line="281" w:lineRule="exact"/>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25"/>
                <w:szCs w:val="25"/>
                <w:b w:val="1"/>
                <w:bCs w:val="1"/>
                <w:color w:val="auto"/>
                <w:vertAlign w:val="superscript"/>
              </w:rPr>
              <w:t>(1)</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gridSpan w:val="3"/>
          </w:tcPr>
          <w:p>
            <w:pPr>
              <w:jc w:val="right"/>
              <w:ind w:right="350"/>
              <w:spacing w:after="0" w:line="281" w:lineRule="exact"/>
              <w:rPr>
                <w:sz w:val="20"/>
                <w:szCs w:val="20"/>
                <w:color w:val="auto"/>
              </w:rPr>
            </w:pPr>
            <w:r>
              <w:rPr>
                <w:rFonts w:ascii="Arial" w:cs="Arial" w:eastAsia="Arial" w:hAnsi="Arial"/>
                <w:sz w:val="18"/>
                <w:szCs w:val="18"/>
                <w:b w:val="1"/>
                <w:bCs w:val="1"/>
                <w:color w:val="auto"/>
              </w:rPr>
              <w:t xml:space="preserve">Non-GAAP </w:t>
            </w:r>
            <w:r>
              <w:rPr>
                <w:rFonts w:ascii="Arial" w:cs="Arial" w:eastAsia="Arial" w:hAnsi="Arial"/>
                <w:sz w:val="25"/>
                <w:szCs w:val="25"/>
                <w:b w:val="1"/>
                <w:bCs w:val="1"/>
                <w:color w:val="auto"/>
                <w:vertAlign w:val="superscript"/>
              </w:rPr>
              <w:t>(2)</w:t>
            </w:r>
          </w:p>
        </w:tc>
      </w:tr>
      <w:tr>
        <w:trPr>
          <w:trHeight w:val="237"/>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17</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16</w:t>
            </w: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17</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16</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4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12,399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12,399</w:t>
            </w:r>
          </w:p>
        </w:tc>
      </w:tr>
      <w:tr>
        <w:trPr>
          <w:trHeight w:val="237"/>
        </w:trPr>
        <w:tc>
          <w:tcPr>
            <w:tcW w:w="4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8,436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2,505</w:t>
            </w:r>
          </w:p>
        </w:tc>
        <w:tc>
          <w:tcPr>
            <w:tcW w:w="12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8,639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2,592</w:t>
            </w:r>
          </w:p>
        </w:tc>
      </w:tr>
      <w:tr>
        <w:trPr>
          <w:trHeight w:val="270"/>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41.5%</w:t>
            </w: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20.2%</w:t>
            </w:r>
          </w:p>
        </w:tc>
        <w:tc>
          <w:tcPr>
            <w:tcW w:w="1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42.5%</w:t>
            </w: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20.9%</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r>
      <w:tr>
        <w:trPr>
          <w:trHeight w:val="302"/>
        </w:trPr>
        <w:tc>
          <w:tcPr>
            <w:tcW w:w="4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28.9%</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30.7%</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3.6%</w:t>
            </w:r>
          </w:p>
        </w:tc>
      </w:tr>
      <w:tr>
        <w:trPr>
          <w:trHeight w:val="237"/>
        </w:trPr>
        <w:tc>
          <w:tcPr>
            <w:tcW w:w="4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Micron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5,089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2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5,648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273</w:t>
            </w:r>
          </w:p>
        </w:tc>
      </w:tr>
      <w:tr>
        <w:trPr>
          <w:trHeight w:val="270"/>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12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0.26</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firstLine="324"/>
        <w:spacing w:after="0" w:line="302" w:lineRule="auto"/>
        <w:rPr>
          <w:sz w:val="20"/>
          <w:szCs w:val="20"/>
          <w:color w:val="auto"/>
        </w:rPr>
      </w:pPr>
      <w:r>
        <w:rPr>
          <w:rFonts w:ascii="Arial" w:cs="Arial" w:eastAsia="Arial" w:hAnsi="Arial"/>
          <w:sz w:val="19"/>
          <w:szCs w:val="19"/>
          <w:color w:val="auto"/>
        </w:rPr>
        <w:t>Revenues for the fourth quarter of 2017 were 10 percent higher compared to the third quarter of 2017, with DRAM sales volumes 5 percent higher and NAND sales volumes 3 percent higher. DRAM and NAND average selling prices for the quarter increased 8 percent and 5 percent, respectively. Our overall consolidated gross margin of 50.7 percent for the fourth quarter of 2017 was higher compared to 46.9 percent in the third quarter due to expansion of margins for DRAM products.</w:t>
      </w:r>
    </w:p>
    <w:p>
      <w:pPr>
        <w:spacing w:after="0" w:line="183" w:lineRule="exact"/>
        <w:rPr>
          <w:sz w:val="20"/>
          <w:szCs w:val="20"/>
          <w:color w:val="auto"/>
        </w:rPr>
      </w:pPr>
    </w:p>
    <w:p>
      <w:pPr>
        <w:ind w:right="120" w:firstLine="324"/>
        <w:spacing w:after="0" w:line="253" w:lineRule="auto"/>
        <w:rPr>
          <w:sz w:val="20"/>
          <w:szCs w:val="20"/>
          <w:color w:val="auto"/>
        </w:rPr>
      </w:pPr>
      <w:r>
        <w:rPr>
          <w:rFonts w:ascii="Arial" w:cs="Arial" w:eastAsia="Arial" w:hAnsi="Arial"/>
          <w:sz w:val="22"/>
          <w:szCs w:val="22"/>
          <w:color w:val="auto"/>
        </w:rPr>
        <w:t>Investments in capital expenditures, net of amounts funded by partners, were $1.51 billion for the fourth quarter of 2017 and $5.13 billion for the full year of 2017. We ended the fourth quarter with cash, marketable investments, and restricted cash of $6.15 billion.</w:t>
      </w:r>
    </w:p>
    <w:p>
      <w:pPr>
        <w:spacing w:after="0" w:line="226" w:lineRule="exact"/>
        <w:rPr>
          <w:sz w:val="20"/>
          <w:szCs w:val="20"/>
          <w:color w:val="auto"/>
        </w:rPr>
      </w:pPr>
    </w:p>
    <w:p>
      <w:pPr>
        <w:ind w:firstLine="324"/>
        <w:spacing w:after="0" w:line="291" w:lineRule="auto"/>
        <w:rPr>
          <w:sz w:val="20"/>
          <w:szCs w:val="20"/>
          <w:color w:val="auto"/>
        </w:rPr>
      </w:pPr>
      <w:r>
        <w:rPr>
          <w:rFonts w:ascii="Arial" w:cs="Arial" w:eastAsia="Arial" w:hAnsi="Arial"/>
          <w:sz w:val="19"/>
          <w:szCs w:val="19"/>
          <w:color w:val="auto"/>
        </w:rPr>
        <w:t xml:space="preserve">We will host a conference call on Tuesday, September 26, 2017 at 2:30 p.m. MT to discuss our financial results. The call, audio, and slides will be available online at </w:t>
      </w:r>
      <w:r>
        <w:rPr>
          <w:rFonts w:ascii="Arial" w:cs="Arial" w:eastAsia="Arial" w:hAnsi="Arial"/>
          <w:sz w:val="19"/>
          <w:szCs w:val="19"/>
          <w:u w:val="single" w:color="auto"/>
          <w:color w:val="006EBF"/>
        </w:rPr>
        <w:t>investors.micron.com</w:t>
      </w:r>
      <w:r>
        <w:rPr>
          <w:rFonts w:ascii="Arial" w:cs="Arial" w:eastAsia="Arial" w:hAnsi="Arial"/>
          <w:sz w:val="19"/>
          <w:szCs w:val="19"/>
          <w:color w:val="auto"/>
        </w:rPr>
        <w:t>. A webcast replay will be available on our website until September 26,</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color w:val="auto"/>
        </w:rPr>
        <w:t xml:space="preserve">2018. A taped audio replay of the conference call will also be available at 1-404-537-3406 or 1-855-859-2056 (conference number: 76102815) beginning at 5:30 p.m. MT, Tuesday, September 26, 2017 and continuing through Tuesday, October 3, 2017. For Investor Relations and other company updates, follow @MicronTech on Twitter at </w:t>
      </w:r>
      <w:r>
        <w:rPr>
          <w:rFonts w:ascii="Arial" w:cs="Arial" w:eastAsia="Arial" w:hAnsi="Arial"/>
          <w:sz w:val="21"/>
          <w:szCs w:val="21"/>
          <w:u w:val="single" w:color="auto"/>
          <w:color w:val="006EBF"/>
        </w:rPr>
        <w:t>twitter.com/MicronTech</w:t>
      </w:r>
      <w:r>
        <w:rPr>
          <w:rFonts w:ascii="Arial" w:cs="Arial" w:eastAsia="Arial" w:hAnsi="Arial"/>
          <w:sz w:val="21"/>
          <w:szCs w:val="21"/>
          <w:color w:val="auto"/>
        </w:rPr>
        <w:t>.</w:t>
      </w:r>
    </w:p>
    <w:p>
      <w:pPr>
        <w:spacing w:after="0" w:line="207" w:lineRule="exact"/>
        <w:rPr>
          <w:sz w:val="20"/>
          <w:szCs w:val="20"/>
          <w:color w:val="auto"/>
        </w:rPr>
      </w:pPr>
    </w:p>
    <w:p>
      <w:pPr>
        <w:ind w:right="200" w:firstLine="324"/>
        <w:spacing w:after="0" w:line="231" w:lineRule="auto"/>
        <w:rPr>
          <w:sz w:val="20"/>
          <w:szCs w:val="20"/>
          <w:color w:val="auto"/>
        </w:rPr>
      </w:pPr>
      <w:r>
        <w:rPr>
          <w:rFonts w:ascii="Arial" w:cs="Arial" w:eastAsia="Arial" w:hAnsi="Arial"/>
          <w:sz w:val="22"/>
          <w:szCs w:val="22"/>
          <w:color w:val="auto"/>
        </w:rPr>
        <w:t>We are a world leader in innovative memory solutions. Through our global brands – Micron</w:t>
      </w:r>
      <w:r>
        <w:rPr>
          <w:rFonts w:ascii="Arial" w:cs="Arial" w:eastAsia="Arial" w:hAnsi="Arial"/>
          <w:sz w:val="28"/>
          <w:szCs w:val="28"/>
          <w:color w:val="auto"/>
          <w:vertAlign w:val="superscript"/>
        </w:rPr>
        <w:t>®</w:t>
      </w:r>
      <w:r>
        <w:rPr>
          <w:rFonts w:ascii="Arial" w:cs="Arial" w:eastAsia="Arial" w:hAnsi="Arial"/>
          <w:sz w:val="22"/>
          <w:szCs w:val="22"/>
          <w:color w:val="auto"/>
        </w:rPr>
        <w:t>, Crucial</w:t>
      </w:r>
      <w:r>
        <w:rPr>
          <w:rFonts w:ascii="Arial" w:cs="Arial" w:eastAsia="Arial" w:hAnsi="Arial"/>
          <w:sz w:val="28"/>
          <w:szCs w:val="28"/>
          <w:color w:val="auto"/>
          <w:vertAlign w:val="superscript"/>
        </w:rPr>
        <w:t>®</w:t>
      </w:r>
      <w:r>
        <w:rPr>
          <w:rFonts w:ascii="Arial" w:cs="Arial" w:eastAsia="Arial" w:hAnsi="Arial"/>
          <w:sz w:val="22"/>
          <w:szCs w:val="22"/>
          <w:color w:val="auto"/>
        </w:rPr>
        <w:t>, and Ballistix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 our broad portfolio of high-performance memory technologies, including DRAM, NAND, NOR Flash, and 3D XPoint™ memory, is transforming how the world uses information. Backed by more than 35 years of technology leadership, our memory solutions enable the world's most innovative computing, consumer, enterprise storage, data center, mobile, embedded, and automotive applications. Our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auto"/>
        </w:rPr>
        <w:t>.</w:t>
      </w:r>
    </w:p>
    <w:p>
      <w:pPr>
        <w:spacing w:after="0" w:line="240" w:lineRule="exact"/>
        <w:rPr>
          <w:sz w:val="20"/>
          <w:szCs w:val="20"/>
          <w:color w:val="auto"/>
        </w:rPr>
      </w:pPr>
    </w:p>
    <w:p>
      <w:pPr>
        <w:ind w:right="18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140" w:firstLine="324"/>
        <w:spacing w:after="0" w:line="260" w:lineRule="auto"/>
        <w:rPr>
          <w:sz w:val="20"/>
          <w:szCs w:val="20"/>
          <w:color w:val="auto"/>
        </w:rPr>
      </w:pPr>
      <w:r>
        <w:rPr>
          <w:rFonts w:ascii="Arial" w:cs="Arial" w:eastAsia="Arial" w:hAnsi="Arial"/>
          <w:sz w:val="21"/>
          <w:szCs w:val="21"/>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21"/>
          <w:szCs w:val="21"/>
          <w:i w:val="1"/>
          <w:iCs w:val="1"/>
          <w:u w:val="single" w:color="auto"/>
          <w:color w:val="006EBF"/>
        </w:rPr>
        <w:t>www.micron.com/certainfactors</w:t>
      </w:r>
      <w:r>
        <w:rPr>
          <w:rFonts w:ascii="Arial" w:cs="Arial" w:eastAsia="Arial" w:hAnsi="Arial"/>
          <w:sz w:val="21"/>
          <w:szCs w:val="21"/>
          <w:i w:val="1"/>
          <w:iCs w:val="1"/>
          <w:color w:val="000000"/>
        </w:rPr>
        <w:t>. Although we believe that the expectations reflected in the forward-looking statements are</w:t>
      </w:r>
      <w:r>
        <w:rPr>
          <w:rFonts w:ascii="Arial" w:cs="Arial" w:eastAsia="Arial" w:hAnsi="Arial"/>
          <w:sz w:val="21"/>
          <w:szCs w:val="21"/>
          <w:i w:val="1"/>
          <w:iCs w:val="1"/>
          <w:color w:val="006EBF"/>
        </w:rPr>
        <w:t xml:space="preserve"> </w:t>
      </w:r>
      <w:r>
        <w:rPr>
          <w:rFonts w:ascii="Arial" w:cs="Arial" w:eastAsia="Arial" w:hAnsi="Arial"/>
          <w:sz w:val="21"/>
          <w:szCs w:val="21"/>
          <w:i w:val="1"/>
          <w:iCs w:val="1"/>
          <w:color w:val="000000"/>
        </w:rPr>
        <w:t>reasonable, we cannot guarantee future results, levels of activity, performance, or</w:t>
      </w:r>
    </w:p>
    <w:p>
      <w:pPr>
        <w:sectPr>
          <w:pgSz w:w="11900" w:h="16838" w:orient="portrait"/>
          <w:cols w:equalWidth="0" w:num="1">
            <w:col w:w="11400"/>
          </w:cols>
          <w:pgMar w:left="240" w:top="733" w:right="259" w:bottom="1440" w:gutter="0" w:footer="0" w:header="0"/>
        </w:sectPr>
      </w:pPr>
    </w:p>
    <w:bookmarkStart w:id="5" w:name="page6"/>
    <w:bookmarkEnd w:id="5"/>
    <w:p>
      <w:pPr>
        <w:ind w:right="100"/>
        <w:spacing w:after="0" w:line="263" w:lineRule="auto"/>
        <w:rPr>
          <w:sz w:val="20"/>
          <w:szCs w:val="20"/>
          <w:color w:val="auto"/>
        </w:rPr>
      </w:pPr>
      <w:r>
        <w:rPr>
          <w:rFonts w:ascii="Arial" w:cs="Arial" w:eastAsia="Arial" w:hAnsi="Arial"/>
          <w:sz w:val="22"/>
          <w:szCs w:val="22"/>
          <w:i w:val="1"/>
          <w:iCs w:val="1"/>
          <w:color w:val="auto"/>
        </w:rPr>
        <w:t>achievements. We are under no duty to update any of the forward-looking statements after the date of this release to conform these statements to actual results.</w:t>
      </w:r>
    </w:p>
    <w:p>
      <w:pPr>
        <w:spacing w:after="0" w:line="179" w:lineRule="exact"/>
        <w:rPr>
          <w:sz w:val="20"/>
          <w:szCs w:val="20"/>
          <w:color w:val="auto"/>
        </w:rPr>
      </w:pPr>
    </w:p>
    <w:p>
      <w:pPr>
        <w:ind w:left="560" w:hanging="228"/>
        <w:spacing w:after="0"/>
        <w:tabs>
          <w:tab w:leader="none" w:pos="560" w:val="left"/>
        </w:tabs>
        <w:numPr>
          <w:ilvl w:val="0"/>
          <w:numId w:val="4"/>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firstLine="332"/>
        <w:spacing w:after="0" w:line="270" w:lineRule="auto"/>
        <w:tabs>
          <w:tab w:leader="none" w:pos="546" w:val="left"/>
        </w:tabs>
        <w:numPr>
          <w:ilvl w:val="0"/>
          <w:numId w:val="4"/>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also includes the impact on shares used in per share calculations of our outstanding capped call transactions and from the exclusion of stock-based compensation. Fiscal 2016 amounts have been adjusted to conform with current period presentation to exclude stock-based compensation and the amortization of acquisition related intangibles from our non-GAAP reporting. For a reconciliation of GAAP to non-GAAP results, see the accompanying financial tables and footnotes.</w:t>
      </w:r>
    </w:p>
    <w:p>
      <w:pPr>
        <w:sectPr>
          <w:pgSz w:w="11900" w:h="16838" w:orient="portrait"/>
          <w:cols w:equalWidth="0" w:num="1">
            <w:col w:w="11380"/>
          </w:cols>
          <w:pgMar w:left="240" w:top="591" w:right="27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4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(in millions except per share amounts)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10"/>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20" w:type="dxa"/>
            <w:vAlign w:val="bottom"/>
          </w:tcPr>
          <w:p>
            <w:pPr>
              <w:spacing w:after="0"/>
              <w:rPr>
                <w:sz w:val="24"/>
                <w:szCs w:val="24"/>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26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w:t>
            </w:r>
          </w:p>
        </w:tc>
        <w:tc>
          <w:tcPr>
            <w:tcW w:w="2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June 1,</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September 1,</w:t>
            </w:r>
          </w:p>
        </w:tc>
      </w:tr>
      <w:tr>
        <w:trPr>
          <w:trHeight w:val="234"/>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9,894</w:t>
            </w: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Restructure and asset impairments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70"/>
        </w:trPr>
        <w:tc>
          <w:tcPr>
            <w:tcW w:w="4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4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w w:val="93"/>
              </w:rPr>
              <w:t>Equity in net income (loss) of equity method investees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Micron</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84"/>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1,036</w:t>
            </w:r>
          </w:p>
        </w:tc>
      </w:tr>
    </w:tbl>
    <w:p>
      <w:pPr>
        <w:sectPr>
          <w:pgSz w:w="11900" w:h="16838" w:orient="portrait"/>
          <w:cols w:equalWidth="0" w:num="1">
            <w:col w:w="11420"/>
          </w:cols>
          <w:pgMar w:left="240" w:top="58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9,495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14,686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27,540</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9,154</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12,080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12,928</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31,</w:t>
            </w:r>
          </w:p>
        </w:tc>
        <w:tc>
          <w:tcPr>
            <w:tcW w:w="1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cash provided by (used for) investing activities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r>
      <w:tr>
        <w:trPr>
          <w:trHeight w:val="297"/>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(5,863)</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Inotera</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 and equipment sale-leaseback transactions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2,964</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 xml:space="preserve">2016 amount adjusted for the retrospective adoption of ASU 2016-18 – </w:t>
      </w:r>
      <w:r>
        <w:rPr>
          <w:rFonts w:ascii="Arial" w:cs="Arial" w:eastAsia="Arial" w:hAnsi="Arial"/>
          <w:sz w:val="15"/>
          <w:szCs w:val="15"/>
          <w:i w:val="1"/>
          <w:iCs w:val="1"/>
          <w:color w:val="auto"/>
        </w:rPr>
        <w:t>Restricted Cash.</w:t>
      </w:r>
    </w:p>
    <w:p>
      <w:pPr>
        <w:sectPr>
          <w:pgSz w:w="11900" w:h="16838" w:orient="portrait"/>
          <w:cols w:equalWidth="0" w:num="1">
            <w:col w:w="11420"/>
          </w:cols>
          <w:pgMar w:left="240" w:top="585" w:right="239" w:bottom="1440" w:gutter="0" w:footer="0" w:header="0"/>
        </w:sectPr>
      </w:pPr>
    </w:p>
    <w:bookmarkStart w:id="8" w:name="page9"/>
    <w:bookmarkEnd w:id="8"/>
    <w:p>
      <w:pPr>
        <w:ind w:left="332"/>
        <w:spacing w:after="0"/>
        <w:rPr>
          <w:sz w:val="20"/>
          <w:szCs w:val="20"/>
          <w:color w:val="auto"/>
        </w:rPr>
      </w:pPr>
      <w:r>
        <w:rPr>
          <w:rFonts w:ascii="Arial" w:cs="Arial" w:eastAsia="Arial" w:hAnsi="Arial"/>
          <w:sz w:val="22"/>
          <w:szCs w:val="22"/>
          <w:b w:val="1"/>
          <w:bCs w:val="1"/>
          <w:color w:val="auto"/>
        </w:rPr>
        <w:t>Inotera Acquisition</w:t>
      </w:r>
    </w:p>
    <w:p>
      <w:pPr>
        <w:spacing w:after="0" w:line="219" w:lineRule="exact"/>
        <w:rPr>
          <w:sz w:val="20"/>
          <w:szCs w:val="20"/>
          <w:color w:val="auto"/>
        </w:rPr>
      </w:pPr>
    </w:p>
    <w:p>
      <w:pPr>
        <w:ind w:left="332" w:right="100"/>
        <w:spacing w:after="0" w:line="259" w:lineRule="auto"/>
        <w:rPr>
          <w:sz w:val="20"/>
          <w:szCs w:val="20"/>
          <w:color w:val="auto"/>
        </w:rPr>
      </w:pPr>
      <w:r>
        <w:rPr>
          <w:rFonts w:ascii="Arial" w:cs="Arial" w:eastAsia="Arial" w:hAnsi="Arial"/>
          <w:sz w:val="18"/>
          <w:szCs w:val="18"/>
          <w:color w:val="auto"/>
        </w:rPr>
        <w:t>On December 6, 2016, we acquired the remaining 67% interest in Inotera Memories, Inc. ("Inotera") and began consolidating Inotera's operating results. Cash paid for the Inotera acquisition was funded, in part, with proceeds from a term loan and the sale of shares of our common stock to Nanya. Inotera manufactures DRAM products at its 300mm wafer fabrication facility in Taiwan, and previously sold such products exclusively to us through supply agreements.</w:t>
      </w:r>
    </w:p>
    <w:p>
      <w:pPr>
        <w:spacing w:after="0" w:line="187" w:lineRule="exact"/>
        <w:rPr>
          <w:sz w:val="20"/>
          <w:szCs w:val="20"/>
          <w:color w:val="auto"/>
        </w:rPr>
      </w:pPr>
    </w:p>
    <w:p>
      <w:pPr>
        <w:ind w:left="332"/>
        <w:spacing w:after="0" w:line="273" w:lineRule="auto"/>
        <w:rPr>
          <w:sz w:val="20"/>
          <w:szCs w:val="20"/>
          <w:color w:val="auto"/>
        </w:rPr>
      </w:pPr>
      <w:r>
        <w:rPr>
          <w:rFonts w:ascii="Arial" w:cs="Arial" w:eastAsia="Arial" w:hAnsi="Arial"/>
          <w:sz w:val="17"/>
          <w:szCs w:val="17"/>
          <w:color w:val="auto"/>
        </w:rPr>
        <w:t>The aggregate fair value of consideration consisted of $3.11 billion of cash, $995 million for the fair value of Micron shares exchanged for Inotera shares, and $1.44 billion for the fair value of our previously-held equity interest in Inotera, net of $361 million for payments attributed to intercompany balances with Inotera. The provisional fair values of assets and liabilities acquired include, among other items, cash of $118 million; inventories of $285 million; property, plant, and equipment of $3.72 billion; goodwill of $1.12 billion; and accounts payable and accrued expenses of ($232) million, and could change as additional information becomes available. In connection with the acquisition, we revalued our 33% interest in Inotera to its fair value and recognized a non-operating gain of $71 million in the second quarter of 2017.</w:t>
      </w:r>
    </w:p>
    <w:p>
      <w:pPr>
        <w:spacing w:after="0" w:line="178" w:lineRule="exact"/>
        <w:rPr>
          <w:sz w:val="20"/>
          <w:szCs w:val="20"/>
          <w:color w:val="auto"/>
        </w:rPr>
      </w:pPr>
    </w:p>
    <w:p>
      <w:pPr>
        <w:ind w:left="332"/>
        <w:spacing w:after="0" w:line="302" w:lineRule="auto"/>
        <w:rPr>
          <w:sz w:val="20"/>
          <w:szCs w:val="20"/>
          <w:color w:val="auto"/>
        </w:rPr>
      </w:pPr>
      <w:r>
        <w:rPr>
          <w:rFonts w:ascii="Arial" w:cs="Arial" w:eastAsia="Arial" w:hAnsi="Arial"/>
          <w:sz w:val="16"/>
          <w:szCs w:val="16"/>
          <w:color w:val="auto"/>
        </w:rPr>
        <w:t>In connection with our acquisition of Inotera, in the second quarter of 2017, we sold 58 million shares of our common stock to Nanya for $986 million, of which 54 million were issued from treasury stock. As a result, treasury stock decreased by $1.03 billion, which resulted in a decrease in retained earnings of $104 million for the difference between the carrying value of the treasury stock and its $925 million fair value. These shares were issued in a transaction exempt from the registration requirements of the Securities Act of 1933, as amended, and subject to certain restrictions on transfers.</w:t>
      </w:r>
    </w:p>
    <w:p>
      <w:pPr>
        <w:spacing w:after="0" w:line="154" w:lineRule="exact"/>
        <w:rPr>
          <w:sz w:val="20"/>
          <w:szCs w:val="20"/>
          <w:color w:val="auto"/>
        </w:rPr>
      </w:pPr>
    </w:p>
    <w:p>
      <w:pPr>
        <w:ind w:left="332" w:right="180" w:hanging="332"/>
        <w:spacing w:after="0" w:line="279"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fourth quarter of 2017, we recognized gains related to announced restructure and exit activities, primarily from the disposition of assets. In the third quarter of 2017, we recognized a loss of $11 million in connection with the disposition of our assembly and test facility located in Akita, Japan. In the fourth quarter of 2016, we initiated a restructure plan in response to business conditions and the need to accelerate focus on our key priorities. As a result, we incurred charges of $33 million in 2017 and $58 million in the fourth quarter of 2016.</w:t>
      </w:r>
    </w:p>
    <w:p>
      <w:pPr>
        <w:spacing w:after="0" w:line="171" w:lineRule="exact"/>
        <w:rPr>
          <w:rFonts w:ascii="Arial" w:cs="Arial" w:eastAsia="Arial" w:hAnsi="Arial"/>
          <w:sz w:val="17"/>
          <w:szCs w:val="17"/>
          <w:color w:val="auto"/>
        </w:rPr>
      </w:pPr>
    </w:p>
    <w:p>
      <w:pPr>
        <w:ind w:left="332" w:right="220" w:hanging="332"/>
        <w:spacing w:after="0" w:line="27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Inotera acquisition, on December 6, 2016, we drew 80 billion New Taiwan dollars under a collateralized, five-year variable-rate term loan. Principal under the term loan is payable in six equal semi-annual installments, commencing in June 2019.</w:t>
      </w:r>
    </w:p>
    <w:p>
      <w:pPr>
        <w:spacing w:after="0" w:line="170" w:lineRule="exact"/>
        <w:rPr>
          <w:rFonts w:ascii="Arial" w:cs="Arial" w:eastAsia="Arial" w:hAnsi="Arial"/>
          <w:sz w:val="18"/>
          <w:szCs w:val="18"/>
          <w:color w:val="auto"/>
        </w:rPr>
      </w:pPr>
    </w:p>
    <w:p>
      <w:pPr>
        <w:ind w:left="332" w:right="80"/>
        <w:spacing w:after="0" w:line="342" w:lineRule="auto"/>
        <w:rPr>
          <w:rFonts w:ascii="Arial" w:cs="Arial" w:eastAsia="Arial" w:hAnsi="Arial"/>
          <w:sz w:val="18"/>
          <w:szCs w:val="18"/>
          <w:color w:val="auto"/>
        </w:rPr>
      </w:pPr>
      <w:r>
        <w:rPr>
          <w:rFonts w:ascii="Arial" w:cs="Arial" w:eastAsia="Arial" w:hAnsi="Arial"/>
          <w:sz w:val="16"/>
          <w:szCs w:val="16"/>
          <w:color w:val="auto"/>
        </w:rPr>
        <w:t>In November 2016, we entered into a five-year variable-rate facility agreement to obtain up to $800 million of financing, collateralized by certain production equipment and drew $800 million under the facility in 2017. Principal is payable in 16 equal quarterly installments beginning in March 2018.</w:t>
      </w:r>
    </w:p>
    <w:p>
      <w:pPr>
        <w:spacing w:after="0" w:line="123" w:lineRule="exact"/>
        <w:rPr>
          <w:rFonts w:ascii="Arial" w:cs="Arial" w:eastAsia="Arial" w:hAnsi="Arial"/>
          <w:sz w:val="18"/>
          <w:szCs w:val="18"/>
          <w:color w:val="auto"/>
        </w:rPr>
      </w:pPr>
    </w:p>
    <w:p>
      <w:pPr>
        <w:ind w:left="332" w:right="140"/>
        <w:spacing w:after="0" w:line="286" w:lineRule="auto"/>
        <w:rPr>
          <w:rFonts w:ascii="Arial" w:cs="Arial" w:eastAsia="Arial" w:hAnsi="Arial"/>
          <w:sz w:val="18"/>
          <w:szCs w:val="18"/>
          <w:color w:val="auto"/>
        </w:rPr>
      </w:pPr>
      <w:r>
        <w:rPr>
          <w:rFonts w:ascii="Arial" w:cs="Arial" w:eastAsia="Arial" w:hAnsi="Arial"/>
          <w:sz w:val="17"/>
          <w:szCs w:val="17"/>
          <w:color w:val="auto"/>
        </w:rPr>
        <w:t>On August 11, 2017, we redeemed our 2022 Notes with an aggregate carrying value of $592 million and recognized a non-operating loss of $34 million in the fourth quarter of 2017. On April 11, 2017, we repurchased $952 million in aggregate principal of our 2025 Notes and 2026 Notes, with an aggregate carrying value of $943 million, and recognized a non-operating loss of $60 million in the third quarter of 2017.</w:t>
      </w:r>
    </w:p>
    <w:p>
      <w:pPr>
        <w:sectPr>
          <w:pgSz w:w="11900" w:h="16838" w:orient="portrait"/>
          <w:cols w:equalWidth="0" w:num="1">
            <w:col w:w="11412"/>
          </w:cols>
          <w:pgMar w:left="248" w:top="585" w:right="239" w:bottom="1440" w:gutter="0" w:footer="0" w:header="0"/>
        </w:sectPr>
      </w:pPr>
    </w:p>
    <w:bookmarkStart w:id="9" w:name="page10"/>
    <w:bookmarkEnd w:id="9"/>
    <w:p>
      <w:pPr>
        <w:ind w:left="340" w:right="10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income taxes reflect operations in tax jurisdictions, including Singapore and Taiwan, where our earnings are indefinitely reinvested and the tax rates are significantly lower than the U.S. statutory rate; operations outside the U.S., including Singapore, where we have tax incentive arrangements that further decrease our effective tax rates; and a valuation allowance against substantially all of our U.S. net deferred tax assets. Income tax (provision) benefit consisted of the following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28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20" w:type="dxa"/>
            <w:vAlign w:val="bottom"/>
          </w:tcPr>
          <w:p>
            <w:pPr>
              <w:spacing w:after="0"/>
              <w:rPr>
                <w:sz w:val="24"/>
                <w:szCs w:val="24"/>
                <w:color w:val="auto"/>
              </w:rPr>
            </w:pPr>
          </w:p>
        </w:tc>
        <w:tc>
          <w:tcPr>
            <w:tcW w:w="2200" w:type="dxa"/>
            <w:vAlign w:val="bottom"/>
            <w:gridSpan w:val="3"/>
          </w:tcPr>
          <w:p>
            <w:pPr>
              <w:ind w:left="980"/>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31,</w:t>
            </w:r>
          </w:p>
        </w:tc>
        <w:tc>
          <w:tcPr>
            <w:tcW w:w="2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June 1,</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September 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31, 2017</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2016</w:t>
            </w: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Utilization of and other changes in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of MMJ, MMT, and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Inotera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U.S. valuation allowance release resulting</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from business acquisition</w:t>
            </w:r>
          </w:p>
        </w:tc>
        <w:tc>
          <w:tcPr>
            <w:tcW w:w="2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primarily other non-U.S.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35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Income taxes for the full year of 2017 and 2016 included tax benefits of $28 million and $58 million, respectively, related to the favorable resolution of certain tax matters, which were previously reserved as uncertain tax positions.</w:t>
      </w:r>
    </w:p>
    <w:p>
      <w:pPr>
        <w:sectPr>
          <w:pgSz w:w="11900" w:h="16838" w:orient="portrait"/>
          <w:cols w:equalWidth="0" w:num="1">
            <w:col w:w="11420"/>
          </w:cols>
          <w:pgMar w:left="240" w:top="584" w:right="239" w:bottom="1440" w:gutter="0" w:footer="0" w:header="0"/>
        </w:sectPr>
      </w:pPr>
    </w:p>
    <w:bookmarkStart w:id="10" w:name="page11"/>
    <w:bookmarkEnd w:id="10"/>
    <w:p>
      <w:pPr>
        <w:jc w:val="center"/>
        <w:ind w:right="-31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4</w:t>
            </w:r>
            <w:r>
              <w:rPr>
                <w:rFonts w:ascii="Arial" w:cs="Arial" w:eastAsia="Arial" w:hAnsi="Arial"/>
                <w:sz w:val="21"/>
                <w:szCs w:val="21"/>
                <w:b w:val="1"/>
                <w:bCs w:val="1"/>
                <w:color w:val="auto"/>
                <w:w w:val="90"/>
                <w:vertAlign w:val="superscript"/>
              </w:rPr>
              <w:t>th</w:t>
            </w:r>
            <w:r>
              <w:rPr>
                <w:rFonts w:ascii="Arial" w:cs="Arial" w:eastAsia="Arial" w:hAnsi="Arial"/>
                <w:sz w:val="16"/>
                <w:szCs w:val="16"/>
                <w:b w:val="1"/>
                <w:bCs w:val="1"/>
                <w:color w:val="auto"/>
                <w:w w:val="90"/>
              </w:rPr>
              <w:t xml:space="preserve"> Qtr.</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3</w:t>
            </w:r>
            <w:r>
              <w:rPr>
                <w:rFonts w:ascii="Arial" w:cs="Arial" w:eastAsia="Arial" w:hAnsi="Arial"/>
                <w:sz w:val="21"/>
                <w:szCs w:val="21"/>
                <w:b w:val="1"/>
                <w:bCs w:val="1"/>
                <w:color w:val="auto"/>
                <w:w w:val="89"/>
                <w:vertAlign w:val="superscript"/>
              </w:rPr>
              <w:t>rd</w:t>
            </w:r>
            <w:r>
              <w:rPr>
                <w:rFonts w:ascii="Arial" w:cs="Arial" w:eastAsia="Arial" w:hAnsi="Arial"/>
                <w:sz w:val="16"/>
                <w:szCs w:val="16"/>
                <w:b w:val="1"/>
                <w:bCs w:val="1"/>
                <w:color w:val="auto"/>
                <w:w w:val="89"/>
              </w:rPr>
              <w:t xml:space="preserve"> Qtr.</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w w:val="94"/>
              </w:rPr>
              <w:t>4</w:t>
            </w:r>
            <w:r>
              <w:rPr>
                <w:rFonts w:ascii="Arial" w:cs="Arial" w:eastAsia="Arial" w:hAnsi="Arial"/>
                <w:sz w:val="21"/>
                <w:szCs w:val="21"/>
                <w:b w:val="1"/>
                <w:bCs w:val="1"/>
                <w:color w:val="auto"/>
                <w:w w:val="94"/>
                <w:vertAlign w:val="superscript"/>
              </w:rPr>
              <w:t>th</w:t>
            </w:r>
            <w:r>
              <w:rPr>
                <w:rFonts w:ascii="Arial" w:cs="Arial" w:eastAsia="Arial" w:hAnsi="Arial"/>
                <w:sz w:val="16"/>
                <w:szCs w:val="16"/>
                <w:b w:val="1"/>
                <w:bCs w:val="1"/>
                <w:color w:val="auto"/>
                <w:w w:val="94"/>
              </w:rPr>
              <w:t xml:space="preserve"> Qtr.</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0"/>
              </w:rPr>
              <w:t>August 31, 2017</w:t>
            </w:r>
          </w:p>
        </w:tc>
        <w:tc>
          <w:tcPr>
            <w:tcW w:w="160" w:type="dxa"/>
            <w:vAlign w:val="bottom"/>
          </w:tcPr>
          <w:p>
            <w:pPr>
              <w:spacing w:after="0"/>
              <w:rPr>
                <w:sz w:val="18"/>
                <w:szCs w:val="18"/>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0"/>
              </w:rPr>
              <w:t>June 1, 2017</w:t>
            </w:r>
          </w:p>
        </w:tc>
        <w:tc>
          <w:tcPr>
            <w:tcW w:w="160" w:type="dxa"/>
            <w:vAlign w:val="bottom"/>
          </w:tcPr>
          <w:p>
            <w:pPr>
              <w:spacing w:after="0"/>
              <w:rPr>
                <w:sz w:val="18"/>
                <w:szCs w:val="18"/>
                <w:color w:val="auto"/>
              </w:rPr>
            </w:pPr>
          </w:p>
        </w:tc>
        <w:tc>
          <w:tcPr>
            <w:tcW w:w="220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September 1, 2016</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460" w:type="dxa"/>
            <w:vAlign w:val="bottom"/>
          </w:tcPr>
          <w:p>
            <w:pPr>
              <w:jc w:val="center"/>
              <w:ind w:right="79"/>
              <w:spacing w:after="0"/>
              <w:rPr>
                <w:sz w:val="20"/>
                <w:szCs w:val="20"/>
                <w:color w:val="auto"/>
              </w:rPr>
            </w:pPr>
            <w:r>
              <w:rPr>
                <w:rFonts w:ascii="Arial" w:cs="Arial" w:eastAsia="Arial" w:hAnsi="Arial"/>
                <w:sz w:val="16"/>
                <w:szCs w:val="16"/>
                <w:b w:val="1"/>
                <w:bCs w:val="1"/>
                <w:color w:val="auto"/>
              </w:rPr>
              <w:t>Adj</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460" w:type="dxa"/>
            <w:vAlign w:val="bottom"/>
          </w:tcPr>
          <w:p>
            <w:pPr>
              <w:jc w:val="center"/>
              <w:ind w:right="79"/>
              <w:spacing w:after="0"/>
              <w:rPr>
                <w:sz w:val="20"/>
                <w:szCs w:val="20"/>
                <w:color w:val="auto"/>
              </w:rPr>
            </w:pPr>
            <w:r>
              <w:rPr>
                <w:rFonts w:ascii="Arial" w:cs="Arial" w:eastAsia="Arial" w:hAnsi="Arial"/>
                <w:sz w:val="16"/>
                <w:szCs w:val="16"/>
                <w:b w:val="1"/>
                <w:bCs w:val="1"/>
                <w:color w:val="auto"/>
              </w:rPr>
              <w:t>Adj</w:t>
            </w:r>
          </w:p>
        </w:tc>
        <w:tc>
          <w:tcPr>
            <w:tcW w:w="12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GAAP</w:t>
            </w:r>
          </w:p>
        </w:tc>
        <w:tc>
          <w:tcPr>
            <w:tcW w:w="16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rPr>
              <w:t>GAAP</w:t>
            </w:r>
          </w:p>
        </w:tc>
        <w:tc>
          <w:tcPr>
            <w:tcW w:w="200" w:type="dxa"/>
            <w:vAlign w:val="bottom"/>
          </w:tcPr>
          <w:p>
            <w:pPr>
              <w:spacing w:after="0"/>
              <w:rPr>
                <w:sz w:val="18"/>
                <w:szCs w:val="18"/>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Adj</w:t>
            </w: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3,026</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2,991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2,957</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2,638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3,112</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2,609</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37"/>
        </w:trPr>
        <w:tc>
          <w:tcPr>
            <w:tcW w:w="208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50.7%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51.3%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46.9%</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i w:val="1"/>
                <w:iCs w:val="1"/>
                <w:color w:val="auto"/>
              </w:rPr>
              <w:t>48.0%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w w:val="96"/>
              </w:rPr>
              <w:t>18.0 %</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i w:val="1"/>
                <w:iCs w:val="1"/>
                <w:color w:val="auto"/>
              </w:rPr>
              <w:t>18.6%</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20"/>
        </w:trPr>
        <w:tc>
          <w:tcPr>
            <w:tcW w:w="2080" w:type="dxa"/>
            <w:vAlign w:val="bottom"/>
          </w:tcPr>
          <w:p>
            <w:pPr>
              <w:ind w:left="20"/>
              <w:spacing w:after="0"/>
              <w:rPr>
                <w:sz w:val="20"/>
                <w:szCs w:val="20"/>
                <w:color w:val="auto"/>
              </w:rPr>
            </w:pPr>
            <w:r>
              <w:rPr>
                <w:rFonts w:ascii="Arial" w:cs="Arial" w:eastAsia="Arial" w:hAnsi="Arial"/>
                <w:sz w:val="16"/>
                <w:szCs w:val="16"/>
                <w:color w:val="auto"/>
              </w:rPr>
              <w:t>Restructure and asset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180"/>
              <w:spacing w:after="0"/>
              <w:rPr>
                <w:sz w:val="20"/>
                <w:szCs w:val="20"/>
                <w:color w:val="auto"/>
              </w:rPr>
            </w:pPr>
            <w:r>
              <w:rPr>
                <w:rFonts w:ascii="Arial" w:cs="Arial" w:eastAsia="Arial" w:hAnsi="Arial"/>
                <w:sz w:val="16"/>
                <w:szCs w:val="16"/>
                <w:color w:val="auto"/>
              </w:rPr>
              <w:t>impairments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(income)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080" w:type="dxa"/>
            <w:vAlign w:val="bottom"/>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611</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2,502</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208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40.8%</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41.5%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35.3%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i w:val="1"/>
                <w:iCs w:val="1"/>
                <w:color w:val="auto"/>
              </w:rPr>
              <w:t>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(1.0)%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i w:val="1"/>
                <w:iCs w:val="1"/>
                <w:color w:val="auto"/>
              </w:rPr>
              <w:t>2.1%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w w:val="94"/>
              </w:rPr>
              <w:t>Interest income (expense), net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non-operating income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2,321</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125</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1,737</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221</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6"/>
                <w:szCs w:val="16"/>
                <w:color w:val="auto"/>
                <w:w w:val="97"/>
              </w:rPr>
              <w:t>Income tax (provision) benefit</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6"/>
              </w:rPr>
              <w:t>(107)</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Equity in net income (loss) of</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method investees</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0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2,369</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1,647</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20"/>
              <w:spacing w:after="0"/>
              <w:rPr>
                <w:sz w:val="20"/>
                <w:szCs w:val="20"/>
                <w:color w:val="auto"/>
              </w:rPr>
            </w:pPr>
            <w:r>
              <w:rPr>
                <w:rFonts w:ascii="Arial" w:cs="Arial" w:eastAsia="Arial" w:hAnsi="Arial"/>
                <w:sz w:val="16"/>
                <w:szCs w:val="16"/>
                <w:color w:val="auto"/>
                <w:w w:val="98"/>
              </w:rPr>
              <w:t>Net income (loss) attributable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180"/>
              <w:spacing w:after="0"/>
              <w:rPr>
                <w:sz w:val="20"/>
                <w:szCs w:val="20"/>
                <w:color w:val="auto"/>
              </w:rPr>
            </w:pPr>
            <w:r>
              <w:rPr>
                <w:rFonts w:ascii="Arial" w:cs="Arial" w:eastAsia="Arial" w:hAnsi="Arial"/>
                <w:sz w:val="16"/>
                <w:szCs w:val="16"/>
                <w:color w:val="auto"/>
              </w:rPr>
              <w:t>to noncontrolling interests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2,368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2,386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1,647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attributable to Micron</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calculations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20"/>
        </w:trPr>
        <w:tc>
          <w:tcPr>
            <w:tcW w:w="2080" w:type="dxa"/>
            <w:vAlign w:val="bottom"/>
          </w:tcPr>
          <w:p>
            <w:pPr>
              <w:ind w:left="20"/>
              <w:spacing w:after="0"/>
              <w:rPr>
                <w:sz w:val="20"/>
                <w:szCs w:val="20"/>
                <w:color w:val="auto"/>
              </w:rPr>
            </w:pPr>
            <w:r>
              <w:rPr>
                <w:rFonts w:ascii="Arial" w:cs="Arial" w:eastAsia="Arial" w:hAnsi="Arial"/>
                <w:sz w:val="16"/>
                <w:szCs w:val="16"/>
                <w:color w:val="auto"/>
              </w:rPr>
              <w:t>Diluted earnings (loss) per</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180"/>
              <w:spacing w:after="0"/>
              <w:rPr>
                <w:sz w:val="20"/>
                <w:szCs w:val="20"/>
                <w:color w:val="auto"/>
              </w:rPr>
            </w:pPr>
            <w:r>
              <w:rPr>
                <w:rFonts w:ascii="Arial" w:cs="Arial" w:eastAsia="Arial" w:hAnsi="Arial"/>
                <w:sz w:val="16"/>
                <w:szCs w:val="16"/>
                <w:color w:val="auto"/>
              </w:rPr>
              <w:t>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w w:val="96"/>
              </w:rPr>
              <w:t>0.03</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w w:val="96"/>
              </w:rPr>
              <w:t>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bl>
    <w:p>
      <w:pPr>
        <w:sectPr>
          <w:pgSz w:w="11900" w:h="16838" w:orient="portrait"/>
          <w:cols w:equalWidth="0" w:num="1">
            <w:col w:w="9280"/>
          </w:cols>
          <w:pgMar w:left="1320" w:top="580" w:right="1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3"/>
              </w:rPr>
              <w:t>Year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3"/>
              </w:rPr>
              <w:t>Year Ended</w:t>
            </w:r>
          </w:p>
        </w:tc>
        <w:tc>
          <w:tcPr>
            <w:tcW w:w="680" w:type="dxa"/>
            <w:vAlign w:val="bottom"/>
          </w:tcPr>
          <w:p>
            <w:pPr>
              <w:spacing w:after="0"/>
              <w:rPr>
                <w:sz w:val="18"/>
                <w:szCs w:val="18"/>
                <w:color w:val="auto"/>
              </w:rPr>
            </w:pPr>
          </w:p>
        </w:tc>
      </w:tr>
      <w:tr>
        <w:trPr>
          <w:trHeight w:val="270"/>
        </w:trPr>
        <w:tc>
          <w:tcPr>
            <w:tcW w:w="4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0"/>
              </w:rPr>
              <w:t>August 31, 2017</w:t>
            </w:r>
          </w:p>
        </w:tc>
        <w:tc>
          <w:tcPr>
            <w:tcW w:w="160" w:type="dxa"/>
            <w:vAlign w:val="bottom"/>
          </w:tcPr>
          <w:p>
            <w:pPr>
              <w:spacing w:after="0"/>
              <w:rPr>
                <w:sz w:val="23"/>
                <w:szCs w:val="23"/>
                <w:color w:val="auto"/>
              </w:rPr>
            </w:pPr>
          </w:p>
        </w:tc>
        <w:tc>
          <w:tcPr>
            <w:tcW w:w="216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auto"/>
                <w:w w:val="91"/>
              </w:rPr>
              <w:t>September 1, 2016</w:t>
            </w:r>
          </w:p>
        </w:tc>
      </w:tr>
      <w:tr>
        <w:trPr>
          <w:trHeight w:val="3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17"/>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440" w:type="dxa"/>
            <w:vAlign w:val="bottom"/>
          </w:tcPr>
          <w:p>
            <w:pPr>
              <w:jc w:val="center"/>
              <w:ind w:right="59"/>
              <w:spacing w:after="0"/>
              <w:rPr>
                <w:sz w:val="20"/>
                <w:szCs w:val="20"/>
                <w:color w:val="auto"/>
              </w:rPr>
            </w:pPr>
            <w:r>
              <w:rPr>
                <w:rFonts w:ascii="Arial" w:cs="Arial" w:eastAsia="Arial" w:hAnsi="Arial"/>
                <w:sz w:val="16"/>
                <w:szCs w:val="16"/>
                <w:b w:val="1"/>
                <w:bCs w:val="1"/>
                <w:color w:val="auto"/>
              </w:rPr>
              <w:t>Adj</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40" w:type="dxa"/>
            <w:vAlign w:val="bottom"/>
          </w:tcPr>
          <w:p>
            <w:pPr>
              <w:jc w:val="center"/>
              <w:ind w:right="19"/>
              <w:spacing w:after="0"/>
              <w:rPr>
                <w:sz w:val="20"/>
                <w:szCs w:val="20"/>
                <w:color w:val="auto"/>
              </w:rPr>
            </w:pPr>
            <w:r>
              <w:rPr>
                <w:rFonts w:ascii="Arial" w:cs="Arial" w:eastAsia="Arial" w:hAnsi="Arial"/>
                <w:sz w:val="16"/>
                <w:szCs w:val="16"/>
                <w:b w:val="1"/>
                <w:bCs w:val="1"/>
                <w:color w:val="auto"/>
              </w:rPr>
              <w:t>Adj</w:t>
            </w: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Non-GAAP</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12,399</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11,886</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6"/>
              </w:rPr>
              <w:t>(203)</w:t>
            </w:r>
          </w:p>
        </w:tc>
        <w:tc>
          <w:tcPr>
            <w:tcW w:w="20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11,683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9,894</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9,807</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8,436</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2,505</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2,592</w:t>
            </w:r>
          </w:p>
        </w:tc>
      </w:tr>
      <w:tr>
        <w:trPr>
          <w:trHeight w:val="237"/>
        </w:trPr>
        <w:tc>
          <w:tcPr>
            <w:tcW w:w="454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41.5%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20.2%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20.9%</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659</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590</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1,558</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Restructure and asset impairments</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17"/>
        </w:trPr>
        <w:tc>
          <w:tcPr>
            <w:tcW w:w="4540" w:type="dxa"/>
            <w:vAlign w:val="bottom"/>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2,568</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(161)</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2,337</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2,142</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5,868</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r>
      <w:tr>
        <w:trPr>
          <w:trHeight w:val="237"/>
        </w:trPr>
        <w:tc>
          <w:tcPr>
            <w:tcW w:w="454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28.9%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1.4%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3.6%</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(560)</w:t>
            </w:r>
          </w:p>
        </w:tc>
        <w:tc>
          <w:tcPr>
            <w:tcW w:w="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(395)</w:t>
            </w:r>
          </w:p>
        </w:tc>
        <w:tc>
          <w:tcPr>
            <w:tcW w:w="1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non-operating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17"/>
        </w:trPr>
        <w:tc>
          <w:tcPr>
            <w:tcW w:w="4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5,196</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150</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66</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equity method investees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w:t>
            </w:r>
          </w:p>
        </w:tc>
      </w:tr>
      <w:tr>
        <w:trPr>
          <w:trHeight w:val="217"/>
        </w:trPr>
        <w:tc>
          <w:tcPr>
            <w:tcW w:w="454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5,090</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559</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274</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(loss) attributable to Micron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273</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84"/>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calculations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1,050</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0.55</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0.26</w:t>
            </w:r>
          </w:p>
        </w:tc>
      </w:tr>
    </w:tbl>
    <w:p>
      <w:pPr>
        <w:sectPr>
          <w:pgSz w:w="11900" w:h="16838" w:orient="portrait"/>
          <w:cols w:equalWidth="0" w:num="1">
            <w:col w:w="9280"/>
          </w:cols>
          <w:pgMar w:left="1320" w:top="760" w:right="1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ADJUSTMENTS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60" w:type="dxa"/>
            <w:vAlign w:val="bottom"/>
          </w:tcPr>
          <w:p>
            <w:pPr>
              <w:spacing w:after="0"/>
              <w:rPr>
                <w:sz w:val="24"/>
                <w:szCs w:val="24"/>
                <w:color w:val="auto"/>
              </w:rPr>
            </w:pPr>
          </w:p>
        </w:tc>
        <w:tc>
          <w:tcPr>
            <w:tcW w:w="25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September 1,</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August 31, 2017</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June 1, 2017</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Non-GAAP adjustments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Inotera acquisition costs</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91"/>
        </w:trPr>
        <w:tc>
          <w:tcPr>
            <w:tcW w:w="44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discount and other costs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7"/>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w w:val="96"/>
              </w:rPr>
              <w:t>(Gain) loss from changes in currency exchange rates</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debt repurchases and conversions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(Gain) loss from business acquisition activities</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Estimated tax effects of above and non-cash changes in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deferred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97"/>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Equity in net income (loss) of equity method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Impairment of equity method investments</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tables above reconcile GAAP to non-GAAP results, diluted shares, and diluted earnings (loss)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w:t>
      </w:r>
    </w:p>
    <w:p>
      <w:pPr>
        <w:sectPr>
          <w:pgSz w:w="11900" w:h="16838" w:orient="portrait"/>
          <w:cols w:equalWidth="0" w:num="1">
            <w:col w:w="11420"/>
          </w:cols>
          <w:pgMar w:left="240" w:top="580" w:right="239" w:bottom="1440" w:gutter="0" w:footer="0" w:header="0"/>
        </w:sectPr>
      </w:pPr>
    </w:p>
    <w:bookmarkStart w:id="13" w:name="page14"/>
    <w:bookmarkEnd w:id="13"/>
    <w:p>
      <w:pPr>
        <w:ind w:right="120"/>
        <w:spacing w:after="0" w:line="293" w:lineRule="auto"/>
        <w:rPr>
          <w:sz w:val="20"/>
          <w:szCs w:val="20"/>
          <w:color w:val="auto"/>
        </w:rPr>
      </w:pPr>
      <w:r>
        <w:rPr>
          <w:rFonts w:ascii="Arial" w:cs="Arial" w:eastAsia="Arial" w:hAnsi="Arial"/>
          <w:sz w:val="16"/>
          <w:szCs w:val="16"/>
          <w:color w:val="auto"/>
        </w:rPr>
        <w:t>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vary from numbers presented in accordance with U.S. GAAP and therefore may not be comparable to amounts reported by other companies. In the first quarter of fiscal 2017, we began excluding stock-based compensation and amortization of acquisition-related intangible assets from non-GAAP results. Comparative periods have been restated.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excludes the following items in analyzing our operating results and understanding trends in our earnings: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installment debt;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Gains and losses loss from business acquisition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estimated tax effects of above and non-cash changes in net deferred 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equity method investments.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the capped calls, based on the average share price for the period the capped calls are outstanding. Non-GAAP diluted shares are also adjusted for the impact of additional shares resulting from the exclusion of stock-based compensation from non-GAAP income.</w:t>
      </w:r>
    </w:p>
    <w:p>
      <w:pPr>
        <w:sectPr>
          <w:pgSz w:w="11900" w:h="16838" w:orient="portrait"/>
          <w:cols w:equalWidth="0" w:num="1">
            <w:col w:w="11360"/>
          </w:cols>
          <w:pgMar w:left="240" w:top="584" w:right="299" w:bottom="1440" w:gutter="0" w:footer="0" w:header="0"/>
        </w:sectPr>
      </w:pPr>
    </w:p>
    <w:bookmarkStart w:id="14" w:name="page15"/>
    <w:bookmarkEnd w:id="14"/>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33020</wp:posOffset>
            </wp:positionV>
            <wp:extent cx="5848985" cy="329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sectPr>
      <w:pgSz w:w="11900" w:h="16838" w:orient="portrait"/>
      <w:cols w:equalWidth="0" w:num="1">
        <w:col w:w="10220"/>
      </w:cols>
      <w:pgMar w:left="14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2019-12-29T04:54:34Z</dcterms:created>
  <dcterms:modified xsi:type="dcterms:W3CDTF">2019-12-29T04:54:34Z</dcterms:modified>
</cp:coreProperties>
</file>