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360" w:right="380"/>
        <w:spacing w:after="0" w:line="247" w:lineRule="auto"/>
        <w:rPr>
          <w:sz w:val="20"/>
          <w:szCs w:val="20"/>
          <w:color w:val="auto"/>
        </w:rPr>
      </w:pPr>
      <w:r>
        <w:rPr>
          <w:rFonts w:ascii="Arial" w:cs="Arial" w:eastAsia="Arial" w:hAnsi="Arial"/>
          <w:sz w:val="32"/>
          <w:szCs w:val="32"/>
          <w:b w:val="1"/>
          <w:bCs w:val="1"/>
          <w:color w:val="auto"/>
        </w:rPr>
        <w:t>UNITED STATES SECURITIES AND EXCHANGE COMMISSION</w:t>
      </w:r>
    </w:p>
    <w:p>
      <w:pPr>
        <w:spacing w:after="0" w:line="1"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SCHEDULE 13G</w:t>
      </w:r>
    </w:p>
    <w:p>
      <w:pPr>
        <w:spacing w:after="0" w:line="330"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(Amendment No. 6)*</w:t>
      </w:r>
    </w:p>
    <w:p>
      <w:pPr>
        <w:spacing w:after="0" w:line="20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-215900</wp:posOffset>
            </wp:positionV>
            <wp:extent cx="1449070" cy="1269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126936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OMB Number: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3235-0145</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Expires: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December 31, 2005</w:t>
      </w:r>
    </w:p>
    <w:p>
      <w:pPr>
        <w:spacing w:after="0" w:line="9" w:lineRule="exact"/>
        <w:rPr>
          <w:sz w:val="24"/>
          <w:szCs w:val="24"/>
          <w:color w:val="auto"/>
        </w:rPr>
      </w:pPr>
    </w:p>
    <w:p>
      <w:pPr>
        <w:ind w:right="380"/>
        <w:spacing w:after="0" w:line="341" w:lineRule="auto"/>
        <w:rPr>
          <w:sz w:val="20"/>
          <w:szCs w:val="20"/>
          <w:color w:val="auto"/>
        </w:rPr>
      </w:pPr>
      <w:r>
        <w:rPr>
          <w:rFonts w:ascii="Arial" w:cs="Arial" w:eastAsia="Arial" w:hAnsi="Arial"/>
          <w:sz w:val="16"/>
          <w:szCs w:val="16"/>
          <w:color w:val="auto"/>
        </w:rPr>
        <w:t>Estimated average burden hours per response. . 11</w:t>
      </w:r>
    </w:p>
    <w:p>
      <w:pPr>
        <w:spacing w:after="0" w:line="1016" w:lineRule="exact"/>
        <w:rPr>
          <w:sz w:val="24"/>
          <w:szCs w:val="24"/>
          <w:color w:val="auto"/>
        </w:rPr>
      </w:pPr>
    </w:p>
    <w:p>
      <w:pPr>
        <w:sectPr>
          <w:pgSz w:w="11900" w:h="16838" w:orient="portrait"/>
          <w:cols w:equalWidth="0" w:num="2">
            <w:col w:w="8440" w:space="720"/>
            <w:col w:w="2260"/>
          </w:cols>
          <w:pgMar w:left="240" w:top="422" w:right="239" w:bottom="63" w:gutter="0" w:footer="0" w:header="0"/>
        </w:sect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595112103</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PRIMECAP Management Company 95-3868081</w:t>
      </w:r>
    </w:p>
    <w:p>
      <w:pPr>
        <w:spacing w:after="0" w:line="389"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6,836,386</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63" w:gutter="0" w:footer="0" w:header="0"/>
          <w:type w:val="continuous"/>
        </w:sectPr>
      </w:pPr>
    </w:p>
    <w:bookmarkStart w:id="1" w:name="page2"/>
    <w:bookmarkEnd w:id="1"/>
    <w:p>
      <w:pPr>
        <w:ind w:left="2700" w:right="6800" w:hanging="1091"/>
        <w:spacing w:after="0" w:line="275"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64,512,520</w:t>
      </w:r>
    </w:p>
    <w:p>
      <w:pPr>
        <w:spacing w:after="0" w:line="389" w:lineRule="exact"/>
        <w:rPr>
          <w:rFonts w:ascii="Arial" w:cs="Arial" w:eastAsia="Arial" w:hAnsi="Arial"/>
          <w:sz w:val="18"/>
          <w:szCs w:val="18"/>
          <w:color w:val="auto"/>
        </w:rPr>
      </w:pPr>
    </w:p>
    <w:p>
      <w:pPr>
        <w:ind w:left="2700" w:right="6620" w:hanging="1091"/>
        <w:spacing w:after="0" w:line="275"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right="540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64,512,520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40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10.53%</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186690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-164465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186690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-164465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-516255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-868045</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-1219200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93"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80010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300" w:top="193" w:right="39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53"/>
        <w:spacing w:after="0"/>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78"/>
        <w:spacing w:after="0"/>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503"/>
        <w:spacing w:after="0"/>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hanging="498"/>
        <w:spacing w:after="0"/>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-198755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 xml:space="preserve">Instruction.  </w:t>
      </w:r>
      <w:r>
        <w:rPr>
          <w:rFonts w:ascii="Arial" w:cs="Arial" w:eastAsia="Arial" w:hAnsi="Arial"/>
          <w:sz w:val="17"/>
          <w:szCs w:val="17"/>
          <w:color w:val="auto"/>
        </w:rPr>
        <w:t>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30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5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520" w:hanging="87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2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1" w:lineRule="exact"/>
        <w:rPr>
          <w:sz w:val="20"/>
          <w:szCs w:val="20"/>
          <w:color w:val="auto"/>
        </w:rPr>
      </w:pPr>
    </w:p>
    <w:p>
      <w:pPr>
        <w:ind w:left="1520" w:hanging="87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ectPr>
          <w:pgSz w:w="11900" w:h="16838" w:orient="portrait"/>
          <w:cols w:equalWidth="0" w:num="1">
            <w:col w:w="11280"/>
          </w:cols>
          <w:pgMar w:left="300" w:top="634" w:right="319" w:bottom="0" w:gutter="0" w:footer="0" w:header="0"/>
        </w:sectPr>
      </w:pPr>
    </w:p>
    <w:bookmarkStart w:id="3" w:name="page4"/>
    <w:bookmarkEnd w:id="3"/>
    <w:p>
      <w:pPr>
        <w:jc w:val="both"/>
        <w:ind w:left="2220" w:right="1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Signature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March 23, 2005</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1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17"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right="40" w:firstLine="648"/>
        <w:spacing w:after="0" w:line="260"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w:t>
      </w:r>
      <w:r>
        <w:rPr>
          <w:rFonts w:ascii="Arial" w:cs="Arial" w:eastAsia="Arial" w:hAnsi="Arial"/>
          <w:sz w:val="17"/>
          <w:szCs w:val="17"/>
          <w:color w:val="auto"/>
        </w:rPr>
        <w:t>’s authority to sign on behalf of such person shall be filed with the statement, provided, however, that a power of attorney for this purpose which is</w:t>
      </w:r>
      <w:r>
        <w:rPr>
          <w:rFonts w:ascii="Arial" w:cs="Arial" w:eastAsia="Arial" w:hAnsi="Arial"/>
          <w:sz w:val="18"/>
          <w:szCs w:val="18"/>
          <w:color w:val="auto"/>
        </w:rPr>
        <w:t xml:space="preserve"> </w:t>
      </w:r>
      <w:r>
        <w:rPr>
          <w:rFonts w:ascii="Arial" w:cs="Arial" w:eastAsia="Arial" w:hAnsi="Arial"/>
          <w:sz w:val="17"/>
          <w:szCs w:val="17"/>
          <w:color w:val="auto"/>
        </w:rPr>
        <w:t>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2019-12-13T13:17:48Z</dcterms:created>
  <dcterms:modified xsi:type="dcterms:W3CDTF">2019-12-13T13:17:48Z</dcterms:modified>
</cp:coreProperties>
</file>