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8" w:lineRule="exact"/>
        <w:rPr>
          <w:sz w:val="24"/>
          <w:szCs w:val="24"/>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As filed with the Securities and Exchange Commission on October 10, 2017</w:t>
      </w:r>
    </w:p>
    <w:p>
      <w:pPr>
        <w:spacing w:after="0" w:line="204" w:lineRule="exact"/>
        <w:rPr>
          <w:sz w:val="24"/>
          <w:szCs w:val="24"/>
          <w:color w:val="auto"/>
        </w:rPr>
      </w:pPr>
    </w:p>
    <w:p>
      <w:pPr>
        <w:ind w:left="978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jc w:val="center"/>
        <w:ind w:right="-7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79"/>
        <w:spacing w:after="0"/>
        <w:rPr>
          <w:sz w:val="20"/>
          <w:szCs w:val="20"/>
          <w:color w:val="auto"/>
        </w:rPr>
      </w:pPr>
      <w:r>
        <w:rPr>
          <w:rFonts w:ascii="Arial" w:cs="Arial" w:eastAsia="Arial" w:hAnsi="Arial"/>
          <w:sz w:val="24"/>
          <w:szCs w:val="24"/>
          <w:b w:val="1"/>
          <w:bCs w:val="1"/>
          <w:color w:val="auto"/>
        </w:rPr>
        <w:t>SECURITIES AND EXCHANGE COMMISSION</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jc w:val="center"/>
        <w:ind w:right="-79"/>
        <w:spacing w:after="0"/>
        <w:rPr>
          <w:sz w:val="20"/>
          <w:szCs w:val="20"/>
          <w:color w:val="auto"/>
        </w:rPr>
      </w:pPr>
      <w:r>
        <w:rPr>
          <w:rFonts w:ascii="Arial" w:cs="Arial" w:eastAsia="Arial" w:hAnsi="Arial"/>
          <w:sz w:val="24"/>
          <w:szCs w:val="24"/>
          <w:b w:val="1"/>
          <w:bCs w:val="1"/>
          <w:color w:val="auto"/>
        </w:rPr>
        <w:t>FORM S-3</w:t>
      </w:r>
    </w:p>
    <w:p>
      <w:pPr>
        <w:spacing w:after="0" w:line="25"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REGISTRATION STATEMENT</w:t>
      </w:r>
    </w:p>
    <w:p>
      <w:pPr>
        <w:jc w:val="center"/>
        <w:ind w:right="-79"/>
        <w:spacing w:after="0" w:line="221" w:lineRule="auto"/>
        <w:rPr>
          <w:sz w:val="20"/>
          <w:szCs w:val="20"/>
          <w:color w:val="auto"/>
        </w:rPr>
      </w:pPr>
      <w:r>
        <w:rPr>
          <w:rFonts w:ascii="Arial" w:cs="Arial" w:eastAsia="Arial" w:hAnsi="Arial"/>
          <w:sz w:val="14"/>
          <w:szCs w:val="14"/>
          <w:b w:val="1"/>
          <w:bCs w:val="1"/>
          <w:color w:val="auto"/>
        </w:rPr>
        <w:t>Under</w:t>
      </w:r>
    </w:p>
    <w:p>
      <w:pPr>
        <w:jc w:val="center"/>
        <w:ind w:right="-79"/>
        <w:spacing w:after="0"/>
        <w:rPr>
          <w:sz w:val="20"/>
          <w:szCs w:val="20"/>
          <w:color w:val="auto"/>
        </w:rPr>
      </w:pPr>
      <w:r>
        <w:rPr>
          <w:rFonts w:ascii="Arial" w:cs="Arial" w:eastAsia="Arial" w:hAnsi="Arial"/>
          <w:sz w:val="14"/>
          <w:szCs w:val="14"/>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jc w:val="center"/>
        <w:ind w:right="-79"/>
        <w:spacing w:after="0"/>
        <w:rPr>
          <w:sz w:val="20"/>
          <w:szCs w:val="20"/>
          <w:color w:val="auto"/>
        </w:rPr>
      </w:pPr>
      <w:r>
        <w:rPr>
          <w:rFonts w:ascii="Arial" w:cs="Arial" w:eastAsia="Arial" w:hAnsi="Arial"/>
          <w:sz w:val="24"/>
          <w:szCs w:val="24"/>
          <w:b w:val="1"/>
          <w:bCs w:val="1"/>
          <w:color w:val="auto"/>
        </w:rPr>
        <w:t>MICRON TECHNOLOGY, INC.</w:t>
      </w:r>
    </w:p>
    <w:p>
      <w:pPr>
        <w:spacing w:after="0" w:line="37" w:lineRule="exact"/>
        <w:rPr>
          <w:sz w:val="24"/>
          <w:szCs w:val="24"/>
          <w:color w:val="auto"/>
        </w:rPr>
      </w:pPr>
    </w:p>
    <w:p>
      <w:pPr>
        <w:jc w:val="center"/>
        <w:ind w:right="-79"/>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tbl>
      <w:tblPr>
        <w:tblLayout w:type="fixed"/>
        <w:tblInd w:w="3100" w:type="dxa"/>
        <w:tblCellMar>
          <w:top w:w="0" w:type="dxa"/>
          <w:left w:w="0" w:type="dxa"/>
          <w:bottom w:w="0" w:type="dxa"/>
          <w:right w:w="0" w:type="dxa"/>
        </w:tblCellMar>
      </w:tblPr>
      <w:tr>
        <w:trPr>
          <w:trHeight w:val="161"/>
        </w:trPr>
        <w:tc>
          <w:tcPr>
            <w:tcW w:w="2700" w:type="dxa"/>
            <w:vAlign w:val="bottom"/>
          </w:tcPr>
          <w:p>
            <w:pPr>
              <w:jc w:val="center"/>
              <w:ind w:right="1052"/>
              <w:spacing w:after="0"/>
              <w:rPr>
                <w:sz w:val="20"/>
                <w:szCs w:val="20"/>
                <w:color w:val="auto"/>
              </w:rPr>
            </w:pPr>
            <w:r>
              <w:rPr>
                <w:rFonts w:ascii="Arial" w:cs="Arial" w:eastAsia="Arial" w:hAnsi="Arial"/>
                <w:sz w:val="14"/>
                <w:szCs w:val="14"/>
                <w:b w:val="1"/>
                <w:bCs w:val="1"/>
                <w:color w:val="auto"/>
                <w:w w:val="87"/>
              </w:rPr>
              <w:t>Delaware</w:t>
            </w:r>
          </w:p>
        </w:tc>
        <w:tc>
          <w:tcPr>
            <w:tcW w:w="2360" w:type="dxa"/>
            <w:vAlign w:val="bottom"/>
          </w:tcPr>
          <w:p>
            <w:pPr>
              <w:jc w:val="center"/>
              <w:ind w:left="1052"/>
              <w:spacing w:after="0"/>
              <w:rPr>
                <w:sz w:val="20"/>
                <w:szCs w:val="20"/>
                <w:color w:val="auto"/>
              </w:rPr>
            </w:pPr>
            <w:r>
              <w:rPr>
                <w:rFonts w:ascii="Arial" w:cs="Arial" w:eastAsia="Arial" w:hAnsi="Arial"/>
                <w:sz w:val="14"/>
                <w:szCs w:val="14"/>
                <w:b w:val="1"/>
                <w:bCs w:val="1"/>
                <w:color w:val="auto"/>
                <w:w w:val="85"/>
              </w:rPr>
              <w:t>75-1618004</w:t>
            </w:r>
          </w:p>
        </w:tc>
      </w:tr>
      <w:tr>
        <w:trPr>
          <w:trHeight w:val="149"/>
        </w:trPr>
        <w:tc>
          <w:tcPr>
            <w:tcW w:w="2700" w:type="dxa"/>
            <w:vAlign w:val="bottom"/>
          </w:tcPr>
          <w:p>
            <w:pPr>
              <w:jc w:val="center"/>
              <w:ind w:right="1052"/>
              <w:spacing w:after="0" w:line="149" w:lineRule="exact"/>
              <w:rPr>
                <w:sz w:val="20"/>
                <w:szCs w:val="20"/>
                <w:color w:val="auto"/>
              </w:rPr>
            </w:pPr>
            <w:r>
              <w:rPr>
                <w:rFonts w:ascii="Arial" w:cs="Arial" w:eastAsia="Arial" w:hAnsi="Arial"/>
                <w:sz w:val="14"/>
                <w:szCs w:val="14"/>
                <w:color w:val="auto"/>
                <w:w w:val="90"/>
              </w:rPr>
              <w:t>(State or other jurisdiction of</w:t>
            </w:r>
          </w:p>
        </w:tc>
        <w:tc>
          <w:tcPr>
            <w:tcW w:w="2360" w:type="dxa"/>
            <w:vAlign w:val="bottom"/>
          </w:tcPr>
          <w:p>
            <w:pPr>
              <w:jc w:val="center"/>
              <w:ind w:left="1052"/>
              <w:spacing w:after="0" w:line="149" w:lineRule="exact"/>
              <w:rPr>
                <w:sz w:val="20"/>
                <w:szCs w:val="20"/>
                <w:color w:val="auto"/>
              </w:rPr>
            </w:pPr>
            <w:r>
              <w:rPr>
                <w:rFonts w:ascii="Arial" w:cs="Arial" w:eastAsia="Arial" w:hAnsi="Arial"/>
                <w:sz w:val="14"/>
                <w:szCs w:val="14"/>
                <w:color w:val="auto"/>
                <w:w w:val="89"/>
              </w:rPr>
              <w:t>(I.R.S. Employer</w:t>
            </w:r>
          </w:p>
        </w:tc>
      </w:tr>
      <w:tr>
        <w:trPr>
          <w:trHeight w:val="149"/>
        </w:trPr>
        <w:tc>
          <w:tcPr>
            <w:tcW w:w="2700" w:type="dxa"/>
            <w:vAlign w:val="bottom"/>
          </w:tcPr>
          <w:p>
            <w:pPr>
              <w:jc w:val="center"/>
              <w:ind w:right="1052"/>
              <w:spacing w:after="0" w:line="149" w:lineRule="exact"/>
              <w:rPr>
                <w:sz w:val="20"/>
                <w:szCs w:val="20"/>
                <w:color w:val="auto"/>
              </w:rPr>
            </w:pPr>
            <w:r>
              <w:rPr>
                <w:rFonts w:ascii="Arial" w:cs="Arial" w:eastAsia="Arial" w:hAnsi="Arial"/>
                <w:sz w:val="14"/>
                <w:szCs w:val="14"/>
                <w:color w:val="auto"/>
                <w:w w:val="88"/>
              </w:rPr>
              <w:t>incorporation or</w:t>
            </w:r>
          </w:p>
        </w:tc>
        <w:tc>
          <w:tcPr>
            <w:tcW w:w="2360" w:type="dxa"/>
            <w:vAlign w:val="bottom"/>
          </w:tcPr>
          <w:p>
            <w:pPr>
              <w:jc w:val="center"/>
              <w:ind w:left="1052"/>
              <w:spacing w:after="0" w:line="149" w:lineRule="exact"/>
              <w:rPr>
                <w:sz w:val="20"/>
                <w:szCs w:val="20"/>
                <w:color w:val="auto"/>
              </w:rPr>
            </w:pPr>
            <w:r>
              <w:rPr>
                <w:rFonts w:ascii="Arial" w:cs="Arial" w:eastAsia="Arial" w:hAnsi="Arial"/>
                <w:sz w:val="14"/>
                <w:szCs w:val="14"/>
                <w:color w:val="auto"/>
                <w:w w:val="90"/>
              </w:rPr>
              <w:t>Identification Number)</w:t>
            </w:r>
          </w:p>
        </w:tc>
      </w:tr>
      <w:tr>
        <w:trPr>
          <w:trHeight w:val="172"/>
        </w:trPr>
        <w:tc>
          <w:tcPr>
            <w:tcW w:w="2700" w:type="dxa"/>
            <w:vAlign w:val="bottom"/>
          </w:tcPr>
          <w:p>
            <w:pPr>
              <w:jc w:val="center"/>
              <w:ind w:right="1052"/>
              <w:spacing w:after="0"/>
              <w:rPr>
                <w:sz w:val="20"/>
                <w:szCs w:val="20"/>
                <w:color w:val="auto"/>
              </w:rPr>
            </w:pPr>
            <w:r>
              <w:rPr>
                <w:rFonts w:ascii="Arial" w:cs="Arial" w:eastAsia="Arial" w:hAnsi="Arial"/>
                <w:sz w:val="14"/>
                <w:szCs w:val="14"/>
                <w:color w:val="auto"/>
                <w:w w:val="86"/>
              </w:rPr>
              <w:t>organization)</w:t>
            </w:r>
          </w:p>
        </w:tc>
        <w:tc>
          <w:tcPr>
            <w:tcW w:w="2360" w:type="dxa"/>
            <w:vAlign w:val="bottom"/>
          </w:tcPr>
          <w:p>
            <w:pPr>
              <w:spacing w:after="0"/>
              <w:rPr>
                <w:sz w:val="14"/>
                <w:szCs w:val="14"/>
                <w:color w:val="auto"/>
              </w:rPr>
            </w:pPr>
          </w:p>
        </w:tc>
      </w:tr>
    </w:tbl>
    <w:p>
      <w:pPr>
        <w:spacing w:after="0" w:line="190"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8000 South Federal Way</w:t>
      </w:r>
    </w:p>
    <w:p>
      <w:pPr>
        <w:jc w:val="center"/>
        <w:ind w:right="-79"/>
        <w:spacing w:after="0" w:line="223" w:lineRule="auto"/>
        <w:rPr>
          <w:sz w:val="20"/>
          <w:szCs w:val="20"/>
          <w:color w:val="auto"/>
        </w:rPr>
      </w:pPr>
      <w:r>
        <w:rPr>
          <w:rFonts w:ascii="Arial" w:cs="Arial" w:eastAsia="Arial" w:hAnsi="Arial"/>
          <w:sz w:val="14"/>
          <w:szCs w:val="14"/>
          <w:b w:val="1"/>
          <w:bCs w:val="1"/>
          <w:color w:val="auto"/>
        </w:rPr>
        <w:t>Boise, Idaho 83716-9632</w:t>
      </w:r>
    </w:p>
    <w:p>
      <w:pPr>
        <w:jc w:val="center"/>
        <w:ind w:right="-79"/>
        <w:spacing w:after="0" w:line="222" w:lineRule="auto"/>
        <w:rPr>
          <w:sz w:val="20"/>
          <w:szCs w:val="20"/>
          <w:color w:val="auto"/>
        </w:rPr>
      </w:pPr>
      <w:r>
        <w:rPr>
          <w:rFonts w:ascii="Arial" w:cs="Arial" w:eastAsia="Arial" w:hAnsi="Arial"/>
          <w:sz w:val="14"/>
          <w:szCs w:val="14"/>
          <w:b w:val="1"/>
          <w:bCs w:val="1"/>
          <w:color w:val="auto"/>
        </w:rPr>
        <w:t>(208) 368-4000</w:t>
      </w:r>
    </w:p>
    <w:p>
      <w:pPr>
        <w:jc w:val="center"/>
        <w:ind w:right="-79"/>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Joel L. Poppen, Esq.</w:t>
      </w:r>
    </w:p>
    <w:p>
      <w:pPr>
        <w:jc w:val="center"/>
        <w:ind w:right="-79"/>
        <w:spacing w:after="0" w:line="223" w:lineRule="auto"/>
        <w:rPr>
          <w:sz w:val="20"/>
          <w:szCs w:val="20"/>
          <w:color w:val="auto"/>
        </w:rPr>
      </w:pPr>
      <w:r>
        <w:rPr>
          <w:rFonts w:ascii="Arial" w:cs="Arial" w:eastAsia="Arial" w:hAnsi="Arial"/>
          <w:sz w:val="14"/>
          <w:szCs w:val="14"/>
          <w:b w:val="1"/>
          <w:bCs w:val="1"/>
          <w:color w:val="auto"/>
        </w:rPr>
        <w:t>Senior Vice President and General Counsel</w:t>
      </w:r>
    </w:p>
    <w:p>
      <w:pPr>
        <w:jc w:val="center"/>
        <w:ind w:right="-79"/>
        <w:spacing w:after="0" w:line="222" w:lineRule="auto"/>
        <w:rPr>
          <w:sz w:val="20"/>
          <w:szCs w:val="20"/>
          <w:color w:val="auto"/>
        </w:rPr>
      </w:pPr>
      <w:r>
        <w:rPr>
          <w:rFonts w:ascii="Arial" w:cs="Arial" w:eastAsia="Arial" w:hAnsi="Arial"/>
          <w:sz w:val="14"/>
          <w:szCs w:val="14"/>
          <w:b w:val="1"/>
          <w:bCs w:val="1"/>
          <w:color w:val="auto"/>
        </w:rPr>
        <w:t>Micron Technology, Inc.</w:t>
      </w:r>
    </w:p>
    <w:p>
      <w:pPr>
        <w:jc w:val="center"/>
        <w:ind w:right="-79"/>
        <w:spacing w:after="0" w:line="221" w:lineRule="auto"/>
        <w:rPr>
          <w:sz w:val="20"/>
          <w:szCs w:val="20"/>
          <w:color w:val="auto"/>
        </w:rPr>
      </w:pPr>
      <w:r>
        <w:rPr>
          <w:rFonts w:ascii="Arial" w:cs="Arial" w:eastAsia="Arial" w:hAnsi="Arial"/>
          <w:sz w:val="14"/>
          <w:szCs w:val="14"/>
          <w:b w:val="1"/>
          <w:bCs w:val="1"/>
          <w:color w:val="auto"/>
        </w:rPr>
        <w:t>8000 South Federal Way</w:t>
      </w:r>
    </w:p>
    <w:p>
      <w:pPr>
        <w:jc w:val="center"/>
        <w:ind w:right="-79"/>
        <w:spacing w:after="0" w:line="222" w:lineRule="auto"/>
        <w:rPr>
          <w:sz w:val="20"/>
          <w:szCs w:val="20"/>
          <w:color w:val="auto"/>
        </w:rPr>
      </w:pPr>
      <w:r>
        <w:rPr>
          <w:rFonts w:ascii="Arial" w:cs="Arial" w:eastAsia="Arial" w:hAnsi="Arial"/>
          <w:sz w:val="14"/>
          <w:szCs w:val="14"/>
          <w:b w:val="1"/>
          <w:bCs w:val="1"/>
          <w:color w:val="auto"/>
        </w:rPr>
        <w:t>Boise, Idaho 83716-9632</w:t>
      </w:r>
    </w:p>
    <w:p>
      <w:pPr>
        <w:jc w:val="center"/>
        <w:ind w:right="-79"/>
        <w:spacing w:after="0" w:line="221" w:lineRule="auto"/>
        <w:rPr>
          <w:sz w:val="20"/>
          <w:szCs w:val="20"/>
          <w:color w:val="auto"/>
        </w:rPr>
      </w:pPr>
      <w:r>
        <w:rPr>
          <w:rFonts w:ascii="Arial" w:cs="Arial" w:eastAsia="Arial" w:hAnsi="Arial"/>
          <w:sz w:val="14"/>
          <w:szCs w:val="14"/>
          <w:b w:val="1"/>
          <w:bCs w:val="1"/>
          <w:color w:val="auto"/>
        </w:rPr>
        <w:t>(208) 368-4000</w:t>
      </w:r>
    </w:p>
    <w:p>
      <w:pPr>
        <w:jc w:val="center"/>
        <w:ind w:right="-79"/>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Copies to:</w:t>
      </w:r>
    </w:p>
    <w:p>
      <w:pPr>
        <w:spacing w:after="0" w:line="204"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John A. Fore, Esq.</w:t>
      </w:r>
    </w:p>
    <w:p>
      <w:pPr>
        <w:jc w:val="center"/>
        <w:ind w:right="-79"/>
        <w:spacing w:after="0" w:line="223" w:lineRule="auto"/>
        <w:rPr>
          <w:sz w:val="20"/>
          <w:szCs w:val="20"/>
          <w:color w:val="auto"/>
        </w:rPr>
      </w:pPr>
      <w:r>
        <w:rPr>
          <w:rFonts w:ascii="Arial" w:cs="Arial" w:eastAsia="Arial" w:hAnsi="Arial"/>
          <w:sz w:val="14"/>
          <w:szCs w:val="14"/>
          <w:b w:val="1"/>
          <w:bCs w:val="1"/>
          <w:color w:val="auto"/>
        </w:rPr>
        <w:t>Erik F. Franks, Esq.</w:t>
      </w:r>
    </w:p>
    <w:p>
      <w:pPr>
        <w:jc w:val="center"/>
        <w:ind w:right="-79"/>
        <w:spacing w:after="0" w:line="222" w:lineRule="auto"/>
        <w:rPr>
          <w:sz w:val="20"/>
          <w:szCs w:val="20"/>
          <w:color w:val="auto"/>
        </w:rPr>
      </w:pPr>
      <w:r>
        <w:rPr>
          <w:rFonts w:ascii="Arial" w:cs="Arial" w:eastAsia="Arial" w:hAnsi="Arial"/>
          <w:sz w:val="14"/>
          <w:szCs w:val="14"/>
          <w:b w:val="1"/>
          <w:bCs w:val="1"/>
          <w:color w:val="auto"/>
        </w:rPr>
        <w:t>Wilson Sonsini Goodrich &amp; Rosati</w:t>
      </w:r>
    </w:p>
    <w:p>
      <w:pPr>
        <w:jc w:val="center"/>
        <w:ind w:right="-79"/>
        <w:spacing w:after="0" w:line="221" w:lineRule="auto"/>
        <w:rPr>
          <w:sz w:val="20"/>
          <w:szCs w:val="20"/>
          <w:color w:val="auto"/>
        </w:rPr>
      </w:pPr>
      <w:r>
        <w:rPr>
          <w:rFonts w:ascii="Arial" w:cs="Arial" w:eastAsia="Arial" w:hAnsi="Arial"/>
          <w:sz w:val="14"/>
          <w:szCs w:val="14"/>
          <w:b w:val="1"/>
          <w:bCs w:val="1"/>
          <w:color w:val="auto"/>
        </w:rPr>
        <w:t>Professional Corporation</w:t>
      </w:r>
    </w:p>
    <w:p>
      <w:pPr>
        <w:jc w:val="center"/>
        <w:ind w:right="-79"/>
        <w:spacing w:after="0" w:line="222" w:lineRule="auto"/>
        <w:rPr>
          <w:sz w:val="20"/>
          <w:szCs w:val="20"/>
          <w:color w:val="auto"/>
        </w:rPr>
      </w:pPr>
      <w:r>
        <w:rPr>
          <w:rFonts w:ascii="Arial" w:cs="Arial" w:eastAsia="Arial" w:hAnsi="Arial"/>
          <w:sz w:val="14"/>
          <w:szCs w:val="14"/>
          <w:b w:val="1"/>
          <w:bCs w:val="1"/>
          <w:color w:val="auto"/>
        </w:rPr>
        <w:t>650 Page Mill Road</w:t>
      </w:r>
    </w:p>
    <w:p>
      <w:pPr>
        <w:jc w:val="center"/>
        <w:ind w:right="-79"/>
        <w:spacing w:after="0" w:line="221" w:lineRule="auto"/>
        <w:rPr>
          <w:sz w:val="20"/>
          <w:szCs w:val="20"/>
          <w:color w:val="auto"/>
        </w:rPr>
      </w:pPr>
      <w:r>
        <w:rPr>
          <w:rFonts w:ascii="Arial" w:cs="Arial" w:eastAsia="Arial" w:hAnsi="Arial"/>
          <w:sz w:val="14"/>
          <w:szCs w:val="14"/>
          <w:b w:val="1"/>
          <w:bCs w:val="1"/>
          <w:color w:val="auto"/>
        </w:rPr>
        <w:t>Palo Alto, CA 94304</w:t>
      </w:r>
    </w:p>
    <w:p>
      <w:pPr>
        <w:jc w:val="center"/>
        <w:ind w:right="-79"/>
        <w:spacing w:after="0"/>
        <w:rPr>
          <w:sz w:val="20"/>
          <w:szCs w:val="20"/>
          <w:color w:val="auto"/>
        </w:rPr>
      </w:pPr>
      <w:r>
        <w:rPr>
          <w:rFonts w:ascii="Arial" w:cs="Arial" w:eastAsia="Arial" w:hAnsi="Arial"/>
          <w:sz w:val="14"/>
          <w:szCs w:val="14"/>
          <w:b w:val="1"/>
          <w:bCs w:val="1"/>
          <w:color w:val="auto"/>
        </w:rPr>
        <w:t>(650) 493-9300</w:t>
      </w:r>
    </w:p>
    <w:p>
      <w:pPr>
        <w:spacing w:after="0" w:line="190"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APPROXIMATE DATE OF COMMENCEMENT OF PROPOSED SALE TO THE PUBLIC:</w:t>
      </w:r>
    </w:p>
    <w:p>
      <w:pPr>
        <w:spacing w:after="0" w:line="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From time to time after the effective date of this Registration Statement.</w:t>
      </w:r>
    </w:p>
    <w:p>
      <w:pPr>
        <w:spacing w:after="0" w:line="192" w:lineRule="exact"/>
        <w:rPr>
          <w:sz w:val="24"/>
          <w:szCs w:val="24"/>
          <w:color w:val="auto"/>
        </w:rPr>
      </w:pPr>
    </w:p>
    <w:p>
      <w:pPr>
        <w:ind w:left="420"/>
        <w:spacing w:after="0"/>
        <w:tabs>
          <w:tab w:leader="none" w:pos="8760" w:val="left"/>
        </w:tabs>
        <w:rPr>
          <w:sz w:val="20"/>
          <w:szCs w:val="20"/>
          <w:color w:val="auto"/>
        </w:rPr>
      </w:pPr>
      <w:r>
        <w:rPr>
          <w:rFonts w:ascii="Arial" w:cs="Arial" w:eastAsia="Arial" w:hAnsi="Arial"/>
          <w:sz w:val="12"/>
          <w:szCs w:val="12"/>
          <w:color w:val="auto"/>
        </w:rPr>
        <w:t>If the only securities being registered on this Form are being offered pursuant to dividend or interest reinvestment plans, please check the following box.</w:t>
      </w:r>
      <w:r>
        <w:rPr>
          <w:sz w:val="20"/>
          <w:szCs w:val="20"/>
          <w:color w:val="auto"/>
        </w:rPr>
        <w:tab/>
      </w:r>
      <w:r>
        <w:rPr>
          <w:rFonts w:ascii="Arial" w:cs="Arial" w:eastAsia="Arial" w:hAnsi="Arial"/>
          <w:sz w:val="14"/>
          <w:szCs w:val="14"/>
          <w:color w:val="auto"/>
        </w:rPr>
        <w:t>o</w:t>
      </w:r>
    </w:p>
    <w:p>
      <w:pPr>
        <w:spacing w:after="0" w:line="204" w:lineRule="exact"/>
        <w:rPr>
          <w:sz w:val="24"/>
          <w:szCs w:val="24"/>
          <w:color w:val="auto"/>
        </w:rPr>
      </w:pPr>
    </w:p>
    <w:p>
      <w:pPr>
        <w:ind w:right="440" w:firstLine="405"/>
        <w:spacing w:after="0" w:line="168"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4"/>
          <w:szCs w:val="14"/>
          <w:color w:val="auto"/>
        </w:rPr>
        <w:t>☒</w:t>
      </w:r>
    </w:p>
    <w:p>
      <w:pPr>
        <w:spacing w:after="0" w:line="179" w:lineRule="exact"/>
        <w:rPr>
          <w:sz w:val="24"/>
          <w:szCs w:val="24"/>
          <w:color w:val="auto"/>
        </w:rPr>
      </w:pPr>
    </w:p>
    <w:p>
      <w:pPr>
        <w:ind w:right="340" w:firstLine="405"/>
        <w:spacing w:after="0" w:line="239" w:lineRule="auto"/>
        <w:rPr>
          <w:sz w:val="20"/>
          <w:szCs w:val="20"/>
          <w:color w:val="auto"/>
        </w:rPr>
      </w:pPr>
      <w:r>
        <w:rPr>
          <w:rFonts w:ascii="Arial" w:cs="Arial" w:eastAsia="Arial" w:hAnsi="Arial"/>
          <w:sz w:val="14"/>
          <w:szCs w:val="14"/>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193" w:lineRule="exact"/>
        <w:rPr>
          <w:sz w:val="24"/>
          <w:szCs w:val="24"/>
          <w:color w:val="auto"/>
        </w:rPr>
      </w:pPr>
    </w:p>
    <w:p>
      <w:pPr>
        <w:ind w:right="20" w:firstLine="405"/>
        <w:spacing w:after="0" w:line="239" w:lineRule="auto"/>
        <w:rPr>
          <w:sz w:val="20"/>
          <w:szCs w:val="20"/>
          <w:color w:val="auto"/>
        </w:rPr>
      </w:pPr>
      <w:r>
        <w:rPr>
          <w:rFonts w:ascii="Arial" w:cs="Arial" w:eastAsia="Arial" w:hAnsi="Arial"/>
          <w:sz w:val="14"/>
          <w:szCs w:val="14"/>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193" w:lineRule="exact"/>
        <w:rPr>
          <w:sz w:val="24"/>
          <w:szCs w:val="24"/>
          <w:color w:val="auto"/>
        </w:rPr>
      </w:pPr>
    </w:p>
    <w:p>
      <w:pPr>
        <w:ind w:firstLine="405"/>
        <w:spacing w:after="0" w:line="168" w:lineRule="exact"/>
        <w:rPr>
          <w:sz w:val="20"/>
          <w:szCs w:val="20"/>
          <w:color w:val="auto"/>
        </w:rPr>
      </w:pPr>
      <w:r>
        <w:rPr>
          <w:rFonts w:ascii="Arial" w:cs="Arial" w:eastAsia="Arial" w:hAnsi="Arial"/>
          <w:sz w:val="14"/>
          <w:szCs w:val="14"/>
          <w:color w:val="auto"/>
        </w:rPr>
        <w:t xml:space="preserve">If this Form is a registration statement pursuant to General Instruction I.D. or a post-effective amendment thereto that shall become effective on filing with the Commission pursuant to Rule 462(e) under the Securities Act, check the following box. </w:t>
      </w:r>
      <w:r>
        <w:rPr>
          <w:rFonts w:ascii="MS PGothic" w:cs="MS PGothic" w:eastAsia="MS PGothic" w:hAnsi="MS PGothic"/>
          <w:sz w:val="14"/>
          <w:szCs w:val="14"/>
          <w:color w:val="auto"/>
        </w:rPr>
        <w:t>☒</w:t>
      </w:r>
    </w:p>
    <w:p>
      <w:pPr>
        <w:spacing w:after="0" w:line="179" w:lineRule="exact"/>
        <w:rPr>
          <w:sz w:val="24"/>
          <w:szCs w:val="24"/>
          <w:color w:val="auto"/>
        </w:rPr>
      </w:pPr>
    </w:p>
    <w:p>
      <w:pPr>
        <w:ind w:right="520" w:firstLine="405"/>
        <w:spacing w:after="0" w:line="239" w:lineRule="auto"/>
        <w:rPr>
          <w:sz w:val="20"/>
          <w:szCs w:val="20"/>
          <w:color w:val="auto"/>
        </w:rPr>
      </w:pPr>
      <w:r>
        <w:rPr>
          <w:rFonts w:ascii="Arial" w:cs="Arial" w:eastAsia="Arial" w:hAnsi="Arial"/>
          <w:sz w:val="14"/>
          <w:szCs w:val="14"/>
          <w:color w:val="auto"/>
        </w:rPr>
        <w:t>If this Form is a post-effective amendment to a registration statement filed pursuant to General Instruction I.D. filed to register additional securities or additional classes of securities pursuant to Rule 413(b) under the Securities Act, check the following box. o</w:t>
      </w:r>
    </w:p>
    <w:p>
      <w:pPr>
        <w:spacing w:after="0" w:line="193" w:lineRule="exact"/>
        <w:rPr>
          <w:sz w:val="24"/>
          <w:szCs w:val="24"/>
          <w:color w:val="auto"/>
        </w:rPr>
      </w:pPr>
    </w:p>
    <w:p>
      <w:pPr>
        <w:ind w:right="120" w:firstLine="405"/>
        <w:spacing w:after="0" w:line="318"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340"/>
          </w:cols>
          <w:pgMar w:left="240" w:top="685" w:right="319" w:bottom="0" w:gutter="0" w:footer="0" w:header="0"/>
        </w:sectPr>
      </w:pPr>
    </w:p>
    <w:bookmarkStart w:id="1" w:name="page2"/>
    <w:bookmarkEnd w:id="1"/>
    <w:p>
      <w:pPr>
        <w:jc w:val="center"/>
        <w:ind w:left="680"/>
        <w:spacing w:after="0" w:line="138" w:lineRule="exact"/>
        <w:rPr>
          <w:sz w:val="20"/>
          <w:szCs w:val="20"/>
          <w:color w:val="auto"/>
        </w:rPr>
      </w:pPr>
      <w:r>
        <w:rPr>
          <w:rFonts w:ascii="Arial" w:cs="Arial" w:eastAsia="Arial" w:hAnsi="Arial"/>
          <w:sz w:val="12"/>
          <w:szCs w:val="12"/>
          <w:color w:val="auto"/>
        </w:rPr>
        <w:t xml:space="preserve">Large accelerated filer </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jc w:val="center"/>
        <w:ind w:right="500"/>
        <w:spacing w:after="0"/>
        <w:rPr>
          <w:sz w:val="20"/>
          <w:szCs w:val="20"/>
          <w:color w:val="auto"/>
        </w:rPr>
      </w:pPr>
      <w:r>
        <w:rPr>
          <w:rFonts w:ascii="Arial" w:cs="Arial" w:eastAsia="Arial" w:hAnsi="Arial"/>
          <w:sz w:val="12"/>
          <w:szCs w:val="12"/>
          <w:color w:val="auto"/>
        </w:rPr>
        <w:t>Accelerated filer o</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jc w:val="center"/>
        <w:ind w:right="520"/>
        <w:spacing w:after="0"/>
        <w:rPr>
          <w:sz w:val="20"/>
          <w:szCs w:val="20"/>
          <w:color w:val="auto"/>
        </w:rPr>
      </w:pPr>
      <w:r>
        <w:rPr>
          <w:rFonts w:ascii="Arial" w:cs="Arial" w:eastAsia="Arial" w:hAnsi="Arial"/>
          <w:sz w:val="14"/>
          <w:szCs w:val="14"/>
          <w:color w:val="auto"/>
        </w:rPr>
        <w:t>Non-accelerated filer o</w:t>
      </w:r>
    </w:p>
    <w:p>
      <w:pPr>
        <w:jc w:val="center"/>
        <w:ind w:right="520"/>
        <w:spacing w:after="0" w:line="221" w:lineRule="auto"/>
        <w:rPr>
          <w:sz w:val="20"/>
          <w:szCs w:val="20"/>
          <w:color w:val="auto"/>
        </w:rPr>
      </w:pPr>
      <w:r>
        <w:rPr>
          <w:rFonts w:ascii="Arial" w:cs="Arial" w:eastAsia="Arial" w:hAnsi="Arial"/>
          <w:sz w:val="14"/>
          <w:szCs w:val="14"/>
          <w:color w:val="auto"/>
        </w:rPr>
        <w:t>(Do not check if a</w:t>
      </w:r>
    </w:p>
    <w:p>
      <w:pPr>
        <w:jc w:val="center"/>
        <w:ind w:right="520"/>
        <w:spacing w:after="0"/>
        <w:rPr>
          <w:sz w:val="20"/>
          <w:szCs w:val="20"/>
          <w:color w:val="auto"/>
        </w:rPr>
      </w:pPr>
      <w:r>
        <w:rPr>
          <w:rFonts w:ascii="Arial" w:cs="Arial" w:eastAsia="Arial" w:hAnsi="Arial"/>
          <w:sz w:val="12"/>
          <w:szCs w:val="12"/>
          <w:color w:val="auto"/>
        </w:rPr>
        <w:t>smaller reporting company)</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2"/>
          <w:szCs w:val="12"/>
          <w:color w:val="auto"/>
        </w:rPr>
        <w:t>Smaller reporting company o</w:t>
      </w:r>
    </w:p>
    <w:p>
      <w:pPr>
        <w:spacing w:after="0" w:line="23" w:lineRule="exact"/>
        <w:rPr>
          <w:sz w:val="20"/>
          <w:szCs w:val="20"/>
          <w:color w:val="auto"/>
        </w:rPr>
      </w:pPr>
    </w:p>
    <w:p>
      <w:pPr>
        <w:spacing w:after="0"/>
        <w:rPr>
          <w:sz w:val="20"/>
          <w:szCs w:val="20"/>
          <w:color w:val="auto"/>
        </w:rPr>
      </w:pPr>
      <w:r>
        <w:rPr>
          <w:rFonts w:ascii="Arial" w:cs="Arial" w:eastAsia="Arial" w:hAnsi="Arial"/>
          <w:sz w:val="12"/>
          <w:szCs w:val="12"/>
          <w:color w:val="auto"/>
        </w:rPr>
        <w:t>Emerging growth company o</w:t>
      </w:r>
    </w:p>
    <w:p>
      <w:pPr>
        <w:spacing w:after="0" w:line="348" w:lineRule="exact"/>
        <w:rPr>
          <w:sz w:val="20"/>
          <w:szCs w:val="20"/>
          <w:color w:val="auto"/>
        </w:rPr>
      </w:pPr>
    </w:p>
    <w:p>
      <w:pPr>
        <w:sectPr>
          <w:pgSz w:w="11900" w:h="16838" w:orient="portrait"/>
          <w:cols w:equalWidth="0" w:num="4">
            <w:col w:w="3020" w:space="720"/>
            <w:col w:w="1520" w:space="720"/>
            <w:col w:w="2020" w:space="720"/>
            <w:col w:w="2240"/>
          </w:cols>
          <w:pgMar w:left="240" w:top="104" w:right="699" w:bottom="1440" w:gutter="0" w:footer="0" w:header="0"/>
        </w:sectPr>
      </w:pPr>
    </w:p>
    <w:p>
      <w:pPr>
        <w:spacing w:after="0" w:line="15" w:lineRule="exact"/>
        <w:rPr>
          <w:sz w:val="20"/>
          <w:szCs w:val="20"/>
          <w:color w:val="auto"/>
        </w:rPr>
      </w:pPr>
    </w:p>
    <w:p>
      <w:pPr>
        <w:ind w:firstLine="405"/>
        <w:spacing w:after="0" w:line="239"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420"/>
        <w:spacing w:after="0"/>
        <w:rPr>
          <w:sz w:val="20"/>
          <w:szCs w:val="20"/>
          <w:color w:val="auto"/>
        </w:rPr>
      </w:pPr>
      <w:r>
        <w:rPr>
          <w:rFonts w:ascii="Arial" w:cs="Arial" w:eastAsia="Arial" w:hAnsi="Arial"/>
          <w:sz w:val="14"/>
          <w:szCs w:val="14"/>
          <w:b w:val="1"/>
          <w:bCs w:val="1"/>
          <w:color w:val="auto"/>
        </w:rPr>
        <w:t>CALCULATION OF REGISTRATION FEE</w:t>
      </w:r>
    </w:p>
    <w:p>
      <w:pPr>
        <w:spacing w:after="0" w:line="200" w:lineRule="exact"/>
        <w:rPr>
          <w:sz w:val="20"/>
          <w:szCs w:val="20"/>
          <w:color w:val="auto"/>
        </w:rPr>
      </w:pPr>
    </w:p>
    <w:p>
      <w:pPr>
        <w:spacing w:after="0" w:line="240" w:lineRule="exact"/>
        <w:rPr>
          <w:sz w:val="20"/>
          <w:szCs w:val="20"/>
          <w:color w:val="auto"/>
        </w:rPr>
      </w:pPr>
    </w:p>
    <w:tbl>
      <w:tblPr>
        <w:tblLayout w:type="fixed"/>
        <w:tblInd w:w="140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4940" w:type="dxa"/>
            <w:vAlign w:val="bottom"/>
            <w:tcBorders>
              <w:top w:val="single" w:sz="8" w:color="auto"/>
              <w:bottom w:val="single" w:sz="8" w:color="auto"/>
            </w:tcBorders>
          </w:tcPr>
          <w:p>
            <w:pPr>
              <w:spacing w:after="0"/>
              <w:rPr>
                <w:sz w:val="3"/>
                <w:szCs w:val="3"/>
                <w:color w:val="auto"/>
              </w:rPr>
            </w:pPr>
          </w:p>
        </w:tc>
        <w:tc>
          <w:tcPr>
            <w:tcW w:w="2360" w:type="dxa"/>
            <w:vAlign w:val="bottom"/>
            <w:tcBorders>
              <w:top w:val="single" w:sz="8" w:color="auto"/>
              <w:bottom w:val="single" w:sz="8" w:color="auto"/>
            </w:tcBorders>
          </w:tcPr>
          <w:p>
            <w:pPr>
              <w:spacing w:after="0"/>
              <w:rPr>
                <w:sz w:val="3"/>
                <w:szCs w:val="3"/>
                <w:color w:val="auto"/>
              </w:rPr>
            </w:pPr>
          </w:p>
        </w:tc>
        <w:tc>
          <w:tcPr>
            <w:tcW w:w="1320" w:type="dxa"/>
            <w:vAlign w:val="bottom"/>
            <w:tcBorders>
              <w:top w:val="single" w:sz="8" w:color="auto"/>
              <w:bottom w:val="single" w:sz="8" w:color="auto"/>
            </w:tcBorders>
          </w:tcPr>
          <w:p>
            <w:pPr>
              <w:spacing w:after="0"/>
              <w:rPr>
                <w:sz w:val="3"/>
                <w:szCs w:val="3"/>
                <w:color w:val="auto"/>
              </w:rPr>
            </w:pPr>
          </w:p>
        </w:tc>
      </w:tr>
      <w:tr>
        <w:trPr>
          <w:trHeight w:val="116"/>
        </w:trPr>
        <w:tc>
          <w:tcPr>
            <w:tcW w:w="20" w:type="dxa"/>
            <w:vAlign w:val="bottom"/>
          </w:tcPr>
          <w:p>
            <w:pPr>
              <w:spacing w:after="0"/>
              <w:rPr>
                <w:sz w:val="10"/>
                <w:szCs w:val="10"/>
                <w:color w:val="auto"/>
              </w:rPr>
            </w:pPr>
          </w:p>
        </w:tc>
        <w:tc>
          <w:tcPr>
            <w:tcW w:w="4940" w:type="dxa"/>
            <w:vAlign w:val="bottom"/>
          </w:tcPr>
          <w:p>
            <w:pPr>
              <w:spacing w:after="0"/>
              <w:rPr>
                <w:sz w:val="10"/>
                <w:szCs w:val="10"/>
                <w:color w:val="auto"/>
              </w:rPr>
            </w:pPr>
          </w:p>
        </w:tc>
        <w:tc>
          <w:tcPr>
            <w:tcW w:w="2360" w:type="dxa"/>
            <w:vAlign w:val="bottom"/>
          </w:tcPr>
          <w:p>
            <w:pPr>
              <w:jc w:val="center"/>
              <w:ind w:left="593"/>
              <w:spacing w:after="0" w:line="117" w:lineRule="exact"/>
              <w:rPr>
                <w:sz w:val="20"/>
                <w:szCs w:val="20"/>
                <w:color w:val="auto"/>
              </w:rPr>
            </w:pPr>
            <w:r>
              <w:rPr>
                <w:rFonts w:ascii="Arial" w:cs="Arial" w:eastAsia="Arial" w:hAnsi="Arial"/>
                <w:sz w:val="12"/>
                <w:szCs w:val="12"/>
                <w:b w:val="1"/>
                <w:bCs w:val="1"/>
                <w:color w:val="auto"/>
              </w:rPr>
              <w:t>Amount to be</w:t>
            </w:r>
          </w:p>
        </w:tc>
        <w:tc>
          <w:tcPr>
            <w:tcW w:w="132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2360" w:type="dxa"/>
            <w:vAlign w:val="bottom"/>
          </w:tcPr>
          <w:p>
            <w:pPr>
              <w:jc w:val="center"/>
              <w:ind w:left="593"/>
              <w:spacing w:after="0" w:line="149" w:lineRule="exact"/>
              <w:rPr>
                <w:sz w:val="20"/>
                <w:szCs w:val="20"/>
                <w:color w:val="auto"/>
              </w:rPr>
            </w:pPr>
            <w:r>
              <w:rPr>
                <w:rFonts w:ascii="Arial" w:cs="Arial" w:eastAsia="Arial" w:hAnsi="Arial"/>
                <w:sz w:val="14"/>
                <w:szCs w:val="14"/>
                <w:b w:val="1"/>
                <w:bCs w:val="1"/>
                <w:color w:val="auto"/>
                <w:w w:val="84"/>
              </w:rPr>
              <w:t>registered/proposed</w:t>
            </w:r>
          </w:p>
        </w:tc>
        <w:tc>
          <w:tcPr>
            <w:tcW w:w="13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2360" w:type="dxa"/>
            <w:vAlign w:val="bottom"/>
          </w:tcPr>
          <w:p>
            <w:pPr>
              <w:jc w:val="center"/>
              <w:ind w:left="613"/>
              <w:spacing w:after="0" w:line="149" w:lineRule="exact"/>
              <w:rPr>
                <w:sz w:val="20"/>
                <w:szCs w:val="20"/>
                <w:color w:val="auto"/>
              </w:rPr>
            </w:pPr>
            <w:r>
              <w:rPr>
                <w:rFonts w:ascii="Arial" w:cs="Arial" w:eastAsia="Arial" w:hAnsi="Arial"/>
                <w:sz w:val="14"/>
                <w:szCs w:val="14"/>
                <w:b w:val="1"/>
                <w:bCs w:val="1"/>
                <w:color w:val="auto"/>
                <w:w w:val="88"/>
              </w:rPr>
              <w:t>maximum offering price</w:t>
            </w:r>
          </w:p>
        </w:tc>
        <w:tc>
          <w:tcPr>
            <w:tcW w:w="13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2360" w:type="dxa"/>
            <w:vAlign w:val="bottom"/>
          </w:tcPr>
          <w:p>
            <w:pPr>
              <w:jc w:val="center"/>
              <w:ind w:left="593"/>
              <w:spacing w:after="0" w:line="149" w:lineRule="exact"/>
              <w:rPr>
                <w:sz w:val="20"/>
                <w:szCs w:val="20"/>
                <w:color w:val="auto"/>
              </w:rPr>
            </w:pPr>
            <w:r>
              <w:rPr>
                <w:rFonts w:ascii="Arial" w:cs="Arial" w:eastAsia="Arial" w:hAnsi="Arial"/>
                <w:sz w:val="14"/>
                <w:szCs w:val="14"/>
                <w:b w:val="1"/>
                <w:bCs w:val="1"/>
                <w:color w:val="auto"/>
                <w:w w:val="85"/>
              </w:rPr>
              <w:t>per unit/proposed</w:t>
            </w:r>
          </w:p>
        </w:tc>
        <w:tc>
          <w:tcPr>
            <w:tcW w:w="13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2360" w:type="dxa"/>
            <w:vAlign w:val="bottom"/>
          </w:tcPr>
          <w:p>
            <w:pPr>
              <w:jc w:val="center"/>
              <w:ind w:left="593"/>
              <w:spacing w:after="0" w:line="149" w:lineRule="exact"/>
              <w:rPr>
                <w:sz w:val="20"/>
                <w:szCs w:val="20"/>
                <w:color w:val="auto"/>
              </w:rPr>
            </w:pPr>
            <w:r>
              <w:rPr>
                <w:rFonts w:ascii="Arial" w:cs="Arial" w:eastAsia="Arial" w:hAnsi="Arial"/>
                <w:sz w:val="14"/>
                <w:szCs w:val="14"/>
                <w:b w:val="1"/>
                <w:bCs w:val="1"/>
                <w:color w:val="auto"/>
                <w:w w:val="86"/>
              </w:rPr>
              <w:t>maximum aggregate</w:t>
            </w:r>
          </w:p>
        </w:tc>
        <w:tc>
          <w:tcPr>
            <w:tcW w:w="1320" w:type="dxa"/>
            <w:vAlign w:val="bottom"/>
          </w:tcPr>
          <w:p>
            <w:pPr>
              <w:jc w:val="right"/>
              <w:ind w:right="272"/>
              <w:spacing w:after="0" w:line="149" w:lineRule="exact"/>
              <w:rPr>
                <w:sz w:val="20"/>
                <w:szCs w:val="20"/>
                <w:color w:val="auto"/>
              </w:rPr>
            </w:pPr>
            <w:r>
              <w:rPr>
                <w:rFonts w:ascii="Arial" w:cs="Arial" w:eastAsia="Arial" w:hAnsi="Arial"/>
                <w:sz w:val="14"/>
                <w:szCs w:val="14"/>
                <w:b w:val="1"/>
                <w:bCs w:val="1"/>
                <w:color w:val="auto"/>
              </w:rPr>
              <w:t>Amount of</w:t>
            </w:r>
          </w:p>
        </w:tc>
      </w:tr>
      <w:tr>
        <w:trPr>
          <w:trHeight w:val="182"/>
        </w:trPr>
        <w:tc>
          <w:tcPr>
            <w:tcW w:w="20" w:type="dxa"/>
            <w:vAlign w:val="bottom"/>
          </w:tcPr>
          <w:p>
            <w:pPr>
              <w:spacing w:after="0"/>
              <w:rPr>
                <w:sz w:val="15"/>
                <w:szCs w:val="15"/>
                <w:color w:val="auto"/>
              </w:rPr>
            </w:pPr>
          </w:p>
        </w:tc>
        <w:tc>
          <w:tcPr>
            <w:tcW w:w="4940" w:type="dxa"/>
            <w:vAlign w:val="bottom"/>
            <w:tcBorders>
              <w:bottom w:val="single" w:sz="8" w:color="auto"/>
            </w:tcBorders>
          </w:tcPr>
          <w:p>
            <w:pPr>
              <w:ind w:left="1460"/>
              <w:spacing w:after="0"/>
              <w:rPr>
                <w:sz w:val="20"/>
                <w:szCs w:val="20"/>
                <w:color w:val="auto"/>
              </w:rPr>
            </w:pPr>
            <w:r>
              <w:rPr>
                <w:rFonts w:ascii="Arial" w:cs="Arial" w:eastAsia="Arial" w:hAnsi="Arial"/>
                <w:sz w:val="14"/>
                <w:szCs w:val="14"/>
                <w:b w:val="1"/>
                <w:bCs w:val="1"/>
                <w:color w:val="auto"/>
              </w:rPr>
              <w:t>Title of each class of securities to be registered</w:t>
            </w:r>
          </w:p>
        </w:tc>
        <w:tc>
          <w:tcPr>
            <w:tcW w:w="2360" w:type="dxa"/>
            <w:vAlign w:val="bottom"/>
            <w:tcBorders>
              <w:bottom w:val="single" w:sz="8" w:color="auto"/>
            </w:tcBorders>
          </w:tcPr>
          <w:p>
            <w:pPr>
              <w:jc w:val="center"/>
              <w:ind w:left="593"/>
              <w:spacing w:after="0"/>
              <w:rPr>
                <w:sz w:val="20"/>
                <w:szCs w:val="20"/>
                <w:color w:val="auto"/>
              </w:rPr>
            </w:pPr>
            <w:r>
              <w:rPr>
                <w:rFonts w:ascii="Arial" w:cs="Arial" w:eastAsia="Arial" w:hAnsi="Arial"/>
                <w:sz w:val="14"/>
                <w:szCs w:val="14"/>
                <w:b w:val="1"/>
                <w:bCs w:val="1"/>
                <w:color w:val="auto"/>
                <w:w w:val="88"/>
              </w:rPr>
              <w:t>offering price(1)(2)</w:t>
            </w:r>
          </w:p>
        </w:tc>
        <w:tc>
          <w:tcPr>
            <w:tcW w:w="13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8"/>
              </w:rPr>
              <w:t>registration fee(4)</w:t>
            </w:r>
          </w:p>
        </w:tc>
      </w:tr>
      <w:tr>
        <w:trPr>
          <w:trHeight w:val="174"/>
        </w:trPr>
        <w:tc>
          <w:tcPr>
            <w:tcW w:w="20" w:type="dxa"/>
            <w:vAlign w:val="bottom"/>
            <w:tcBorders>
              <w:bottom w:val="single" w:sz="8" w:color="auto"/>
            </w:tcBorders>
          </w:tcPr>
          <w:p>
            <w:pPr>
              <w:spacing w:after="0"/>
              <w:rPr>
                <w:sz w:val="15"/>
                <w:szCs w:val="15"/>
                <w:color w:val="auto"/>
              </w:rPr>
            </w:pPr>
          </w:p>
        </w:tc>
        <w:tc>
          <w:tcPr>
            <w:tcW w:w="49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Common Stock, $0.10 par value(3)</w:t>
            </w:r>
          </w:p>
        </w:tc>
        <w:tc>
          <w:tcPr>
            <w:tcW w:w="23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752"/>
              <w:spacing w:after="0"/>
              <w:rPr>
                <w:sz w:val="20"/>
                <w:szCs w:val="20"/>
                <w:color w:val="auto"/>
              </w:rPr>
            </w:pPr>
            <w:r>
              <w:rPr>
                <w:rFonts w:ascii="Arial" w:cs="Arial" w:eastAsia="Arial" w:hAnsi="Arial"/>
                <w:sz w:val="14"/>
                <w:szCs w:val="14"/>
                <w:color w:val="auto"/>
              </w:rPr>
              <w:t>$</w:t>
            </w:r>
          </w:p>
        </w:tc>
      </w:tr>
      <w:tr>
        <w:trPr>
          <w:trHeight w:val="169"/>
        </w:trPr>
        <w:tc>
          <w:tcPr>
            <w:tcW w:w="49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Debt Securities</w:t>
            </w:r>
          </w:p>
        </w:tc>
        <w:tc>
          <w:tcPr>
            <w:tcW w:w="23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752"/>
              <w:spacing w:after="0"/>
              <w:rPr>
                <w:sz w:val="20"/>
                <w:szCs w:val="20"/>
                <w:color w:val="auto"/>
              </w:rPr>
            </w:pPr>
            <w:r>
              <w:rPr>
                <w:rFonts w:ascii="Arial" w:cs="Arial" w:eastAsia="Arial" w:hAnsi="Arial"/>
                <w:sz w:val="14"/>
                <w:szCs w:val="14"/>
                <w:color w:val="auto"/>
              </w:rPr>
              <w:t>$</w:t>
            </w:r>
          </w:p>
        </w:tc>
      </w:tr>
      <w:tr>
        <w:trPr>
          <w:trHeight w:val="169"/>
        </w:trPr>
        <w:tc>
          <w:tcPr>
            <w:tcW w:w="49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Warrants</w:t>
            </w:r>
          </w:p>
        </w:tc>
        <w:tc>
          <w:tcPr>
            <w:tcW w:w="23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752"/>
              <w:spacing w:after="0"/>
              <w:rPr>
                <w:sz w:val="20"/>
                <w:szCs w:val="20"/>
                <w:color w:val="auto"/>
              </w:rPr>
            </w:pPr>
            <w:r>
              <w:rPr>
                <w:rFonts w:ascii="Arial" w:cs="Arial" w:eastAsia="Arial" w:hAnsi="Arial"/>
                <w:sz w:val="14"/>
                <w:szCs w:val="14"/>
                <w:color w:val="auto"/>
              </w:rPr>
              <w:t>$</w:t>
            </w:r>
          </w:p>
        </w:tc>
      </w:tr>
      <w:tr>
        <w:trPr>
          <w:trHeight w:val="169"/>
        </w:trPr>
        <w:tc>
          <w:tcPr>
            <w:tcW w:w="49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Purchase Contracts</w:t>
            </w:r>
          </w:p>
        </w:tc>
        <w:tc>
          <w:tcPr>
            <w:tcW w:w="23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752"/>
              <w:spacing w:after="0"/>
              <w:rPr>
                <w:sz w:val="20"/>
                <w:szCs w:val="20"/>
                <w:color w:val="auto"/>
              </w:rPr>
            </w:pPr>
            <w:r>
              <w:rPr>
                <w:rFonts w:ascii="Arial" w:cs="Arial" w:eastAsia="Arial" w:hAnsi="Arial"/>
                <w:sz w:val="14"/>
                <w:szCs w:val="14"/>
                <w:color w:val="auto"/>
              </w:rPr>
              <w:t>$</w:t>
            </w:r>
          </w:p>
        </w:tc>
      </w:tr>
      <w:tr>
        <w:trPr>
          <w:trHeight w:val="169"/>
        </w:trPr>
        <w:tc>
          <w:tcPr>
            <w:tcW w:w="49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Units</w:t>
            </w:r>
          </w:p>
        </w:tc>
        <w:tc>
          <w:tcPr>
            <w:tcW w:w="23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752"/>
              <w:spacing w:after="0"/>
              <w:rPr>
                <w:sz w:val="20"/>
                <w:szCs w:val="20"/>
                <w:color w:val="auto"/>
              </w:rPr>
            </w:pPr>
            <w:r>
              <w:rPr>
                <w:rFonts w:ascii="Arial" w:cs="Arial" w:eastAsia="Arial" w:hAnsi="Arial"/>
                <w:sz w:val="14"/>
                <w:szCs w:val="14"/>
                <w:color w:val="auto"/>
              </w:rPr>
              <w:t>$</w:t>
            </w:r>
          </w:p>
        </w:tc>
      </w:tr>
      <w:tr>
        <w:trPr>
          <w:trHeight w:val="169"/>
        </w:trPr>
        <w:tc>
          <w:tcPr>
            <w:tcW w:w="49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Total</w:t>
            </w:r>
          </w:p>
        </w:tc>
        <w:tc>
          <w:tcPr>
            <w:tcW w:w="23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752"/>
              <w:spacing w:after="0"/>
              <w:rPr>
                <w:sz w:val="20"/>
                <w:szCs w:val="20"/>
                <w:color w:val="auto"/>
              </w:rPr>
            </w:pPr>
            <w:r>
              <w:rPr>
                <w:rFonts w:ascii="Arial" w:cs="Arial" w:eastAsia="Arial" w:hAnsi="Arial"/>
                <w:sz w:val="14"/>
                <w:szCs w:val="14"/>
                <w:color w:val="auto"/>
              </w:rPr>
              <w:t>$</w:t>
            </w:r>
          </w:p>
        </w:tc>
      </w:tr>
      <w:tr>
        <w:trPr>
          <w:trHeight w:val="20"/>
        </w:trPr>
        <w:tc>
          <w:tcPr>
            <w:tcW w:w="20" w:type="dxa"/>
            <w:vAlign w:val="bottom"/>
          </w:tcPr>
          <w:p>
            <w:pPr>
              <w:spacing w:after="0" w:line="20" w:lineRule="exact"/>
              <w:rPr>
                <w:sz w:val="1"/>
                <w:szCs w:val="1"/>
                <w:color w:val="auto"/>
              </w:rPr>
            </w:pPr>
          </w:p>
        </w:tc>
        <w:tc>
          <w:tcPr>
            <w:tcW w:w="494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ind w:left="540" w:hanging="532"/>
        <w:spacing w:after="0"/>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Omitted pursuant to Form S-3 General Instruction II.E.</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An unspecified number of securities or aggregate principal amount, as applicable, is being registered as may from time to time be offered at unspecified prices.</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rights to acquire common stock of the Company under any shareholder rights plan then in effect, if applicable under the terms of any such plan.</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 accordance with Rules 456(b) and 457(r) under the Securities Act of 1933, as amended, the registrant is deferring payment of the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307975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325120</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494030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240" w:top="104" w:right="699" w:bottom="1440" w:gutter="0" w:footer="0" w:header="0"/>
          <w:type w:val="continuous"/>
        </w:sectPr>
      </w:pPr>
    </w:p>
    <w:bookmarkStart w:id="2" w:name="page3"/>
    <w:bookmarkEnd w:id="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1814830</wp:posOffset>
            </wp:positionH>
            <wp:positionV relativeFrom="paragraph">
              <wp:posOffset>152400</wp:posOffset>
            </wp:positionV>
            <wp:extent cx="3636010" cy="10121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36010" cy="1012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32"/>
          <w:szCs w:val="32"/>
          <w:b w:val="1"/>
          <w:bCs w:val="1"/>
          <w:color w:val="auto"/>
        </w:rPr>
        <w:t>MICRON TECHNOLOGY,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Common Stock</w:t>
      </w:r>
    </w:p>
    <w:p>
      <w:pPr>
        <w:spacing w:after="0" w:line="36"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Debt Securities</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Warrants</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Purchase Contracts</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142240</wp:posOffset>
            </wp:positionV>
            <wp:extent cx="18954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We may offer and sell the securities identified above from time to time in one or more offerings. This prospectus provides you with a general description of the securities.</w:t>
      </w:r>
    </w:p>
    <w:p>
      <w:pPr>
        <w:spacing w:after="0" w:line="186"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Each time we offer and sell securities, we will provide a supplement to this prospectus that contains specific information about the offering and the amounts, prices and terms of the securities. The supplement may also add, update or change information contained in this prospectus with respect to that offering. You should carefully read this prospectus and the applicable prospectus supplement, together with any documents we incorporated by reference, before you invest in any of our securities.</w:t>
      </w:r>
    </w:p>
    <w:p>
      <w:pPr>
        <w:spacing w:after="0" w:line="197"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We may offer and sell the securities described in this prospectus and any prospectus supplement to or through one or more underwriters, dealers and agents, or directly to purchasers, or through a combination of these methods.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securities may be sold without delivery of this prospectus and the applicable prospectus supplement describing the method and terms of the offering of such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131445</wp:posOffset>
            </wp:positionV>
            <wp:extent cx="18954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420" w:firstLine="351"/>
        <w:spacing w:after="0" w:line="239" w:lineRule="auto"/>
        <w:rPr>
          <w:sz w:val="20"/>
          <w:szCs w:val="20"/>
          <w:color w:val="auto"/>
        </w:rPr>
      </w:pPr>
      <w:r>
        <w:rPr>
          <w:rFonts w:ascii="Arial" w:cs="Arial" w:eastAsia="Arial" w:hAnsi="Arial"/>
          <w:sz w:val="22"/>
          <w:szCs w:val="22"/>
          <w:b w:val="1"/>
          <w:bCs w:val="1"/>
          <w:color w:val="auto"/>
        </w:rPr>
        <w:t>INVESTING IN OUR SECURITIES INVOLVES RISKS. SEE THE "RISK FACTORS" INCORPORATED BY REFERENCE IN THIS PROSPECTUS AND ANY SIMILAR SECTION CONTAINED IN OR INCORPORATED BY REFERENCE IN THE APPLICABLE PROSPECTUS SUPPLEMENT CONCERNING FACTORS YOU SHOULD CONSIDER BEFORE INVESTING IN OUR SECURITIES.</w:t>
      </w:r>
    </w:p>
    <w:p>
      <w:pPr>
        <w:spacing w:after="0" w:line="200"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Our common stock is listed on The NASDAQ Global Select Market ("NASDAQ") under the symbol "MU." On October 9, 2017, the last reported sale price of our common stock on NASDAQ was $40.96 per share.</w:t>
      </w:r>
    </w:p>
    <w:p>
      <w:pPr>
        <w:spacing w:after="0" w:line="180" w:lineRule="exact"/>
        <w:rPr>
          <w:sz w:val="20"/>
          <w:szCs w:val="20"/>
          <w:color w:val="auto"/>
        </w:rPr>
      </w:pPr>
    </w:p>
    <w:p>
      <w:pPr>
        <w:ind w:right="300" w:firstLine="351"/>
        <w:spacing w:after="0" w:line="275"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date of this prospectus is October 10,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TABLE OF CONTENTS</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8800" w:type="dxa"/>
            <w:vAlign w:val="bottom"/>
            <w:gridSpan w:val="10"/>
            <w:vMerge w:val="restart"/>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ABOUT THIS PROSPECTUS</w:t>
              </w:r>
            </w:hyperlink>
          </w:p>
        </w:tc>
        <w:tc>
          <w:tcPr>
            <w:tcW w:w="3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9"/>
        </w:trPr>
        <w:tc>
          <w:tcPr>
            <w:tcW w:w="8800" w:type="dxa"/>
            <w:vAlign w:val="bottom"/>
            <w:gridSpan w:val="10"/>
            <w:vMerge w:val="continue"/>
          </w:tcPr>
          <w:p>
            <w:pPr>
              <w:spacing w:after="0"/>
              <w:rPr>
                <w:sz w:val="14"/>
                <w:szCs w:val="14"/>
                <w:color w:val="auto"/>
              </w:rPr>
            </w:pPr>
          </w:p>
        </w:tc>
        <w:tc>
          <w:tcPr>
            <w:tcW w:w="340" w:type="dxa"/>
            <w:vAlign w:val="bottom"/>
            <w:gridSpan w:val="3"/>
          </w:tcPr>
          <w:p>
            <w:pPr>
              <w:jc w:val="right"/>
              <w:spacing w:after="0" w:line="170" w:lineRule="exact"/>
              <w:rPr>
                <w:rFonts w:ascii="Arial" w:cs="Arial" w:eastAsia="Arial" w:hAnsi="Arial"/>
                <w:sz w:val="18"/>
                <w:szCs w:val="18"/>
                <w:color w:val="0000EE"/>
              </w:rPr>
            </w:pPr>
            <w:hyperlink w:anchor="page5">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80" w:type="dxa"/>
            <w:vAlign w:val="bottom"/>
            <w:gridSpan w:val="9"/>
          </w:tcPr>
          <w:p>
            <w:pPr>
              <w:spacing w:after="0" w:line="196" w:lineRule="exact"/>
              <w:rPr>
                <w:rFonts w:ascii="Arial" w:cs="Arial" w:eastAsia="Arial" w:hAnsi="Arial"/>
                <w:sz w:val="18"/>
                <w:szCs w:val="18"/>
                <w:color w:val="0000EE"/>
                <w:w w:val="93"/>
              </w:rPr>
            </w:pPr>
            <w:hyperlink w:anchor="page6">
              <w:r>
                <w:rPr>
                  <w:rFonts w:ascii="Arial" w:cs="Arial" w:eastAsia="Arial" w:hAnsi="Arial"/>
                  <w:sz w:val="18"/>
                  <w:szCs w:val="18"/>
                  <w:color w:val="0000EE"/>
                  <w:w w:val="93"/>
                </w:rPr>
                <w:t>WHERE YOU CAN FIND MORE INFORMATION; INCORPORATION BY REFERENCE</w:t>
              </w:r>
            </w:hyperlink>
          </w:p>
        </w:tc>
        <w:tc>
          <w:tcPr>
            <w:tcW w:w="2220" w:type="dxa"/>
            <w:vAlign w:val="bottom"/>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2</w:t>
              </w:r>
            </w:hyperlink>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20" w:type="dxa"/>
            <w:vAlign w:val="bottom"/>
            <w:gridSpan w:val="2"/>
          </w:tcPr>
          <w:p>
            <w:pPr>
              <w:spacing w:after="0" w:line="196" w:lineRule="exact"/>
              <w:rPr>
                <w:rFonts w:ascii="Arial" w:cs="Arial" w:eastAsia="Arial" w:hAnsi="Arial"/>
                <w:sz w:val="18"/>
                <w:szCs w:val="18"/>
                <w:color w:val="0000EE"/>
                <w:w w:val="89"/>
              </w:rPr>
            </w:pPr>
            <w:hyperlink w:anchor="page8">
              <w:r>
                <w:rPr>
                  <w:rFonts w:ascii="Arial" w:cs="Arial" w:eastAsia="Arial" w:hAnsi="Arial"/>
                  <w:sz w:val="18"/>
                  <w:szCs w:val="18"/>
                  <w:color w:val="0000EE"/>
                  <w:w w:val="89"/>
                </w:rPr>
                <w:t>THE COMPANY</w:t>
              </w:r>
            </w:hyperlink>
          </w:p>
        </w:tc>
        <w:tc>
          <w:tcPr>
            <w:tcW w:w="5360" w:type="dxa"/>
            <w:vAlign w:val="bottom"/>
            <w:gridSpan w:val="7"/>
          </w:tcPr>
          <w:p>
            <w:pPr>
              <w:spacing w:after="0"/>
              <w:rPr>
                <w:sz w:val="17"/>
                <w:szCs w:val="17"/>
                <w:color w:val="auto"/>
              </w:rPr>
            </w:pPr>
          </w:p>
        </w:tc>
        <w:tc>
          <w:tcPr>
            <w:tcW w:w="2220" w:type="dxa"/>
            <w:vAlign w:val="bottom"/>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20" w:type="dxa"/>
            <w:vAlign w:val="bottom"/>
            <w:gridSpan w:val="2"/>
          </w:tcPr>
          <w:p>
            <w:pPr>
              <w:spacing w:after="0" w:line="196" w:lineRule="exact"/>
              <w:rPr>
                <w:rFonts w:ascii="Arial" w:cs="Arial" w:eastAsia="Arial" w:hAnsi="Arial"/>
                <w:sz w:val="18"/>
                <w:szCs w:val="18"/>
                <w:color w:val="0000EE"/>
                <w:w w:val="88"/>
              </w:rPr>
            </w:pPr>
            <w:hyperlink w:anchor="page9">
              <w:r>
                <w:rPr>
                  <w:rFonts w:ascii="Arial" w:cs="Arial" w:eastAsia="Arial" w:hAnsi="Arial"/>
                  <w:sz w:val="18"/>
                  <w:szCs w:val="18"/>
                  <w:color w:val="0000EE"/>
                  <w:w w:val="88"/>
                </w:rPr>
                <w:t>RISK FACTORS</w:t>
              </w:r>
            </w:hyperlink>
          </w:p>
        </w:tc>
        <w:tc>
          <w:tcPr>
            <w:tcW w:w="7580" w:type="dxa"/>
            <w:vAlign w:val="bottom"/>
            <w:gridSpan w:val="8"/>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5</w:t>
              </w:r>
            </w:hyperlink>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60" w:type="dxa"/>
            <w:vAlign w:val="bottom"/>
            <w:gridSpan w:val="4"/>
          </w:tcPr>
          <w:p>
            <w:pPr>
              <w:spacing w:after="0" w:line="196" w:lineRule="exact"/>
              <w:rPr>
                <w:rFonts w:ascii="Arial" w:cs="Arial" w:eastAsia="Arial" w:hAnsi="Arial"/>
                <w:sz w:val="18"/>
                <w:szCs w:val="18"/>
                <w:color w:val="0000EE"/>
                <w:w w:val="88"/>
              </w:rPr>
            </w:pPr>
            <w:hyperlink w:anchor="page10">
              <w:r>
                <w:rPr>
                  <w:rFonts w:ascii="Arial" w:cs="Arial" w:eastAsia="Arial" w:hAnsi="Arial"/>
                  <w:sz w:val="18"/>
                  <w:szCs w:val="18"/>
                  <w:color w:val="0000EE"/>
                  <w:w w:val="88"/>
                </w:rPr>
                <w:t>USE OF PROCEEDS</w:t>
              </w:r>
            </w:hyperlink>
          </w:p>
        </w:tc>
        <w:tc>
          <w:tcPr>
            <w:tcW w:w="7240" w:type="dxa"/>
            <w:vAlign w:val="bottom"/>
            <w:gridSpan w:val="6"/>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6</w:t>
              </w:r>
            </w:hyperlink>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0" w:type="dxa"/>
            <w:vAlign w:val="bottom"/>
            <w:gridSpan w:val="10"/>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RATIO OF EARNINGS TO FIXED CHARGES</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7</w:t>
              </w:r>
            </w:hyperlink>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5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60" w:type="dxa"/>
            <w:vAlign w:val="bottom"/>
            <w:gridSpan w:val="7"/>
          </w:tcPr>
          <w:p>
            <w:pPr>
              <w:spacing w:after="0" w:line="196" w:lineRule="exact"/>
              <w:rPr>
                <w:rFonts w:ascii="Arial" w:cs="Arial" w:eastAsia="Arial" w:hAnsi="Arial"/>
                <w:sz w:val="18"/>
                <w:szCs w:val="18"/>
                <w:color w:val="0000EE"/>
                <w:w w:val="91"/>
              </w:rPr>
            </w:pPr>
            <w:hyperlink w:anchor="page12">
              <w:r>
                <w:rPr>
                  <w:rFonts w:ascii="Arial" w:cs="Arial" w:eastAsia="Arial" w:hAnsi="Arial"/>
                  <w:sz w:val="18"/>
                  <w:szCs w:val="18"/>
                  <w:color w:val="0000EE"/>
                  <w:w w:val="91"/>
                </w:rPr>
                <w:t>DESCRIPTION OF SECURITIES</w:t>
              </w:r>
            </w:hyperlink>
          </w:p>
        </w:tc>
        <w:tc>
          <w:tcPr>
            <w:tcW w:w="960" w:type="dxa"/>
            <w:vAlign w:val="bottom"/>
          </w:tcPr>
          <w:p>
            <w:pPr>
              <w:spacing w:after="0"/>
              <w:rPr>
                <w:sz w:val="17"/>
                <w:szCs w:val="17"/>
                <w:color w:val="auto"/>
              </w:rPr>
            </w:pPr>
          </w:p>
        </w:tc>
        <w:tc>
          <w:tcPr>
            <w:tcW w:w="5380" w:type="dxa"/>
            <w:vAlign w:val="bottom"/>
            <w:gridSpan w:val="2"/>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8</w:t>
              </w:r>
            </w:hyperlink>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3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60" w:type="dxa"/>
            <w:vAlign w:val="bottom"/>
            <w:gridSpan w:val="7"/>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PLAN OF DISTRIBUTION</w:t>
              </w:r>
            </w:hyperlink>
          </w:p>
        </w:tc>
        <w:tc>
          <w:tcPr>
            <w:tcW w:w="6340" w:type="dxa"/>
            <w:vAlign w:val="bottom"/>
            <w:gridSpan w:val="3"/>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9</w:t>
              </w:r>
            </w:hyperlink>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680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0" w:type="dxa"/>
            <w:vAlign w:val="bottom"/>
            <w:gridSpan w:val="5"/>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LEGAL MATTERS</w:t>
              </w:r>
            </w:hyperlink>
          </w:p>
        </w:tc>
        <w:tc>
          <w:tcPr>
            <w:tcW w:w="6800" w:type="dxa"/>
            <w:vAlign w:val="bottom"/>
            <w:gridSpan w:val="5"/>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10</w:t>
              </w:r>
            </w:hyperlink>
          </w:p>
        </w:tc>
        <w:tc>
          <w:tcPr>
            <w:tcW w:w="0" w:type="dxa"/>
            <w:vAlign w:val="bottom"/>
          </w:tcPr>
          <w:p>
            <w:pPr>
              <w:spacing w:after="0"/>
              <w:rPr>
                <w:sz w:val="1"/>
                <w:szCs w:val="1"/>
                <w:color w:val="auto"/>
              </w:rPr>
            </w:pPr>
          </w:p>
        </w:tc>
      </w:tr>
      <w:tr>
        <w:trPr>
          <w:trHeight w:val="196"/>
        </w:trPr>
        <w:tc>
          <w:tcPr>
            <w:tcW w:w="7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14">
              <w:r>
                <w:rPr>
                  <w:rFonts w:ascii="Arial" w:cs="Arial" w:eastAsia="Arial" w:hAnsi="Arial"/>
                  <w:sz w:val="18"/>
                  <w:szCs w:val="18"/>
                  <w:color w:val="0000EE"/>
                  <w:w w:val="88"/>
                </w:rPr>
                <w:t>EXPERTS</w:t>
              </w:r>
            </w:hyperlink>
          </w:p>
        </w:tc>
        <w:tc>
          <w:tcPr>
            <w:tcW w:w="660" w:type="dxa"/>
            <w:vAlign w:val="bottom"/>
            <w:tcBorders>
              <w:top w:val="single" w:sz="8" w:color="0000EE"/>
            </w:tcBorders>
            <w:gridSpan w:val="2"/>
          </w:tcPr>
          <w:p>
            <w:pPr>
              <w:spacing w:after="0"/>
              <w:rPr>
                <w:sz w:val="17"/>
                <w:szCs w:val="17"/>
                <w:color w:val="auto"/>
              </w:rPr>
            </w:pPr>
          </w:p>
        </w:tc>
        <w:tc>
          <w:tcPr>
            <w:tcW w:w="7380" w:type="dxa"/>
            <w:vAlign w:val="bottom"/>
            <w:gridSpan w:val="7"/>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79"/>
              </w:rPr>
            </w:pPr>
            <w:hyperlink w:anchor="page14">
              <w:r>
                <w:rPr>
                  <w:rFonts w:ascii="Arial" w:cs="Arial" w:eastAsia="Arial" w:hAnsi="Arial"/>
                  <w:sz w:val="18"/>
                  <w:szCs w:val="18"/>
                  <w:color w:val="0000EE"/>
                  <w:w w:val="79"/>
                </w:rPr>
                <w:t>10</w:t>
              </w:r>
            </w:hyperlink>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ABOUT THIS PROSPECTUS</w:t>
      </w:r>
    </w:p>
    <w:p>
      <w:pPr>
        <w:spacing w:after="0" w:line="231"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This prospectus is part of a registration statement that we filed with the U.S. Securities and Exchange Commission (the "SEC") as a "well-known seasoned issuer" as defined in Rule 405 under the Securities Act of 1933, as amended, using a "shelf" registration process. By using a shelf registration statement, we may sell securities from time to time and in one or more offerings as described in this prospectus. Each time that we offer and sell securities, we will provide a prospectus supplement to this prospectus that contains specific information about the securities being offered and sold and the specific terms of that offering. We may also authorize one or more free writing prospectuses to be provided to you that may contain material information relating to these offerings. The prospectus supplement may also add, update or change information contained in this prospectus with respect to that offering. If there is any inconsistency between the information in this prospectus and the applicable prospectus supplement, you should rely on the prospectus supplement. Before purchasing any securities, you should carefully read both this prospectus and the applicable prospectus supplement, together with the additional information described under the heading "Where You Can Find More Information; Incorporation by Reference."</w:t>
      </w:r>
    </w:p>
    <w:p>
      <w:pPr>
        <w:spacing w:after="0" w:line="174" w:lineRule="exact"/>
        <w:rPr>
          <w:sz w:val="20"/>
          <w:szCs w:val="20"/>
          <w:color w:val="auto"/>
        </w:rPr>
      </w:pPr>
    </w:p>
    <w:p>
      <w:pPr>
        <w:ind w:firstLine="348"/>
        <w:spacing w:after="0" w:line="285" w:lineRule="auto"/>
        <w:rPr>
          <w:sz w:val="20"/>
          <w:szCs w:val="20"/>
          <w:color w:val="auto"/>
        </w:rPr>
      </w:pPr>
      <w:r>
        <w:rPr>
          <w:rFonts w:ascii="Arial" w:cs="Arial" w:eastAsia="Arial" w:hAnsi="Arial"/>
          <w:sz w:val="16"/>
          <w:szCs w:val="16"/>
          <w:color w:val="auto"/>
        </w:rPr>
        <w:t>We have not authorized anyone to provide you with any information or to make any representations other than those contained in this prospectus, any applicable prospectus supplement or any free writing prospectuses prepared by or on behalf of us or to which we have referred you. We take no responsibility for, and can provide no assurance as to the reliability of, any other information that others may give you. We will not make an offer to sell these securities in any jurisdiction where the offer or sale is not permitted. You should assume that the information appearing in this prospectus and the applicable prospectus supplement to this prospectus is accurate as of the date on its respective cover or as otherwise specified therein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Although we are not aware of any misstatements regarding the market and industry data presented in this prospectus and the documents incorporated herein by reference, these estimates involve risks and uncertainties and are subject to change based on various factors, including those discussed under the heading "Risk Factors" contained or incorporated by reference in this prospectus, the applicable prospectus supplement and any related free writing prospectus and under similar headings in other documents that are incorporated by reference into this prospectus. Accordingly, investors should not place undue reliance on this information.</w:t>
      </w:r>
    </w:p>
    <w:p>
      <w:pPr>
        <w:spacing w:after="0" w:line="182" w:lineRule="exact"/>
        <w:rPr>
          <w:sz w:val="20"/>
          <w:szCs w:val="20"/>
          <w:color w:val="auto"/>
        </w:rPr>
      </w:pPr>
    </w:p>
    <w:p>
      <w:pPr>
        <w:ind w:right="240" w:firstLine="348"/>
        <w:spacing w:after="0" w:line="332" w:lineRule="auto"/>
        <w:rPr>
          <w:sz w:val="20"/>
          <w:szCs w:val="20"/>
          <w:color w:val="auto"/>
        </w:rPr>
      </w:pPr>
      <w:r>
        <w:rPr>
          <w:rFonts w:ascii="Arial" w:cs="Arial" w:eastAsia="Arial" w:hAnsi="Arial"/>
          <w:sz w:val="16"/>
          <w:szCs w:val="16"/>
          <w:color w:val="auto"/>
        </w:rPr>
        <w:t>When we refer to "Micron," "we," "our," "us" and the "Company" in this prospectus, we mean Micron Technology, Inc. and our consolidated subsidiaries, unless the context indicates otherwise or unless otherwise specified. When we refer to "you," we mean the holders of the applicable series of securities.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WHERE YOU CAN FIND MORE INFORMATION; INCORPORATION BY REFERENCE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31" w:lineRule="exact"/>
        <w:rPr>
          <w:sz w:val="20"/>
          <w:szCs w:val="20"/>
          <w:color w:val="auto"/>
        </w:rPr>
      </w:pPr>
    </w:p>
    <w:p>
      <w:pPr>
        <w:ind w:right="140" w:firstLine="348"/>
        <w:spacing w:after="0" w:line="294" w:lineRule="auto"/>
        <w:rPr>
          <w:sz w:val="20"/>
          <w:szCs w:val="20"/>
          <w:color w:val="auto"/>
        </w:rPr>
      </w:pPr>
      <w:r>
        <w:rPr>
          <w:rFonts w:ascii="Arial" w:cs="Arial" w:eastAsia="Arial" w:hAnsi="Arial"/>
          <w:sz w:val="16"/>
          <w:szCs w:val="16"/>
          <w:color w:val="auto"/>
        </w:rPr>
        <w:t xml:space="preserve">We file reports, proxy statements and other information with the SEC. Information filed with the SEC by us can be inspected and copied at the Public Reference Room maintained by the SEC at 100 F Street, N.E., Washington, D.C. 20549. You may also obtain copies of this information by mail from the Public Reference Room of the SEC at prescribed rates. Further information on the operation of the SEC's Public Reference Room in Washington, D.C. can be obtained by calling the SEC at 1-800-SEC-0330. The SEC also maintains a web site that contains reports, proxy and information statements and other information about issuers, such as us, who file electronically with the SEC. The address of that website is </w:t>
      </w:r>
      <w:r>
        <w:rPr>
          <w:rFonts w:ascii="Arial" w:cs="Arial" w:eastAsia="Arial" w:hAnsi="Arial"/>
          <w:sz w:val="16"/>
          <w:szCs w:val="16"/>
          <w:i w:val="1"/>
          <w:iCs w:val="1"/>
          <w:color w:val="auto"/>
        </w:rPr>
        <w:t>http://www.sec.gov</w:t>
      </w:r>
      <w:r>
        <w:rPr>
          <w:rFonts w:ascii="Arial" w:cs="Arial" w:eastAsia="Arial" w:hAnsi="Arial"/>
          <w:sz w:val="16"/>
          <w:szCs w:val="16"/>
          <w:color w:val="auto"/>
        </w:rPr>
        <w:t>.</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web site address is www.micron.com. The information on our web site, however, is not, and should not be deemed to be, a part of this prospectus.</w:t>
      </w:r>
    </w:p>
    <w:p>
      <w:pPr>
        <w:spacing w:after="0" w:line="248"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This prospectus and any prospectus supplement are part of a registration statement that we filed with the SEC and do not contain all of the information in the registration statement. The full registration statement may be obtained from the SEC or us, as provided below. Forms of the indenture and other documents establishing the terms of the offered securities are or may be filed as exhibits to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at the SEC's Public Reference Room in Washington, D.C. or through the SEC's website, as provided above.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Incorporation by Reference</w:t>
      </w:r>
    </w:p>
    <w:p>
      <w:pPr>
        <w:spacing w:after="0" w:line="231" w:lineRule="exact"/>
        <w:rPr>
          <w:sz w:val="20"/>
          <w:szCs w:val="20"/>
          <w:color w:val="auto"/>
        </w:rPr>
      </w:pPr>
    </w:p>
    <w:p>
      <w:pPr>
        <w:ind w:right="160" w:firstLine="348"/>
        <w:spacing w:after="0" w:line="255" w:lineRule="auto"/>
        <w:rPr>
          <w:sz w:val="20"/>
          <w:szCs w:val="20"/>
          <w:color w:val="auto"/>
        </w:rPr>
      </w:pPr>
      <w:r>
        <w:rPr>
          <w:rFonts w:ascii="Arial" w:cs="Arial" w:eastAsia="Arial" w:hAnsi="Arial"/>
          <w:sz w:val="18"/>
          <w:szCs w:val="18"/>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a previously filed document incorporated by reference will be deemed to be modified or superseded for purposes of this prospectus to the extent that a statement contained in this prospectus modifies or replaces that statement.</w:t>
      </w:r>
    </w:p>
    <w:p>
      <w:pPr>
        <w:spacing w:after="0" w:line="197"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incorporate by reference our documents listed below and any future filings made by us with the SEC under Sections 13(a), 13(c), 14 or 15(d) of the Securities Exchange Act of 1934, as amended, which we refer to as the "Exchange Act" in this prospectus, between the date of this prospectus and the termination of the offering of the securities described in this prospectus. We are not, however, incorporating by reference any documents or portions thereof, whether specifically listed below or filed in the future, that are not deemed "filed" with the SEC, including any information furnished pursuant to Items 2.02 or 7.01 of Form 8-K or related exhibits furnished pursuant to Item 9.01 of Form 8-K.</w:t>
      </w:r>
    </w:p>
    <w:p>
      <w:pPr>
        <w:spacing w:after="0" w:line="197"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This prospectus and any accompanying prospectus supplement incorporate by reference the documents set forth below that have previously been filed with the SEC:</w:t>
      </w:r>
    </w:p>
    <w:p>
      <w:pPr>
        <w:spacing w:after="0" w:line="199" w:lineRule="exact"/>
        <w:rPr>
          <w:sz w:val="20"/>
          <w:szCs w:val="20"/>
          <w:color w:val="auto"/>
        </w:rPr>
      </w:pPr>
    </w:p>
    <w:p>
      <w:pPr>
        <w:ind w:left="1080" w:right="60" w:hanging="532"/>
        <w:spacing w:after="0" w:line="268"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September 1, 2016 (as updated by the Current Report on Form 8-K filed with the SEC on October 10, 2017).</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Quarterly Reports on Form 10-Q for the quarters ended December 1, 2016, March 2, 2017 and June 1, 2017.</w:t>
      </w:r>
    </w:p>
    <w:p>
      <w:pPr>
        <w:spacing w:after="0" w:line="238"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Information specifically incorporated by reference into our Annual Report on Form 10-K for the fiscal year ended September 1, 2016 from our Definitive Proxy Statement on Schedule 14A filed on December 8, 2016.</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jc w:val="both"/>
        <w:ind w:left="1080" w:hanging="532"/>
        <w:spacing w:after="0" w:line="259"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Current Reports on Form 8-K filed with the SEC on September 2, 2016, October 11, 2016, October 24, 2016, October 27, 2016, November 9, 2016, November 18, 2016, December 6, 2016, January 19, 2017, February 3, 2017, February 16, 2017, March 27, 2017, April 10, 2017, April 28, 2017, May 17, 2017, June 28, 2017, July 27, 2017 and October 10, 2017.</w:t>
      </w:r>
    </w:p>
    <w:p>
      <w:pPr>
        <w:spacing w:after="0" w:line="221" w:lineRule="exact"/>
        <w:rPr>
          <w:rFonts w:ascii="Arial" w:cs="Arial" w:eastAsia="Arial" w:hAnsi="Arial"/>
          <w:sz w:val="18"/>
          <w:szCs w:val="18"/>
          <w:color w:val="auto"/>
        </w:rPr>
      </w:pPr>
    </w:p>
    <w:p>
      <w:pPr>
        <w:ind w:left="1080" w:right="42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description of our common stock, par value $0.10 per share, contained in our registration statement on Form 8-A, filed with the SEC on November 28, 1990, including any subsequently filed amendments and reports updating such description.</w:t>
      </w:r>
    </w:p>
    <w:p>
      <w:pPr>
        <w:spacing w:after="0" w:line="199"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description of our common stock purchase rights contained in our registration statement on Form 8-A, filed with the SEC on July 22, 2016, including any subsequently filed amendments and reports updating such description.</w:t>
      </w:r>
    </w:p>
    <w:p>
      <w:pPr>
        <w:spacing w:after="0" w:line="186" w:lineRule="exact"/>
        <w:rPr>
          <w:sz w:val="20"/>
          <w:szCs w:val="20"/>
          <w:color w:val="auto"/>
        </w:rPr>
      </w:pPr>
    </w:p>
    <w:p>
      <w:pPr>
        <w:ind w:right="60" w:firstLine="341"/>
        <w:spacing w:after="0" w:line="259" w:lineRule="auto"/>
        <w:rPr>
          <w:sz w:val="20"/>
          <w:szCs w:val="20"/>
          <w:color w:val="auto"/>
        </w:rPr>
      </w:pPr>
      <w:r>
        <w:rPr>
          <w:rFonts w:ascii="Arial" w:cs="Arial" w:eastAsia="Arial" w:hAnsi="Arial"/>
          <w:sz w:val="18"/>
          <w:szCs w:val="18"/>
          <w:color w:val="auto"/>
        </w:rPr>
        <w:t>All reports and other documents we subsequently file pursuant to Section 13(a), 13(c), 14 or 15(d) of the Exchange Act prior to the termination of this offering but excluding any information furnished to, rather than filed with, the SEC, will also be incorporated by reference into this prospectus and deemed to be part of this prospectus from the date of the filing of such reports and documents.</w:t>
      </w:r>
    </w:p>
    <w:p>
      <w:pPr>
        <w:spacing w:after="0" w:line="194" w:lineRule="exact"/>
        <w:rPr>
          <w:sz w:val="20"/>
          <w:szCs w:val="20"/>
          <w:color w:val="auto"/>
        </w:rPr>
      </w:pPr>
    </w:p>
    <w:p>
      <w:pPr>
        <w:ind w:right="740" w:firstLine="345"/>
        <w:spacing w:after="0" w:line="268" w:lineRule="auto"/>
        <w:rPr>
          <w:sz w:val="20"/>
          <w:szCs w:val="20"/>
          <w:color w:val="auto"/>
        </w:rPr>
      </w:pPr>
      <w:r>
        <w:rPr>
          <w:rFonts w:ascii="Arial" w:cs="Arial" w:eastAsia="Arial" w:hAnsi="Arial"/>
          <w:sz w:val="18"/>
          <w:szCs w:val="18"/>
          <w:color w:val="auto"/>
        </w:rPr>
        <w:t>You may request a free copy of any of the documents incorporated by reference in this prospectus (other than exhibits, unless they are specifically incorporated by reference in the documents) by writing or telephoning us at the following address:</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Micron Technology, Inc.</w:t>
      </w:r>
    </w:p>
    <w:p>
      <w:pPr>
        <w:spacing w:after="0" w:line="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8000 South Federal Way</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Boise, Idaho 83716-9632</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(208) 368-4000</w:t>
      </w:r>
    </w:p>
    <w:p>
      <w:pPr>
        <w:spacing w:after="0" w:line="219" w:lineRule="exact"/>
        <w:rPr>
          <w:sz w:val="20"/>
          <w:szCs w:val="20"/>
          <w:color w:val="auto"/>
        </w:rPr>
      </w:pPr>
    </w:p>
    <w:p>
      <w:pPr>
        <w:ind w:right="820" w:firstLine="351"/>
        <w:spacing w:after="0" w:line="268" w:lineRule="auto"/>
        <w:rPr>
          <w:sz w:val="20"/>
          <w:szCs w:val="20"/>
          <w:color w:val="auto"/>
        </w:rPr>
      </w:pPr>
      <w:r>
        <w:rPr>
          <w:rFonts w:ascii="Arial" w:cs="Arial" w:eastAsia="Arial" w:hAnsi="Arial"/>
          <w:sz w:val="18"/>
          <w:szCs w:val="18"/>
          <w:color w:val="auto"/>
        </w:rPr>
        <w:t>Exhibits to the filings will not be sent, however, unless those exhibits have specifically been incorporated by reference in this prospectus and any accompanying prospectus supplement.</w:t>
      </w:r>
    </w:p>
    <w:p>
      <w:pPr>
        <w:spacing w:after="0" w:line="186"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information accessible through any website referred to in this prospectus or any document incorporated herein is not, and should not be deemed to be, a part of this prospectus.</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COMPANY</w:t>
      </w:r>
    </w:p>
    <w:p>
      <w:pPr>
        <w:spacing w:after="0" w:line="231"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are an industry leader in innovative memory and storage solutions. Through our global brands—Micron®, Crucial®, and Ballistix®—our broad portfolio of high-performance memory and storage technologies, including DRAM, NAND, NOR Flash, and 3D XPoint™ memory, is transforming how the world uses information to enrich life. Backed by more than 35 years of technology leadership, our memory and storage solutions enable disruptive trends, including artificial intelligence, machine learning, and autonomous vehicles in key market segments like cloud, data center, networking, and mobile.</w:t>
      </w:r>
    </w:p>
    <w:p>
      <w:pPr>
        <w:spacing w:after="0" w:line="167"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Micron, a Delaware corporation, was originally incorporated in 1978. Our executive offices are located at 8000 South Federal Way, Boise, Idaho 83716-9632 and our telephone number is (208) 368-4000. Our common stock is currently listed on NASDAQ under the symbol "MU."</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firstLine="351"/>
        <w:spacing w:after="0" w:line="314" w:lineRule="auto"/>
        <w:rPr>
          <w:sz w:val="20"/>
          <w:szCs w:val="20"/>
          <w:color w:val="auto"/>
        </w:rPr>
      </w:pPr>
      <w:r>
        <w:rPr>
          <w:rFonts w:ascii="Arial" w:cs="Arial" w:eastAsia="Arial" w:hAnsi="Arial"/>
          <w:sz w:val="15"/>
          <w:szCs w:val="15"/>
          <w:color w:val="auto"/>
        </w:rPr>
        <w:t>Investing in our securities involves a high degree of risk. Before making a decision to invest in our securities, in addition to the other information contained in this prospectus, in any accompanying prospectus supplement, or incorporated by reference herein or therein, you should carefully consider the risks described under "Risk Factors" contained in the applicable prospectus supplement and any related free writing prospectus, and discussed under "Risk Factors" contained in our most recent annual report on Form 10-K and in our most recent quarterly report on Form 10-Q, as well as any amendments thereto, which are incorporated by reference into this prospectus in their entirety, together with other information in this prospectus, the documents incorporated by reference, and any free writing prospectus that we may authorize for use in connection with a specific offering. See "Where You Can Find More Information; Incorporation by Reference."</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We intend to use the net proceeds from the sale of the securities as set forth in the applicable prospectus supplement.</w:t>
      </w:r>
    </w:p>
    <w:p>
      <w:pPr>
        <w:spacing w:after="0" w:line="260"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RATIO OF EARNINGS TO FIXED CHARGES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sets forth the historical ratios of earnings to fixed charges for Micron and its consolidated subsidiaries for the periods indicated.</w:t>
      </w:r>
    </w:p>
    <w:p>
      <w:pPr>
        <w:spacing w:after="0" w:line="200" w:lineRule="exact"/>
        <w:rPr>
          <w:sz w:val="20"/>
          <w:szCs w:val="20"/>
          <w:color w:val="auto"/>
        </w:rPr>
      </w:pPr>
    </w:p>
    <w:p>
      <w:pPr>
        <w:spacing w:after="0" w:line="24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6"/>
              </w:rPr>
              <w:t>Fiscal Year</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Nine Months</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80" w:type="dxa"/>
            <w:vAlign w:val="bottom"/>
          </w:tcPr>
          <w:p>
            <w:pPr>
              <w:spacing w:after="0"/>
              <w:rPr>
                <w:sz w:val="5"/>
                <w:szCs w:val="5"/>
                <w:color w:val="auto"/>
              </w:rPr>
            </w:pPr>
          </w:p>
        </w:tc>
        <w:tc>
          <w:tcPr>
            <w:tcW w:w="2600" w:type="dxa"/>
            <w:vAlign w:val="bottom"/>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gridSpan w:val="3"/>
            <w:vMerge w:val="continue"/>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Ended June 1,</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380" w:type="dxa"/>
            <w:vAlign w:val="bottom"/>
          </w:tcPr>
          <w:p>
            <w:pPr>
              <w:spacing w:after="0"/>
              <w:rPr>
                <w:sz w:val="5"/>
                <w:szCs w:val="5"/>
                <w:color w:val="auto"/>
              </w:rPr>
            </w:pPr>
          </w:p>
        </w:tc>
        <w:tc>
          <w:tcPr>
            <w:tcW w:w="26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44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c>
          <w:tcPr>
            <w:tcW w:w="42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4"/>
                <w:szCs w:val="14"/>
                <w:color w:val="auto"/>
              </w:rPr>
            </w:pPr>
          </w:p>
        </w:tc>
        <w:tc>
          <w:tcPr>
            <w:tcW w:w="44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4"/>
                <w:szCs w:val="14"/>
                <w:color w:val="auto"/>
              </w:rPr>
            </w:pPr>
          </w:p>
        </w:tc>
        <w:tc>
          <w:tcPr>
            <w:tcW w:w="44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4"/>
                <w:szCs w:val="14"/>
                <w:color w:val="auto"/>
              </w:rPr>
            </w:pPr>
          </w:p>
        </w:tc>
        <w:tc>
          <w:tcPr>
            <w:tcW w:w="42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2012</w:t>
            </w:r>
          </w:p>
        </w:tc>
        <w:tc>
          <w:tcPr>
            <w:tcW w:w="18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Ratio of earnings to fixed charges(1)</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7.4x</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8.3x</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6.2x</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7.2x</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380" w:type="dxa"/>
            <w:vAlign w:val="bottom"/>
            <w:tcBorders>
              <w:bottom w:val="single" w:sz="8" w:color="auto"/>
            </w:tcBorders>
          </w:tcPr>
          <w:p>
            <w:pPr>
              <w:spacing w:after="0"/>
              <w:rPr>
                <w:sz w:val="9"/>
                <w:szCs w:val="9"/>
                <w:color w:val="auto"/>
              </w:rPr>
            </w:pPr>
          </w:p>
        </w:tc>
        <w:tc>
          <w:tcPr>
            <w:tcW w:w="26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line="255" w:lineRule="auto"/>
        <w:tabs>
          <w:tab w:leader="none" w:pos="1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 the purpose of calculating such ratios, "earnings" consist of income from continuing operations before income taxes, equity in net income (loss) of equity method investees and noncontrolling interests plus "fixed charges." Fixed charges consist of interest expense (net of capitalized portion), capitalized interest, amortization of debt discount and the portion of rental expense representative of interest expense. Earnings before fixed charges were inadequate to cover total fixed charges by $311 million and $752 million for fiscal years 2016 and 2012, respectively.</w:t>
      </w:r>
    </w:p>
    <w:p>
      <w:pPr>
        <w:spacing w:after="0" w:line="1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DESCRIPTION OF SECURITIES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may issue from time to time, in one or more offerings, the following securities:</w:t>
      </w:r>
    </w:p>
    <w:p>
      <w:pPr>
        <w:spacing w:after="0" w:line="239" w:lineRule="exact"/>
        <w:rPr>
          <w:sz w:val="20"/>
          <w:szCs w:val="20"/>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shares of common stock, par value $0.10 per share, of the Company;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debt securities, which may be senior or subordinated, and which may be convertible into our common stock or be non-convertible;</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warrants;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purchase contracts;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units.</w:t>
      </w:r>
    </w:p>
    <w:p>
      <w:pPr>
        <w:spacing w:after="0" w:line="225"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Each share of common stock of the Company registered hereunder will include the right to acquire additional common stock of the Company under any shareholder rights plan then in effect, if applicable under the terms of any such plan.</w:t>
      </w:r>
    </w:p>
    <w:p>
      <w:pPr>
        <w:spacing w:after="0" w:line="186"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We will set forth in the applicable prospectus supplement and/or free writing prospectus a description of any common stock, debt securities, warrants, purchase contracts or units issued by us that may be offered or sold pursuant to this prospectus. The terms of the offering of securities, the initial offering price and the net proceeds to us will be contained in the prospectus supplement, and other offering material, relating to such offer.</w:t>
      </w:r>
    </w:p>
    <w:p>
      <w:pPr>
        <w:spacing w:after="0" w:line="16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31" w:right="51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PLAN OF DISTRIBUTION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may sell the offered securities from time to time:</w:t>
      </w:r>
    </w:p>
    <w:p>
      <w:pPr>
        <w:spacing w:after="0" w:line="239" w:lineRule="exact"/>
        <w:rPr>
          <w:sz w:val="20"/>
          <w:szCs w:val="20"/>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through underwriters or dealers;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directly to one or more purchasers;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through a combination of any of these methods of sale.</w:t>
      </w:r>
    </w:p>
    <w:p>
      <w:pPr>
        <w:spacing w:after="0" w:line="225"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We will identify the specific plan of distribution, including any underwriters, dealers, agents or direct purchasers and their compensation in the applicable prospectus supplement.</w:t>
      </w:r>
    </w:p>
    <w:p>
      <w:pPr>
        <w:spacing w:after="0" w:line="186"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31" w:right="51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jc w:val="both"/>
        <w:ind w:right="160" w:firstLine="348"/>
        <w:spacing w:after="0" w:line="259" w:lineRule="auto"/>
        <w:rPr>
          <w:sz w:val="20"/>
          <w:szCs w:val="20"/>
          <w:color w:val="auto"/>
        </w:rPr>
      </w:pPr>
      <w:r>
        <w:rPr>
          <w:rFonts w:ascii="Arial" w:cs="Arial" w:eastAsia="Arial" w:hAnsi="Arial"/>
          <w:sz w:val="18"/>
          <w:szCs w:val="18"/>
          <w:color w:val="auto"/>
        </w:rPr>
        <w:t>Wilson Sonsini Goodrich &amp; Rosati, Professional Corporation, Palo Alto, California, will pass upon certain legal matters relating to the issuance and sale of the securities offered hereby on behalf of Micron Technology, Inc. Additional legal matters may be passed upon for us or any underwriters, dealers or agents, by counsel that we will name in the applicable prospectus supplement.</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financial statements incorporated in this prospectus by reference to Micron Technology, Inc.'s Current Report on Form 8-K dated October 10, 2017 and management's assessment of the effectiveness of internal control over financial reporting (which is included in Management's Report on Internal Control over Financial Reporting) incorporated in this Prospectus by reference to the Annual Report on Form 10-K of Micron Technology, Inc. for the year ended September 1, 2016 have been so incorporated in reliance on the report of PricewaterhouseCoopers LLP, an independent registered public accounting firm, given on the authority of said firm as experts in auditing and accounting.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1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Other Expenses of Issuance and Distribution</w:t>
      </w:r>
    </w:p>
    <w:p>
      <w:pPr>
        <w:spacing w:after="0" w:line="231" w:lineRule="exact"/>
        <w:rPr>
          <w:sz w:val="20"/>
          <w:szCs w:val="20"/>
          <w:color w:val="auto"/>
        </w:rPr>
      </w:pPr>
    </w:p>
    <w:p>
      <w:pPr>
        <w:ind w:right="660" w:firstLine="348"/>
        <w:spacing w:after="0" w:line="268" w:lineRule="auto"/>
        <w:rPr>
          <w:sz w:val="20"/>
          <w:szCs w:val="20"/>
          <w:color w:val="auto"/>
        </w:rPr>
      </w:pPr>
      <w:r>
        <w:rPr>
          <w:rFonts w:ascii="Arial" w:cs="Arial" w:eastAsia="Arial" w:hAnsi="Arial"/>
          <w:sz w:val="18"/>
          <w:szCs w:val="18"/>
          <w:color w:val="auto"/>
        </w:rPr>
        <w:t>The following is an estimate of the expenses (all of which are to be paid by the registrant) that we may incur in connection with the securities being registered hereby.</w:t>
      </w:r>
    </w:p>
    <w:p>
      <w:pPr>
        <w:spacing w:after="0" w:line="194"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176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Printing expenses</w:t>
            </w:r>
          </w:p>
        </w:tc>
        <w:tc>
          <w:tcPr>
            <w:tcW w:w="1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r>
      <w:tr>
        <w:trPr>
          <w:trHeight w:val="216"/>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Legal fees and expenses (including Blue Sky fees)</w:t>
            </w:r>
          </w:p>
        </w:tc>
        <w:tc>
          <w:tcPr>
            <w:tcW w:w="1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Accounting fees and expenses</w:t>
            </w:r>
          </w:p>
        </w:tc>
        <w:tc>
          <w:tcPr>
            <w:tcW w:w="1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r>
      <w:tr>
        <w:trPr>
          <w:trHeight w:val="216"/>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Transfer agent, trustee and warrant agent fees and expenses</w:t>
            </w:r>
          </w:p>
        </w:tc>
        <w:tc>
          <w:tcPr>
            <w:tcW w:w="1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Miscellaneous</w:t>
            </w:r>
          </w:p>
        </w:tc>
        <w:tc>
          <w:tcPr>
            <w:tcW w:w="1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r>
      <w:tr>
        <w:trPr>
          <w:trHeight w:val="20"/>
        </w:trPr>
        <w:tc>
          <w:tcPr>
            <w:tcW w:w="21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3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r>
      <w:tr>
        <w:trPr>
          <w:trHeight w:val="20"/>
        </w:trPr>
        <w:tc>
          <w:tcPr>
            <w:tcW w:w="21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120" w:type="dxa"/>
            <w:vAlign w:val="bottom"/>
            <w:tcBorders>
              <w:bottom w:val="single" w:sz="8" w:color="auto"/>
            </w:tcBorders>
          </w:tcPr>
          <w:p>
            <w:pPr>
              <w:spacing w:after="0"/>
              <w:rPr>
                <w:sz w:val="7"/>
                <w:szCs w:val="7"/>
                <w:color w:val="auto"/>
              </w:rPr>
            </w:pPr>
          </w:p>
        </w:tc>
        <w:tc>
          <w:tcPr>
            <w:tcW w:w="34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21" w:lineRule="exact"/>
        <w:rPr>
          <w:sz w:val="20"/>
          <w:szCs w:val="20"/>
          <w:color w:val="auto"/>
        </w:rPr>
      </w:pPr>
    </w:p>
    <w:p>
      <w:pPr>
        <w:ind w:left="2260" w:right="280" w:hanging="540"/>
        <w:spacing w:after="0" w:line="332" w:lineRule="auto"/>
        <w:tabs>
          <w:tab w:leader="none" w:pos="2260" w:val="left"/>
        </w:tabs>
        <w:numPr>
          <w:ilvl w:val="0"/>
          <w:numId w:val="7"/>
        </w:numPr>
        <w:rPr>
          <w:rFonts w:ascii="Arial" w:cs="Arial" w:eastAsia="Arial" w:hAnsi="Arial"/>
          <w:sz w:val="16"/>
          <w:szCs w:val="16"/>
          <w:color w:val="auto"/>
        </w:rPr>
      </w:pPr>
      <w:r>
        <w:rPr>
          <w:rFonts w:ascii="Arial" w:cs="Arial" w:eastAsia="Arial" w:hAnsi="Arial"/>
          <w:sz w:val="16"/>
          <w:szCs w:val="16"/>
          <w:color w:val="auto"/>
        </w:rPr>
        <w:t>Pursuant to Rules 456(b) and 457(r) under the Securities Act of 1933, as amended, the SEC registration fee will be paid at the time of any particular offering of securities under the registration statement, and is therefore not currently determinable.</w:t>
      </w:r>
    </w:p>
    <w:p>
      <w:pPr>
        <w:spacing w:after="0" w:line="166" w:lineRule="exact"/>
        <w:rPr>
          <w:rFonts w:ascii="Arial" w:cs="Arial" w:eastAsia="Arial" w:hAnsi="Arial"/>
          <w:sz w:val="16"/>
          <w:szCs w:val="16"/>
          <w:color w:val="auto"/>
        </w:rPr>
      </w:pPr>
    </w:p>
    <w:p>
      <w:pPr>
        <w:ind w:left="2260" w:right="280" w:hanging="540"/>
        <w:spacing w:after="0" w:line="268" w:lineRule="auto"/>
        <w:tabs>
          <w:tab w:leader="none" w:pos="2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These fees and expenses are calculated based on the securities offered and the number of issuances and accordingly cannot be estimated at this time.</w:t>
      </w:r>
    </w:p>
    <w:p>
      <w:pPr>
        <w:spacing w:after="0" w:line="18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Indemnification of Directors and Officers</w:t>
      </w:r>
    </w:p>
    <w:p>
      <w:pPr>
        <w:spacing w:after="0" w:line="231"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color w:val="auto"/>
        </w:rPr>
        <w:t>Subsection (a) of Section 145 of the General Corporation Law of the State of Delaware (the "DGCL") empowers a corporation to indemnify any person who was or is a party or who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w:t>
      </w:r>
    </w:p>
    <w:p>
      <w:pPr>
        <w:spacing w:after="0" w:line="199"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Subsection (b) of Section 145 empowers a corporation to indemnify any person who was or is a party or is threatened to be made a party to any threatened, pending or completed action or suit by or in the right of the corporation to procure a judgment in its favor by reason of the fact that the person acted in any of the capacities set forth above,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72"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Section 145 further provides that to the extent a director or officer of a corporation has been successful on the merits or otherwise in the defense of any action, suit or proceeding referred to in</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310" w:lineRule="auto"/>
        <w:rPr>
          <w:sz w:val="20"/>
          <w:szCs w:val="20"/>
          <w:color w:val="auto"/>
        </w:rPr>
      </w:pPr>
      <w:r>
        <w:rPr>
          <w:rFonts w:ascii="Arial" w:cs="Arial" w:eastAsia="Arial" w:hAnsi="Arial"/>
          <w:sz w:val="15"/>
          <w:szCs w:val="15"/>
          <w:color w:val="auto"/>
        </w:rPr>
        <w:t>subsections (a) and (b) of Section 145, or in defense of any claim, issue or matter therein, such person shall be indemnified against expenses (including attorneys' fees) actually and reasonably incurred by such person in connection therewith; that indemnification provided for by Section 145 shall not be deemed exclusive of any other rights to which the indemnified party may be entitled; and the indemnification provided for by Section 145 shall, unless otherwise provided when authorized or ratified, continue as to a person who has ceased to be a director, officer, employee or agent and shall inure to the benefit of such person's heirs, executors and administrators. Section 145 also empowers the corporation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status as such, whether or not the corporation would have the power to indemnify such person against such liabilities under Section 145.</w:t>
      </w:r>
    </w:p>
    <w:p>
      <w:pPr>
        <w:spacing w:after="0" w:line="162"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Section 102(b)(7) of the DGCL provides that a corporation's certificate of incorporation may contain a provision eliminating or limiting the personal liability of a director to the corporation or its stockholders for monetary damages for breach of fiduciary duty as a director, provided that such provision shall not eliminate or limit the liability of a director (i) for any breach of the director's duty of loyalty to the corporation or its stockholders, (ii) for acts or omissions not in good faith or which involve intentional misconduct or a knowing violation of law, (iii) under Section 174 of the DGCL, or (iv) for any transaction from which the director derived an improper personal benefit.</w:t>
      </w:r>
    </w:p>
    <w:p>
      <w:pPr>
        <w:spacing w:after="0" w:line="197"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Our certificate of incorporation, as amended, provides for the elimination of liability of our directors to the extent permitted by the DGCL. Our By-Laws, as amended, provide for mandatory indemnification of our officers, directors, employees and other agents to the extent set forth in certificate of incorporation. In addition, we have entered into indemnification agreements with our directors and certain of our officers. The indemnification agreements provide such directors and officers with further indemnification to the maximum extent permitted by the DGCL.</w:t>
      </w:r>
    </w:p>
    <w:p>
      <w:pPr>
        <w:spacing w:after="0" w:line="197" w:lineRule="exact"/>
        <w:rPr>
          <w:sz w:val="20"/>
          <w:szCs w:val="20"/>
          <w:color w:val="auto"/>
        </w:rPr>
      </w:pPr>
    </w:p>
    <w:p>
      <w:pPr>
        <w:ind w:right="160" w:firstLine="348"/>
        <w:spacing w:after="0" w:line="332" w:lineRule="auto"/>
        <w:rPr>
          <w:sz w:val="20"/>
          <w:szCs w:val="20"/>
          <w:color w:val="auto"/>
        </w:rPr>
      </w:pPr>
      <w:r>
        <w:rPr>
          <w:rFonts w:ascii="Arial" w:cs="Arial" w:eastAsia="Arial" w:hAnsi="Arial"/>
          <w:sz w:val="16"/>
          <w:szCs w:val="16"/>
          <w:color w:val="auto"/>
        </w:rPr>
        <w:t>We have in effect a directors and officers liability insurance policy indemnifying our directors and officers and the directors and officers of our subsidiaries within a specific limit for certain liabilities incurred by them, including liabilities under the Securities Act. We pay the entire premium of this policy.</w:t>
      </w:r>
    </w:p>
    <w:p>
      <w:pPr>
        <w:spacing w:after="0" w:line="139"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We believe that our certificate of incorporation and bylaw provisions, our directors and officers liability insurance policy and our indemnification agreements are necessary to attract and retain qualified persons to serve as our directors and officers.</w:t>
      </w:r>
    </w:p>
    <w:p>
      <w:pPr>
        <w:spacing w:after="0" w:line="18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5"/>
          <w:szCs w:val="15"/>
          <w:b w:val="1"/>
          <w:bCs w:val="1"/>
          <w:i w:val="1"/>
          <w:iCs w:val="1"/>
          <w:color w:val="auto"/>
        </w:rPr>
        <w:t>Exhibits</w:t>
      </w:r>
    </w:p>
    <w:p>
      <w:pPr>
        <w:spacing w:after="0" w:line="231" w:lineRule="exact"/>
        <w:rPr>
          <w:sz w:val="20"/>
          <w:szCs w:val="20"/>
          <w:color w:val="auto"/>
        </w:rPr>
      </w:pPr>
    </w:p>
    <w:p>
      <w:pPr>
        <w:ind w:left="680" w:hanging="321"/>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list of exhibits filed with this registration statement on Form S-3 is set forth on the Exhibit Index and is incorporated herein by reference.</w:t>
      </w:r>
    </w:p>
    <w:p>
      <w:pPr>
        <w:spacing w:after="0" w:line="21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5"/>
          <w:szCs w:val="15"/>
          <w:b w:val="1"/>
          <w:bCs w:val="1"/>
          <w:i w:val="1"/>
          <w:iCs w:val="1"/>
          <w:color w:val="auto"/>
        </w:rPr>
        <w:t>Undertakings</w:t>
      </w:r>
    </w:p>
    <w:p>
      <w:pPr>
        <w:spacing w:after="0" w:line="231" w:lineRule="exact"/>
        <w:rPr>
          <w:sz w:val="20"/>
          <w:szCs w:val="20"/>
          <w:color w:val="auto"/>
        </w:rPr>
      </w:pPr>
    </w:p>
    <w:p>
      <w:pPr>
        <w:ind w:left="680" w:hanging="321"/>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1"/>
          <w:numId w:val="9"/>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1780" w:hanging="253"/>
        <w:spacing w:after="0"/>
        <w:tabs>
          <w:tab w:leader="none" w:pos="1780" w:val="left"/>
        </w:tabs>
        <w:numPr>
          <w:ilvl w:val="2"/>
          <w:numId w:val="9"/>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25" w:lineRule="exact"/>
        <w:rPr>
          <w:rFonts w:ascii="Arial" w:cs="Arial" w:eastAsia="Arial" w:hAnsi="Arial"/>
          <w:sz w:val="18"/>
          <w:szCs w:val="18"/>
          <w:color w:val="auto"/>
        </w:rPr>
      </w:pPr>
    </w:p>
    <w:p>
      <w:pPr>
        <w:ind w:left="1080" w:right="460" w:firstLine="403"/>
        <w:spacing w:after="0" w:line="268" w:lineRule="auto"/>
        <w:tabs>
          <w:tab w:leader="none" w:pos="1774" w:val="left"/>
        </w:tabs>
        <w:numPr>
          <w:ilvl w:val="2"/>
          <w:numId w:val="9"/>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individually or in the aggregate, represent a fundamental change in the information set forth in the registration statement; and</w:t>
      </w:r>
    </w:p>
    <w:p>
      <w:pPr>
        <w:spacing w:after="0" w:line="225" w:lineRule="exact"/>
        <w:rPr>
          <w:sz w:val="20"/>
          <w:szCs w:val="20"/>
          <w:color w:val="auto"/>
        </w:rPr>
      </w:pPr>
    </w:p>
    <w:p>
      <w:pPr>
        <w:ind w:left="1080" w:right="100" w:firstLine="360"/>
        <w:spacing w:after="0" w:line="268" w:lineRule="auto"/>
        <w:tabs>
          <w:tab w:leader="none" w:pos="1779"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86" w:lineRule="exact"/>
        <w:rPr>
          <w:sz w:val="20"/>
          <w:szCs w:val="20"/>
          <w:color w:val="auto"/>
        </w:rPr>
      </w:pPr>
    </w:p>
    <w:p>
      <w:pPr>
        <w:ind w:left="540" w:right="40"/>
        <w:spacing w:after="0" w:line="256"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paragraphs (a)(1)(i), (a)(1)(ii), and (a)(1)(iii) above do not apply if the information required to be included in a post-effective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a part of the registration statement.</w:t>
      </w:r>
    </w:p>
    <w:p>
      <w:pPr>
        <w:spacing w:after="0" w:line="197" w:lineRule="exact"/>
        <w:rPr>
          <w:sz w:val="20"/>
          <w:szCs w:val="20"/>
          <w:color w:val="auto"/>
        </w:rPr>
      </w:pPr>
    </w:p>
    <w:p>
      <w:pPr>
        <w:ind w:left="540" w:right="60" w:firstLine="359"/>
        <w:spacing w:after="0" w:line="259" w:lineRule="auto"/>
        <w:tabs>
          <w:tab w:leader="none" w:pos="12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94" w:lineRule="exact"/>
        <w:rPr>
          <w:rFonts w:ascii="Arial" w:cs="Arial" w:eastAsia="Arial" w:hAnsi="Arial"/>
          <w:sz w:val="18"/>
          <w:szCs w:val="18"/>
          <w:color w:val="auto"/>
        </w:rPr>
      </w:pPr>
    </w:p>
    <w:p>
      <w:pPr>
        <w:ind w:left="540" w:right="700" w:firstLine="359"/>
        <w:spacing w:after="0" w:line="268" w:lineRule="auto"/>
        <w:tabs>
          <w:tab w:leader="none" w:pos="12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225" w:lineRule="exact"/>
        <w:rPr>
          <w:rFonts w:ascii="Arial" w:cs="Arial" w:eastAsia="Arial" w:hAnsi="Arial"/>
          <w:sz w:val="18"/>
          <w:szCs w:val="18"/>
          <w:color w:val="auto"/>
        </w:rPr>
      </w:pPr>
    </w:p>
    <w:p>
      <w:pPr>
        <w:ind w:left="1080" w:right="120" w:firstLine="360"/>
        <w:spacing w:after="0" w:line="268" w:lineRule="auto"/>
        <w:tabs>
          <w:tab w:leader="none" w:pos="1763" w:val="left"/>
        </w:tabs>
        <w:numPr>
          <w:ilvl w:val="1"/>
          <w:numId w:val="11"/>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85" w:lineRule="exact"/>
        <w:rPr>
          <w:rFonts w:ascii="Arial" w:cs="Arial" w:eastAsia="Arial" w:hAnsi="Arial"/>
          <w:sz w:val="18"/>
          <w:szCs w:val="18"/>
          <w:color w:val="auto"/>
        </w:rPr>
      </w:pPr>
    </w:p>
    <w:p>
      <w:pPr>
        <w:ind w:left="1760" w:hanging="320"/>
        <w:spacing w:after="0"/>
        <w:tabs>
          <w:tab w:leader="none" w:pos="176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Each prospectus required to be filed pursuant to Rule 424(b)(2), (b)(5), or (b)(7) as part of a registration statement in reliance on</w:t>
      </w:r>
    </w:p>
    <w:p>
      <w:pPr>
        <w:spacing w:after="0" w:line="38" w:lineRule="exact"/>
        <w:rPr>
          <w:sz w:val="20"/>
          <w:szCs w:val="20"/>
          <w:color w:val="auto"/>
        </w:rPr>
      </w:pPr>
    </w:p>
    <w:p>
      <w:pPr>
        <w:ind w:left="1080"/>
        <w:spacing w:after="0" w:line="286" w:lineRule="auto"/>
        <w:rPr>
          <w:sz w:val="20"/>
          <w:szCs w:val="20"/>
          <w:color w:val="auto"/>
        </w:rPr>
      </w:pPr>
      <w:r>
        <w:rPr>
          <w:rFonts w:ascii="Arial" w:cs="Arial" w:eastAsia="Arial" w:hAnsi="Arial"/>
          <w:sz w:val="16"/>
          <w:szCs w:val="16"/>
          <w:color w:val="auto"/>
        </w:rPr>
        <w:t xml:space="preserve">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78" w:lineRule="exact"/>
        <w:rPr>
          <w:sz w:val="20"/>
          <w:szCs w:val="20"/>
          <w:color w:val="auto"/>
        </w:rPr>
      </w:pPr>
    </w:p>
    <w:p>
      <w:pPr>
        <w:ind w:left="540" w:right="380" w:firstLine="359"/>
        <w:spacing w:after="0" w:line="268" w:lineRule="auto"/>
        <w:tabs>
          <w:tab w:leader="none" w:pos="12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securities:</w:t>
      </w:r>
    </w:p>
    <w:p>
      <w:pPr>
        <w:spacing w:after="0" w:line="186" w:lineRule="exact"/>
        <w:rPr>
          <w:sz w:val="20"/>
          <w:szCs w:val="20"/>
          <w:color w:val="auto"/>
        </w:rPr>
      </w:pPr>
    </w:p>
    <w:p>
      <w:pPr>
        <w:ind w:left="1080" w:right="120" w:firstLine="348"/>
        <w:spacing w:after="0" w:line="259" w:lineRule="auto"/>
        <w:rPr>
          <w:sz w:val="20"/>
          <w:szCs w:val="20"/>
          <w:color w:val="auto"/>
        </w:rPr>
      </w:pPr>
      <w:r>
        <w:rPr>
          <w:rFonts w:ascii="Arial" w:cs="Arial" w:eastAsia="Arial" w:hAnsi="Arial"/>
          <w:sz w:val="18"/>
          <w:szCs w:val="18"/>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 seller to the purchaser and will be considered to offer or sell such securities to such purchaser:</w:t>
      </w:r>
    </w:p>
    <w:p>
      <w:pPr>
        <w:spacing w:after="0" w:line="225" w:lineRule="exact"/>
        <w:rPr>
          <w:sz w:val="20"/>
          <w:szCs w:val="20"/>
          <w:color w:val="auto"/>
        </w:rPr>
      </w:pPr>
    </w:p>
    <w:p>
      <w:pPr>
        <w:ind w:left="1620" w:right="240" w:firstLine="448"/>
        <w:spacing w:after="0" w:line="268" w:lineRule="auto"/>
        <w:tabs>
          <w:tab w:leader="none" w:pos="2303" w:val="left"/>
        </w:tabs>
        <w:numPr>
          <w:ilvl w:val="2"/>
          <w:numId w:val="13"/>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185" w:lineRule="exact"/>
        <w:rPr>
          <w:rFonts w:ascii="Arial" w:cs="Arial" w:eastAsia="Arial" w:hAnsi="Arial"/>
          <w:sz w:val="18"/>
          <w:szCs w:val="18"/>
          <w:color w:val="auto"/>
        </w:rPr>
      </w:pPr>
    </w:p>
    <w:p>
      <w:pPr>
        <w:ind w:left="1620" w:right="140" w:firstLine="404"/>
        <w:spacing w:after="0" w:line="268" w:lineRule="auto"/>
        <w:tabs>
          <w:tab w:leader="none" w:pos="2308" w:val="left"/>
        </w:tabs>
        <w:numPr>
          <w:ilvl w:val="2"/>
          <w:numId w:val="13"/>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85" w:lineRule="exact"/>
        <w:rPr>
          <w:rFonts w:ascii="Arial" w:cs="Arial" w:eastAsia="Arial" w:hAnsi="Arial"/>
          <w:sz w:val="18"/>
          <w:szCs w:val="18"/>
          <w:color w:val="auto"/>
        </w:rPr>
      </w:pPr>
    </w:p>
    <w:p>
      <w:pPr>
        <w:ind w:left="1620" w:right="60" w:firstLine="360"/>
        <w:spacing w:after="0" w:line="268" w:lineRule="auto"/>
        <w:tabs>
          <w:tab w:leader="none" w:pos="2319" w:val="left"/>
        </w:tabs>
        <w:numPr>
          <w:ilvl w:val="2"/>
          <w:numId w:val="13"/>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prepared by or on behalf of the undersigned registrant or its securities provided by or on behalf of the undersigned registrant; and</w:t>
      </w:r>
    </w:p>
    <w:p>
      <w:pPr>
        <w:spacing w:after="0" w:line="185" w:lineRule="exact"/>
        <w:rPr>
          <w:rFonts w:ascii="Arial" w:cs="Arial" w:eastAsia="Arial" w:hAnsi="Arial"/>
          <w:sz w:val="18"/>
          <w:szCs w:val="18"/>
          <w:color w:val="auto"/>
        </w:rPr>
      </w:pPr>
    </w:p>
    <w:p>
      <w:pPr>
        <w:ind w:left="2320" w:hanging="340"/>
        <w:spacing w:after="0"/>
        <w:tabs>
          <w:tab w:leader="none" w:pos="2320" w:val="left"/>
        </w:tabs>
        <w:numPr>
          <w:ilvl w:val="2"/>
          <w:numId w:val="13"/>
        </w:numPr>
        <w:rPr>
          <w:rFonts w:ascii="Arial" w:cs="Arial" w:eastAsia="Arial" w:hAnsi="Arial"/>
          <w:sz w:val="18"/>
          <w:szCs w:val="18"/>
          <w:color w:val="auto"/>
        </w:rPr>
      </w:pPr>
      <w:r>
        <w:rPr>
          <w:rFonts w:ascii="Arial" w:cs="Arial" w:eastAsia="Arial" w:hAnsi="Arial"/>
          <w:sz w:val="18"/>
          <w:szCs w:val="18"/>
          <w:color w:val="auto"/>
        </w:rPr>
        <w:t>Any other communications that is an offer in the offering made by the undersigned registrant to the purchaser.</w:t>
      </w:r>
    </w:p>
    <w:p>
      <w:pPr>
        <w:spacing w:after="0" w:line="225" w:lineRule="exact"/>
        <w:rPr>
          <w:rFonts w:ascii="Arial" w:cs="Arial" w:eastAsia="Arial" w:hAnsi="Arial"/>
          <w:sz w:val="18"/>
          <w:szCs w:val="18"/>
          <w:color w:val="auto"/>
        </w:rPr>
      </w:pPr>
    </w:p>
    <w:p>
      <w:pPr>
        <w:ind w:left="540" w:firstLine="359"/>
        <w:spacing w:after="0" w:line="332" w:lineRule="auto"/>
        <w:tabs>
          <w:tab w:leader="none" w:pos="1224" w:val="left"/>
        </w:tabs>
        <w:numPr>
          <w:ilvl w:val="1"/>
          <w:numId w:val="14"/>
        </w:numPr>
        <w:rPr>
          <w:rFonts w:ascii="Arial" w:cs="Arial" w:eastAsia="Arial" w:hAnsi="Arial"/>
          <w:sz w:val="16"/>
          <w:szCs w:val="16"/>
          <w:color w:val="auto"/>
        </w:rPr>
      </w:pPr>
      <w:r>
        <w:rPr>
          <w:rFonts w:ascii="Arial" w:cs="Arial" w:eastAsia="Arial" w:hAnsi="Arial"/>
          <w:sz w:val="16"/>
          <w:szCs w:val="16"/>
          <w:color w:val="auto"/>
        </w:rPr>
        <w:t>To file an application for the purpose of determining the eligibility of the trustee to act under subsection (a) of Section 310 of the Trust Indenture Act in accordance with the rules and regulations prescribed by the Commission under Section 305(b)(2) of the Trust Indenture Act.</w:t>
      </w:r>
    </w:p>
    <w:p>
      <w:pPr>
        <w:spacing w:after="0" w:line="139" w:lineRule="exact"/>
        <w:rPr>
          <w:rFonts w:ascii="Arial" w:cs="Arial" w:eastAsia="Arial" w:hAnsi="Arial"/>
          <w:sz w:val="16"/>
          <w:szCs w:val="16"/>
          <w:color w:val="auto"/>
        </w:rPr>
      </w:pPr>
    </w:p>
    <w:p>
      <w:pPr>
        <w:ind w:right="140" w:firstLine="359"/>
        <w:spacing w:after="0" w:line="255" w:lineRule="auto"/>
        <w:tabs>
          <w:tab w:leader="none" w:pos="68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96" w:lineRule="exact"/>
        <w:rPr>
          <w:rFonts w:ascii="Arial" w:cs="Arial" w:eastAsia="Arial" w:hAnsi="Arial"/>
          <w:sz w:val="18"/>
          <w:szCs w:val="18"/>
          <w:color w:val="auto"/>
        </w:rPr>
      </w:pPr>
    </w:p>
    <w:p>
      <w:pPr>
        <w:ind w:right="80" w:firstLine="359"/>
        <w:spacing w:after="0" w:line="312" w:lineRule="auto"/>
        <w:tabs>
          <w:tab w:leader="none" w:pos="678" w:val="left"/>
        </w:tabs>
        <w:numPr>
          <w:ilvl w:val="0"/>
          <w:numId w:val="15"/>
        </w:numPr>
        <w:rPr>
          <w:rFonts w:ascii="Arial" w:cs="Arial" w:eastAsia="Arial" w:hAnsi="Arial"/>
          <w:sz w:val="15"/>
          <w:szCs w:val="15"/>
          <w:color w:val="auto"/>
        </w:rPr>
      </w:pPr>
      <w:r>
        <w:rPr>
          <w:rFonts w:ascii="Arial" w:cs="Arial" w:eastAsia="Arial" w:hAnsi="Arial"/>
          <w:sz w:val="15"/>
          <w:szCs w:val="15"/>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EXHIBIT INDEX</w:t>
      </w:r>
    </w:p>
    <w:p>
      <w:pPr>
        <w:sectPr>
          <w:pgSz w:w="11900" w:h="16838" w:orient="portrait"/>
          <w:cols w:equalWidth="0" w:num="1">
            <w:col w:w="10219"/>
          </w:cols>
          <w:pgMar w:left="240" w:top="131" w:right="1440" w:bottom="1440" w:gutter="0" w:footer="0" w:header="0"/>
        </w:sectPr>
      </w:pPr>
    </w:p>
    <w:p>
      <w:pPr>
        <w:spacing w:after="0" w:line="227" w:lineRule="exact"/>
        <w:rPr>
          <w:sz w:val="20"/>
          <w:szCs w:val="20"/>
          <w:color w:val="auto"/>
        </w:rPr>
      </w:pPr>
    </w:p>
    <w:p>
      <w:pPr>
        <w:ind w:left="1260"/>
        <w:spacing w:after="0"/>
        <w:rPr>
          <w:sz w:val="20"/>
          <w:szCs w:val="20"/>
          <w:color w:val="auto"/>
        </w:rPr>
      </w:pPr>
      <w:r>
        <w:rPr>
          <w:rFonts w:ascii="Arial" w:cs="Arial" w:eastAsia="Arial" w:hAnsi="Arial"/>
          <w:sz w:val="12"/>
          <w:szCs w:val="12"/>
          <w:b w:val="1"/>
          <w:bCs w:val="1"/>
          <w:color w:val="auto"/>
        </w:rPr>
        <w:t>Exhibit</w:t>
      </w:r>
    </w:p>
    <w:p>
      <w:pPr>
        <w:spacing w:after="0" w:line="25" w:lineRule="exact"/>
        <w:rPr>
          <w:sz w:val="20"/>
          <w:szCs w:val="20"/>
          <w:color w:val="auto"/>
        </w:rPr>
      </w:pPr>
    </w:p>
    <w:p>
      <w:pPr>
        <w:ind w:left="1220"/>
        <w:spacing w:after="0"/>
        <w:rPr>
          <w:sz w:val="20"/>
          <w:szCs w:val="20"/>
          <w:color w:val="auto"/>
        </w:rPr>
      </w:pPr>
      <w:r>
        <w:rPr>
          <w:rFonts w:ascii="Arial" w:cs="Arial" w:eastAsia="Arial" w:hAnsi="Arial"/>
          <w:sz w:val="12"/>
          <w:szCs w:val="12"/>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5715</wp:posOffset>
            </wp:positionV>
            <wp:extent cx="40322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032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jc w:val="center"/>
        <w:ind w:right="3759"/>
        <w:spacing w:after="0"/>
        <w:rPr>
          <w:sz w:val="20"/>
          <w:szCs w:val="20"/>
          <w:color w:val="auto"/>
        </w:rPr>
      </w:pP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-2421255</wp:posOffset>
            </wp:positionH>
            <wp:positionV relativeFrom="paragraph">
              <wp:posOffset>14605</wp:posOffset>
            </wp:positionV>
            <wp:extent cx="528256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282565" cy="8890"/>
                    </a:xfrm>
                    <a:prstGeom prst="rect">
                      <a:avLst/>
                    </a:prstGeom>
                    <a:noFill/>
                  </pic:spPr>
                </pic:pic>
              </a:graphicData>
            </a:graphic>
          </wp:anchor>
        </w:drawing>
      </w:r>
    </w:p>
    <w:p>
      <w:pPr>
        <w:spacing w:after="0" w:line="36" w:lineRule="exact"/>
        <w:rPr>
          <w:sz w:val="20"/>
          <w:szCs w:val="20"/>
          <w:color w:val="auto"/>
        </w:rPr>
      </w:pPr>
    </w:p>
    <w:p>
      <w:pPr>
        <w:sectPr>
          <w:pgSz w:w="11900" w:h="16838" w:orient="portrait"/>
          <w:cols w:equalWidth="0" w:num="2">
            <w:col w:w="5060" w:space="720"/>
            <w:col w:w="4439"/>
          </w:cols>
          <w:pgMar w:left="240" w:top="131" w:right="1440" w:bottom="1440" w:gutter="0" w:footer="0" w:header="0"/>
          <w:type w:val="continuous"/>
        </w:sectPr>
      </w:pPr>
    </w:p>
    <w:p>
      <w:pPr>
        <w:ind w:left="1560"/>
        <w:spacing w:after="0"/>
        <w:rPr>
          <w:sz w:val="20"/>
          <w:szCs w:val="20"/>
          <w:color w:val="auto"/>
        </w:rPr>
      </w:pPr>
      <w:r>
        <w:rPr>
          <w:rFonts w:ascii="Arial" w:cs="Arial" w:eastAsia="Arial" w:hAnsi="Arial"/>
          <w:sz w:val="18"/>
          <w:szCs w:val="18"/>
          <w:color w:val="auto"/>
        </w:rPr>
        <w:t>1.1* Form of Underwriting Agreement.</w:t>
      </w:r>
    </w:p>
    <w:p>
      <w:pPr>
        <w:spacing w:after="0" w:line="244" w:lineRule="exact"/>
        <w:rPr>
          <w:sz w:val="20"/>
          <w:szCs w:val="20"/>
          <w:color w:val="auto"/>
        </w:rPr>
      </w:pPr>
    </w:p>
    <w:p>
      <w:pPr>
        <w:ind w:left="1960" w:right="99" w:hanging="394"/>
        <w:spacing w:after="0" w:line="268" w:lineRule="auto"/>
        <w:tabs>
          <w:tab w:leader="none" w:pos="1940" w:val="left"/>
        </w:tabs>
        <w:rPr>
          <w:rFonts w:ascii="Arial" w:cs="Arial" w:eastAsia="Arial" w:hAnsi="Arial"/>
          <w:sz w:val="18"/>
          <w:szCs w:val="18"/>
          <w:u w:val="single" w:color="auto"/>
          <w:color w:val="0000EE"/>
        </w:rPr>
      </w:pPr>
      <w:r>
        <w:rPr>
          <w:rFonts w:ascii="Arial" w:cs="Arial" w:eastAsia="Arial" w:hAnsi="Arial"/>
          <w:sz w:val="18"/>
          <w:szCs w:val="18"/>
          <w:color w:val="auto"/>
        </w:rPr>
        <w:t>3.1</w:t>
      </w:r>
      <w:r>
        <w:rPr>
          <w:sz w:val="20"/>
          <w:szCs w:val="20"/>
          <w:color w:val="auto"/>
        </w:rPr>
        <w:tab/>
      </w:r>
      <w:hyperlink r:id="rId39">
        <w:r>
          <w:rPr>
            <w:rFonts w:ascii="Arial" w:cs="Arial" w:eastAsia="Arial" w:hAnsi="Arial"/>
            <w:sz w:val="18"/>
            <w:szCs w:val="18"/>
            <w:u w:val="single" w:color="auto"/>
            <w:color w:val="0000EE"/>
          </w:rPr>
          <w:t>Restated Certificate of Incorporation of Micron, filed as Exhibit 99.2 to Micron's Current Report on Form 8-K dated</w:t>
        </w:r>
      </w:hyperlink>
      <w:r>
        <w:rPr>
          <w:rFonts w:ascii="Arial" w:cs="Arial" w:eastAsia="Arial" w:hAnsi="Arial"/>
          <w:sz w:val="18"/>
          <w:szCs w:val="18"/>
          <w:u w:val="single" w:color="auto"/>
          <w:color w:val="0000EE"/>
        </w:rPr>
        <w:t xml:space="preserve"> </w:t>
      </w:r>
      <w:hyperlink r:id="rId39">
        <w:r>
          <w:rPr>
            <w:rFonts w:ascii="Arial" w:cs="Arial" w:eastAsia="Arial" w:hAnsi="Arial"/>
            <w:sz w:val="18"/>
            <w:szCs w:val="18"/>
            <w:u w:val="single" w:color="auto"/>
            <w:color w:val="0000EE"/>
          </w:rPr>
          <w:t>January 26, 2015, is hereby incorporated by reference.</w:t>
        </w:r>
      </w:hyperlink>
    </w:p>
    <w:p>
      <w:pPr>
        <w:spacing w:after="0" w:line="213" w:lineRule="exact"/>
        <w:rPr>
          <w:sz w:val="20"/>
          <w:szCs w:val="20"/>
          <w:color w:val="auto"/>
        </w:rPr>
      </w:pPr>
    </w:p>
    <w:p>
      <w:pPr>
        <w:ind w:left="1960" w:right="419" w:hanging="394"/>
        <w:spacing w:after="0" w:line="268" w:lineRule="auto"/>
        <w:tabs>
          <w:tab w:leader="none" w:pos="1940" w:val="left"/>
        </w:tabs>
        <w:rPr>
          <w:rFonts w:ascii="Arial" w:cs="Arial" w:eastAsia="Arial" w:hAnsi="Arial"/>
          <w:sz w:val="18"/>
          <w:szCs w:val="18"/>
          <w:u w:val="single" w:color="auto"/>
          <w:color w:val="0000EE"/>
        </w:rPr>
      </w:pPr>
      <w:r>
        <w:rPr>
          <w:rFonts w:ascii="Arial" w:cs="Arial" w:eastAsia="Arial" w:hAnsi="Arial"/>
          <w:sz w:val="18"/>
          <w:szCs w:val="18"/>
          <w:color w:val="auto"/>
        </w:rPr>
        <w:t>3.2</w:t>
      </w:r>
      <w:r>
        <w:rPr>
          <w:sz w:val="20"/>
          <w:szCs w:val="20"/>
          <w:color w:val="auto"/>
        </w:rPr>
        <w:tab/>
      </w:r>
      <w:hyperlink r:id="rId40">
        <w:r>
          <w:rPr>
            <w:rFonts w:ascii="Arial" w:cs="Arial" w:eastAsia="Arial" w:hAnsi="Arial"/>
            <w:sz w:val="18"/>
            <w:szCs w:val="18"/>
            <w:u w:val="single" w:color="auto"/>
            <w:color w:val="0000EE"/>
          </w:rPr>
          <w:t>Bylaws of Micron, Amended and Restated, filed as Exhibit 99.1 to Micron's Current Report on Form 8-K dated</w:t>
        </w:r>
      </w:hyperlink>
      <w:r>
        <w:rPr>
          <w:rFonts w:ascii="Arial" w:cs="Arial" w:eastAsia="Arial" w:hAnsi="Arial"/>
          <w:sz w:val="18"/>
          <w:szCs w:val="18"/>
          <w:u w:val="single" w:color="auto"/>
          <w:color w:val="0000EE"/>
        </w:rPr>
        <w:t xml:space="preserve"> </w:t>
      </w:r>
      <w:hyperlink r:id="rId40">
        <w:r>
          <w:rPr>
            <w:rFonts w:ascii="Arial" w:cs="Arial" w:eastAsia="Arial" w:hAnsi="Arial"/>
            <w:sz w:val="18"/>
            <w:szCs w:val="18"/>
            <w:u w:val="single" w:color="auto"/>
            <w:color w:val="0000EE"/>
          </w:rPr>
          <w:t>February 1, 2016, are hereby incorporated by reference.</w:t>
        </w:r>
      </w:hyperlink>
    </w:p>
    <w:p>
      <w:pPr>
        <w:spacing w:after="0" w:line="213" w:lineRule="exact"/>
        <w:rPr>
          <w:sz w:val="20"/>
          <w:szCs w:val="20"/>
          <w:color w:val="auto"/>
        </w:rPr>
      </w:pPr>
    </w:p>
    <w:p>
      <w:pPr>
        <w:ind w:left="1560"/>
        <w:spacing w:after="0"/>
        <w:tabs>
          <w:tab w:leader="none" w:pos="19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u w:val="single" w:color="auto"/>
          <w:color w:val="0000EE"/>
        </w:rPr>
        <w:t>Form of Indenture.</w:t>
      </w:r>
    </w:p>
    <w:p>
      <w:pPr>
        <w:spacing w:after="0" w:line="252" w:lineRule="exact"/>
        <w:rPr>
          <w:sz w:val="20"/>
          <w:szCs w:val="20"/>
          <w:color w:val="auto"/>
        </w:rPr>
      </w:pPr>
    </w:p>
    <w:p>
      <w:pPr>
        <w:ind w:left="1960" w:right="319" w:hanging="394"/>
        <w:spacing w:after="0" w:line="259" w:lineRule="auto"/>
        <w:tabs>
          <w:tab w:leader="none" w:pos="1940" w:val="left"/>
        </w:tabs>
        <w:rPr>
          <w:rFonts w:ascii="Arial" w:cs="Arial" w:eastAsia="Arial" w:hAnsi="Arial"/>
          <w:sz w:val="18"/>
          <w:szCs w:val="18"/>
          <w:u w:val="single" w:color="auto"/>
          <w:color w:val="0000EE"/>
        </w:rPr>
      </w:pPr>
      <w:r>
        <w:rPr>
          <w:rFonts w:ascii="Arial" w:cs="Arial" w:eastAsia="Arial" w:hAnsi="Arial"/>
          <w:sz w:val="18"/>
          <w:szCs w:val="18"/>
          <w:color w:val="auto"/>
        </w:rPr>
        <w:t>4.2</w:t>
      </w:r>
      <w:r>
        <w:rPr>
          <w:sz w:val="20"/>
          <w:szCs w:val="20"/>
          <w:color w:val="auto"/>
        </w:rPr>
        <w:tab/>
      </w:r>
      <w:hyperlink r:id="rId41">
        <w:r>
          <w:rPr>
            <w:rFonts w:ascii="Arial" w:cs="Arial" w:eastAsia="Arial" w:hAnsi="Arial"/>
            <w:sz w:val="18"/>
            <w:szCs w:val="18"/>
            <w:u w:val="single" w:color="auto"/>
            <w:color w:val="0000EE"/>
          </w:rPr>
          <w:t>Section 382 Rights Agreement, dated July 20, 2016, by and between Micron Technology, Inc. and Wells Fargo,</w:t>
        </w:r>
      </w:hyperlink>
      <w:r>
        <w:rPr>
          <w:rFonts w:ascii="Arial" w:cs="Arial" w:eastAsia="Arial" w:hAnsi="Arial"/>
          <w:sz w:val="18"/>
          <w:szCs w:val="18"/>
          <w:u w:val="single" w:color="auto"/>
          <w:color w:val="0000EE"/>
        </w:rPr>
        <w:t xml:space="preserve"> </w:t>
      </w:r>
      <w:hyperlink r:id="rId41">
        <w:r>
          <w:rPr>
            <w:rFonts w:ascii="Arial" w:cs="Arial" w:eastAsia="Arial" w:hAnsi="Arial"/>
            <w:sz w:val="18"/>
            <w:szCs w:val="18"/>
            <w:u w:val="single" w:color="auto"/>
            <w:color w:val="0000EE"/>
          </w:rPr>
          <w:t>National Association, as rights agent, filed as Exhibit 4.1 to Micron's Current Report on Form 8-K dated July 22,</w:t>
        </w:r>
      </w:hyperlink>
      <w:r>
        <w:rPr>
          <w:rFonts w:ascii="Arial" w:cs="Arial" w:eastAsia="Arial" w:hAnsi="Arial"/>
          <w:sz w:val="18"/>
          <w:szCs w:val="18"/>
          <w:u w:val="single" w:color="auto"/>
          <w:color w:val="0000EE"/>
        </w:rPr>
        <w:t xml:space="preserve"> </w:t>
      </w:r>
      <w:hyperlink r:id="rId41">
        <w:r>
          <w:rPr>
            <w:rFonts w:ascii="Arial" w:cs="Arial" w:eastAsia="Arial" w:hAnsi="Arial"/>
            <w:sz w:val="18"/>
            <w:szCs w:val="18"/>
            <w:u w:val="single" w:color="auto"/>
            <w:color w:val="0000EE"/>
          </w:rPr>
          <w:t>2016, is hereby incorporated by reference.</w:t>
        </w:r>
      </w:hyperlink>
    </w:p>
    <w:p>
      <w:pPr>
        <w:spacing w:after="0" w:line="194" w:lineRule="exact"/>
        <w:rPr>
          <w:rFonts w:ascii="Arial" w:cs="Arial" w:eastAsia="Arial" w:hAnsi="Arial"/>
          <w:sz w:val="18"/>
          <w:szCs w:val="18"/>
          <w:u w:val="single" w:color="auto"/>
          <w:color w:val="0000EE"/>
        </w:rPr>
      </w:pPr>
    </w:p>
    <w:p>
      <w:pPr>
        <w:ind w:left="1560"/>
        <w:spacing w:after="0"/>
        <w:rPr>
          <w:sz w:val="20"/>
          <w:szCs w:val="20"/>
          <w:color w:val="auto"/>
        </w:rPr>
      </w:pPr>
      <w:r>
        <w:rPr>
          <w:rFonts w:ascii="Arial" w:cs="Arial" w:eastAsia="Arial" w:hAnsi="Arial"/>
          <w:sz w:val="18"/>
          <w:szCs w:val="18"/>
          <w:color w:val="auto"/>
        </w:rPr>
        <w:t>4.3* Form of Note.</w:t>
      </w:r>
    </w:p>
    <w:p>
      <w:pPr>
        <w:spacing w:after="0" w:line="252" w:lineRule="exact"/>
        <w:rPr>
          <w:rFonts w:ascii="Arial" w:cs="Arial" w:eastAsia="Arial" w:hAnsi="Arial"/>
          <w:sz w:val="18"/>
          <w:szCs w:val="18"/>
          <w:u w:val="single" w:color="auto"/>
          <w:color w:val="0000EE"/>
        </w:rPr>
      </w:pPr>
    </w:p>
    <w:p>
      <w:pPr>
        <w:ind w:left="1560"/>
        <w:spacing w:after="0"/>
        <w:rPr>
          <w:sz w:val="20"/>
          <w:szCs w:val="20"/>
          <w:color w:val="auto"/>
        </w:rPr>
      </w:pPr>
      <w:r>
        <w:rPr>
          <w:rFonts w:ascii="Arial" w:cs="Arial" w:eastAsia="Arial" w:hAnsi="Arial"/>
          <w:sz w:val="18"/>
          <w:szCs w:val="18"/>
          <w:color w:val="auto"/>
        </w:rPr>
        <w:t>4.4* Form of Warrant.</w:t>
      </w:r>
    </w:p>
    <w:p>
      <w:pPr>
        <w:spacing w:after="0" w:line="252" w:lineRule="exact"/>
        <w:rPr>
          <w:rFonts w:ascii="Arial" w:cs="Arial" w:eastAsia="Arial" w:hAnsi="Arial"/>
          <w:sz w:val="18"/>
          <w:szCs w:val="18"/>
          <w:u w:val="single" w:color="auto"/>
          <w:color w:val="0000EE"/>
        </w:rPr>
      </w:pPr>
    </w:p>
    <w:p>
      <w:pPr>
        <w:ind w:left="1560"/>
        <w:spacing w:after="0"/>
        <w:rPr>
          <w:sz w:val="20"/>
          <w:szCs w:val="20"/>
          <w:color w:val="auto"/>
        </w:rPr>
      </w:pPr>
      <w:r>
        <w:rPr>
          <w:rFonts w:ascii="Arial" w:cs="Arial" w:eastAsia="Arial" w:hAnsi="Arial"/>
          <w:sz w:val="18"/>
          <w:szCs w:val="18"/>
          <w:color w:val="auto"/>
        </w:rPr>
        <w:t>4.5* Form of Warrant Agreement.</w:t>
      </w:r>
    </w:p>
    <w:p>
      <w:pPr>
        <w:spacing w:after="0" w:line="252" w:lineRule="exact"/>
        <w:rPr>
          <w:rFonts w:ascii="Arial" w:cs="Arial" w:eastAsia="Arial" w:hAnsi="Arial"/>
          <w:sz w:val="18"/>
          <w:szCs w:val="18"/>
          <w:u w:val="single" w:color="auto"/>
          <w:color w:val="0000EE"/>
        </w:rPr>
      </w:pPr>
    </w:p>
    <w:p>
      <w:pPr>
        <w:ind w:left="1560"/>
        <w:spacing w:after="0"/>
        <w:rPr>
          <w:sz w:val="20"/>
          <w:szCs w:val="20"/>
          <w:color w:val="auto"/>
        </w:rPr>
      </w:pPr>
      <w:r>
        <w:rPr>
          <w:rFonts w:ascii="Arial" w:cs="Arial" w:eastAsia="Arial" w:hAnsi="Arial"/>
          <w:sz w:val="18"/>
          <w:szCs w:val="18"/>
          <w:color w:val="auto"/>
        </w:rPr>
        <w:t>4.6* Form of Purchase Contract Agreement.</w:t>
      </w:r>
    </w:p>
    <w:p>
      <w:pPr>
        <w:spacing w:after="0" w:line="252" w:lineRule="exact"/>
        <w:rPr>
          <w:rFonts w:ascii="Arial" w:cs="Arial" w:eastAsia="Arial" w:hAnsi="Arial"/>
          <w:sz w:val="18"/>
          <w:szCs w:val="18"/>
          <w:u w:val="single" w:color="auto"/>
          <w:color w:val="0000EE"/>
        </w:rPr>
      </w:pPr>
    </w:p>
    <w:p>
      <w:pPr>
        <w:ind w:left="1560"/>
        <w:spacing w:after="0"/>
        <w:rPr>
          <w:sz w:val="20"/>
          <w:szCs w:val="20"/>
          <w:color w:val="auto"/>
        </w:rPr>
      </w:pPr>
      <w:r>
        <w:rPr>
          <w:rFonts w:ascii="Arial" w:cs="Arial" w:eastAsia="Arial" w:hAnsi="Arial"/>
          <w:sz w:val="18"/>
          <w:szCs w:val="18"/>
          <w:color w:val="auto"/>
        </w:rPr>
        <w:t>4.7* Form of Unit Agreement.</w:t>
      </w:r>
    </w:p>
    <w:p>
      <w:pPr>
        <w:spacing w:after="0" w:line="279" w:lineRule="exact"/>
        <w:rPr>
          <w:rFonts w:ascii="Arial" w:cs="Arial" w:eastAsia="Arial" w:hAnsi="Arial"/>
          <w:sz w:val="18"/>
          <w:szCs w:val="18"/>
          <w:u w:val="single" w:color="auto"/>
          <w:color w:val="0000EE"/>
        </w:rPr>
      </w:pPr>
    </w:p>
    <w:p>
      <w:pPr>
        <w:ind w:left="1560"/>
        <w:spacing w:after="0"/>
        <w:tabs>
          <w:tab w:leader="none" w:pos="19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u w:val="single" w:color="auto"/>
          <w:color w:val="0000EE"/>
        </w:rPr>
        <w:t>Opinion of Wilson Sonsini Goodrich &amp; Rosati, Professional Corporation.</w:t>
      </w:r>
    </w:p>
    <w:p>
      <w:pPr>
        <w:spacing w:after="0" w:line="252" w:lineRule="exact"/>
        <w:rPr>
          <w:rFonts w:ascii="Arial" w:cs="Arial" w:eastAsia="Arial" w:hAnsi="Arial"/>
          <w:sz w:val="18"/>
          <w:szCs w:val="18"/>
          <w:u w:val="single" w:color="auto"/>
          <w:color w:val="0000EE"/>
        </w:rPr>
      </w:pPr>
    </w:p>
    <w:p>
      <w:pPr>
        <w:ind w:left="1480"/>
        <w:spacing w:after="0"/>
        <w:tabs>
          <w:tab w:leader="none" w:pos="194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5"/>
          <w:szCs w:val="15"/>
          <w:u w:val="single" w:color="auto"/>
          <w:color w:val="0000EE"/>
        </w:rPr>
        <w:t>Statement Regarding the Computation of the Ratio of Earnings to Fixed Charges.</w:t>
      </w:r>
    </w:p>
    <w:p>
      <w:pPr>
        <w:spacing w:after="0" w:line="252" w:lineRule="exact"/>
        <w:rPr>
          <w:rFonts w:ascii="Arial" w:cs="Arial" w:eastAsia="Arial" w:hAnsi="Arial"/>
          <w:sz w:val="18"/>
          <w:szCs w:val="18"/>
          <w:u w:val="single" w:color="auto"/>
          <w:color w:val="0000EE"/>
        </w:rPr>
      </w:pPr>
    </w:p>
    <w:p>
      <w:pPr>
        <w:ind w:left="1480"/>
        <w:spacing w:after="0"/>
        <w:tabs>
          <w:tab w:leader="none" w:pos="194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u w:val="single" w:color="auto"/>
          <w:color w:val="0000EE"/>
        </w:rPr>
        <w:t>Consent of Wilson Sonsini Goodrich &amp; Rosati, Professional Corporation (included in Exhibit 5.1).</w:t>
      </w:r>
    </w:p>
    <w:p>
      <w:pPr>
        <w:spacing w:after="0" w:line="252" w:lineRule="exact"/>
        <w:rPr>
          <w:rFonts w:ascii="Arial" w:cs="Arial" w:eastAsia="Arial" w:hAnsi="Arial"/>
          <w:sz w:val="18"/>
          <w:szCs w:val="18"/>
          <w:u w:val="single" w:color="auto"/>
          <w:color w:val="0000EE"/>
        </w:rPr>
      </w:pPr>
    </w:p>
    <w:p>
      <w:pPr>
        <w:ind w:left="1480"/>
        <w:spacing w:after="0"/>
        <w:tabs>
          <w:tab w:leader="none" w:pos="194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u w:val="single" w:color="auto"/>
          <w:color w:val="0000EE"/>
        </w:rPr>
        <w:t>Consent of Independent Registered Public Accounting Firm.</w:t>
      </w:r>
    </w:p>
    <w:p>
      <w:pPr>
        <w:spacing w:after="0" w:line="252" w:lineRule="exact"/>
        <w:rPr>
          <w:rFonts w:ascii="Arial" w:cs="Arial" w:eastAsia="Arial" w:hAnsi="Arial"/>
          <w:sz w:val="18"/>
          <w:szCs w:val="18"/>
          <w:u w:val="single" w:color="auto"/>
          <w:color w:val="0000EE"/>
        </w:rPr>
      </w:pPr>
    </w:p>
    <w:p>
      <w:pPr>
        <w:ind w:left="1480"/>
        <w:spacing w:after="0"/>
        <w:tabs>
          <w:tab w:leader="none" w:pos="1940" w:val="left"/>
        </w:tabs>
        <w:rPr>
          <w:rFonts w:ascii="Arial" w:cs="Arial" w:eastAsia="Arial" w:hAnsi="Arial"/>
          <w:sz w:val="15"/>
          <w:szCs w:val="15"/>
          <w:u w:val="single" w:color="auto"/>
          <w:color w:val="0000EE"/>
        </w:rPr>
      </w:pPr>
      <w:r>
        <w:rPr>
          <w:rFonts w:ascii="Arial" w:cs="Arial" w:eastAsia="Arial" w:hAnsi="Arial"/>
          <w:sz w:val="18"/>
          <w:szCs w:val="18"/>
          <w:color w:val="auto"/>
        </w:rPr>
        <w:t>24.1</w:t>
      </w:r>
      <w:r>
        <w:rPr>
          <w:sz w:val="20"/>
          <w:szCs w:val="20"/>
          <w:color w:val="auto"/>
        </w:rPr>
        <w:tab/>
      </w:r>
      <w:hyperlink w:anchor="page20">
        <w:r>
          <w:rPr>
            <w:rFonts w:ascii="Arial" w:cs="Arial" w:eastAsia="Arial" w:hAnsi="Arial"/>
            <w:sz w:val="15"/>
            <w:szCs w:val="15"/>
            <w:u w:val="single" w:color="auto"/>
            <w:color w:val="0000EE"/>
          </w:rPr>
          <w:t>Powers of Attorney (incorporated by reference to the signature page hereto).</w:t>
        </w:r>
      </w:hyperlink>
    </w:p>
    <w:p>
      <w:pPr>
        <w:spacing w:after="0" w:line="225" w:lineRule="exact"/>
        <w:rPr>
          <w:rFonts w:ascii="Arial" w:cs="Arial" w:eastAsia="Arial" w:hAnsi="Arial"/>
          <w:sz w:val="18"/>
          <w:szCs w:val="18"/>
          <w:u w:val="single" w:color="auto"/>
          <w:color w:val="0000EE"/>
        </w:rPr>
      </w:pPr>
    </w:p>
    <w:p>
      <w:pPr>
        <w:ind w:left="1960" w:right="359" w:hanging="482"/>
        <w:spacing w:after="0" w:line="299" w:lineRule="auto"/>
        <w:rPr>
          <w:sz w:val="20"/>
          <w:szCs w:val="20"/>
          <w:color w:val="auto"/>
        </w:rPr>
      </w:pPr>
      <w:r>
        <w:rPr>
          <w:rFonts w:ascii="Arial" w:cs="Arial" w:eastAsia="Arial" w:hAnsi="Arial"/>
          <w:sz w:val="18"/>
          <w:szCs w:val="18"/>
          <w:color w:val="auto"/>
        </w:rPr>
        <w:t>25.1**Statement of Eligibility on Form T-1 under the Trust Indenture Act of 1939, as amended, of the trustee under the indenture filed as Exhibit 4.1 above.</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734060</wp:posOffset>
            </wp:positionH>
            <wp:positionV relativeFrom="paragraph">
              <wp:posOffset>38100</wp:posOffset>
            </wp:positionV>
            <wp:extent cx="151765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5" w:lineRule="exact"/>
        <w:rPr>
          <w:rFonts w:ascii="Arial" w:cs="Arial" w:eastAsia="Arial" w:hAnsi="Arial"/>
          <w:sz w:val="18"/>
          <w:szCs w:val="18"/>
          <w:u w:val="single" w:color="auto"/>
          <w:color w:val="0000EE"/>
        </w:rPr>
      </w:pPr>
    </w:p>
    <w:p>
      <w:pPr>
        <w:ind w:left="1680" w:hanging="531"/>
        <w:spacing w:after="0"/>
        <w:tabs>
          <w:tab w:leader="none" w:pos="1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be filed by amendment or incorporated by reference in connection with the offering of the securities.</w:t>
      </w:r>
    </w:p>
    <w:p>
      <w:pPr>
        <w:spacing w:after="0" w:line="252" w:lineRule="exact"/>
        <w:rPr>
          <w:rFonts w:ascii="Arial" w:cs="Arial" w:eastAsia="Arial" w:hAnsi="Arial"/>
          <w:sz w:val="18"/>
          <w:szCs w:val="18"/>
          <w:u w:val="single" w:color="auto"/>
          <w:color w:val="0000EE"/>
        </w:rPr>
      </w:pPr>
    </w:p>
    <w:p>
      <w:pPr>
        <w:ind w:left="5580" w:right="3159" w:hanging="4431"/>
        <w:spacing w:after="0" w:line="519" w:lineRule="auto"/>
        <w:tabs>
          <w:tab w:leader="none" w:pos="1687"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be filed pursuant to Section 305(b)(2) of the Trust Indenture Act of 1939. II-5</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jc w:val="both"/>
        <w:ind w:right="20" w:firstLine="351"/>
        <w:spacing w:after="0" w:line="270"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Boise, State of Idaho, on the 10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October, 2017.</w:t>
      </w:r>
    </w:p>
    <w:p>
      <w:pPr>
        <w:spacing w:after="0" w:line="58" w:lineRule="exact"/>
        <w:rPr>
          <w:sz w:val="20"/>
          <w:szCs w:val="20"/>
          <w:color w:val="auto"/>
        </w:rPr>
      </w:pPr>
    </w:p>
    <w:p>
      <w:pPr>
        <w:ind w:left="5680"/>
        <w:spacing w:after="0"/>
        <w:rPr>
          <w:sz w:val="20"/>
          <w:szCs w:val="20"/>
          <w:color w:val="auto"/>
        </w:rPr>
      </w:pPr>
      <w:r>
        <w:rPr>
          <w:rFonts w:ascii="Arial" w:cs="Arial" w:eastAsia="Arial" w:hAnsi="Arial"/>
          <w:sz w:val="18"/>
          <w:szCs w:val="18"/>
          <w:b w:val="1"/>
          <w:bCs w:val="1"/>
          <w:color w:val="auto"/>
        </w:rPr>
        <w:t>MICRON TECHNOLOGY, INC.</w:t>
      </w:r>
    </w:p>
    <w:p>
      <w:pPr>
        <w:spacing w:after="0" w:line="258" w:lineRule="exact"/>
        <w:rPr>
          <w:sz w:val="20"/>
          <w:szCs w:val="20"/>
          <w:color w:val="auto"/>
        </w:rPr>
      </w:pPr>
    </w:p>
    <w:p>
      <w:pPr>
        <w:ind w:left="5680"/>
        <w:spacing w:after="0"/>
        <w:tabs>
          <w:tab w:leader="none" w:pos="7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ERNEST E. MADDOCK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71120</wp:posOffset>
            </wp:positionV>
            <wp:extent cx="267589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78" w:lineRule="exact"/>
        <w:rPr>
          <w:sz w:val="20"/>
          <w:szCs w:val="20"/>
          <w:color w:val="auto"/>
        </w:rPr>
      </w:pPr>
    </w:p>
    <w:p>
      <w:pPr>
        <w:jc w:val="center"/>
        <w:ind w:left="4960"/>
        <w:spacing w:after="0"/>
        <w:rPr>
          <w:sz w:val="20"/>
          <w:szCs w:val="20"/>
          <w:color w:val="auto"/>
        </w:rPr>
      </w:pPr>
      <w:r>
        <w:rPr>
          <w:rFonts w:ascii="Arial" w:cs="Arial" w:eastAsia="Arial" w:hAnsi="Arial"/>
          <w:sz w:val="18"/>
          <w:szCs w:val="18"/>
          <w:color w:val="auto"/>
        </w:rPr>
        <w:t>Ernest E. Maddock</w:t>
      </w:r>
    </w:p>
    <w:p>
      <w:pPr>
        <w:spacing w:after="0" w:line="15" w:lineRule="exact"/>
        <w:rPr>
          <w:sz w:val="20"/>
          <w:szCs w:val="20"/>
          <w:color w:val="auto"/>
        </w:rPr>
      </w:pPr>
    </w:p>
    <w:p>
      <w:pPr>
        <w:jc w:val="center"/>
        <w:ind w:left="4960"/>
        <w:spacing w:after="0"/>
        <w:rPr>
          <w:sz w:val="20"/>
          <w:szCs w:val="20"/>
          <w:color w:val="auto"/>
        </w:rPr>
      </w:pPr>
      <w:r>
        <w:rPr>
          <w:rFonts w:ascii="Arial" w:cs="Arial" w:eastAsia="Arial" w:hAnsi="Arial"/>
          <w:sz w:val="18"/>
          <w:szCs w:val="18"/>
          <w:i w:val="1"/>
          <w:iCs w:val="1"/>
          <w:color w:val="auto"/>
        </w:rPr>
        <w:t>Senior Vice President and</w:t>
      </w:r>
    </w:p>
    <w:p>
      <w:pPr>
        <w:spacing w:after="0" w:line="9" w:lineRule="exact"/>
        <w:rPr>
          <w:sz w:val="20"/>
          <w:szCs w:val="20"/>
          <w:color w:val="auto"/>
        </w:rPr>
      </w:pPr>
    </w:p>
    <w:p>
      <w:pPr>
        <w:jc w:val="center"/>
        <w:ind w:left="4960"/>
        <w:spacing w:after="0"/>
        <w:rPr>
          <w:sz w:val="20"/>
          <w:szCs w:val="20"/>
          <w:color w:val="auto"/>
        </w:rPr>
      </w:pPr>
      <w:r>
        <w:rPr>
          <w:rFonts w:ascii="Arial" w:cs="Arial" w:eastAsia="Arial" w:hAnsi="Arial"/>
          <w:sz w:val="18"/>
          <w:szCs w:val="18"/>
          <w:i w:val="1"/>
          <w:iCs w:val="1"/>
          <w:color w:val="auto"/>
        </w:rPr>
        <w:t>Chief Financial Officer</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31" w:lineRule="exact"/>
        <w:rPr>
          <w:sz w:val="20"/>
          <w:szCs w:val="20"/>
          <w:color w:val="auto"/>
        </w:rPr>
      </w:pPr>
    </w:p>
    <w:p>
      <w:pPr>
        <w:ind w:right="80" w:firstLine="351"/>
        <w:spacing w:after="0" w:line="289" w:lineRule="auto"/>
        <w:rPr>
          <w:sz w:val="20"/>
          <w:szCs w:val="20"/>
          <w:color w:val="auto"/>
        </w:rPr>
      </w:pPr>
      <w:r>
        <w:rPr>
          <w:rFonts w:ascii="Arial" w:cs="Arial" w:eastAsia="Arial" w:hAnsi="Arial"/>
          <w:sz w:val="16"/>
          <w:szCs w:val="16"/>
          <w:color w:val="auto"/>
        </w:rPr>
        <w:t>KNOW ALL PERSONS BY THESE PRESENTS, that each person whose signature appears below constitutes and appoints Sanjay Mehrotra and Ernest E. Maddock or either of them, as his or her true and lawful attorneys-in-fact and agents, with full power of substitution and resubstitution, for him or her and in his or her name, place and stead, in any and all capacities, to file and sign any and all amendments, including post-effective amendments and any registration statement for the same offering that is to be effective under Rule 462(b) of the Securities Act, as amended, to this registration statement, with the Securities and Exchange Commission, granting unto said attorneys-in-fact and agents,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their substitute or substitutes may lawfully do or cause to be done by virtue hereof. This power of attorney shall be governed by and construed with the laws of the State of Delaware and applicable federal securities laws.</w:t>
      </w:r>
    </w:p>
    <w:p>
      <w:pPr>
        <w:spacing w:after="0" w:line="172"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below by the following persons on behalf of the registrant in the capacities and on the dates indicated.</w:t>
      </w:r>
    </w:p>
    <w:p>
      <w:pPr>
        <w:spacing w:after="0" w:line="182" w:lineRule="exact"/>
        <w:rPr>
          <w:sz w:val="20"/>
          <w:szCs w:val="20"/>
          <w:color w:val="auto"/>
        </w:rPr>
      </w:pPr>
    </w:p>
    <w:p>
      <w:pPr>
        <w:ind w:left="2480"/>
        <w:spacing w:after="0"/>
        <w:tabs>
          <w:tab w:leader="none" w:pos="6320" w:val="left"/>
          <w:tab w:leader="none" w:pos="918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2"/>
          <w:szCs w:val="12"/>
          <w:b w:val="1"/>
          <w:bCs w:val="1"/>
          <w:u w:val="single" w:color="auto"/>
          <w:color w:val="auto"/>
        </w:rPr>
        <w:t>DATE</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160" w:type="dxa"/>
            <w:vAlign w:val="bottom"/>
          </w:tcPr>
          <w:p>
            <w:pPr>
              <w:spacing w:after="0"/>
              <w:rPr>
                <w:sz w:val="19"/>
                <w:szCs w:val="19"/>
                <w:color w:val="auto"/>
              </w:rPr>
            </w:pPr>
          </w:p>
        </w:tc>
        <w:tc>
          <w:tcPr>
            <w:tcW w:w="3480" w:type="dxa"/>
            <w:vAlign w:val="bottom"/>
          </w:tcPr>
          <w:p>
            <w:pPr>
              <w:jc w:val="center"/>
              <w:spacing w:after="0"/>
              <w:rPr>
                <w:sz w:val="20"/>
                <w:szCs w:val="20"/>
                <w:color w:val="auto"/>
              </w:rPr>
            </w:pPr>
            <w:r>
              <w:rPr>
                <w:rFonts w:ascii="Arial" w:cs="Arial" w:eastAsia="Arial" w:hAnsi="Arial"/>
                <w:sz w:val="18"/>
                <w:szCs w:val="18"/>
                <w:color w:val="auto"/>
                <w:w w:val="93"/>
              </w:rPr>
              <w:t>/s/ SANJAY MEHROTRA</w:t>
            </w:r>
          </w:p>
        </w:tc>
        <w:tc>
          <w:tcPr>
            <w:tcW w:w="3860" w:type="dxa"/>
            <w:vAlign w:val="bottom"/>
            <w:vMerge w:val="restart"/>
          </w:tcPr>
          <w:p>
            <w:pPr>
              <w:ind w:left="160"/>
              <w:spacing w:after="0"/>
              <w:rPr>
                <w:sz w:val="20"/>
                <w:szCs w:val="20"/>
                <w:color w:val="auto"/>
              </w:rPr>
            </w:pPr>
            <w:r>
              <w:rPr>
                <w:rFonts w:ascii="Arial" w:cs="Arial" w:eastAsia="Arial" w:hAnsi="Arial"/>
                <w:sz w:val="18"/>
                <w:szCs w:val="18"/>
                <w:color w:val="auto"/>
                <w:w w:val="97"/>
              </w:rPr>
              <w:t>President and Chief Executive Officer (Principal</w:t>
            </w:r>
          </w:p>
        </w:tc>
        <w:tc>
          <w:tcPr>
            <w:tcW w:w="2920" w:type="dxa"/>
            <w:vAlign w:val="bottom"/>
            <w:vMerge w:val="restart"/>
          </w:tcPr>
          <w:p>
            <w:pPr>
              <w:ind w:left="260"/>
              <w:spacing w:after="0"/>
              <w:rPr>
                <w:sz w:val="20"/>
                <w:szCs w:val="20"/>
                <w:color w:val="auto"/>
              </w:rPr>
            </w:pPr>
            <w:r>
              <w:rPr>
                <w:rFonts w:ascii="Arial" w:cs="Arial" w:eastAsia="Arial" w:hAnsi="Arial"/>
                <w:sz w:val="18"/>
                <w:szCs w:val="18"/>
                <w:color w:val="auto"/>
              </w:rPr>
              <w:t>October 10, 2017</w:t>
            </w:r>
          </w:p>
        </w:tc>
        <w:tc>
          <w:tcPr>
            <w:tcW w:w="0" w:type="dxa"/>
            <w:vAlign w:val="bottom"/>
          </w:tcPr>
          <w:p>
            <w:pPr>
              <w:spacing w:after="0"/>
              <w:rPr>
                <w:sz w:val="1"/>
                <w:szCs w:val="1"/>
                <w:color w:val="auto"/>
              </w:rPr>
            </w:pPr>
          </w:p>
        </w:tc>
      </w:tr>
      <w:tr>
        <w:trPr>
          <w:trHeight w:val="95"/>
        </w:trPr>
        <w:tc>
          <w:tcPr>
            <w:tcW w:w="1160" w:type="dxa"/>
            <w:vAlign w:val="bottom"/>
          </w:tcPr>
          <w:p>
            <w:pPr>
              <w:spacing w:after="0"/>
              <w:rPr>
                <w:sz w:val="8"/>
                <w:szCs w:val="8"/>
                <w:color w:val="auto"/>
              </w:rPr>
            </w:pPr>
          </w:p>
        </w:tc>
        <w:tc>
          <w:tcPr>
            <w:tcW w:w="3480" w:type="dxa"/>
            <w:vAlign w:val="bottom"/>
            <w:tcBorders>
              <w:bottom w:val="single" w:sz="8" w:color="auto"/>
            </w:tcBorders>
          </w:tcPr>
          <w:p>
            <w:pPr>
              <w:spacing w:after="0"/>
              <w:rPr>
                <w:sz w:val="8"/>
                <w:szCs w:val="8"/>
                <w:color w:val="auto"/>
              </w:rPr>
            </w:pPr>
          </w:p>
        </w:tc>
        <w:tc>
          <w:tcPr>
            <w:tcW w:w="3860" w:type="dxa"/>
            <w:vAlign w:val="bottom"/>
            <w:vMerge w:val="continue"/>
          </w:tcPr>
          <w:p>
            <w:pPr>
              <w:spacing w:after="0"/>
              <w:rPr>
                <w:sz w:val="8"/>
                <w:szCs w:val="8"/>
                <w:color w:val="auto"/>
              </w:rPr>
            </w:pPr>
          </w:p>
        </w:tc>
        <w:tc>
          <w:tcPr>
            <w:tcW w:w="2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1160" w:type="dxa"/>
            <w:vAlign w:val="bottom"/>
          </w:tcPr>
          <w:p>
            <w:pPr>
              <w:spacing w:after="0"/>
              <w:rPr>
                <w:sz w:val="7"/>
                <w:szCs w:val="7"/>
                <w:color w:val="auto"/>
              </w:rPr>
            </w:pPr>
          </w:p>
        </w:tc>
        <w:tc>
          <w:tcPr>
            <w:tcW w:w="3480" w:type="dxa"/>
            <w:vAlign w:val="bottom"/>
            <w:vMerge w:val="restart"/>
          </w:tcPr>
          <w:p>
            <w:pPr>
              <w:jc w:val="center"/>
              <w:spacing w:after="0"/>
              <w:rPr>
                <w:sz w:val="20"/>
                <w:szCs w:val="20"/>
                <w:color w:val="auto"/>
              </w:rPr>
            </w:pPr>
            <w:r>
              <w:rPr>
                <w:rFonts w:ascii="Arial" w:cs="Arial" w:eastAsia="Arial" w:hAnsi="Arial"/>
                <w:sz w:val="18"/>
                <w:szCs w:val="18"/>
                <w:color w:val="auto"/>
                <w:w w:val="87"/>
              </w:rPr>
              <w:t>Sanjay Mehrotra</w:t>
            </w:r>
          </w:p>
        </w:tc>
        <w:tc>
          <w:tcPr>
            <w:tcW w:w="3860" w:type="dxa"/>
            <w:vAlign w:val="bottom"/>
            <w:vMerge w:val="restart"/>
          </w:tcPr>
          <w:p>
            <w:pPr>
              <w:ind w:left="160"/>
              <w:spacing w:after="0" w:line="202" w:lineRule="exact"/>
              <w:rPr>
                <w:sz w:val="20"/>
                <w:szCs w:val="20"/>
                <w:color w:val="auto"/>
              </w:rPr>
            </w:pPr>
            <w:r>
              <w:rPr>
                <w:rFonts w:ascii="Arial" w:cs="Arial" w:eastAsia="Arial" w:hAnsi="Arial"/>
                <w:sz w:val="18"/>
                <w:szCs w:val="18"/>
                <w:color w:val="auto"/>
              </w:rPr>
              <w:t>Executive Officer), Director</w:t>
            </w:r>
          </w:p>
        </w:tc>
        <w:tc>
          <w:tcPr>
            <w:tcW w:w="2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1160" w:type="dxa"/>
            <w:vAlign w:val="bottom"/>
          </w:tcPr>
          <w:p>
            <w:pPr>
              <w:spacing w:after="0"/>
              <w:rPr>
                <w:sz w:val="9"/>
                <w:szCs w:val="9"/>
                <w:color w:val="auto"/>
              </w:rPr>
            </w:pPr>
          </w:p>
        </w:tc>
        <w:tc>
          <w:tcPr>
            <w:tcW w:w="3480" w:type="dxa"/>
            <w:vAlign w:val="bottom"/>
            <w:vMerge w:val="continue"/>
          </w:tcPr>
          <w:p>
            <w:pPr>
              <w:spacing w:after="0"/>
              <w:rPr>
                <w:sz w:val="9"/>
                <w:szCs w:val="9"/>
                <w:color w:val="auto"/>
              </w:rPr>
            </w:pPr>
          </w:p>
        </w:tc>
        <w:tc>
          <w:tcPr>
            <w:tcW w:w="3860" w:type="dxa"/>
            <w:vAlign w:val="bottom"/>
            <w:vMerge w:val="continue"/>
          </w:tcPr>
          <w:p>
            <w:pPr>
              <w:spacing w:after="0"/>
              <w:rPr>
                <w:sz w:val="9"/>
                <w:szCs w:val="9"/>
                <w:color w:val="auto"/>
              </w:rPr>
            </w:pPr>
          </w:p>
        </w:tc>
        <w:tc>
          <w:tcPr>
            <w:tcW w:w="2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1160" w:type="dxa"/>
            <w:vAlign w:val="bottom"/>
          </w:tcPr>
          <w:p>
            <w:pPr>
              <w:spacing w:after="0"/>
              <w:rPr>
                <w:sz w:val="7"/>
                <w:szCs w:val="7"/>
                <w:color w:val="auto"/>
              </w:rPr>
            </w:pPr>
          </w:p>
        </w:tc>
        <w:tc>
          <w:tcPr>
            <w:tcW w:w="3480" w:type="dxa"/>
            <w:vAlign w:val="bottom"/>
            <w:vMerge w:val="continue"/>
          </w:tcPr>
          <w:p>
            <w:pPr>
              <w:spacing w:after="0"/>
              <w:rPr>
                <w:sz w:val="7"/>
                <w:szCs w:val="7"/>
                <w:color w:val="auto"/>
              </w:rPr>
            </w:pPr>
          </w:p>
        </w:tc>
        <w:tc>
          <w:tcPr>
            <w:tcW w:w="3860" w:type="dxa"/>
            <w:vAlign w:val="bottom"/>
          </w:tcPr>
          <w:p>
            <w:pPr>
              <w:spacing w:after="0"/>
              <w:rPr>
                <w:sz w:val="7"/>
                <w:szCs w:val="7"/>
                <w:color w:val="auto"/>
              </w:rPr>
            </w:pPr>
          </w:p>
        </w:tc>
        <w:tc>
          <w:tcPr>
            <w:tcW w:w="2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3"/>
        </w:trPr>
        <w:tc>
          <w:tcPr>
            <w:tcW w:w="1160" w:type="dxa"/>
            <w:vAlign w:val="bottom"/>
          </w:tcPr>
          <w:p>
            <w:pPr>
              <w:spacing w:after="0"/>
              <w:rPr>
                <w:sz w:val="24"/>
                <w:szCs w:val="24"/>
                <w:color w:val="auto"/>
              </w:rPr>
            </w:pPr>
          </w:p>
        </w:tc>
        <w:tc>
          <w:tcPr>
            <w:tcW w:w="3480" w:type="dxa"/>
            <w:vAlign w:val="bottom"/>
          </w:tcPr>
          <w:p>
            <w:pPr>
              <w:jc w:val="center"/>
              <w:spacing w:after="0"/>
              <w:rPr>
                <w:sz w:val="20"/>
                <w:szCs w:val="20"/>
                <w:color w:val="auto"/>
              </w:rPr>
            </w:pPr>
            <w:r>
              <w:rPr>
                <w:rFonts w:ascii="Arial" w:cs="Arial" w:eastAsia="Arial" w:hAnsi="Arial"/>
                <w:sz w:val="18"/>
                <w:szCs w:val="18"/>
                <w:color w:val="auto"/>
                <w:w w:val="93"/>
              </w:rPr>
              <w:t>/s/ ERNEST E. MADDOCK</w:t>
            </w:r>
          </w:p>
        </w:tc>
        <w:tc>
          <w:tcPr>
            <w:tcW w:w="3860" w:type="dxa"/>
            <w:vAlign w:val="bottom"/>
          </w:tcPr>
          <w:p>
            <w:pPr>
              <w:ind w:left="160"/>
              <w:spacing w:after="0"/>
              <w:rPr>
                <w:sz w:val="20"/>
                <w:szCs w:val="20"/>
                <w:color w:val="auto"/>
              </w:rPr>
            </w:pPr>
            <w:r>
              <w:rPr>
                <w:rFonts w:ascii="Arial" w:cs="Arial" w:eastAsia="Arial" w:hAnsi="Arial"/>
                <w:sz w:val="18"/>
                <w:szCs w:val="18"/>
                <w:color w:val="auto"/>
              </w:rPr>
              <w:t>Senior Vice President and Chief Financial</w:t>
            </w: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1160" w:type="dxa"/>
            <w:vAlign w:val="bottom"/>
          </w:tcPr>
          <w:p>
            <w:pPr>
              <w:spacing w:after="0"/>
              <w:rPr>
                <w:sz w:val="10"/>
                <w:szCs w:val="10"/>
                <w:color w:val="auto"/>
              </w:rPr>
            </w:pPr>
          </w:p>
        </w:tc>
        <w:tc>
          <w:tcPr>
            <w:tcW w:w="3480" w:type="dxa"/>
            <w:vAlign w:val="bottom"/>
            <w:tcBorders>
              <w:bottom w:val="single" w:sz="8" w:color="auto"/>
            </w:tcBorders>
          </w:tcPr>
          <w:p>
            <w:pPr>
              <w:spacing w:after="0"/>
              <w:rPr>
                <w:sz w:val="10"/>
                <w:szCs w:val="10"/>
                <w:color w:val="auto"/>
              </w:rPr>
            </w:pPr>
          </w:p>
        </w:tc>
        <w:tc>
          <w:tcPr>
            <w:tcW w:w="3860" w:type="dxa"/>
            <w:vAlign w:val="bottom"/>
            <w:vMerge w:val="restart"/>
          </w:tcPr>
          <w:p>
            <w:pPr>
              <w:ind w:left="160"/>
              <w:spacing w:after="0"/>
              <w:rPr>
                <w:sz w:val="20"/>
                <w:szCs w:val="20"/>
                <w:color w:val="auto"/>
              </w:rPr>
            </w:pPr>
            <w:r>
              <w:rPr>
                <w:rFonts w:ascii="Arial" w:cs="Arial" w:eastAsia="Arial" w:hAnsi="Arial"/>
                <w:sz w:val="18"/>
                <w:szCs w:val="18"/>
                <w:color w:val="auto"/>
              </w:rPr>
              <w:t>Officer (Principal Financial Officer and</w:t>
            </w:r>
          </w:p>
        </w:tc>
        <w:tc>
          <w:tcPr>
            <w:tcW w:w="2920" w:type="dxa"/>
            <w:vAlign w:val="bottom"/>
            <w:vMerge w:val="restart"/>
          </w:tcPr>
          <w:p>
            <w:pPr>
              <w:ind w:left="260"/>
              <w:spacing w:after="0"/>
              <w:rPr>
                <w:sz w:val="20"/>
                <w:szCs w:val="20"/>
                <w:color w:val="auto"/>
              </w:rPr>
            </w:pPr>
            <w:r>
              <w:rPr>
                <w:rFonts w:ascii="Arial" w:cs="Arial" w:eastAsia="Arial" w:hAnsi="Arial"/>
                <w:sz w:val="18"/>
                <w:szCs w:val="18"/>
                <w:color w:val="auto"/>
              </w:rPr>
              <w:t>October 10, 2017</w:t>
            </w:r>
          </w:p>
        </w:tc>
        <w:tc>
          <w:tcPr>
            <w:tcW w:w="0" w:type="dxa"/>
            <w:vAlign w:val="bottom"/>
          </w:tcPr>
          <w:p>
            <w:pPr>
              <w:spacing w:after="0"/>
              <w:rPr>
                <w:sz w:val="1"/>
                <w:szCs w:val="1"/>
                <w:color w:val="auto"/>
              </w:rPr>
            </w:pPr>
          </w:p>
        </w:tc>
      </w:tr>
      <w:tr>
        <w:trPr>
          <w:trHeight w:val="80"/>
        </w:trPr>
        <w:tc>
          <w:tcPr>
            <w:tcW w:w="1160" w:type="dxa"/>
            <w:vAlign w:val="bottom"/>
          </w:tcPr>
          <w:p>
            <w:pPr>
              <w:spacing w:after="0"/>
              <w:rPr>
                <w:sz w:val="6"/>
                <w:szCs w:val="6"/>
                <w:color w:val="auto"/>
              </w:rPr>
            </w:pPr>
          </w:p>
        </w:tc>
        <w:tc>
          <w:tcPr>
            <w:tcW w:w="3480" w:type="dxa"/>
            <w:vAlign w:val="bottom"/>
            <w:vMerge w:val="restart"/>
          </w:tcPr>
          <w:p>
            <w:pPr>
              <w:jc w:val="center"/>
              <w:spacing w:after="0"/>
              <w:rPr>
                <w:sz w:val="20"/>
                <w:szCs w:val="20"/>
                <w:color w:val="auto"/>
              </w:rPr>
            </w:pPr>
            <w:r>
              <w:rPr>
                <w:rFonts w:ascii="Arial" w:cs="Arial" w:eastAsia="Arial" w:hAnsi="Arial"/>
                <w:sz w:val="18"/>
                <w:szCs w:val="18"/>
                <w:color w:val="auto"/>
                <w:w w:val="89"/>
              </w:rPr>
              <w:t>Ernest E. Maddock</w:t>
            </w:r>
          </w:p>
        </w:tc>
        <w:tc>
          <w:tcPr>
            <w:tcW w:w="3860" w:type="dxa"/>
            <w:vAlign w:val="bottom"/>
            <w:vMerge w:val="continue"/>
          </w:tcPr>
          <w:p>
            <w:pPr>
              <w:spacing w:after="0"/>
              <w:rPr>
                <w:sz w:val="6"/>
                <w:szCs w:val="6"/>
                <w:color w:val="auto"/>
              </w:rPr>
            </w:pPr>
          </w:p>
        </w:tc>
        <w:tc>
          <w:tcPr>
            <w:tcW w:w="2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480" w:type="dxa"/>
            <w:vAlign w:val="bottom"/>
            <w:vMerge w:val="continue"/>
          </w:tcPr>
          <w:p>
            <w:pPr>
              <w:spacing w:after="0"/>
              <w:rPr>
                <w:sz w:val="19"/>
                <w:szCs w:val="19"/>
                <w:color w:val="auto"/>
              </w:rPr>
            </w:pPr>
          </w:p>
        </w:tc>
        <w:tc>
          <w:tcPr>
            <w:tcW w:w="3860" w:type="dxa"/>
            <w:vAlign w:val="bottom"/>
          </w:tcPr>
          <w:p>
            <w:pPr>
              <w:ind w:left="160"/>
              <w:spacing w:after="0"/>
              <w:rPr>
                <w:sz w:val="20"/>
                <w:szCs w:val="20"/>
                <w:color w:val="auto"/>
              </w:rPr>
            </w:pPr>
            <w:r>
              <w:rPr>
                <w:rFonts w:ascii="Arial" w:cs="Arial" w:eastAsia="Arial" w:hAnsi="Arial"/>
                <w:sz w:val="18"/>
                <w:szCs w:val="18"/>
                <w:color w:val="auto"/>
              </w:rPr>
              <w:t>Accounting Officer)</w:t>
            </w:r>
          </w:p>
        </w:tc>
        <w:tc>
          <w:tcPr>
            <w:tcW w:w="2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3480" w:type="dxa"/>
            <w:vAlign w:val="bottom"/>
          </w:tcPr>
          <w:p>
            <w:pPr>
              <w:jc w:val="center"/>
              <w:spacing w:after="0"/>
              <w:rPr>
                <w:sz w:val="20"/>
                <w:szCs w:val="20"/>
                <w:color w:val="auto"/>
              </w:rPr>
            </w:pPr>
            <w:r>
              <w:rPr>
                <w:rFonts w:ascii="Arial" w:cs="Arial" w:eastAsia="Arial" w:hAnsi="Arial"/>
                <w:sz w:val="18"/>
                <w:szCs w:val="18"/>
                <w:color w:val="auto"/>
                <w:w w:val="94"/>
              </w:rPr>
              <w:t>/s/ ROBERT L. BAILEY</w:t>
            </w:r>
          </w:p>
        </w:tc>
        <w:tc>
          <w:tcPr>
            <w:tcW w:w="3860" w:type="dxa"/>
            <w:vAlign w:val="bottom"/>
            <w:vMerge w:val="restart"/>
          </w:tcPr>
          <w:p>
            <w:pPr>
              <w:ind w:left="160"/>
              <w:spacing w:after="0"/>
              <w:rPr>
                <w:sz w:val="20"/>
                <w:szCs w:val="20"/>
                <w:color w:val="auto"/>
              </w:rPr>
            </w:pPr>
            <w:r>
              <w:rPr>
                <w:rFonts w:ascii="Arial" w:cs="Arial" w:eastAsia="Arial" w:hAnsi="Arial"/>
                <w:sz w:val="18"/>
                <w:szCs w:val="18"/>
                <w:color w:val="auto"/>
              </w:rPr>
              <w:t>Director</w:t>
            </w:r>
          </w:p>
        </w:tc>
        <w:tc>
          <w:tcPr>
            <w:tcW w:w="2920" w:type="dxa"/>
            <w:vAlign w:val="bottom"/>
            <w:vMerge w:val="restart"/>
          </w:tcPr>
          <w:p>
            <w:pPr>
              <w:ind w:left="260"/>
              <w:spacing w:after="0"/>
              <w:rPr>
                <w:sz w:val="20"/>
                <w:szCs w:val="20"/>
                <w:color w:val="auto"/>
              </w:rPr>
            </w:pPr>
            <w:r>
              <w:rPr>
                <w:rFonts w:ascii="Arial" w:cs="Arial" w:eastAsia="Arial" w:hAnsi="Arial"/>
                <w:sz w:val="18"/>
                <w:szCs w:val="18"/>
                <w:color w:val="auto"/>
              </w:rPr>
              <w:t>October 10, 2017</w:t>
            </w: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3480" w:type="dxa"/>
            <w:vAlign w:val="bottom"/>
            <w:tcBorders>
              <w:bottom w:val="single" w:sz="8" w:color="auto"/>
            </w:tcBorders>
          </w:tcPr>
          <w:p>
            <w:pPr>
              <w:spacing w:after="0"/>
              <w:rPr>
                <w:sz w:val="8"/>
                <w:szCs w:val="8"/>
                <w:color w:val="auto"/>
              </w:rPr>
            </w:pPr>
          </w:p>
        </w:tc>
        <w:tc>
          <w:tcPr>
            <w:tcW w:w="3860" w:type="dxa"/>
            <w:vAlign w:val="bottom"/>
            <w:vMerge w:val="continue"/>
          </w:tcPr>
          <w:p>
            <w:pPr>
              <w:spacing w:after="0"/>
              <w:rPr>
                <w:sz w:val="8"/>
                <w:szCs w:val="8"/>
                <w:color w:val="auto"/>
              </w:rPr>
            </w:pPr>
          </w:p>
        </w:tc>
        <w:tc>
          <w:tcPr>
            <w:tcW w:w="2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1160" w:type="dxa"/>
            <w:vAlign w:val="bottom"/>
          </w:tcPr>
          <w:p>
            <w:pPr>
              <w:spacing w:after="0"/>
              <w:rPr>
                <w:sz w:val="7"/>
                <w:szCs w:val="7"/>
                <w:color w:val="auto"/>
              </w:rPr>
            </w:pPr>
          </w:p>
        </w:tc>
        <w:tc>
          <w:tcPr>
            <w:tcW w:w="3480" w:type="dxa"/>
            <w:vAlign w:val="bottom"/>
            <w:vMerge w:val="restart"/>
          </w:tcPr>
          <w:p>
            <w:pPr>
              <w:jc w:val="center"/>
              <w:spacing w:after="0"/>
              <w:rPr>
                <w:sz w:val="20"/>
                <w:szCs w:val="20"/>
                <w:color w:val="auto"/>
              </w:rPr>
            </w:pPr>
            <w:r>
              <w:rPr>
                <w:rFonts w:ascii="Arial" w:cs="Arial" w:eastAsia="Arial" w:hAnsi="Arial"/>
                <w:sz w:val="18"/>
                <w:szCs w:val="18"/>
                <w:color w:val="auto"/>
                <w:w w:val="90"/>
              </w:rPr>
              <w:t>Robert L. Bailey</w:t>
            </w:r>
          </w:p>
        </w:tc>
        <w:tc>
          <w:tcPr>
            <w:tcW w:w="3860" w:type="dxa"/>
            <w:vAlign w:val="bottom"/>
            <w:vMerge w:val="continue"/>
          </w:tcPr>
          <w:p>
            <w:pPr>
              <w:spacing w:after="0"/>
              <w:rPr>
                <w:sz w:val="7"/>
                <w:szCs w:val="7"/>
                <w:color w:val="auto"/>
              </w:rPr>
            </w:pPr>
          </w:p>
        </w:tc>
        <w:tc>
          <w:tcPr>
            <w:tcW w:w="2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3480" w:type="dxa"/>
            <w:vAlign w:val="bottom"/>
            <w:vMerge w:val="continue"/>
          </w:tcPr>
          <w:p>
            <w:pPr>
              <w:spacing w:after="0"/>
              <w:rPr>
                <w:sz w:val="17"/>
                <w:szCs w:val="17"/>
                <w:color w:val="auto"/>
              </w:rPr>
            </w:pPr>
          </w:p>
        </w:tc>
        <w:tc>
          <w:tcPr>
            <w:tcW w:w="386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860" w:type="dxa"/>
            <w:vAlign w:val="bottom"/>
          </w:tcPr>
          <w:p>
            <w:pPr>
              <w:ind w:left="940"/>
              <w:spacing w:after="0"/>
              <w:rPr>
                <w:sz w:val="20"/>
                <w:szCs w:val="20"/>
                <w:color w:val="auto"/>
              </w:rPr>
            </w:pPr>
            <w:r>
              <w:rPr>
                <w:rFonts w:ascii="Arial" w:cs="Arial" w:eastAsia="Arial" w:hAnsi="Arial"/>
                <w:sz w:val="18"/>
                <w:szCs w:val="18"/>
                <w:color w:val="auto"/>
              </w:rPr>
              <w:t>II-6</w:t>
            </w: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480" w:type="dxa"/>
            <w:vAlign w:val="bottom"/>
            <w:tcBorders>
              <w:bottom w:val="single" w:sz="8" w:color="808080"/>
            </w:tcBorders>
          </w:tcPr>
          <w:p>
            <w:pPr>
              <w:spacing w:after="0"/>
              <w:rPr>
                <w:sz w:val="19"/>
                <w:szCs w:val="19"/>
                <w:color w:val="auto"/>
              </w:rPr>
            </w:pPr>
          </w:p>
        </w:tc>
        <w:tc>
          <w:tcPr>
            <w:tcW w:w="3860" w:type="dxa"/>
            <w:vAlign w:val="bottom"/>
            <w:tcBorders>
              <w:bottom w:val="single" w:sz="8" w:color="808080"/>
            </w:tcBorders>
          </w:tcPr>
          <w:p>
            <w:pPr>
              <w:spacing w:after="0"/>
              <w:rPr>
                <w:sz w:val="19"/>
                <w:szCs w:val="19"/>
                <w:color w:val="auto"/>
              </w:rPr>
            </w:pPr>
          </w:p>
        </w:tc>
        <w:tc>
          <w:tcPr>
            <w:tcW w:w="29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480"/>
        <w:spacing w:after="0"/>
        <w:rPr>
          <w:sz w:val="20"/>
          <w:szCs w:val="20"/>
          <w:color w:val="auto"/>
        </w:rPr>
      </w:pPr>
      <w:r>
        <w:rPr>
          <w:rFonts w:ascii="Arial" w:cs="Arial" w:eastAsia="Arial" w:hAnsi="Arial"/>
          <w:sz w:val="14"/>
          <w:szCs w:val="14"/>
          <w:b w:val="1"/>
          <w:bCs w:val="1"/>
          <w:u w:val="single" w:color="auto"/>
          <w:color w:val="auto"/>
        </w:rPr>
        <w:t>SIGNATURE</w:t>
      </w:r>
    </w:p>
    <w:p>
      <w:pPr>
        <w:spacing w:after="0" w:line="200" w:lineRule="exact"/>
        <w:rPr>
          <w:sz w:val="20"/>
          <w:szCs w:val="20"/>
          <w:color w:val="auto"/>
        </w:rPr>
      </w:pPr>
    </w:p>
    <w:p>
      <w:pPr>
        <w:spacing w:after="0" w:line="265" w:lineRule="exact"/>
        <w:rPr>
          <w:sz w:val="20"/>
          <w:szCs w:val="20"/>
          <w:color w:val="auto"/>
        </w:rPr>
      </w:pPr>
    </w:p>
    <w:p>
      <w:pPr>
        <w:jc w:val="center"/>
        <w:ind w:left="1680"/>
        <w:spacing w:after="0"/>
        <w:rPr>
          <w:sz w:val="20"/>
          <w:szCs w:val="20"/>
          <w:color w:val="auto"/>
        </w:rPr>
      </w:pPr>
      <w:r>
        <w:rPr>
          <w:rFonts w:ascii="Arial" w:cs="Arial" w:eastAsia="Arial" w:hAnsi="Arial"/>
          <w:sz w:val="18"/>
          <w:szCs w:val="18"/>
          <w:color w:val="auto"/>
        </w:rPr>
        <w:t>/s/ RICHARD M. BEYER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221234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2212340" cy="8890"/>
                    </a:xfrm>
                    <a:prstGeom prst="rect">
                      <a:avLst/>
                    </a:prstGeom>
                    <a:noFill/>
                  </pic:spPr>
                </pic:pic>
              </a:graphicData>
            </a:graphic>
          </wp:anchor>
        </w:drawing>
      </w:r>
    </w:p>
    <w:p>
      <w:pPr>
        <w:spacing w:after="0" w:line="178" w:lineRule="exact"/>
        <w:rPr>
          <w:sz w:val="20"/>
          <w:szCs w:val="20"/>
          <w:color w:val="auto"/>
        </w:rPr>
      </w:pPr>
    </w:p>
    <w:p>
      <w:pPr>
        <w:jc w:val="center"/>
        <w:ind w:left="1680"/>
        <w:spacing w:after="0"/>
        <w:rPr>
          <w:sz w:val="20"/>
          <w:szCs w:val="20"/>
          <w:color w:val="auto"/>
        </w:rPr>
      </w:pPr>
      <w:r>
        <w:rPr>
          <w:rFonts w:ascii="Arial" w:cs="Arial" w:eastAsia="Arial" w:hAnsi="Arial"/>
          <w:sz w:val="18"/>
          <w:szCs w:val="18"/>
          <w:color w:val="auto"/>
        </w:rPr>
        <w:t>Richard M. Beyer</w:t>
      </w:r>
    </w:p>
    <w:p>
      <w:pPr>
        <w:spacing w:after="0" w:line="252" w:lineRule="exact"/>
        <w:rPr>
          <w:sz w:val="20"/>
          <w:szCs w:val="20"/>
          <w:color w:val="auto"/>
        </w:rPr>
      </w:pPr>
    </w:p>
    <w:p>
      <w:pPr>
        <w:jc w:val="center"/>
        <w:ind w:left="1680"/>
        <w:spacing w:after="0"/>
        <w:rPr>
          <w:sz w:val="20"/>
          <w:szCs w:val="20"/>
          <w:color w:val="auto"/>
        </w:rPr>
      </w:pPr>
      <w:r>
        <w:rPr>
          <w:rFonts w:ascii="Arial" w:cs="Arial" w:eastAsia="Arial" w:hAnsi="Arial"/>
          <w:sz w:val="18"/>
          <w:szCs w:val="18"/>
          <w:color w:val="auto"/>
        </w:rPr>
        <w:t>/s/ PATRICK J. BYRNE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221234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2212340" cy="8890"/>
                    </a:xfrm>
                    <a:prstGeom prst="rect">
                      <a:avLst/>
                    </a:prstGeom>
                    <a:noFill/>
                  </pic:spPr>
                </pic:pic>
              </a:graphicData>
            </a:graphic>
          </wp:anchor>
        </w:drawing>
      </w:r>
    </w:p>
    <w:p>
      <w:pPr>
        <w:spacing w:after="0" w:line="178" w:lineRule="exact"/>
        <w:rPr>
          <w:sz w:val="20"/>
          <w:szCs w:val="20"/>
          <w:color w:val="auto"/>
        </w:rPr>
      </w:pPr>
    </w:p>
    <w:p>
      <w:pPr>
        <w:jc w:val="center"/>
        <w:ind w:left="1680"/>
        <w:spacing w:after="0"/>
        <w:rPr>
          <w:sz w:val="20"/>
          <w:szCs w:val="20"/>
          <w:color w:val="auto"/>
        </w:rPr>
      </w:pPr>
      <w:r>
        <w:rPr>
          <w:rFonts w:ascii="Arial" w:cs="Arial" w:eastAsia="Arial" w:hAnsi="Arial"/>
          <w:sz w:val="18"/>
          <w:szCs w:val="18"/>
          <w:color w:val="auto"/>
        </w:rPr>
        <w:t>Patrick J. Byrne</w:t>
      </w:r>
    </w:p>
    <w:p>
      <w:pPr>
        <w:spacing w:after="0" w:line="252" w:lineRule="exact"/>
        <w:rPr>
          <w:sz w:val="20"/>
          <w:szCs w:val="20"/>
          <w:color w:val="auto"/>
        </w:rPr>
      </w:pPr>
    </w:p>
    <w:p>
      <w:pPr>
        <w:jc w:val="center"/>
        <w:ind w:left="1680"/>
        <w:spacing w:after="0"/>
        <w:rPr>
          <w:sz w:val="20"/>
          <w:szCs w:val="20"/>
          <w:color w:val="auto"/>
        </w:rPr>
      </w:pPr>
      <w:r>
        <w:rPr>
          <w:rFonts w:ascii="Arial" w:cs="Arial" w:eastAsia="Arial" w:hAnsi="Arial"/>
          <w:sz w:val="18"/>
          <w:szCs w:val="18"/>
          <w:color w:val="auto"/>
        </w:rPr>
        <w:t>/s/ MERCEDES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221234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2212340" cy="8890"/>
                    </a:xfrm>
                    <a:prstGeom prst="rect">
                      <a:avLst/>
                    </a:prstGeom>
                    <a:noFill/>
                  </pic:spPr>
                </pic:pic>
              </a:graphicData>
            </a:graphic>
          </wp:anchor>
        </w:drawing>
      </w:r>
    </w:p>
    <w:p>
      <w:pPr>
        <w:spacing w:after="0" w:line="178" w:lineRule="exact"/>
        <w:rPr>
          <w:sz w:val="20"/>
          <w:szCs w:val="20"/>
          <w:color w:val="auto"/>
        </w:rPr>
      </w:pPr>
    </w:p>
    <w:p>
      <w:pPr>
        <w:jc w:val="center"/>
        <w:ind w:left="1680"/>
        <w:spacing w:after="0"/>
        <w:rPr>
          <w:sz w:val="20"/>
          <w:szCs w:val="20"/>
          <w:color w:val="auto"/>
        </w:rPr>
      </w:pPr>
      <w:r>
        <w:rPr>
          <w:rFonts w:ascii="Arial" w:cs="Arial" w:eastAsia="Arial" w:hAnsi="Arial"/>
          <w:sz w:val="18"/>
          <w:szCs w:val="18"/>
          <w:color w:val="auto"/>
        </w:rPr>
        <w:t>Mercedes Johnson</w:t>
      </w:r>
    </w:p>
    <w:p>
      <w:pPr>
        <w:spacing w:after="0" w:line="252" w:lineRule="exact"/>
        <w:rPr>
          <w:sz w:val="20"/>
          <w:szCs w:val="20"/>
          <w:color w:val="auto"/>
        </w:rPr>
      </w:pPr>
    </w:p>
    <w:p>
      <w:pPr>
        <w:jc w:val="center"/>
        <w:ind w:left="1680"/>
        <w:spacing w:after="0"/>
        <w:rPr>
          <w:sz w:val="20"/>
          <w:szCs w:val="20"/>
          <w:color w:val="auto"/>
        </w:rPr>
      </w:pPr>
      <w:r>
        <w:rPr>
          <w:rFonts w:ascii="Arial" w:cs="Arial" w:eastAsia="Arial" w:hAnsi="Arial"/>
          <w:sz w:val="16"/>
          <w:szCs w:val="16"/>
          <w:color w:val="auto"/>
        </w:rPr>
        <w:t>/s/ LAWRENCE N. MONDRY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85725</wp:posOffset>
            </wp:positionV>
            <wp:extent cx="221234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2212340" cy="8890"/>
                    </a:xfrm>
                    <a:prstGeom prst="rect">
                      <a:avLst/>
                    </a:prstGeom>
                    <a:noFill/>
                  </pic:spPr>
                </pic:pic>
              </a:graphicData>
            </a:graphic>
          </wp:anchor>
        </w:drawing>
      </w:r>
    </w:p>
    <w:p>
      <w:pPr>
        <w:spacing w:after="0" w:line="201" w:lineRule="exact"/>
        <w:rPr>
          <w:sz w:val="20"/>
          <w:szCs w:val="20"/>
          <w:color w:val="auto"/>
        </w:rPr>
      </w:pPr>
    </w:p>
    <w:p>
      <w:pPr>
        <w:jc w:val="center"/>
        <w:ind w:left="1680"/>
        <w:spacing w:after="0"/>
        <w:rPr>
          <w:sz w:val="20"/>
          <w:szCs w:val="20"/>
          <w:color w:val="auto"/>
        </w:rPr>
      </w:pPr>
      <w:r>
        <w:rPr>
          <w:rFonts w:ascii="Arial" w:cs="Arial" w:eastAsia="Arial" w:hAnsi="Arial"/>
          <w:sz w:val="18"/>
          <w:szCs w:val="18"/>
          <w:color w:val="auto"/>
        </w:rPr>
        <w:t>Lawrence N. Mondry</w:t>
      </w:r>
    </w:p>
    <w:p>
      <w:pPr>
        <w:spacing w:after="0" w:line="252" w:lineRule="exact"/>
        <w:rPr>
          <w:sz w:val="20"/>
          <w:szCs w:val="20"/>
          <w:color w:val="auto"/>
        </w:rPr>
      </w:pPr>
    </w:p>
    <w:p>
      <w:pPr>
        <w:jc w:val="center"/>
        <w:ind w:left="1680"/>
        <w:spacing w:after="0"/>
        <w:rPr>
          <w:sz w:val="20"/>
          <w:szCs w:val="20"/>
          <w:color w:val="auto"/>
        </w:rPr>
      </w:pPr>
      <w:r>
        <w:rPr>
          <w:rFonts w:ascii="Arial" w:cs="Arial" w:eastAsia="Arial" w:hAnsi="Arial"/>
          <w:sz w:val="18"/>
          <w:szCs w:val="18"/>
          <w:color w:val="auto"/>
        </w:rPr>
        <w:t>/s/ ROBERT E. SWITZ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221234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2212340" cy="8890"/>
                    </a:xfrm>
                    <a:prstGeom prst="rect">
                      <a:avLst/>
                    </a:prstGeom>
                    <a:noFill/>
                  </pic:spPr>
                </pic:pic>
              </a:graphicData>
            </a:graphic>
          </wp:anchor>
        </w:drawing>
      </w:r>
    </w:p>
    <w:p>
      <w:pPr>
        <w:spacing w:after="0" w:line="178"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Robert E. Switz</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jc w:val="right"/>
        <w:ind w:right="1300"/>
        <w:spacing w:after="0"/>
        <w:rPr>
          <w:sz w:val="20"/>
          <w:szCs w:val="20"/>
          <w:color w:val="auto"/>
        </w:rPr>
      </w:pPr>
      <w:r>
        <w:rPr>
          <w:rFonts w:ascii="Arial" w:cs="Arial" w:eastAsia="Arial" w:hAnsi="Arial"/>
          <w:sz w:val="14"/>
          <w:szCs w:val="14"/>
          <w:b w:val="1"/>
          <w:bCs w:val="1"/>
          <w:u w:val="single" w:color="auto"/>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1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-3044190</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ind w:left="440"/>
        <w:spacing w:after="0"/>
        <w:rPr>
          <w:sz w:val="20"/>
          <w:szCs w:val="20"/>
          <w:color w:val="auto"/>
        </w:rPr>
      </w:pPr>
      <w:r>
        <w:rPr>
          <w:rFonts w:ascii="Arial" w:cs="Arial" w:eastAsia="Arial" w:hAnsi="Arial"/>
          <w:sz w:val="14"/>
          <w:szCs w:val="14"/>
          <w:b w:val="1"/>
          <w:bCs w:val="1"/>
          <w:u w:val="single" w:color="auto"/>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5"/>
          <w:szCs w:val="15"/>
          <w:color w:val="auto"/>
        </w:rPr>
        <w:t>October 10, 2017</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color w:val="auto"/>
        </w:rPr>
        <w:t>October 10, 2017</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color w:val="auto"/>
        </w:rPr>
        <w:t>October 10, 2017</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color w:val="auto"/>
        </w:rPr>
        <w:t>October 10, 2017</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color w:val="auto"/>
        </w:rPr>
        <w:t>October 10, 2017</w:t>
      </w:r>
    </w:p>
    <w:p>
      <w:pPr>
        <w:sectPr>
          <w:pgSz w:w="11900" w:h="16838" w:orient="portrait"/>
          <w:cols w:equalWidth="0" w:num="3">
            <w:col w:w="4080" w:space="720"/>
            <w:col w:w="3240" w:space="720"/>
            <w:col w:w="1459"/>
          </w:cols>
          <w:pgMar w:left="240" w:top="131" w:right="1440" w:bottom="1440" w:gutter="0" w:footer="0" w:header="0"/>
        </w:sectPr>
      </w:pPr>
    </w:p>
    <w:bookmarkStart w:id="21" w:name="page22"/>
    <w:bookmarkEnd w:id="2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INDENTURE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220980</wp:posOffset>
            </wp:positionV>
            <wp:extent cx="182689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7267575"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509905</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440" w:type="dxa"/>
            <w:vAlign w:val="bottom"/>
            <w:gridSpan w:val="2"/>
            <w:vMerge w:val="restart"/>
          </w:tcPr>
          <w:p>
            <w:pPr>
              <w:spacing w:after="0"/>
              <w:rPr>
                <w:sz w:val="20"/>
                <w:szCs w:val="20"/>
                <w:color w:val="auto"/>
              </w:rPr>
            </w:pPr>
            <w:r>
              <w:rPr>
                <w:rFonts w:ascii="Arial" w:cs="Arial" w:eastAsia="Arial" w:hAnsi="Arial"/>
                <w:sz w:val="18"/>
                <w:szCs w:val="18"/>
                <w:color w:val="auto"/>
              </w:rPr>
              <w:t>ARTICLE I DEFINITIONS AND INCORPORATION BY REFERENCE</w:t>
            </w:r>
          </w:p>
        </w:tc>
        <w:tc>
          <w:tcPr>
            <w:tcW w:w="10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24"/>
        </w:trPr>
        <w:tc>
          <w:tcPr>
            <w:tcW w:w="10440" w:type="dxa"/>
            <w:vAlign w:val="bottom"/>
            <w:gridSpan w:val="2"/>
            <w:vMerge w:val="continue"/>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1660" w:type="dxa"/>
            <w:vAlign w:val="bottom"/>
          </w:tcPr>
          <w:p>
            <w:pPr>
              <w:ind w:left="400"/>
              <w:spacing w:after="0"/>
              <w:rPr>
                <w:sz w:val="20"/>
                <w:szCs w:val="20"/>
                <w:color w:val="auto"/>
              </w:rPr>
            </w:pPr>
            <w:r>
              <w:rPr>
                <w:rFonts w:ascii="Arial" w:cs="Arial" w:eastAsia="Arial" w:hAnsi="Arial"/>
                <w:sz w:val="18"/>
                <w:szCs w:val="18"/>
                <w:color w:val="auto"/>
              </w:rPr>
              <w:t>Section 1.1</w:t>
            </w:r>
          </w:p>
        </w:tc>
        <w:tc>
          <w:tcPr>
            <w:tcW w:w="8780" w:type="dxa"/>
            <w:vAlign w:val="bottom"/>
          </w:tcPr>
          <w:p>
            <w:pPr>
              <w:ind w:left="360"/>
              <w:spacing w:after="0"/>
              <w:rPr>
                <w:sz w:val="20"/>
                <w:szCs w:val="20"/>
                <w:color w:val="auto"/>
              </w:rPr>
            </w:pPr>
            <w:r>
              <w:rPr>
                <w:rFonts w:ascii="Arial" w:cs="Arial" w:eastAsia="Arial" w:hAnsi="Arial"/>
                <w:sz w:val="18"/>
                <w:szCs w:val="18"/>
                <w:color w:val="auto"/>
              </w:rPr>
              <w:t>Definitions</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660" w:type="dxa"/>
            <w:vAlign w:val="bottom"/>
          </w:tcPr>
          <w:p>
            <w:pPr>
              <w:ind w:left="400"/>
              <w:spacing w:after="0"/>
              <w:rPr>
                <w:sz w:val="20"/>
                <w:szCs w:val="20"/>
                <w:color w:val="auto"/>
              </w:rPr>
            </w:pPr>
            <w:r>
              <w:rPr>
                <w:rFonts w:ascii="Arial" w:cs="Arial" w:eastAsia="Arial" w:hAnsi="Arial"/>
                <w:sz w:val="18"/>
                <w:szCs w:val="18"/>
                <w:color w:val="auto"/>
              </w:rPr>
              <w:t>Section 1.2</w:t>
            </w:r>
          </w:p>
        </w:tc>
        <w:tc>
          <w:tcPr>
            <w:tcW w:w="8780" w:type="dxa"/>
            <w:vAlign w:val="bottom"/>
          </w:tcPr>
          <w:p>
            <w:pPr>
              <w:ind w:left="360"/>
              <w:spacing w:after="0"/>
              <w:rPr>
                <w:sz w:val="20"/>
                <w:szCs w:val="20"/>
                <w:color w:val="auto"/>
              </w:rPr>
            </w:pPr>
            <w:r>
              <w:rPr>
                <w:rFonts w:ascii="Arial" w:cs="Arial" w:eastAsia="Arial" w:hAnsi="Arial"/>
                <w:sz w:val="18"/>
                <w:szCs w:val="18"/>
                <w:color w:val="auto"/>
              </w:rPr>
              <w:t>Other Definitions</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660" w:type="dxa"/>
            <w:vAlign w:val="bottom"/>
          </w:tcPr>
          <w:p>
            <w:pPr>
              <w:ind w:left="400"/>
              <w:spacing w:after="0"/>
              <w:rPr>
                <w:sz w:val="20"/>
                <w:szCs w:val="20"/>
                <w:color w:val="auto"/>
              </w:rPr>
            </w:pPr>
            <w:r>
              <w:rPr>
                <w:rFonts w:ascii="Arial" w:cs="Arial" w:eastAsia="Arial" w:hAnsi="Arial"/>
                <w:sz w:val="18"/>
                <w:szCs w:val="18"/>
                <w:color w:val="auto"/>
              </w:rPr>
              <w:t>Section 1.3</w:t>
            </w:r>
          </w:p>
        </w:tc>
        <w:tc>
          <w:tcPr>
            <w:tcW w:w="8780" w:type="dxa"/>
            <w:vAlign w:val="bottom"/>
          </w:tcPr>
          <w:p>
            <w:pPr>
              <w:ind w:left="360"/>
              <w:spacing w:after="0"/>
              <w:rPr>
                <w:sz w:val="20"/>
                <w:szCs w:val="20"/>
                <w:color w:val="auto"/>
              </w:rPr>
            </w:pPr>
            <w:r>
              <w:rPr>
                <w:rFonts w:ascii="Arial" w:cs="Arial" w:eastAsia="Arial" w:hAnsi="Arial"/>
                <w:sz w:val="18"/>
                <w:szCs w:val="18"/>
                <w:color w:val="auto"/>
              </w:rPr>
              <w:t>Incorporation by Reference of Trust Indenture Act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1660" w:type="dxa"/>
            <w:vAlign w:val="bottom"/>
          </w:tcPr>
          <w:p>
            <w:pPr>
              <w:ind w:left="400"/>
              <w:spacing w:after="0"/>
              <w:rPr>
                <w:sz w:val="20"/>
                <w:szCs w:val="20"/>
                <w:color w:val="auto"/>
              </w:rPr>
            </w:pPr>
            <w:r>
              <w:rPr>
                <w:rFonts w:ascii="Arial" w:cs="Arial" w:eastAsia="Arial" w:hAnsi="Arial"/>
                <w:sz w:val="18"/>
                <w:szCs w:val="18"/>
                <w:color w:val="auto"/>
              </w:rPr>
              <w:t>Section 1.4</w:t>
            </w:r>
          </w:p>
        </w:tc>
        <w:tc>
          <w:tcPr>
            <w:tcW w:w="8780" w:type="dxa"/>
            <w:vAlign w:val="bottom"/>
          </w:tcPr>
          <w:p>
            <w:pPr>
              <w:ind w:left="360"/>
              <w:spacing w:after="0"/>
              <w:rPr>
                <w:sz w:val="20"/>
                <w:szCs w:val="20"/>
                <w:color w:val="auto"/>
              </w:rPr>
            </w:pPr>
            <w:r>
              <w:rPr>
                <w:rFonts w:ascii="Arial" w:cs="Arial" w:eastAsia="Arial" w:hAnsi="Arial"/>
                <w:sz w:val="18"/>
                <w:szCs w:val="18"/>
                <w:color w:val="auto"/>
              </w:rPr>
              <w:t>Rules of Construction</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32"/>
        </w:trPr>
        <w:tc>
          <w:tcPr>
            <w:tcW w:w="10440" w:type="dxa"/>
            <w:vAlign w:val="bottom"/>
            <w:gridSpan w:val="2"/>
          </w:tcPr>
          <w:p>
            <w:pPr>
              <w:spacing w:after="0"/>
              <w:rPr>
                <w:sz w:val="20"/>
                <w:szCs w:val="20"/>
                <w:color w:val="auto"/>
              </w:rPr>
            </w:pPr>
            <w:r>
              <w:rPr>
                <w:rFonts w:ascii="Arial" w:cs="Arial" w:eastAsia="Arial" w:hAnsi="Arial"/>
                <w:sz w:val="18"/>
                <w:szCs w:val="18"/>
                <w:color w:val="auto"/>
              </w:rPr>
              <w:t>ARTICLE II THE SECURITIES</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18"/>
        </w:trPr>
        <w:tc>
          <w:tcPr>
            <w:tcW w:w="1660" w:type="dxa"/>
            <w:vAlign w:val="bottom"/>
          </w:tcPr>
          <w:p>
            <w:pPr>
              <w:ind w:left="400"/>
              <w:spacing w:after="0"/>
              <w:rPr>
                <w:sz w:val="20"/>
                <w:szCs w:val="20"/>
                <w:color w:val="auto"/>
              </w:rPr>
            </w:pPr>
            <w:r>
              <w:rPr>
                <w:rFonts w:ascii="Arial" w:cs="Arial" w:eastAsia="Arial" w:hAnsi="Arial"/>
                <w:sz w:val="18"/>
                <w:szCs w:val="18"/>
                <w:color w:val="auto"/>
              </w:rPr>
              <w:t>Section 2.1</w:t>
            </w:r>
          </w:p>
        </w:tc>
        <w:tc>
          <w:tcPr>
            <w:tcW w:w="8780" w:type="dxa"/>
            <w:vAlign w:val="bottom"/>
          </w:tcPr>
          <w:p>
            <w:pPr>
              <w:ind w:left="360"/>
              <w:spacing w:after="0"/>
              <w:rPr>
                <w:sz w:val="20"/>
                <w:szCs w:val="20"/>
                <w:color w:val="auto"/>
              </w:rPr>
            </w:pPr>
            <w:r>
              <w:rPr>
                <w:rFonts w:ascii="Arial" w:cs="Arial" w:eastAsia="Arial" w:hAnsi="Arial"/>
                <w:sz w:val="18"/>
                <w:szCs w:val="18"/>
                <w:color w:val="auto"/>
              </w:rPr>
              <w:t>Issuable in Series</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660" w:type="dxa"/>
            <w:vAlign w:val="bottom"/>
          </w:tcPr>
          <w:p>
            <w:pPr>
              <w:ind w:left="400"/>
              <w:spacing w:after="0"/>
              <w:rPr>
                <w:sz w:val="20"/>
                <w:szCs w:val="20"/>
                <w:color w:val="auto"/>
              </w:rPr>
            </w:pPr>
            <w:r>
              <w:rPr>
                <w:rFonts w:ascii="Arial" w:cs="Arial" w:eastAsia="Arial" w:hAnsi="Arial"/>
                <w:sz w:val="18"/>
                <w:szCs w:val="18"/>
                <w:color w:val="auto"/>
              </w:rPr>
              <w:t>Section 2.2</w:t>
            </w:r>
          </w:p>
        </w:tc>
        <w:tc>
          <w:tcPr>
            <w:tcW w:w="8780" w:type="dxa"/>
            <w:vAlign w:val="bottom"/>
          </w:tcPr>
          <w:p>
            <w:pPr>
              <w:ind w:left="360"/>
              <w:spacing w:after="0"/>
              <w:rPr>
                <w:sz w:val="20"/>
                <w:szCs w:val="20"/>
                <w:color w:val="auto"/>
              </w:rPr>
            </w:pPr>
            <w:r>
              <w:rPr>
                <w:rFonts w:ascii="Arial" w:cs="Arial" w:eastAsia="Arial" w:hAnsi="Arial"/>
                <w:sz w:val="18"/>
                <w:szCs w:val="18"/>
                <w:color w:val="auto"/>
              </w:rPr>
              <w:t>Establishment of Terms of Series of Securities</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660" w:type="dxa"/>
            <w:vAlign w:val="bottom"/>
          </w:tcPr>
          <w:p>
            <w:pPr>
              <w:ind w:left="400"/>
              <w:spacing w:after="0"/>
              <w:rPr>
                <w:sz w:val="20"/>
                <w:szCs w:val="20"/>
                <w:color w:val="auto"/>
              </w:rPr>
            </w:pPr>
            <w:r>
              <w:rPr>
                <w:rFonts w:ascii="Arial" w:cs="Arial" w:eastAsia="Arial" w:hAnsi="Arial"/>
                <w:sz w:val="18"/>
                <w:szCs w:val="18"/>
                <w:color w:val="auto"/>
              </w:rPr>
              <w:t>Section 2.3</w:t>
            </w:r>
          </w:p>
        </w:tc>
        <w:tc>
          <w:tcPr>
            <w:tcW w:w="8780" w:type="dxa"/>
            <w:vAlign w:val="bottom"/>
          </w:tcPr>
          <w:p>
            <w:pPr>
              <w:ind w:left="360"/>
              <w:spacing w:after="0"/>
              <w:rPr>
                <w:sz w:val="20"/>
                <w:szCs w:val="20"/>
                <w:color w:val="auto"/>
              </w:rPr>
            </w:pPr>
            <w:r>
              <w:rPr>
                <w:rFonts w:ascii="Arial" w:cs="Arial" w:eastAsia="Arial" w:hAnsi="Arial"/>
                <w:sz w:val="18"/>
                <w:szCs w:val="18"/>
                <w:color w:val="auto"/>
              </w:rPr>
              <w:t>Execution and Authentication</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660" w:type="dxa"/>
            <w:vAlign w:val="bottom"/>
          </w:tcPr>
          <w:p>
            <w:pPr>
              <w:ind w:left="400"/>
              <w:spacing w:after="0"/>
              <w:rPr>
                <w:sz w:val="20"/>
                <w:szCs w:val="20"/>
                <w:color w:val="auto"/>
              </w:rPr>
            </w:pPr>
            <w:r>
              <w:rPr>
                <w:rFonts w:ascii="Arial" w:cs="Arial" w:eastAsia="Arial" w:hAnsi="Arial"/>
                <w:sz w:val="18"/>
                <w:szCs w:val="18"/>
                <w:color w:val="auto"/>
              </w:rPr>
              <w:t>Section 2.4</w:t>
            </w:r>
          </w:p>
        </w:tc>
        <w:tc>
          <w:tcPr>
            <w:tcW w:w="8780" w:type="dxa"/>
            <w:vAlign w:val="bottom"/>
          </w:tcPr>
          <w:p>
            <w:pPr>
              <w:ind w:left="360"/>
              <w:spacing w:after="0"/>
              <w:rPr>
                <w:sz w:val="20"/>
                <w:szCs w:val="20"/>
                <w:color w:val="auto"/>
              </w:rPr>
            </w:pPr>
            <w:r>
              <w:rPr>
                <w:rFonts w:ascii="Arial" w:cs="Arial" w:eastAsia="Arial" w:hAnsi="Arial"/>
                <w:sz w:val="18"/>
                <w:szCs w:val="18"/>
                <w:color w:val="auto"/>
              </w:rPr>
              <w:t>Registrar and Paying Agent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660" w:type="dxa"/>
            <w:vAlign w:val="bottom"/>
          </w:tcPr>
          <w:p>
            <w:pPr>
              <w:ind w:left="400"/>
              <w:spacing w:after="0"/>
              <w:rPr>
                <w:sz w:val="20"/>
                <w:szCs w:val="20"/>
                <w:color w:val="auto"/>
              </w:rPr>
            </w:pPr>
            <w:r>
              <w:rPr>
                <w:rFonts w:ascii="Arial" w:cs="Arial" w:eastAsia="Arial" w:hAnsi="Arial"/>
                <w:sz w:val="18"/>
                <w:szCs w:val="18"/>
                <w:color w:val="auto"/>
              </w:rPr>
              <w:t>Section 2.5</w:t>
            </w:r>
          </w:p>
        </w:tc>
        <w:tc>
          <w:tcPr>
            <w:tcW w:w="8780" w:type="dxa"/>
            <w:vAlign w:val="bottom"/>
          </w:tcPr>
          <w:p>
            <w:pPr>
              <w:ind w:left="360"/>
              <w:spacing w:after="0"/>
              <w:rPr>
                <w:sz w:val="20"/>
                <w:szCs w:val="20"/>
                <w:color w:val="auto"/>
              </w:rPr>
            </w:pPr>
            <w:r>
              <w:rPr>
                <w:rFonts w:ascii="Arial" w:cs="Arial" w:eastAsia="Arial" w:hAnsi="Arial"/>
                <w:sz w:val="18"/>
                <w:szCs w:val="18"/>
                <w:color w:val="auto"/>
              </w:rPr>
              <w:t>Paying Agent to Hold Money in Trust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660" w:type="dxa"/>
            <w:vAlign w:val="bottom"/>
          </w:tcPr>
          <w:p>
            <w:pPr>
              <w:ind w:left="400"/>
              <w:spacing w:after="0"/>
              <w:rPr>
                <w:sz w:val="20"/>
                <w:szCs w:val="20"/>
                <w:color w:val="auto"/>
              </w:rPr>
            </w:pPr>
            <w:r>
              <w:rPr>
                <w:rFonts w:ascii="Arial" w:cs="Arial" w:eastAsia="Arial" w:hAnsi="Arial"/>
                <w:sz w:val="18"/>
                <w:szCs w:val="18"/>
                <w:color w:val="auto"/>
              </w:rPr>
              <w:t>Section 2.6</w:t>
            </w:r>
          </w:p>
        </w:tc>
        <w:tc>
          <w:tcPr>
            <w:tcW w:w="8780" w:type="dxa"/>
            <w:vAlign w:val="bottom"/>
          </w:tcPr>
          <w:p>
            <w:pPr>
              <w:ind w:left="360"/>
              <w:spacing w:after="0"/>
              <w:rPr>
                <w:sz w:val="20"/>
                <w:szCs w:val="20"/>
                <w:color w:val="auto"/>
              </w:rPr>
            </w:pPr>
            <w:r>
              <w:rPr>
                <w:rFonts w:ascii="Arial" w:cs="Arial" w:eastAsia="Arial" w:hAnsi="Arial"/>
                <w:sz w:val="18"/>
                <w:szCs w:val="18"/>
                <w:color w:val="auto"/>
              </w:rPr>
              <w:t>Securityholder Lists</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660" w:type="dxa"/>
            <w:vAlign w:val="bottom"/>
          </w:tcPr>
          <w:p>
            <w:pPr>
              <w:ind w:left="400"/>
              <w:spacing w:after="0"/>
              <w:rPr>
                <w:sz w:val="20"/>
                <w:szCs w:val="20"/>
                <w:color w:val="auto"/>
              </w:rPr>
            </w:pPr>
            <w:r>
              <w:rPr>
                <w:rFonts w:ascii="Arial" w:cs="Arial" w:eastAsia="Arial" w:hAnsi="Arial"/>
                <w:sz w:val="18"/>
                <w:szCs w:val="18"/>
                <w:color w:val="auto"/>
              </w:rPr>
              <w:t>Section 2.7</w:t>
            </w:r>
          </w:p>
        </w:tc>
        <w:tc>
          <w:tcPr>
            <w:tcW w:w="8780" w:type="dxa"/>
            <w:vAlign w:val="bottom"/>
          </w:tcPr>
          <w:p>
            <w:pPr>
              <w:ind w:left="360"/>
              <w:spacing w:after="0"/>
              <w:rPr>
                <w:sz w:val="20"/>
                <w:szCs w:val="20"/>
                <w:color w:val="auto"/>
              </w:rPr>
            </w:pPr>
            <w:r>
              <w:rPr>
                <w:rFonts w:ascii="Arial" w:cs="Arial" w:eastAsia="Arial" w:hAnsi="Arial"/>
                <w:sz w:val="18"/>
                <w:szCs w:val="18"/>
                <w:color w:val="auto"/>
              </w:rPr>
              <w:t>Transfer and Exchange</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660" w:type="dxa"/>
            <w:vAlign w:val="bottom"/>
          </w:tcPr>
          <w:p>
            <w:pPr>
              <w:ind w:left="400"/>
              <w:spacing w:after="0"/>
              <w:rPr>
                <w:sz w:val="20"/>
                <w:szCs w:val="20"/>
                <w:color w:val="auto"/>
              </w:rPr>
            </w:pPr>
            <w:r>
              <w:rPr>
                <w:rFonts w:ascii="Arial" w:cs="Arial" w:eastAsia="Arial" w:hAnsi="Arial"/>
                <w:sz w:val="18"/>
                <w:szCs w:val="18"/>
                <w:color w:val="auto"/>
              </w:rPr>
              <w:t>Section 2.8</w:t>
            </w:r>
          </w:p>
        </w:tc>
        <w:tc>
          <w:tcPr>
            <w:tcW w:w="8780" w:type="dxa"/>
            <w:vAlign w:val="bottom"/>
          </w:tcPr>
          <w:p>
            <w:pPr>
              <w:ind w:left="360"/>
              <w:spacing w:after="0"/>
              <w:rPr>
                <w:sz w:val="20"/>
                <w:szCs w:val="20"/>
                <w:color w:val="auto"/>
              </w:rPr>
            </w:pPr>
            <w:r>
              <w:rPr>
                <w:rFonts w:ascii="Arial" w:cs="Arial" w:eastAsia="Arial" w:hAnsi="Arial"/>
                <w:sz w:val="18"/>
                <w:szCs w:val="18"/>
                <w:color w:val="auto"/>
              </w:rPr>
              <w:t>Mutilated, Destroyed, Lost and Stolen Securities</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660" w:type="dxa"/>
            <w:vAlign w:val="bottom"/>
          </w:tcPr>
          <w:p>
            <w:pPr>
              <w:ind w:left="400"/>
              <w:spacing w:after="0"/>
              <w:rPr>
                <w:sz w:val="20"/>
                <w:szCs w:val="20"/>
                <w:color w:val="auto"/>
              </w:rPr>
            </w:pPr>
            <w:r>
              <w:rPr>
                <w:rFonts w:ascii="Arial" w:cs="Arial" w:eastAsia="Arial" w:hAnsi="Arial"/>
                <w:sz w:val="18"/>
                <w:szCs w:val="18"/>
                <w:color w:val="auto"/>
              </w:rPr>
              <w:t>Section 2.9</w:t>
            </w:r>
          </w:p>
        </w:tc>
        <w:tc>
          <w:tcPr>
            <w:tcW w:w="8780" w:type="dxa"/>
            <w:vAlign w:val="bottom"/>
          </w:tcPr>
          <w:p>
            <w:pPr>
              <w:ind w:left="360"/>
              <w:spacing w:after="0"/>
              <w:rPr>
                <w:sz w:val="20"/>
                <w:szCs w:val="20"/>
                <w:color w:val="auto"/>
              </w:rPr>
            </w:pPr>
            <w:r>
              <w:rPr>
                <w:rFonts w:ascii="Arial" w:cs="Arial" w:eastAsia="Arial" w:hAnsi="Arial"/>
                <w:sz w:val="18"/>
                <w:szCs w:val="18"/>
                <w:color w:val="auto"/>
              </w:rPr>
              <w:t>Outstanding Securities</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660" w:type="dxa"/>
            <w:vAlign w:val="bottom"/>
          </w:tcPr>
          <w:p>
            <w:pPr>
              <w:ind w:left="400"/>
              <w:spacing w:after="0"/>
              <w:rPr>
                <w:sz w:val="20"/>
                <w:szCs w:val="20"/>
                <w:color w:val="auto"/>
              </w:rPr>
            </w:pPr>
            <w:r>
              <w:rPr>
                <w:rFonts w:ascii="Arial" w:cs="Arial" w:eastAsia="Arial" w:hAnsi="Arial"/>
                <w:sz w:val="18"/>
                <w:szCs w:val="18"/>
                <w:color w:val="auto"/>
              </w:rPr>
              <w:t>Section 2.10</w:t>
            </w:r>
          </w:p>
        </w:tc>
        <w:tc>
          <w:tcPr>
            <w:tcW w:w="8780" w:type="dxa"/>
            <w:vAlign w:val="bottom"/>
          </w:tcPr>
          <w:p>
            <w:pPr>
              <w:ind w:left="360"/>
              <w:spacing w:after="0"/>
              <w:rPr>
                <w:sz w:val="20"/>
                <w:szCs w:val="20"/>
                <w:color w:val="auto"/>
              </w:rPr>
            </w:pPr>
            <w:r>
              <w:rPr>
                <w:rFonts w:ascii="Arial" w:cs="Arial" w:eastAsia="Arial" w:hAnsi="Arial"/>
                <w:sz w:val="18"/>
                <w:szCs w:val="18"/>
                <w:color w:val="auto"/>
              </w:rPr>
              <w:t>Treasury Securities</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660" w:type="dxa"/>
            <w:vAlign w:val="bottom"/>
          </w:tcPr>
          <w:p>
            <w:pPr>
              <w:ind w:left="400"/>
              <w:spacing w:after="0"/>
              <w:rPr>
                <w:sz w:val="20"/>
                <w:szCs w:val="20"/>
                <w:color w:val="auto"/>
              </w:rPr>
            </w:pPr>
            <w:r>
              <w:rPr>
                <w:rFonts w:ascii="Arial" w:cs="Arial" w:eastAsia="Arial" w:hAnsi="Arial"/>
                <w:sz w:val="18"/>
                <w:szCs w:val="18"/>
                <w:color w:val="auto"/>
              </w:rPr>
              <w:t>Section 2.11</w:t>
            </w:r>
          </w:p>
        </w:tc>
        <w:tc>
          <w:tcPr>
            <w:tcW w:w="8780" w:type="dxa"/>
            <w:vAlign w:val="bottom"/>
          </w:tcPr>
          <w:p>
            <w:pPr>
              <w:ind w:left="360"/>
              <w:spacing w:after="0"/>
              <w:rPr>
                <w:sz w:val="20"/>
                <w:szCs w:val="20"/>
                <w:color w:val="auto"/>
              </w:rPr>
            </w:pPr>
            <w:r>
              <w:rPr>
                <w:rFonts w:ascii="Arial" w:cs="Arial" w:eastAsia="Arial" w:hAnsi="Arial"/>
                <w:sz w:val="18"/>
                <w:szCs w:val="18"/>
                <w:color w:val="auto"/>
              </w:rPr>
              <w:t>Temporary Securities</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660" w:type="dxa"/>
            <w:vAlign w:val="bottom"/>
          </w:tcPr>
          <w:p>
            <w:pPr>
              <w:ind w:left="400"/>
              <w:spacing w:after="0"/>
              <w:rPr>
                <w:sz w:val="20"/>
                <w:szCs w:val="20"/>
                <w:color w:val="auto"/>
              </w:rPr>
            </w:pPr>
            <w:r>
              <w:rPr>
                <w:rFonts w:ascii="Arial" w:cs="Arial" w:eastAsia="Arial" w:hAnsi="Arial"/>
                <w:sz w:val="18"/>
                <w:szCs w:val="18"/>
                <w:color w:val="auto"/>
              </w:rPr>
              <w:t>Section 2.12</w:t>
            </w:r>
          </w:p>
        </w:tc>
        <w:tc>
          <w:tcPr>
            <w:tcW w:w="8780" w:type="dxa"/>
            <w:vAlign w:val="bottom"/>
          </w:tcPr>
          <w:p>
            <w:pPr>
              <w:ind w:left="360"/>
              <w:spacing w:after="0"/>
              <w:rPr>
                <w:sz w:val="20"/>
                <w:szCs w:val="20"/>
                <w:color w:val="auto"/>
              </w:rPr>
            </w:pPr>
            <w:r>
              <w:rPr>
                <w:rFonts w:ascii="Arial" w:cs="Arial" w:eastAsia="Arial" w:hAnsi="Arial"/>
                <w:sz w:val="18"/>
                <w:szCs w:val="18"/>
                <w:color w:val="auto"/>
              </w:rPr>
              <w:t>Cancellation</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660" w:type="dxa"/>
            <w:vAlign w:val="bottom"/>
          </w:tcPr>
          <w:p>
            <w:pPr>
              <w:ind w:left="400"/>
              <w:spacing w:after="0"/>
              <w:rPr>
                <w:sz w:val="20"/>
                <w:szCs w:val="20"/>
                <w:color w:val="auto"/>
              </w:rPr>
            </w:pPr>
            <w:r>
              <w:rPr>
                <w:rFonts w:ascii="Arial" w:cs="Arial" w:eastAsia="Arial" w:hAnsi="Arial"/>
                <w:sz w:val="18"/>
                <w:szCs w:val="18"/>
                <w:color w:val="auto"/>
              </w:rPr>
              <w:t>Section 2.13</w:t>
            </w:r>
          </w:p>
        </w:tc>
        <w:tc>
          <w:tcPr>
            <w:tcW w:w="8780" w:type="dxa"/>
            <w:vAlign w:val="bottom"/>
          </w:tcPr>
          <w:p>
            <w:pPr>
              <w:ind w:left="360"/>
              <w:spacing w:after="0"/>
              <w:rPr>
                <w:sz w:val="20"/>
                <w:szCs w:val="20"/>
                <w:color w:val="auto"/>
              </w:rPr>
            </w:pPr>
            <w:r>
              <w:rPr>
                <w:rFonts w:ascii="Arial" w:cs="Arial" w:eastAsia="Arial" w:hAnsi="Arial"/>
                <w:sz w:val="18"/>
                <w:szCs w:val="18"/>
                <w:color w:val="auto"/>
              </w:rPr>
              <w:t>Defaulted Interest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660" w:type="dxa"/>
            <w:vAlign w:val="bottom"/>
          </w:tcPr>
          <w:p>
            <w:pPr>
              <w:ind w:left="400"/>
              <w:spacing w:after="0"/>
              <w:rPr>
                <w:sz w:val="20"/>
                <w:szCs w:val="20"/>
                <w:color w:val="auto"/>
              </w:rPr>
            </w:pPr>
            <w:r>
              <w:rPr>
                <w:rFonts w:ascii="Arial" w:cs="Arial" w:eastAsia="Arial" w:hAnsi="Arial"/>
                <w:sz w:val="18"/>
                <w:szCs w:val="18"/>
                <w:color w:val="auto"/>
              </w:rPr>
              <w:t>Section 2.14</w:t>
            </w:r>
          </w:p>
        </w:tc>
        <w:tc>
          <w:tcPr>
            <w:tcW w:w="8780" w:type="dxa"/>
            <w:vAlign w:val="bottom"/>
          </w:tcPr>
          <w:p>
            <w:pPr>
              <w:ind w:left="360"/>
              <w:spacing w:after="0"/>
              <w:rPr>
                <w:sz w:val="20"/>
                <w:szCs w:val="20"/>
                <w:color w:val="auto"/>
              </w:rPr>
            </w:pPr>
            <w:r>
              <w:rPr>
                <w:rFonts w:ascii="Arial" w:cs="Arial" w:eastAsia="Arial" w:hAnsi="Arial"/>
                <w:sz w:val="18"/>
                <w:szCs w:val="18"/>
                <w:color w:val="auto"/>
              </w:rPr>
              <w:t>Global Securities</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1660" w:type="dxa"/>
            <w:vAlign w:val="bottom"/>
          </w:tcPr>
          <w:p>
            <w:pPr>
              <w:ind w:left="400"/>
              <w:spacing w:after="0"/>
              <w:rPr>
                <w:sz w:val="20"/>
                <w:szCs w:val="20"/>
                <w:color w:val="auto"/>
              </w:rPr>
            </w:pPr>
            <w:r>
              <w:rPr>
                <w:rFonts w:ascii="Arial" w:cs="Arial" w:eastAsia="Arial" w:hAnsi="Arial"/>
                <w:sz w:val="18"/>
                <w:szCs w:val="18"/>
                <w:color w:val="auto"/>
              </w:rPr>
              <w:t>Section 2.15</w:t>
            </w:r>
          </w:p>
        </w:tc>
        <w:tc>
          <w:tcPr>
            <w:tcW w:w="8780" w:type="dxa"/>
            <w:vAlign w:val="bottom"/>
          </w:tcPr>
          <w:p>
            <w:pPr>
              <w:ind w:left="360"/>
              <w:spacing w:after="0"/>
              <w:rPr>
                <w:sz w:val="20"/>
                <w:szCs w:val="20"/>
                <w:color w:val="auto"/>
              </w:rPr>
            </w:pPr>
            <w:r>
              <w:rPr>
                <w:rFonts w:ascii="Arial" w:cs="Arial" w:eastAsia="Arial" w:hAnsi="Arial"/>
                <w:sz w:val="18"/>
                <w:szCs w:val="18"/>
                <w:color w:val="auto"/>
              </w:rPr>
              <w:t>CUSIP Numbers</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432"/>
        </w:trPr>
        <w:tc>
          <w:tcPr>
            <w:tcW w:w="10440" w:type="dxa"/>
            <w:vAlign w:val="bottom"/>
            <w:gridSpan w:val="2"/>
          </w:tcPr>
          <w:p>
            <w:pPr>
              <w:spacing w:after="0"/>
              <w:rPr>
                <w:sz w:val="20"/>
                <w:szCs w:val="20"/>
                <w:color w:val="auto"/>
              </w:rPr>
            </w:pPr>
            <w:r>
              <w:rPr>
                <w:rFonts w:ascii="Arial" w:cs="Arial" w:eastAsia="Arial" w:hAnsi="Arial"/>
                <w:sz w:val="18"/>
                <w:szCs w:val="18"/>
                <w:color w:val="auto"/>
              </w:rPr>
              <w:t>ARTICLE III REDEMPTION</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418"/>
        </w:trPr>
        <w:tc>
          <w:tcPr>
            <w:tcW w:w="1660" w:type="dxa"/>
            <w:vAlign w:val="bottom"/>
          </w:tcPr>
          <w:p>
            <w:pPr>
              <w:ind w:left="400"/>
              <w:spacing w:after="0"/>
              <w:rPr>
                <w:sz w:val="20"/>
                <w:szCs w:val="20"/>
                <w:color w:val="auto"/>
              </w:rPr>
            </w:pPr>
            <w:r>
              <w:rPr>
                <w:rFonts w:ascii="Arial" w:cs="Arial" w:eastAsia="Arial" w:hAnsi="Arial"/>
                <w:sz w:val="18"/>
                <w:szCs w:val="18"/>
                <w:color w:val="auto"/>
              </w:rPr>
              <w:t>Section 3.1</w:t>
            </w:r>
          </w:p>
        </w:tc>
        <w:tc>
          <w:tcPr>
            <w:tcW w:w="8780" w:type="dxa"/>
            <w:vAlign w:val="bottom"/>
          </w:tcPr>
          <w:p>
            <w:pPr>
              <w:ind w:left="360"/>
              <w:spacing w:after="0"/>
              <w:rPr>
                <w:sz w:val="20"/>
                <w:szCs w:val="20"/>
                <w:color w:val="auto"/>
              </w:rPr>
            </w:pPr>
            <w:r>
              <w:rPr>
                <w:rFonts w:ascii="Arial" w:cs="Arial" w:eastAsia="Arial" w:hAnsi="Arial"/>
                <w:sz w:val="18"/>
                <w:szCs w:val="18"/>
                <w:color w:val="auto"/>
              </w:rPr>
              <w:t>Notice to Trustee</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660" w:type="dxa"/>
            <w:vAlign w:val="bottom"/>
          </w:tcPr>
          <w:p>
            <w:pPr>
              <w:ind w:left="400"/>
              <w:spacing w:after="0"/>
              <w:rPr>
                <w:sz w:val="20"/>
                <w:szCs w:val="20"/>
                <w:color w:val="auto"/>
              </w:rPr>
            </w:pPr>
            <w:r>
              <w:rPr>
                <w:rFonts w:ascii="Arial" w:cs="Arial" w:eastAsia="Arial" w:hAnsi="Arial"/>
                <w:sz w:val="18"/>
                <w:szCs w:val="18"/>
                <w:color w:val="auto"/>
              </w:rPr>
              <w:t>Section 3.2</w:t>
            </w:r>
          </w:p>
        </w:tc>
        <w:tc>
          <w:tcPr>
            <w:tcW w:w="8780" w:type="dxa"/>
            <w:vAlign w:val="bottom"/>
          </w:tcPr>
          <w:p>
            <w:pPr>
              <w:ind w:left="360"/>
              <w:spacing w:after="0"/>
              <w:rPr>
                <w:sz w:val="20"/>
                <w:szCs w:val="20"/>
                <w:color w:val="auto"/>
              </w:rPr>
            </w:pPr>
            <w:r>
              <w:rPr>
                <w:rFonts w:ascii="Arial" w:cs="Arial" w:eastAsia="Arial" w:hAnsi="Arial"/>
                <w:sz w:val="18"/>
                <w:szCs w:val="18"/>
                <w:color w:val="auto"/>
              </w:rPr>
              <w:t>Selection of Securities to be Redeemed</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660" w:type="dxa"/>
            <w:vAlign w:val="bottom"/>
          </w:tcPr>
          <w:p>
            <w:pPr>
              <w:ind w:left="400"/>
              <w:spacing w:after="0"/>
              <w:rPr>
                <w:sz w:val="20"/>
                <w:szCs w:val="20"/>
                <w:color w:val="auto"/>
              </w:rPr>
            </w:pPr>
            <w:r>
              <w:rPr>
                <w:rFonts w:ascii="Arial" w:cs="Arial" w:eastAsia="Arial" w:hAnsi="Arial"/>
                <w:sz w:val="18"/>
                <w:szCs w:val="18"/>
                <w:color w:val="auto"/>
              </w:rPr>
              <w:t>Section 3.3</w:t>
            </w:r>
          </w:p>
        </w:tc>
        <w:tc>
          <w:tcPr>
            <w:tcW w:w="8780" w:type="dxa"/>
            <w:vAlign w:val="bottom"/>
          </w:tcPr>
          <w:p>
            <w:pPr>
              <w:ind w:left="360"/>
              <w:spacing w:after="0"/>
              <w:rPr>
                <w:sz w:val="20"/>
                <w:szCs w:val="20"/>
                <w:color w:val="auto"/>
              </w:rPr>
            </w:pPr>
            <w:r>
              <w:rPr>
                <w:rFonts w:ascii="Arial" w:cs="Arial" w:eastAsia="Arial" w:hAnsi="Arial"/>
                <w:sz w:val="18"/>
                <w:szCs w:val="18"/>
                <w:color w:val="auto"/>
              </w:rPr>
              <w:t>Notice of Redemption</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660" w:type="dxa"/>
            <w:vAlign w:val="bottom"/>
          </w:tcPr>
          <w:p>
            <w:pPr>
              <w:ind w:left="400"/>
              <w:spacing w:after="0"/>
              <w:rPr>
                <w:sz w:val="20"/>
                <w:szCs w:val="20"/>
                <w:color w:val="auto"/>
              </w:rPr>
            </w:pPr>
            <w:r>
              <w:rPr>
                <w:rFonts w:ascii="Arial" w:cs="Arial" w:eastAsia="Arial" w:hAnsi="Arial"/>
                <w:sz w:val="18"/>
                <w:szCs w:val="18"/>
                <w:color w:val="auto"/>
              </w:rPr>
              <w:t>Section 3.4</w:t>
            </w:r>
          </w:p>
        </w:tc>
        <w:tc>
          <w:tcPr>
            <w:tcW w:w="8780" w:type="dxa"/>
            <w:vAlign w:val="bottom"/>
          </w:tcPr>
          <w:p>
            <w:pPr>
              <w:ind w:left="360"/>
              <w:spacing w:after="0"/>
              <w:rPr>
                <w:sz w:val="20"/>
                <w:szCs w:val="20"/>
                <w:color w:val="auto"/>
              </w:rPr>
            </w:pPr>
            <w:r>
              <w:rPr>
                <w:rFonts w:ascii="Arial" w:cs="Arial" w:eastAsia="Arial" w:hAnsi="Arial"/>
                <w:sz w:val="18"/>
                <w:szCs w:val="18"/>
                <w:color w:val="auto"/>
              </w:rPr>
              <w:t>Effect of Notice of Redemption</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1660" w:type="dxa"/>
            <w:vAlign w:val="bottom"/>
          </w:tcPr>
          <w:p>
            <w:pPr>
              <w:ind w:left="400"/>
              <w:spacing w:after="0"/>
              <w:rPr>
                <w:sz w:val="20"/>
                <w:szCs w:val="20"/>
                <w:color w:val="auto"/>
              </w:rPr>
            </w:pPr>
            <w:r>
              <w:rPr>
                <w:rFonts w:ascii="Arial" w:cs="Arial" w:eastAsia="Arial" w:hAnsi="Arial"/>
                <w:sz w:val="18"/>
                <w:szCs w:val="18"/>
                <w:color w:val="auto"/>
              </w:rPr>
              <w:t>Section 3.5</w:t>
            </w:r>
          </w:p>
        </w:tc>
        <w:tc>
          <w:tcPr>
            <w:tcW w:w="8780" w:type="dxa"/>
            <w:vAlign w:val="bottom"/>
          </w:tcPr>
          <w:p>
            <w:pPr>
              <w:ind w:left="360"/>
              <w:spacing w:after="0"/>
              <w:rPr>
                <w:sz w:val="20"/>
                <w:szCs w:val="20"/>
                <w:color w:val="auto"/>
              </w:rPr>
            </w:pPr>
            <w:r>
              <w:rPr>
                <w:rFonts w:ascii="Arial" w:cs="Arial" w:eastAsia="Arial" w:hAnsi="Arial"/>
                <w:sz w:val="18"/>
                <w:szCs w:val="18"/>
                <w:color w:val="auto"/>
              </w:rPr>
              <w:t>Deposit of Redemption Price</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1660" w:type="dxa"/>
            <w:vAlign w:val="bottom"/>
          </w:tcPr>
          <w:p>
            <w:pPr>
              <w:ind w:left="400"/>
              <w:spacing w:after="0"/>
              <w:rPr>
                <w:sz w:val="20"/>
                <w:szCs w:val="20"/>
                <w:color w:val="auto"/>
              </w:rPr>
            </w:pPr>
            <w:r>
              <w:rPr>
                <w:rFonts w:ascii="Arial" w:cs="Arial" w:eastAsia="Arial" w:hAnsi="Arial"/>
                <w:sz w:val="18"/>
                <w:szCs w:val="18"/>
                <w:color w:val="auto"/>
              </w:rPr>
              <w:t>Section 3.6</w:t>
            </w:r>
          </w:p>
        </w:tc>
        <w:tc>
          <w:tcPr>
            <w:tcW w:w="8780" w:type="dxa"/>
            <w:vAlign w:val="bottom"/>
          </w:tcPr>
          <w:p>
            <w:pPr>
              <w:ind w:left="360"/>
              <w:spacing w:after="0"/>
              <w:rPr>
                <w:sz w:val="20"/>
                <w:szCs w:val="20"/>
                <w:color w:val="auto"/>
              </w:rPr>
            </w:pPr>
            <w:r>
              <w:rPr>
                <w:rFonts w:ascii="Arial" w:cs="Arial" w:eastAsia="Arial" w:hAnsi="Arial"/>
                <w:sz w:val="18"/>
                <w:szCs w:val="18"/>
                <w:color w:val="auto"/>
              </w:rPr>
              <w:t>Securities Redeemed in Part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432"/>
        </w:trPr>
        <w:tc>
          <w:tcPr>
            <w:tcW w:w="10440" w:type="dxa"/>
            <w:vAlign w:val="bottom"/>
            <w:gridSpan w:val="2"/>
          </w:tcPr>
          <w:p>
            <w:pPr>
              <w:spacing w:after="0"/>
              <w:rPr>
                <w:sz w:val="20"/>
                <w:szCs w:val="20"/>
                <w:color w:val="auto"/>
              </w:rPr>
            </w:pPr>
            <w:r>
              <w:rPr>
                <w:rFonts w:ascii="Arial" w:cs="Arial" w:eastAsia="Arial" w:hAnsi="Arial"/>
                <w:sz w:val="18"/>
                <w:szCs w:val="18"/>
                <w:color w:val="auto"/>
              </w:rPr>
              <w:t>ARTICLE IV COVENANTS</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418"/>
        </w:trPr>
        <w:tc>
          <w:tcPr>
            <w:tcW w:w="1660" w:type="dxa"/>
            <w:vAlign w:val="bottom"/>
          </w:tcPr>
          <w:p>
            <w:pPr>
              <w:ind w:left="400"/>
              <w:spacing w:after="0"/>
              <w:rPr>
                <w:sz w:val="20"/>
                <w:szCs w:val="20"/>
                <w:color w:val="auto"/>
              </w:rPr>
            </w:pPr>
            <w:r>
              <w:rPr>
                <w:rFonts w:ascii="Arial" w:cs="Arial" w:eastAsia="Arial" w:hAnsi="Arial"/>
                <w:sz w:val="18"/>
                <w:szCs w:val="18"/>
                <w:color w:val="auto"/>
              </w:rPr>
              <w:t>Section 4.1</w:t>
            </w:r>
          </w:p>
        </w:tc>
        <w:tc>
          <w:tcPr>
            <w:tcW w:w="8780" w:type="dxa"/>
            <w:vAlign w:val="bottom"/>
          </w:tcPr>
          <w:p>
            <w:pPr>
              <w:ind w:left="360"/>
              <w:spacing w:after="0"/>
              <w:rPr>
                <w:sz w:val="20"/>
                <w:szCs w:val="20"/>
                <w:color w:val="auto"/>
              </w:rPr>
            </w:pPr>
            <w:r>
              <w:rPr>
                <w:rFonts w:ascii="Arial" w:cs="Arial" w:eastAsia="Arial" w:hAnsi="Arial"/>
                <w:sz w:val="18"/>
                <w:szCs w:val="18"/>
                <w:color w:val="auto"/>
              </w:rPr>
              <w:t>Payment of Principal and Interest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660" w:type="dxa"/>
            <w:vAlign w:val="bottom"/>
          </w:tcPr>
          <w:p>
            <w:pPr>
              <w:ind w:left="400"/>
              <w:spacing w:after="0"/>
              <w:rPr>
                <w:sz w:val="20"/>
                <w:szCs w:val="20"/>
                <w:color w:val="auto"/>
              </w:rPr>
            </w:pPr>
            <w:r>
              <w:rPr>
                <w:rFonts w:ascii="Arial" w:cs="Arial" w:eastAsia="Arial" w:hAnsi="Arial"/>
                <w:sz w:val="18"/>
                <w:szCs w:val="18"/>
                <w:color w:val="auto"/>
              </w:rPr>
              <w:t>Section 4.2</w:t>
            </w:r>
          </w:p>
        </w:tc>
        <w:tc>
          <w:tcPr>
            <w:tcW w:w="8780" w:type="dxa"/>
            <w:vAlign w:val="bottom"/>
          </w:tcPr>
          <w:p>
            <w:pPr>
              <w:ind w:left="360"/>
              <w:spacing w:after="0"/>
              <w:rPr>
                <w:sz w:val="20"/>
                <w:szCs w:val="20"/>
                <w:color w:val="auto"/>
              </w:rPr>
            </w:pPr>
            <w:r>
              <w:rPr>
                <w:rFonts w:ascii="Arial" w:cs="Arial" w:eastAsia="Arial" w:hAnsi="Arial"/>
                <w:sz w:val="18"/>
                <w:szCs w:val="18"/>
                <w:color w:val="auto"/>
              </w:rPr>
              <w:t>SEC Reports</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660" w:type="dxa"/>
            <w:vAlign w:val="bottom"/>
          </w:tcPr>
          <w:p>
            <w:pPr>
              <w:ind w:left="400"/>
              <w:spacing w:after="0"/>
              <w:rPr>
                <w:sz w:val="20"/>
                <w:szCs w:val="20"/>
                <w:color w:val="auto"/>
              </w:rPr>
            </w:pPr>
            <w:r>
              <w:rPr>
                <w:rFonts w:ascii="Arial" w:cs="Arial" w:eastAsia="Arial" w:hAnsi="Arial"/>
                <w:sz w:val="18"/>
                <w:szCs w:val="18"/>
                <w:color w:val="auto"/>
              </w:rPr>
              <w:t>Section 4.3</w:t>
            </w:r>
          </w:p>
        </w:tc>
        <w:tc>
          <w:tcPr>
            <w:tcW w:w="8780" w:type="dxa"/>
            <w:vAlign w:val="bottom"/>
          </w:tcPr>
          <w:p>
            <w:pPr>
              <w:ind w:left="360"/>
              <w:spacing w:after="0"/>
              <w:rPr>
                <w:sz w:val="20"/>
                <w:szCs w:val="20"/>
                <w:color w:val="auto"/>
              </w:rPr>
            </w:pPr>
            <w:r>
              <w:rPr>
                <w:rFonts w:ascii="Arial" w:cs="Arial" w:eastAsia="Arial" w:hAnsi="Arial"/>
                <w:sz w:val="18"/>
                <w:szCs w:val="18"/>
                <w:color w:val="auto"/>
              </w:rPr>
              <w:t>Compliance Certificate</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1660" w:type="dxa"/>
            <w:vAlign w:val="bottom"/>
          </w:tcPr>
          <w:p>
            <w:pPr>
              <w:ind w:left="400"/>
              <w:spacing w:after="0"/>
              <w:rPr>
                <w:sz w:val="20"/>
                <w:szCs w:val="20"/>
                <w:color w:val="auto"/>
              </w:rPr>
            </w:pPr>
            <w:r>
              <w:rPr>
                <w:rFonts w:ascii="Arial" w:cs="Arial" w:eastAsia="Arial" w:hAnsi="Arial"/>
                <w:sz w:val="18"/>
                <w:szCs w:val="18"/>
                <w:color w:val="auto"/>
              </w:rPr>
              <w:t>Section 4.4</w:t>
            </w:r>
          </w:p>
        </w:tc>
        <w:tc>
          <w:tcPr>
            <w:tcW w:w="8780" w:type="dxa"/>
            <w:vAlign w:val="bottom"/>
          </w:tcPr>
          <w:p>
            <w:pPr>
              <w:ind w:left="360"/>
              <w:spacing w:after="0"/>
              <w:rPr>
                <w:sz w:val="20"/>
                <w:szCs w:val="20"/>
                <w:color w:val="auto"/>
              </w:rPr>
            </w:pPr>
            <w:r>
              <w:rPr>
                <w:rFonts w:ascii="Arial" w:cs="Arial" w:eastAsia="Arial" w:hAnsi="Arial"/>
                <w:sz w:val="18"/>
                <w:szCs w:val="18"/>
                <w:color w:val="auto"/>
              </w:rPr>
              <w:t>Stay, Extension and Usury Laws</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432"/>
        </w:trPr>
        <w:tc>
          <w:tcPr>
            <w:tcW w:w="10440" w:type="dxa"/>
            <w:vAlign w:val="bottom"/>
            <w:gridSpan w:val="2"/>
          </w:tcPr>
          <w:p>
            <w:pPr>
              <w:spacing w:after="0"/>
              <w:rPr>
                <w:sz w:val="20"/>
                <w:szCs w:val="20"/>
                <w:color w:val="auto"/>
              </w:rPr>
            </w:pPr>
            <w:r>
              <w:rPr>
                <w:rFonts w:ascii="Arial" w:cs="Arial" w:eastAsia="Arial" w:hAnsi="Arial"/>
                <w:sz w:val="18"/>
                <w:szCs w:val="18"/>
                <w:color w:val="auto"/>
              </w:rPr>
              <w:t>ARTICLE V SUCCESSORS</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418"/>
        </w:trPr>
        <w:tc>
          <w:tcPr>
            <w:tcW w:w="1660" w:type="dxa"/>
            <w:vAlign w:val="bottom"/>
          </w:tcPr>
          <w:p>
            <w:pPr>
              <w:ind w:left="400"/>
              <w:spacing w:after="0"/>
              <w:rPr>
                <w:sz w:val="20"/>
                <w:szCs w:val="20"/>
                <w:color w:val="auto"/>
              </w:rPr>
            </w:pPr>
            <w:r>
              <w:rPr>
                <w:rFonts w:ascii="Arial" w:cs="Arial" w:eastAsia="Arial" w:hAnsi="Arial"/>
                <w:sz w:val="18"/>
                <w:szCs w:val="18"/>
                <w:color w:val="auto"/>
              </w:rPr>
              <w:t>Section 5.1</w:t>
            </w:r>
          </w:p>
        </w:tc>
        <w:tc>
          <w:tcPr>
            <w:tcW w:w="8780" w:type="dxa"/>
            <w:vAlign w:val="bottom"/>
          </w:tcPr>
          <w:p>
            <w:pPr>
              <w:ind w:left="360"/>
              <w:spacing w:after="0"/>
              <w:rPr>
                <w:sz w:val="20"/>
                <w:szCs w:val="20"/>
                <w:color w:val="auto"/>
              </w:rPr>
            </w:pPr>
            <w:r>
              <w:rPr>
                <w:rFonts w:ascii="Arial" w:cs="Arial" w:eastAsia="Arial" w:hAnsi="Arial"/>
                <w:sz w:val="18"/>
                <w:szCs w:val="18"/>
                <w:color w:val="auto"/>
              </w:rPr>
              <w:t>When Company May Merge, Etc.</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1660" w:type="dxa"/>
            <w:vAlign w:val="bottom"/>
          </w:tcPr>
          <w:p>
            <w:pPr>
              <w:ind w:left="400"/>
              <w:spacing w:after="0"/>
              <w:rPr>
                <w:sz w:val="20"/>
                <w:szCs w:val="20"/>
                <w:color w:val="auto"/>
              </w:rPr>
            </w:pPr>
            <w:r>
              <w:rPr>
                <w:rFonts w:ascii="Arial" w:cs="Arial" w:eastAsia="Arial" w:hAnsi="Arial"/>
                <w:sz w:val="18"/>
                <w:szCs w:val="18"/>
                <w:color w:val="auto"/>
              </w:rPr>
              <w:t>Section 5.2</w:t>
            </w:r>
          </w:p>
        </w:tc>
        <w:tc>
          <w:tcPr>
            <w:tcW w:w="8780" w:type="dxa"/>
            <w:vAlign w:val="bottom"/>
          </w:tcPr>
          <w:p>
            <w:pPr>
              <w:ind w:left="360"/>
              <w:spacing w:after="0"/>
              <w:rPr>
                <w:sz w:val="20"/>
                <w:szCs w:val="20"/>
                <w:color w:val="auto"/>
              </w:rPr>
            </w:pPr>
            <w:r>
              <w:rPr>
                <w:rFonts w:ascii="Arial" w:cs="Arial" w:eastAsia="Arial" w:hAnsi="Arial"/>
                <w:sz w:val="18"/>
                <w:szCs w:val="18"/>
                <w:color w:val="auto"/>
              </w:rPr>
              <w:t>Successor Corporation Substituted</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46" w:gutter="0" w:footer="0" w:header="0"/>
        </w:sectPr>
      </w:pPr>
    </w:p>
    <w:bookmarkStart w:id="23" w:name="page24"/>
    <w:bookmarkEnd w:id="23"/>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(Continued)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440" w:type="dxa"/>
            <w:vAlign w:val="bottom"/>
            <w:gridSpan w:val="2"/>
            <w:vMerge w:val="restart"/>
          </w:tcPr>
          <w:p>
            <w:pPr>
              <w:spacing w:after="0"/>
              <w:rPr>
                <w:sz w:val="20"/>
                <w:szCs w:val="20"/>
                <w:color w:val="auto"/>
              </w:rPr>
            </w:pPr>
            <w:r>
              <w:rPr>
                <w:rFonts w:ascii="Arial" w:cs="Arial" w:eastAsia="Arial" w:hAnsi="Arial"/>
                <w:sz w:val="18"/>
                <w:szCs w:val="18"/>
                <w:color w:val="auto"/>
              </w:rPr>
              <w:t>ARTICLE VI DEFAULTS AND REMEDIES</w:t>
            </w:r>
          </w:p>
        </w:tc>
        <w:tc>
          <w:tcPr>
            <w:tcW w:w="10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24"/>
        </w:trPr>
        <w:tc>
          <w:tcPr>
            <w:tcW w:w="10440" w:type="dxa"/>
            <w:vAlign w:val="bottom"/>
            <w:gridSpan w:val="2"/>
            <w:vMerge w:val="continue"/>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1960" w:type="dxa"/>
            <w:vAlign w:val="bottom"/>
          </w:tcPr>
          <w:p>
            <w:pPr>
              <w:ind w:left="400"/>
              <w:spacing w:after="0"/>
              <w:rPr>
                <w:sz w:val="20"/>
                <w:szCs w:val="20"/>
                <w:color w:val="auto"/>
              </w:rPr>
            </w:pPr>
            <w:r>
              <w:rPr>
                <w:rFonts w:ascii="Arial" w:cs="Arial" w:eastAsia="Arial" w:hAnsi="Arial"/>
                <w:sz w:val="18"/>
                <w:szCs w:val="18"/>
                <w:color w:val="auto"/>
              </w:rPr>
              <w:t>Section 6.1</w:t>
            </w:r>
          </w:p>
        </w:tc>
        <w:tc>
          <w:tcPr>
            <w:tcW w:w="8480" w:type="dxa"/>
            <w:vAlign w:val="bottom"/>
          </w:tcPr>
          <w:p>
            <w:pPr>
              <w:ind w:left="60"/>
              <w:spacing w:after="0"/>
              <w:rPr>
                <w:sz w:val="20"/>
                <w:szCs w:val="20"/>
                <w:color w:val="auto"/>
              </w:rPr>
            </w:pPr>
            <w:r>
              <w:rPr>
                <w:rFonts w:ascii="Arial" w:cs="Arial" w:eastAsia="Arial" w:hAnsi="Arial"/>
                <w:sz w:val="18"/>
                <w:szCs w:val="18"/>
                <w:color w:val="auto"/>
              </w:rPr>
              <w:t>Events of Default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1960" w:type="dxa"/>
            <w:vAlign w:val="bottom"/>
          </w:tcPr>
          <w:p>
            <w:pPr>
              <w:ind w:left="400"/>
              <w:spacing w:after="0"/>
              <w:rPr>
                <w:sz w:val="20"/>
                <w:szCs w:val="20"/>
                <w:color w:val="auto"/>
              </w:rPr>
            </w:pPr>
            <w:r>
              <w:rPr>
                <w:rFonts w:ascii="Arial" w:cs="Arial" w:eastAsia="Arial" w:hAnsi="Arial"/>
                <w:sz w:val="18"/>
                <w:szCs w:val="18"/>
                <w:color w:val="auto"/>
              </w:rPr>
              <w:t>Section 6.2</w:t>
            </w:r>
          </w:p>
        </w:tc>
        <w:tc>
          <w:tcPr>
            <w:tcW w:w="8480" w:type="dxa"/>
            <w:vAlign w:val="bottom"/>
          </w:tcPr>
          <w:p>
            <w:pPr>
              <w:ind w:left="60"/>
              <w:spacing w:after="0"/>
              <w:rPr>
                <w:sz w:val="20"/>
                <w:szCs w:val="20"/>
                <w:color w:val="auto"/>
              </w:rPr>
            </w:pPr>
            <w:r>
              <w:rPr>
                <w:rFonts w:ascii="Arial" w:cs="Arial" w:eastAsia="Arial" w:hAnsi="Arial"/>
                <w:sz w:val="18"/>
                <w:szCs w:val="18"/>
                <w:color w:val="auto"/>
              </w:rPr>
              <w:t>Acceleration of Maturity; Rescission and Annulment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1960" w:type="dxa"/>
            <w:vAlign w:val="bottom"/>
          </w:tcPr>
          <w:p>
            <w:pPr>
              <w:ind w:left="400"/>
              <w:spacing w:after="0"/>
              <w:rPr>
                <w:sz w:val="20"/>
                <w:szCs w:val="20"/>
                <w:color w:val="auto"/>
              </w:rPr>
            </w:pPr>
            <w:r>
              <w:rPr>
                <w:rFonts w:ascii="Arial" w:cs="Arial" w:eastAsia="Arial" w:hAnsi="Arial"/>
                <w:sz w:val="18"/>
                <w:szCs w:val="18"/>
                <w:color w:val="auto"/>
              </w:rPr>
              <w:t>Section 6.3</w:t>
            </w:r>
          </w:p>
        </w:tc>
        <w:tc>
          <w:tcPr>
            <w:tcW w:w="8480" w:type="dxa"/>
            <w:vAlign w:val="bottom"/>
          </w:tcPr>
          <w:p>
            <w:pPr>
              <w:ind w:left="60"/>
              <w:spacing w:after="0"/>
              <w:rPr>
                <w:sz w:val="20"/>
                <w:szCs w:val="20"/>
                <w:color w:val="auto"/>
              </w:rPr>
            </w:pPr>
            <w:r>
              <w:rPr>
                <w:rFonts w:ascii="Arial" w:cs="Arial" w:eastAsia="Arial" w:hAnsi="Arial"/>
                <w:sz w:val="18"/>
                <w:szCs w:val="18"/>
                <w:color w:val="auto"/>
              </w:rPr>
              <w:t>Collection of Indebtedness and Suits for Enforcement by Trustee</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1960" w:type="dxa"/>
            <w:vAlign w:val="bottom"/>
          </w:tcPr>
          <w:p>
            <w:pPr>
              <w:ind w:left="400"/>
              <w:spacing w:after="0"/>
              <w:rPr>
                <w:sz w:val="20"/>
                <w:szCs w:val="20"/>
                <w:color w:val="auto"/>
              </w:rPr>
            </w:pPr>
            <w:r>
              <w:rPr>
                <w:rFonts w:ascii="Arial" w:cs="Arial" w:eastAsia="Arial" w:hAnsi="Arial"/>
                <w:sz w:val="18"/>
                <w:szCs w:val="18"/>
                <w:color w:val="auto"/>
              </w:rPr>
              <w:t>Section 6.4</w:t>
            </w:r>
          </w:p>
        </w:tc>
        <w:tc>
          <w:tcPr>
            <w:tcW w:w="8480" w:type="dxa"/>
            <w:vAlign w:val="bottom"/>
          </w:tcPr>
          <w:p>
            <w:pPr>
              <w:ind w:left="60"/>
              <w:spacing w:after="0"/>
              <w:rPr>
                <w:sz w:val="20"/>
                <w:szCs w:val="20"/>
                <w:color w:val="auto"/>
              </w:rPr>
            </w:pPr>
            <w:r>
              <w:rPr>
                <w:rFonts w:ascii="Arial" w:cs="Arial" w:eastAsia="Arial" w:hAnsi="Arial"/>
                <w:sz w:val="18"/>
                <w:szCs w:val="18"/>
                <w:color w:val="auto"/>
              </w:rPr>
              <w:t>Trustee May File Proofs of Claim</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1960" w:type="dxa"/>
            <w:vAlign w:val="bottom"/>
          </w:tcPr>
          <w:p>
            <w:pPr>
              <w:ind w:left="400"/>
              <w:spacing w:after="0"/>
              <w:rPr>
                <w:sz w:val="20"/>
                <w:szCs w:val="20"/>
                <w:color w:val="auto"/>
              </w:rPr>
            </w:pPr>
            <w:r>
              <w:rPr>
                <w:rFonts w:ascii="Arial" w:cs="Arial" w:eastAsia="Arial" w:hAnsi="Arial"/>
                <w:sz w:val="18"/>
                <w:szCs w:val="18"/>
                <w:color w:val="auto"/>
              </w:rPr>
              <w:t>Section 6.5</w:t>
            </w:r>
          </w:p>
        </w:tc>
        <w:tc>
          <w:tcPr>
            <w:tcW w:w="8480" w:type="dxa"/>
            <w:vAlign w:val="bottom"/>
          </w:tcPr>
          <w:p>
            <w:pPr>
              <w:ind w:left="60"/>
              <w:spacing w:after="0"/>
              <w:rPr>
                <w:sz w:val="20"/>
                <w:szCs w:val="20"/>
                <w:color w:val="auto"/>
              </w:rPr>
            </w:pPr>
            <w:r>
              <w:rPr>
                <w:rFonts w:ascii="Arial" w:cs="Arial" w:eastAsia="Arial" w:hAnsi="Arial"/>
                <w:sz w:val="18"/>
                <w:szCs w:val="18"/>
                <w:color w:val="auto"/>
              </w:rPr>
              <w:t>Trustee May Enforce Claims Without Possession of Securities</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1960" w:type="dxa"/>
            <w:vAlign w:val="bottom"/>
          </w:tcPr>
          <w:p>
            <w:pPr>
              <w:ind w:left="400"/>
              <w:spacing w:after="0"/>
              <w:rPr>
                <w:sz w:val="20"/>
                <w:szCs w:val="20"/>
                <w:color w:val="auto"/>
              </w:rPr>
            </w:pPr>
            <w:r>
              <w:rPr>
                <w:rFonts w:ascii="Arial" w:cs="Arial" w:eastAsia="Arial" w:hAnsi="Arial"/>
                <w:sz w:val="18"/>
                <w:szCs w:val="18"/>
                <w:color w:val="auto"/>
              </w:rPr>
              <w:t>Section 6.6</w:t>
            </w:r>
          </w:p>
        </w:tc>
        <w:tc>
          <w:tcPr>
            <w:tcW w:w="8480" w:type="dxa"/>
            <w:vAlign w:val="bottom"/>
          </w:tcPr>
          <w:p>
            <w:pPr>
              <w:ind w:left="60"/>
              <w:spacing w:after="0"/>
              <w:rPr>
                <w:sz w:val="20"/>
                <w:szCs w:val="20"/>
                <w:color w:val="auto"/>
              </w:rPr>
            </w:pPr>
            <w:r>
              <w:rPr>
                <w:rFonts w:ascii="Arial" w:cs="Arial" w:eastAsia="Arial" w:hAnsi="Arial"/>
                <w:sz w:val="18"/>
                <w:szCs w:val="18"/>
                <w:color w:val="auto"/>
              </w:rPr>
              <w:t>Application of Money Collected</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1960" w:type="dxa"/>
            <w:vAlign w:val="bottom"/>
          </w:tcPr>
          <w:p>
            <w:pPr>
              <w:ind w:left="400"/>
              <w:spacing w:after="0"/>
              <w:rPr>
                <w:sz w:val="20"/>
                <w:szCs w:val="20"/>
                <w:color w:val="auto"/>
              </w:rPr>
            </w:pPr>
            <w:r>
              <w:rPr>
                <w:rFonts w:ascii="Arial" w:cs="Arial" w:eastAsia="Arial" w:hAnsi="Arial"/>
                <w:sz w:val="18"/>
                <w:szCs w:val="18"/>
                <w:color w:val="auto"/>
              </w:rPr>
              <w:t>Section 6.7</w:t>
            </w:r>
          </w:p>
        </w:tc>
        <w:tc>
          <w:tcPr>
            <w:tcW w:w="8480" w:type="dxa"/>
            <w:vAlign w:val="bottom"/>
          </w:tcPr>
          <w:p>
            <w:pPr>
              <w:ind w:left="60"/>
              <w:spacing w:after="0"/>
              <w:rPr>
                <w:sz w:val="20"/>
                <w:szCs w:val="20"/>
                <w:color w:val="auto"/>
              </w:rPr>
            </w:pPr>
            <w:r>
              <w:rPr>
                <w:rFonts w:ascii="Arial" w:cs="Arial" w:eastAsia="Arial" w:hAnsi="Arial"/>
                <w:sz w:val="18"/>
                <w:szCs w:val="18"/>
                <w:color w:val="auto"/>
              </w:rPr>
              <w:t>Limitation on Suits</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960" w:type="dxa"/>
            <w:vAlign w:val="bottom"/>
          </w:tcPr>
          <w:p>
            <w:pPr>
              <w:ind w:left="400"/>
              <w:spacing w:after="0"/>
              <w:rPr>
                <w:sz w:val="20"/>
                <w:szCs w:val="20"/>
                <w:color w:val="auto"/>
              </w:rPr>
            </w:pPr>
            <w:r>
              <w:rPr>
                <w:rFonts w:ascii="Arial" w:cs="Arial" w:eastAsia="Arial" w:hAnsi="Arial"/>
                <w:sz w:val="18"/>
                <w:szCs w:val="18"/>
                <w:color w:val="auto"/>
              </w:rPr>
              <w:t>Section 6.8</w:t>
            </w:r>
          </w:p>
        </w:tc>
        <w:tc>
          <w:tcPr>
            <w:tcW w:w="8480" w:type="dxa"/>
            <w:vAlign w:val="bottom"/>
          </w:tcPr>
          <w:p>
            <w:pPr>
              <w:ind w:left="60"/>
              <w:spacing w:after="0"/>
              <w:rPr>
                <w:sz w:val="20"/>
                <w:szCs w:val="20"/>
                <w:color w:val="auto"/>
              </w:rPr>
            </w:pPr>
            <w:r>
              <w:rPr>
                <w:rFonts w:ascii="Arial" w:cs="Arial" w:eastAsia="Arial" w:hAnsi="Arial"/>
                <w:sz w:val="18"/>
                <w:szCs w:val="18"/>
                <w:color w:val="auto"/>
              </w:rPr>
              <w:t>Unconditional Right of Holders to Receive Principal and Interest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960" w:type="dxa"/>
            <w:vAlign w:val="bottom"/>
          </w:tcPr>
          <w:p>
            <w:pPr>
              <w:ind w:left="400"/>
              <w:spacing w:after="0"/>
              <w:rPr>
                <w:sz w:val="20"/>
                <w:szCs w:val="20"/>
                <w:color w:val="auto"/>
              </w:rPr>
            </w:pPr>
            <w:r>
              <w:rPr>
                <w:rFonts w:ascii="Arial" w:cs="Arial" w:eastAsia="Arial" w:hAnsi="Arial"/>
                <w:sz w:val="18"/>
                <w:szCs w:val="18"/>
                <w:color w:val="auto"/>
              </w:rPr>
              <w:t>Section 6.9</w:t>
            </w:r>
          </w:p>
        </w:tc>
        <w:tc>
          <w:tcPr>
            <w:tcW w:w="8480" w:type="dxa"/>
            <w:vAlign w:val="bottom"/>
          </w:tcPr>
          <w:p>
            <w:pPr>
              <w:ind w:left="60"/>
              <w:spacing w:after="0"/>
              <w:rPr>
                <w:sz w:val="20"/>
                <w:szCs w:val="20"/>
                <w:color w:val="auto"/>
              </w:rPr>
            </w:pPr>
            <w:r>
              <w:rPr>
                <w:rFonts w:ascii="Arial" w:cs="Arial" w:eastAsia="Arial" w:hAnsi="Arial"/>
                <w:sz w:val="18"/>
                <w:szCs w:val="18"/>
                <w:color w:val="auto"/>
              </w:rPr>
              <w:t>Restoration of Rights and Remedies</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960" w:type="dxa"/>
            <w:vAlign w:val="bottom"/>
          </w:tcPr>
          <w:p>
            <w:pPr>
              <w:ind w:left="400"/>
              <w:spacing w:after="0"/>
              <w:rPr>
                <w:sz w:val="20"/>
                <w:szCs w:val="20"/>
                <w:color w:val="auto"/>
              </w:rPr>
            </w:pPr>
            <w:r>
              <w:rPr>
                <w:rFonts w:ascii="Arial" w:cs="Arial" w:eastAsia="Arial" w:hAnsi="Arial"/>
                <w:sz w:val="18"/>
                <w:szCs w:val="18"/>
                <w:color w:val="auto"/>
              </w:rPr>
              <w:t>Section 6.10</w:t>
            </w:r>
          </w:p>
        </w:tc>
        <w:tc>
          <w:tcPr>
            <w:tcW w:w="8480" w:type="dxa"/>
            <w:vAlign w:val="bottom"/>
          </w:tcPr>
          <w:p>
            <w:pPr>
              <w:ind w:left="60"/>
              <w:spacing w:after="0"/>
              <w:rPr>
                <w:sz w:val="20"/>
                <w:szCs w:val="20"/>
                <w:color w:val="auto"/>
              </w:rPr>
            </w:pPr>
            <w:r>
              <w:rPr>
                <w:rFonts w:ascii="Arial" w:cs="Arial" w:eastAsia="Arial" w:hAnsi="Arial"/>
                <w:sz w:val="18"/>
                <w:szCs w:val="18"/>
                <w:color w:val="auto"/>
              </w:rPr>
              <w:t>Rights and Remedies Cumulative</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1960" w:type="dxa"/>
            <w:vAlign w:val="bottom"/>
          </w:tcPr>
          <w:p>
            <w:pPr>
              <w:ind w:left="400"/>
              <w:spacing w:after="0"/>
              <w:rPr>
                <w:sz w:val="20"/>
                <w:szCs w:val="20"/>
                <w:color w:val="auto"/>
              </w:rPr>
            </w:pPr>
            <w:r>
              <w:rPr>
                <w:rFonts w:ascii="Arial" w:cs="Arial" w:eastAsia="Arial" w:hAnsi="Arial"/>
                <w:sz w:val="18"/>
                <w:szCs w:val="18"/>
                <w:color w:val="auto"/>
              </w:rPr>
              <w:t>Section 6.11</w:t>
            </w:r>
          </w:p>
        </w:tc>
        <w:tc>
          <w:tcPr>
            <w:tcW w:w="8480" w:type="dxa"/>
            <w:vAlign w:val="bottom"/>
          </w:tcPr>
          <w:p>
            <w:pPr>
              <w:ind w:left="60"/>
              <w:spacing w:after="0"/>
              <w:rPr>
                <w:sz w:val="20"/>
                <w:szCs w:val="20"/>
                <w:color w:val="auto"/>
              </w:rPr>
            </w:pPr>
            <w:r>
              <w:rPr>
                <w:rFonts w:ascii="Arial" w:cs="Arial" w:eastAsia="Arial" w:hAnsi="Arial"/>
                <w:sz w:val="18"/>
                <w:szCs w:val="18"/>
                <w:color w:val="auto"/>
              </w:rPr>
              <w:t>Delay or Omission Not Waiver</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1960" w:type="dxa"/>
            <w:vAlign w:val="bottom"/>
          </w:tcPr>
          <w:p>
            <w:pPr>
              <w:ind w:left="400"/>
              <w:spacing w:after="0"/>
              <w:rPr>
                <w:sz w:val="20"/>
                <w:szCs w:val="20"/>
                <w:color w:val="auto"/>
              </w:rPr>
            </w:pPr>
            <w:r>
              <w:rPr>
                <w:rFonts w:ascii="Arial" w:cs="Arial" w:eastAsia="Arial" w:hAnsi="Arial"/>
                <w:sz w:val="18"/>
                <w:szCs w:val="18"/>
                <w:color w:val="auto"/>
              </w:rPr>
              <w:t>Section 6.12</w:t>
            </w:r>
          </w:p>
        </w:tc>
        <w:tc>
          <w:tcPr>
            <w:tcW w:w="8480" w:type="dxa"/>
            <w:vAlign w:val="bottom"/>
          </w:tcPr>
          <w:p>
            <w:pPr>
              <w:ind w:left="60"/>
              <w:spacing w:after="0"/>
              <w:rPr>
                <w:sz w:val="20"/>
                <w:szCs w:val="20"/>
                <w:color w:val="auto"/>
              </w:rPr>
            </w:pPr>
            <w:r>
              <w:rPr>
                <w:rFonts w:ascii="Arial" w:cs="Arial" w:eastAsia="Arial" w:hAnsi="Arial"/>
                <w:sz w:val="18"/>
                <w:szCs w:val="18"/>
                <w:color w:val="auto"/>
              </w:rPr>
              <w:t>Control by Holders</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1960" w:type="dxa"/>
            <w:vAlign w:val="bottom"/>
          </w:tcPr>
          <w:p>
            <w:pPr>
              <w:ind w:left="400"/>
              <w:spacing w:after="0"/>
              <w:rPr>
                <w:sz w:val="20"/>
                <w:szCs w:val="20"/>
                <w:color w:val="auto"/>
              </w:rPr>
            </w:pPr>
            <w:r>
              <w:rPr>
                <w:rFonts w:ascii="Arial" w:cs="Arial" w:eastAsia="Arial" w:hAnsi="Arial"/>
                <w:sz w:val="18"/>
                <w:szCs w:val="18"/>
                <w:color w:val="auto"/>
              </w:rPr>
              <w:t>Section 6.13</w:t>
            </w:r>
          </w:p>
        </w:tc>
        <w:tc>
          <w:tcPr>
            <w:tcW w:w="8480" w:type="dxa"/>
            <w:vAlign w:val="bottom"/>
          </w:tcPr>
          <w:p>
            <w:pPr>
              <w:ind w:left="60"/>
              <w:spacing w:after="0"/>
              <w:rPr>
                <w:sz w:val="20"/>
                <w:szCs w:val="20"/>
                <w:color w:val="auto"/>
              </w:rPr>
            </w:pPr>
            <w:r>
              <w:rPr>
                <w:rFonts w:ascii="Arial" w:cs="Arial" w:eastAsia="Arial" w:hAnsi="Arial"/>
                <w:sz w:val="18"/>
                <w:szCs w:val="18"/>
                <w:color w:val="auto"/>
              </w:rPr>
              <w:t>Waiver of Past Defaults</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1960" w:type="dxa"/>
            <w:vAlign w:val="bottom"/>
          </w:tcPr>
          <w:p>
            <w:pPr>
              <w:ind w:left="400"/>
              <w:spacing w:after="0"/>
              <w:rPr>
                <w:sz w:val="20"/>
                <w:szCs w:val="20"/>
                <w:color w:val="auto"/>
              </w:rPr>
            </w:pPr>
            <w:r>
              <w:rPr>
                <w:rFonts w:ascii="Arial" w:cs="Arial" w:eastAsia="Arial" w:hAnsi="Arial"/>
                <w:sz w:val="18"/>
                <w:szCs w:val="18"/>
                <w:color w:val="auto"/>
              </w:rPr>
              <w:t>Section 6.14</w:t>
            </w:r>
          </w:p>
        </w:tc>
        <w:tc>
          <w:tcPr>
            <w:tcW w:w="8480" w:type="dxa"/>
            <w:vAlign w:val="bottom"/>
          </w:tcPr>
          <w:p>
            <w:pPr>
              <w:ind w:left="60"/>
              <w:spacing w:after="0"/>
              <w:rPr>
                <w:sz w:val="20"/>
                <w:szCs w:val="20"/>
                <w:color w:val="auto"/>
              </w:rPr>
            </w:pPr>
            <w:r>
              <w:rPr>
                <w:rFonts w:ascii="Arial" w:cs="Arial" w:eastAsia="Arial" w:hAnsi="Arial"/>
                <w:sz w:val="18"/>
                <w:szCs w:val="18"/>
                <w:color w:val="auto"/>
              </w:rPr>
              <w:t>Undertaking for Costs</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432"/>
        </w:trPr>
        <w:tc>
          <w:tcPr>
            <w:tcW w:w="1960" w:type="dxa"/>
            <w:vAlign w:val="bottom"/>
          </w:tcPr>
          <w:p>
            <w:pPr>
              <w:spacing w:after="0"/>
              <w:rPr>
                <w:sz w:val="20"/>
                <w:szCs w:val="20"/>
                <w:color w:val="auto"/>
              </w:rPr>
            </w:pPr>
            <w:r>
              <w:rPr>
                <w:rFonts w:ascii="Arial" w:cs="Arial" w:eastAsia="Arial" w:hAnsi="Arial"/>
                <w:sz w:val="18"/>
                <w:szCs w:val="18"/>
                <w:color w:val="auto"/>
              </w:rPr>
              <w:t>ARTICLE VII TRUSTEE</w:t>
            </w:r>
          </w:p>
        </w:tc>
        <w:tc>
          <w:tcPr>
            <w:tcW w:w="8480" w:type="dxa"/>
            <w:vAlign w:val="bottom"/>
          </w:tcPr>
          <w:p>
            <w:pPr>
              <w:spacing w:after="0"/>
              <w:rPr>
                <w:sz w:val="24"/>
                <w:szCs w:val="24"/>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418"/>
        </w:trPr>
        <w:tc>
          <w:tcPr>
            <w:tcW w:w="1960" w:type="dxa"/>
            <w:vAlign w:val="bottom"/>
          </w:tcPr>
          <w:p>
            <w:pPr>
              <w:ind w:left="400"/>
              <w:spacing w:after="0"/>
              <w:rPr>
                <w:sz w:val="20"/>
                <w:szCs w:val="20"/>
                <w:color w:val="auto"/>
              </w:rPr>
            </w:pPr>
            <w:r>
              <w:rPr>
                <w:rFonts w:ascii="Arial" w:cs="Arial" w:eastAsia="Arial" w:hAnsi="Arial"/>
                <w:sz w:val="18"/>
                <w:szCs w:val="18"/>
                <w:color w:val="auto"/>
              </w:rPr>
              <w:t>Section 7.1</w:t>
            </w:r>
          </w:p>
        </w:tc>
        <w:tc>
          <w:tcPr>
            <w:tcW w:w="8480" w:type="dxa"/>
            <w:vAlign w:val="bottom"/>
          </w:tcPr>
          <w:p>
            <w:pPr>
              <w:ind w:left="60"/>
              <w:spacing w:after="0"/>
              <w:rPr>
                <w:sz w:val="20"/>
                <w:szCs w:val="20"/>
                <w:color w:val="auto"/>
              </w:rPr>
            </w:pPr>
            <w:r>
              <w:rPr>
                <w:rFonts w:ascii="Arial" w:cs="Arial" w:eastAsia="Arial" w:hAnsi="Arial"/>
                <w:sz w:val="18"/>
                <w:szCs w:val="18"/>
                <w:color w:val="auto"/>
              </w:rPr>
              <w:t>Duties of Trustee</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1960" w:type="dxa"/>
            <w:vAlign w:val="bottom"/>
          </w:tcPr>
          <w:p>
            <w:pPr>
              <w:ind w:left="400"/>
              <w:spacing w:after="0"/>
              <w:rPr>
                <w:sz w:val="20"/>
                <w:szCs w:val="20"/>
                <w:color w:val="auto"/>
              </w:rPr>
            </w:pPr>
            <w:r>
              <w:rPr>
                <w:rFonts w:ascii="Arial" w:cs="Arial" w:eastAsia="Arial" w:hAnsi="Arial"/>
                <w:sz w:val="18"/>
                <w:szCs w:val="18"/>
                <w:color w:val="auto"/>
              </w:rPr>
              <w:t>Section 7.2</w:t>
            </w:r>
          </w:p>
        </w:tc>
        <w:tc>
          <w:tcPr>
            <w:tcW w:w="8480" w:type="dxa"/>
            <w:vAlign w:val="bottom"/>
          </w:tcPr>
          <w:p>
            <w:pPr>
              <w:ind w:left="60"/>
              <w:spacing w:after="0"/>
              <w:rPr>
                <w:sz w:val="20"/>
                <w:szCs w:val="20"/>
                <w:color w:val="auto"/>
              </w:rPr>
            </w:pPr>
            <w:r>
              <w:rPr>
                <w:rFonts w:ascii="Arial" w:cs="Arial" w:eastAsia="Arial" w:hAnsi="Arial"/>
                <w:sz w:val="18"/>
                <w:szCs w:val="18"/>
                <w:color w:val="auto"/>
              </w:rPr>
              <w:t>Rights of Trustee</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1960" w:type="dxa"/>
            <w:vAlign w:val="bottom"/>
          </w:tcPr>
          <w:p>
            <w:pPr>
              <w:ind w:left="400"/>
              <w:spacing w:after="0"/>
              <w:rPr>
                <w:sz w:val="20"/>
                <w:szCs w:val="20"/>
                <w:color w:val="auto"/>
              </w:rPr>
            </w:pPr>
            <w:r>
              <w:rPr>
                <w:rFonts w:ascii="Arial" w:cs="Arial" w:eastAsia="Arial" w:hAnsi="Arial"/>
                <w:sz w:val="18"/>
                <w:szCs w:val="18"/>
                <w:color w:val="auto"/>
              </w:rPr>
              <w:t>Section 7.3</w:t>
            </w:r>
          </w:p>
        </w:tc>
        <w:tc>
          <w:tcPr>
            <w:tcW w:w="8480" w:type="dxa"/>
            <w:vAlign w:val="bottom"/>
          </w:tcPr>
          <w:p>
            <w:pPr>
              <w:ind w:left="60"/>
              <w:spacing w:after="0"/>
              <w:rPr>
                <w:sz w:val="20"/>
                <w:szCs w:val="20"/>
                <w:color w:val="auto"/>
              </w:rPr>
            </w:pPr>
            <w:r>
              <w:rPr>
                <w:rFonts w:ascii="Arial" w:cs="Arial" w:eastAsia="Arial" w:hAnsi="Arial"/>
                <w:sz w:val="18"/>
                <w:szCs w:val="18"/>
                <w:color w:val="auto"/>
              </w:rPr>
              <w:t>Individual Rights of Trustee</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1960" w:type="dxa"/>
            <w:vAlign w:val="bottom"/>
          </w:tcPr>
          <w:p>
            <w:pPr>
              <w:ind w:left="400"/>
              <w:spacing w:after="0"/>
              <w:rPr>
                <w:sz w:val="20"/>
                <w:szCs w:val="20"/>
                <w:color w:val="auto"/>
              </w:rPr>
            </w:pPr>
            <w:r>
              <w:rPr>
                <w:rFonts w:ascii="Arial" w:cs="Arial" w:eastAsia="Arial" w:hAnsi="Arial"/>
                <w:sz w:val="18"/>
                <w:szCs w:val="18"/>
                <w:color w:val="auto"/>
              </w:rPr>
              <w:t>Section 7.4</w:t>
            </w:r>
          </w:p>
        </w:tc>
        <w:tc>
          <w:tcPr>
            <w:tcW w:w="8480" w:type="dxa"/>
            <w:vAlign w:val="bottom"/>
          </w:tcPr>
          <w:p>
            <w:pPr>
              <w:ind w:left="60"/>
              <w:spacing w:after="0"/>
              <w:rPr>
                <w:sz w:val="20"/>
                <w:szCs w:val="20"/>
                <w:color w:val="auto"/>
              </w:rPr>
            </w:pPr>
            <w:r>
              <w:rPr>
                <w:rFonts w:ascii="Arial" w:cs="Arial" w:eastAsia="Arial" w:hAnsi="Arial"/>
                <w:sz w:val="18"/>
                <w:szCs w:val="18"/>
                <w:color w:val="auto"/>
              </w:rPr>
              <w:t>Trustee’s Disclaimer</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1960" w:type="dxa"/>
            <w:vAlign w:val="bottom"/>
          </w:tcPr>
          <w:p>
            <w:pPr>
              <w:ind w:left="400"/>
              <w:spacing w:after="0"/>
              <w:rPr>
                <w:sz w:val="20"/>
                <w:szCs w:val="20"/>
                <w:color w:val="auto"/>
              </w:rPr>
            </w:pPr>
            <w:r>
              <w:rPr>
                <w:rFonts w:ascii="Arial" w:cs="Arial" w:eastAsia="Arial" w:hAnsi="Arial"/>
                <w:sz w:val="18"/>
                <w:szCs w:val="18"/>
                <w:color w:val="auto"/>
              </w:rPr>
              <w:t>Section 7.5</w:t>
            </w:r>
          </w:p>
        </w:tc>
        <w:tc>
          <w:tcPr>
            <w:tcW w:w="8480" w:type="dxa"/>
            <w:vAlign w:val="bottom"/>
          </w:tcPr>
          <w:p>
            <w:pPr>
              <w:ind w:left="60"/>
              <w:spacing w:after="0"/>
              <w:rPr>
                <w:sz w:val="20"/>
                <w:szCs w:val="20"/>
                <w:color w:val="auto"/>
              </w:rPr>
            </w:pPr>
            <w:r>
              <w:rPr>
                <w:rFonts w:ascii="Arial" w:cs="Arial" w:eastAsia="Arial" w:hAnsi="Arial"/>
                <w:sz w:val="18"/>
                <w:szCs w:val="18"/>
                <w:color w:val="auto"/>
              </w:rPr>
              <w:t>Notice of Defaults</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1960" w:type="dxa"/>
            <w:vAlign w:val="bottom"/>
          </w:tcPr>
          <w:p>
            <w:pPr>
              <w:ind w:left="400"/>
              <w:spacing w:after="0"/>
              <w:rPr>
                <w:sz w:val="20"/>
                <w:szCs w:val="20"/>
                <w:color w:val="auto"/>
              </w:rPr>
            </w:pPr>
            <w:r>
              <w:rPr>
                <w:rFonts w:ascii="Arial" w:cs="Arial" w:eastAsia="Arial" w:hAnsi="Arial"/>
                <w:sz w:val="18"/>
                <w:szCs w:val="18"/>
                <w:color w:val="auto"/>
              </w:rPr>
              <w:t>Section 7.6</w:t>
            </w:r>
          </w:p>
        </w:tc>
        <w:tc>
          <w:tcPr>
            <w:tcW w:w="8480" w:type="dxa"/>
            <w:vAlign w:val="bottom"/>
          </w:tcPr>
          <w:p>
            <w:pPr>
              <w:ind w:left="60"/>
              <w:spacing w:after="0"/>
              <w:rPr>
                <w:sz w:val="20"/>
                <w:szCs w:val="20"/>
                <w:color w:val="auto"/>
              </w:rPr>
            </w:pPr>
            <w:r>
              <w:rPr>
                <w:rFonts w:ascii="Arial" w:cs="Arial" w:eastAsia="Arial" w:hAnsi="Arial"/>
                <w:sz w:val="18"/>
                <w:szCs w:val="18"/>
                <w:color w:val="auto"/>
              </w:rPr>
              <w:t>Reports by Trustee to Holders</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1960" w:type="dxa"/>
            <w:vAlign w:val="bottom"/>
          </w:tcPr>
          <w:p>
            <w:pPr>
              <w:ind w:left="400"/>
              <w:spacing w:after="0"/>
              <w:rPr>
                <w:sz w:val="20"/>
                <w:szCs w:val="20"/>
                <w:color w:val="auto"/>
              </w:rPr>
            </w:pPr>
            <w:r>
              <w:rPr>
                <w:rFonts w:ascii="Arial" w:cs="Arial" w:eastAsia="Arial" w:hAnsi="Arial"/>
                <w:sz w:val="18"/>
                <w:szCs w:val="18"/>
                <w:color w:val="auto"/>
              </w:rPr>
              <w:t>Section 7.7</w:t>
            </w:r>
          </w:p>
        </w:tc>
        <w:tc>
          <w:tcPr>
            <w:tcW w:w="8480" w:type="dxa"/>
            <w:vAlign w:val="bottom"/>
          </w:tcPr>
          <w:p>
            <w:pPr>
              <w:ind w:left="60"/>
              <w:spacing w:after="0"/>
              <w:rPr>
                <w:sz w:val="20"/>
                <w:szCs w:val="20"/>
                <w:color w:val="auto"/>
              </w:rPr>
            </w:pPr>
            <w:r>
              <w:rPr>
                <w:rFonts w:ascii="Arial" w:cs="Arial" w:eastAsia="Arial" w:hAnsi="Arial"/>
                <w:sz w:val="18"/>
                <w:szCs w:val="18"/>
                <w:color w:val="auto"/>
              </w:rPr>
              <w:t>Compensation and Indemnity</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1960" w:type="dxa"/>
            <w:vAlign w:val="bottom"/>
          </w:tcPr>
          <w:p>
            <w:pPr>
              <w:ind w:left="400"/>
              <w:spacing w:after="0"/>
              <w:rPr>
                <w:sz w:val="20"/>
                <w:szCs w:val="20"/>
                <w:color w:val="auto"/>
              </w:rPr>
            </w:pPr>
            <w:r>
              <w:rPr>
                <w:rFonts w:ascii="Arial" w:cs="Arial" w:eastAsia="Arial" w:hAnsi="Arial"/>
                <w:sz w:val="18"/>
                <w:szCs w:val="18"/>
                <w:color w:val="auto"/>
              </w:rPr>
              <w:t>Section 7.8</w:t>
            </w:r>
          </w:p>
        </w:tc>
        <w:tc>
          <w:tcPr>
            <w:tcW w:w="8480" w:type="dxa"/>
            <w:vAlign w:val="bottom"/>
          </w:tcPr>
          <w:p>
            <w:pPr>
              <w:ind w:left="60"/>
              <w:spacing w:after="0"/>
              <w:rPr>
                <w:sz w:val="20"/>
                <w:szCs w:val="20"/>
                <w:color w:val="auto"/>
              </w:rPr>
            </w:pPr>
            <w:r>
              <w:rPr>
                <w:rFonts w:ascii="Arial" w:cs="Arial" w:eastAsia="Arial" w:hAnsi="Arial"/>
                <w:sz w:val="18"/>
                <w:szCs w:val="18"/>
                <w:color w:val="auto"/>
              </w:rPr>
              <w:t>Replacement of Trustee</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1960" w:type="dxa"/>
            <w:vAlign w:val="bottom"/>
          </w:tcPr>
          <w:p>
            <w:pPr>
              <w:ind w:left="400"/>
              <w:spacing w:after="0"/>
              <w:rPr>
                <w:sz w:val="20"/>
                <w:szCs w:val="20"/>
                <w:color w:val="auto"/>
              </w:rPr>
            </w:pPr>
            <w:r>
              <w:rPr>
                <w:rFonts w:ascii="Arial" w:cs="Arial" w:eastAsia="Arial" w:hAnsi="Arial"/>
                <w:sz w:val="18"/>
                <w:szCs w:val="18"/>
                <w:color w:val="auto"/>
              </w:rPr>
              <w:t>Section 7.9</w:t>
            </w:r>
          </w:p>
        </w:tc>
        <w:tc>
          <w:tcPr>
            <w:tcW w:w="8480" w:type="dxa"/>
            <w:vAlign w:val="bottom"/>
          </w:tcPr>
          <w:p>
            <w:pPr>
              <w:ind w:left="60"/>
              <w:spacing w:after="0"/>
              <w:rPr>
                <w:sz w:val="20"/>
                <w:szCs w:val="20"/>
                <w:color w:val="auto"/>
              </w:rPr>
            </w:pPr>
            <w:r>
              <w:rPr>
                <w:rFonts w:ascii="Arial" w:cs="Arial" w:eastAsia="Arial" w:hAnsi="Arial"/>
                <w:sz w:val="18"/>
                <w:szCs w:val="18"/>
                <w:color w:val="auto"/>
              </w:rPr>
              <w:t>Successor Trustee by Merger, Etc.</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1960" w:type="dxa"/>
            <w:vAlign w:val="bottom"/>
          </w:tcPr>
          <w:p>
            <w:pPr>
              <w:ind w:left="400"/>
              <w:spacing w:after="0"/>
              <w:rPr>
                <w:sz w:val="20"/>
                <w:szCs w:val="20"/>
                <w:color w:val="auto"/>
              </w:rPr>
            </w:pPr>
            <w:r>
              <w:rPr>
                <w:rFonts w:ascii="Arial" w:cs="Arial" w:eastAsia="Arial" w:hAnsi="Arial"/>
                <w:sz w:val="18"/>
                <w:szCs w:val="18"/>
                <w:color w:val="auto"/>
              </w:rPr>
              <w:t>Section 7.10</w:t>
            </w:r>
          </w:p>
        </w:tc>
        <w:tc>
          <w:tcPr>
            <w:tcW w:w="8480" w:type="dxa"/>
            <w:vAlign w:val="bottom"/>
          </w:tcPr>
          <w:p>
            <w:pPr>
              <w:ind w:left="60"/>
              <w:spacing w:after="0"/>
              <w:rPr>
                <w:sz w:val="20"/>
                <w:szCs w:val="20"/>
                <w:color w:val="auto"/>
              </w:rPr>
            </w:pPr>
            <w:r>
              <w:rPr>
                <w:rFonts w:ascii="Arial" w:cs="Arial" w:eastAsia="Arial" w:hAnsi="Arial"/>
                <w:sz w:val="18"/>
                <w:szCs w:val="18"/>
                <w:color w:val="auto"/>
              </w:rPr>
              <w:t>Eligibility; Disqualification</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1960" w:type="dxa"/>
            <w:vAlign w:val="bottom"/>
          </w:tcPr>
          <w:p>
            <w:pPr>
              <w:ind w:left="400"/>
              <w:spacing w:after="0"/>
              <w:rPr>
                <w:sz w:val="20"/>
                <w:szCs w:val="20"/>
                <w:color w:val="auto"/>
              </w:rPr>
            </w:pPr>
            <w:r>
              <w:rPr>
                <w:rFonts w:ascii="Arial" w:cs="Arial" w:eastAsia="Arial" w:hAnsi="Arial"/>
                <w:sz w:val="18"/>
                <w:szCs w:val="18"/>
                <w:color w:val="auto"/>
              </w:rPr>
              <w:t>Section 7.11</w:t>
            </w:r>
          </w:p>
        </w:tc>
        <w:tc>
          <w:tcPr>
            <w:tcW w:w="8480" w:type="dxa"/>
            <w:vAlign w:val="bottom"/>
          </w:tcPr>
          <w:p>
            <w:pPr>
              <w:ind w:left="60"/>
              <w:spacing w:after="0"/>
              <w:rPr>
                <w:sz w:val="20"/>
                <w:szCs w:val="20"/>
                <w:color w:val="auto"/>
              </w:rPr>
            </w:pPr>
            <w:r>
              <w:rPr>
                <w:rFonts w:ascii="Arial" w:cs="Arial" w:eastAsia="Arial" w:hAnsi="Arial"/>
                <w:sz w:val="18"/>
                <w:szCs w:val="18"/>
                <w:color w:val="auto"/>
              </w:rPr>
              <w:t>Preferential Collection of Claims Against Company</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432"/>
        </w:trPr>
        <w:tc>
          <w:tcPr>
            <w:tcW w:w="10440" w:type="dxa"/>
            <w:vAlign w:val="bottom"/>
            <w:gridSpan w:val="2"/>
          </w:tcPr>
          <w:p>
            <w:pPr>
              <w:spacing w:after="0"/>
              <w:rPr>
                <w:sz w:val="20"/>
                <w:szCs w:val="20"/>
                <w:color w:val="auto"/>
              </w:rPr>
            </w:pPr>
            <w:r>
              <w:rPr>
                <w:rFonts w:ascii="Arial" w:cs="Arial" w:eastAsia="Arial" w:hAnsi="Arial"/>
                <w:sz w:val="18"/>
                <w:szCs w:val="18"/>
                <w:color w:val="auto"/>
              </w:rPr>
              <w:t>ARTICLE VIII SATISFACTION AND DISCHARGE; DEFEASANCE</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418"/>
        </w:trPr>
        <w:tc>
          <w:tcPr>
            <w:tcW w:w="1960" w:type="dxa"/>
            <w:vAlign w:val="bottom"/>
          </w:tcPr>
          <w:p>
            <w:pPr>
              <w:ind w:left="400"/>
              <w:spacing w:after="0"/>
              <w:rPr>
                <w:sz w:val="20"/>
                <w:szCs w:val="20"/>
                <w:color w:val="auto"/>
              </w:rPr>
            </w:pPr>
            <w:r>
              <w:rPr>
                <w:rFonts w:ascii="Arial" w:cs="Arial" w:eastAsia="Arial" w:hAnsi="Arial"/>
                <w:sz w:val="18"/>
                <w:szCs w:val="18"/>
                <w:color w:val="auto"/>
              </w:rPr>
              <w:t>Section 8.1</w:t>
            </w:r>
          </w:p>
        </w:tc>
        <w:tc>
          <w:tcPr>
            <w:tcW w:w="8480" w:type="dxa"/>
            <w:vAlign w:val="bottom"/>
          </w:tcPr>
          <w:p>
            <w:pPr>
              <w:ind w:left="60"/>
              <w:spacing w:after="0"/>
              <w:rPr>
                <w:sz w:val="20"/>
                <w:szCs w:val="20"/>
                <w:color w:val="auto"/>
              </w:rPr>
            </w:pPr>
            <w:r>
              <w:rPr>
                <w:rFonts w:ascii="Arial" w:cs="Arial" w:eastAsia="Arial" w:hAnsi="Arial"/>
                <w:sz w:val="18"/>
                <w:szCs w:val="18"/>
                <w:color w:val="auto"/>
              </w:rPr>
              <w:t>Satisfaction and Discharge of Indenture</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1960" w:type="dxa"/>
            <w:vAlign w:val="bottom"/>
          </w:tcPr>
          <w:p>
            <w:pPr>
              <w:ind w:left="400"/>
              <w:spacing w:after="0"/>
              <w:rPr>
                <w:sz w:val="20"/>
                <w:szCs w:val="20"/>
                <w:color w:val="auto"/>
              </w:rPr>
            </w:pPr>
            <w:r>
              <w:rPr>
                <w:rFonts w:ascii="Arial" w:cs="Arial" w:eastAsia="Arial" w:hAnsi="Arial"/>
                <w:sz w:val="18"/>
                <w:szCs w:val="18"/>
                <w:color w:val="auto"/>
              </w:rPr>
              <w:t>Section 8.2</w:t>
            </w:r>
          </w:p>
        </w:tc>
        <w:tc>
          <w:tcPr>
            <w:tcW w:w="8480" w:type="dxa"/>
            <w:vAlign w:val="bottom"/>
          </w:tcPr>
          <w:p>
            <w:pPr>
              <w:ind w:left="60"/>
              <w:spacing w:after="0"/>
              <w:rPr>
                <w:sz w:val="20"/>
                <w:szCs w:val="20"/>
                <w:color w:val="auto"/>
              </w:rPr>
            </w:pPr>
            <w:r>
              <w:rPr>
                <w:rFonts w:ascii="Arial" w:cs="Arial" w:eastAsia="Arial" w:hAnsi="Arial"/>
                <w:sz w:val="18"/>
                <w:szCs w:val="18"/>
                <w:color w:val="auto"/>
              </w:rPr>
              <w:t>Application of Trust Funds; Indemnification</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1960" w:type="dxa"/>
            <w:vAlign w:val="bottom"/>
          </w:tcPr>
          <w:p>
            <w:pPr>
              <w:ind w:left="400"/>
              <w:spacing w:after="0"/>
              <w:rPr>
                <w:sz w:val="20"/>
                <w:szCs w:val="20"/>
                <w:color w:val="auto"/>
              </w:rPr>
            </w:pPr>
            <w:r>
              <w:rPr>
                <w:rFonts w:ascii="Arial" w:cs="Arial" w:eastAsia="Arial" w:hAnsi="Arial"/>
                <w:sz w:val="18"/>
                <w:szCs w:val="18"/>
                <w:color w:val="auto"/>
              </w:rPr>
              <w:t>Section 8.3</w:t>
            </w:r>
          </w:p>
        </w:tc>
        <w:tc>
          <w:tcPr>
            <w:tcW w:w="8480" w:type="dxa"/>
            <w:vAlign w:val="bottom"/>
          </w:tcPr>
          <w:p>
            <w:pPr>
              <w:ind w:left="60"/>
              <w:spacing w:after="0"/>
              <w:rPr>
                <w:sz w:val="20"/>
                <w:szCs w:val="20"/>
                <w:color w:val="auto"/>
              </w:rPr>
            </w:pPr>
            <w:r>
              <w:rPr>
                <w:rFonts w:ascii="Arial" w:cs="Arial" w:eastAsia="Arial" w:hAnsi="Arial"/>
                <w:sz w:val="18"/>
                <w:szCs w:val="18"/>
                <w:color w:val="auto"/>
              </w:rPr>
              <w:t>Legal Defeasance of Securities of any Series</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1960" w:type="dxa"/>
            <w:vAlign w:val="bottom"/>
          </w:tcPr>
          <w:p>
            <w:pPr>
              <w:ind w:left="400"/>
              <w:spacing w:after="0"/>
              <w:rPr>
                <w:sz w:val="20"/>
                <w:szCs w:val="20"/>
                <w:color w:val="auto"/>
              </w:rPr>
            </w:pPr>
            <w:r>
              <w:rPr>
                <w:rFonts w:ascii="Arial" w:cs="Arial" w:eastAsia="Arial" w:hAnsi="Arial"/>
                <w:sz w:val="18"/>
                <w:szCs w:val="18"/>
                <w:color w:val="auto"/>
              </w:rPr>
              <w:t>Section 8.4</w:t>
            </w:r>
          </w:p>
        </w:tc>
        <w:tc>
          <w:tcPr>
            <w:tcW w:w="8480" w:type="dxa"/>
            <w:vAlign w:val="bottom"/>
          </w:tcPr>
          <w:p>
            <w:pPr>
              <w:ind w:left="60"/>
              <w:spacing w:after="0"/>
              <w:rPr>
                <w:sz w:val="20"/>
                <w:szCs w:val="20"/>
                <w:color w:val="auto"/>
              </w:rPr>
            </w:pPr>
            <w:r>
              <w:rPr>
                <w:rFonts w:ascii="Arial" w:cs="Arial" w:eastAsia="Arial" w:hAnsi="Arial"/>
                <w:sz w:val="18"/>
                <w:szCs w:val="18"/>
                <w:color w:val="auto"/>
              </w:rPr>
              <w:t>Covenant Defeasance</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1960" w:type="dxa"/>
            <w:vAlign w:val="bottom"/>
          </w:tcPr>
          <w:p>
            <w:pPr>
              <w:ind w:left="400"/>
              <w:spacing w:after="0"/>
              <w:rPr>
                <w:sz w:val="20"/>
                <w:szCs w:val="20"/>
                <w:color w:val="auto"/>
              </w:rPr>
            </w:pPr>
            <w:r>
              <w:rPr>
                <w:rFonts w:ascii="Arial" w:cs="Arial" w:eastAsia="Arial" w:hAnsi="Arial"/>
                <w:sz w:val="18"/>
                <w:szCs w:val="18"/>
                <w:color w:val="auto"/>
              </w:rPr>
              <w:t>Section 8.5</w:t>
            </w:r>
          </w:p>
        </w:tc>
        <w:tc>
          <w:tcPr>
            <w:tcW w:w="8480" w:type="dxa"/>
            <w:vAlign w:val="bottom"/>
          </w:tcPr>
          <w:p>
            <w:pPr>
              <w:ind w:left="60"/>
              <w:spacing w:after="0"/>
              <w:rPr>
                <w:sz w:val="20"/>
                <w:szCs w:val="20"/>
                <w:color w:val="auto"/>
              </w:rPr>
            </w:pPr>
            <w:r>
              <w:rPr>
                <w:rFonts w:ascii="Arial" w:cs="Arial" w:eastAsia="Arial" w:hAnsi="Arial"/>
                <w:sz w:val="18"/>
                <w:szCs w:val="18"/>
                <w:color w:val="auto"/>
              </w:rPr>
              <w:t>Repayment to Company</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0"/>
        </w:trPr>
        <w:tc>
          <w:tcPr>
            <w:tcW w:w="1960" w:type="dxa"/>
            <w:vAlign w:val="bottom"/>
          </w:tcPr>
          <w:p>
            <w:pPr>
              <w:ind w:left="400"/>
              <w:spacing w:after="0"/>
              <w:rPr>
                <w:sz w:val="20"/>
                <w:szCs w:val="20"/>
                <w:color w:val="auto"/>
              </w:rPr>
            </w:pPr>
            <w:r>
              <w:rPr>
                <w:rFonts w:ascii="Arial" w:cs="Arial" w:eastAsia="Arial" w:hAnsi="Arial"/>
                <w:sz w:val="18"/>
                <w:szCs w:val="18"/>
                <w:color w:val="auto"/>
              </w:rPr>
              <w:t>Section 8.6</w:t>
            </w:r>
          </w:p>
        </w:tc>
        <w:tc>
          <w:tcPr>
            <w:tcW w:w="8480" w:type="dxa"/>
            <w:vAlign w:val="bottom"/>
          </w:tcPr>
          <w:p>
            <w:pPr>
              <w:ind w:left="60"/>
              <w:spacing w:after="0"/>
              <w:rPr>
                <w:sz w:val="20"/>
                <w:szCs w:val="20"/>
                <w:color w:val="auto"/>
              </w:rPr>
            </w:pPr>
            <w:r>
              <w:rPr>
                <w:rFonts w:ascii="Arial" w:cs="Arial" w:eastAsia="Arial" w:hAnsi="Arial"/>
                <w:sz w:val="18"/>
                <w:szCs w:val="18"/>
                <w:color w:val="auto"/>
              </w:rPr>
              <w:t>Reinstatement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432"/>
        </w:trPr>
        <w:tc>
          <w:tcPr>
            <w:tcW w:w="10440" w:type="dxa"/>
            <w:vAlign w:val="bottom"/>
            <w:gridSpan w:val="2"/>
          </w:tcPr>
          <w:p>
            <w:pPr>
              <w:spacing w:after="0"/>
              <w:rPr>
                <w:sz w:val="20"/>
                <w:szCs w:val="20"/>
                <w:color w:val="auto"/>
              </w:rPr>
            </w:pPr>
            <w:r>
              <w:rPr>
                <w:rFonts w:ascii="Arial" w:cs="Arial" w:eastAsia="Arial" w:hAnsi="Arial"/>
                <w:sz w:val="18"/>
                <w:szCs w:val="18"/>
                <w:color w:val="auto"/>
              </w:rPr>
              <w:t>ARTICLE IX AMENDMENTS AND WAIVERS</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418"/>
        </w:trPr>
        <w:tc>
          <w:tcPr>
            <w:tcW w:w="1960" w:type="dxa"/>
            <w:vAlign w:val="bottom"/>
          </w:tcPr>
          <w:p>
            <w:pPr>
              <w:ind w:left="400"/>
              <w:spacing w:after="0"/>
              <w:rPr>
                <w:sz w:val="20"/>
                <w:szCs w:val="20"/>
                <w:color w:val="auto"/>
              </w:rPr>
            </w:pPr>
            <w:r>
              <w:rPr>
                <w:rFonts w:ascii="Arial" w:cs="Arial" w:eastAsia="Arial" w:hAnsi="Arial"/>
                <w:sz w:val="18"/>
                <w:szCs w:val="18"/>
                <w:color w:val="auto"/>
              </w:rPr>
              <w:t>Section 9.1</w:t>
            </w:r>
          </w:p>
        </w:tc>
        <w:tc>
          <w:tcPr>
            <w:tcW w:w="8480" w:type="dxa"/>
            <w:vAlign w:val="bottom"/>
          </w:tcPr>
          <w:p>
            <w:pPr>
              <w:ind w:left="60"/>
              <w:spacing w:after="0"/>
              <w:rPr>
                <w:sz w:val="20"/>
                <w:szCs w:val="20"/>
                <w:color w:val="auto"/>
              </w:rPr>
            </w:pPr>
            <w:r>
              <w:rPr>
                <w:rFonts w:ascii="Arial" w:cs="Arial" w:eastAsia="Arial" w:hAnsi="Arial"/>
                <w:sz w:val="18"/>
                <w:szCs w:val="18"/>
                <w:color w:val="auto"/>
              </w:rPr>
              <w:t>Without Consent of Holders</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1960" w:type="dxa"/>
            <w:vAlign w:val="bottom"/>
          </w:tcPr>
          <w:p>
            <w:pPr>
              <w:ind w:left="400"/>
              <w:spacing w:after="0"/>
              <w:rPr>
                <w:sz w:val="20"/>
                <w:szCs w:val="20"/>
                <w:color w:val="auto"/>
              </w:rPr>
            </w:pPr>
            <w:r>
              <w:rPr>
                <w:rFonts w:ascii="Arial" w:cs="Arial" w:eastAsia="Arial" w:hAnsi="Arial"/>
                <w:sz w:val="18"/>
                <w:szCs w:val="18"/>
                <w:color w:val="auto"/>
              </w:rPr>
              <w:t>Section 9.2</w:t>
            </w:r>
          </w:p>
        </w:tc>
        <w:tc>
          <w:tcPr>
            <w:tcW w:w="8480" w:type="dxa"/>
            <w:vAlign w:val="bottom"/>
          </w:tcPr>
          <w:p>
            <w:pPr>
              <w:ind w:left="60"/>
              <w:spacing w:after="0"/>
              <w:rPr>
                <w:sz w:val="20"/>
                <w:szCs w:val="20"/>
                <w:color w:val="auto"/>
              </w:rPr>
            </w:pPr>
            <w:r>
              <w:rPr>
                <w:rFonts w:ascii="Arial" w:cs="Arial" w:eastAsia="Arial" w:hAnsi="Arial"/>
                <w:sz w:val="18"/>
                <w:szCs w:val="18"/>
                <w:color w:val="auto"/>
              </w:rPr>
              <w:t>With Consent of Holders</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1960" w:type="dxa"/>
            <w:vAlign w:val="bottom"/>
          </w:tcPr>
          <w:p>
            <w:pPr>
              <w:ind w:left="400"/>
              <w:spacing w:after="0"/>
              <w:rPr>
                <w:sz w:val="20"/>
                <w:szCs w:val="20"/>
                <w:color w:val="auto"/>
              </w:rPr>
            </w:pPr>
            <w:r>
              <w:rPr>
                <w:rFonts w:ascii="Arial" w:cs="Arial" w:eastAsia="Arial" w:hAnsi="Arial"/>
                <w:sz w:val="18"/>
                <w:szCs w:val="18"/>
                <w:color w:val="auto"/>
              </w:rPr>
              <w:t>Section 9.3</w:t>
            </w:r>
          </w:p>
        </w:tc>
        <w:tc>
          <w:tcPr>
            <w:tcW w:w="8480" w:type="dxa"/>
            <w:vAlign w:val="bottom"/>
          </w:tcPr>
          <w:p>
            <w:pPr>
              <w:ind w:left="60"/>
              <w:spacing w:after="0"/>
              <w:rPr>
                <w:sz w:val="20"/>
                <w:szCs w:val="20"/>
                <w:color w:val="auto"/>
              </w:rPr>
            </w:pPr>
            <w:r>
              <w:rPr>
                <w:rFonts w:ascii="Arial" w:cs="Arial" w:eastAsia="Arial" w:hAnsi="Arial"/>
                <w:sz w:val="18"/>
                <w:szCs w:val="18"/>
                <w:color w:val="auto"/>
              </w:rPr>
              <w:t>Limitations</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1960" w:type="dxa"/>
            <w:vAlign w:val="bottom"/>
          </w:tcPr>
          <w:p>
            <w:pPr>
              <w:ind w:left="400"/>
              <w:spacing w:after="0"/>
              <w:rPr>
                <w:sz w:val="20"/>
                <w:szCs w:val="20"/>
                <w:color w:val="auto"/>
              </w:rPr>
            </w:pPr>
            <w:r>
              <w:rPr>
                <w:rFonts w:ascii="Arial" w:cs="Arial" w:eastAsia="Arial" w:hAnsi="Arial"/>
                <w:sz w:val="18"/>
                <w:szCs w:val="18"/>
                <w:color w:val="auto"/>
              </w:rPr>
              <w:t>Section 9.4</w:t>
            </w:r>
          </w:p>
        </w:tc>
        <w:tc>
          <w:tcPr>
            <w:tcW w:w="8480" w:type="dxa"/>
            <w:vAlign w:val="bottom"/>
          </w:tcPr>
          <w:p>
            <w:pPr>
              <w:ind w:left="60"/>
              <w:spacing w:after="0"/>
              <w:rPr>
                <w:sz w:val="20"/>
                <w:szCs w:val="20"/>
                <w:color w:val="auto"/>
              </w:rPr>
            </w:pPr>
            <w:r>
              <w:rPr>
                <w:rFonts w:ascii="Arial" w:cs="Arial" w:eastAsia="Arial" w:hAnsi="Arial"/>
                <w:sz w:val="18"/>
                <w:szCs w:val="18"/>
                <w:color w:val="auto"/>
              </w:rPr>
              <w:t>Compliance with Trust Indenture Act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0"/>
        </w:trPr>
        <w:tc>
          <w:tcPr>
            <w:tcW w:w="1960" w:type="dxa"/>
            <w:vAlign w:val="bottom"/>
          </w:tcPr>
          <w:p>
            <w:pPr>
              <w:ind w:left="400"/>
              <w:spacing w:after="0"/>
              <w:rPr>
                <w:sz w:val="20"/>
                <w:szCs w:val="20"/>
                <w:color w:val="auto"/>
              </w:rPr>
            </w:pPr>
            <w:r>
              <w:rPr>
                <w:rFonts w:ascii="Arial" w:cs="Arial" w:eastAsia="Arial" w:hAnsi="Arial"/>
                <w:sz w:val="18"/>
                <w:szCs w:val="18"/>
                <w:color w:val="auto"/>
              </w:rPr>
              <w:t>Section 9.5</w:t>
            </w:r>
          </w:p>
        </w:tc>
        <w:tc>
          <w:tcPr>
            <w:tcW w:w="8480" w:type="dxa"/>
            <w:vAlign w:val="bottom"/>
          </w:tcPr>
          <w:p>
            <w:pPr>
              <w:ind w:left="60"/>
              <w:spacing w:after="0"/>
              <w:rPr>
                <w:sz w:val="20"/>
                <w:szCs w:val="20"/>
                <w:color w:val="auto"/>
              </w:rPr>
            </w:pPr>
            <w:r>
              <w:rPr>
                <w:rFonts w:ascii="Arial" w:cs="Arial" w:eastAsia="Arial" w:hAnsi="Arial"/>
                <w:sz w:val="18"/>
                <w:szCs w:val="18"/>
                <w:color w:val="auto"/>
              </w:rPr>
              <w:t>Revocation and Effect of Consents</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432"/>
        </w:trPr>
        <w:tc>
          <w:tcPr>
            <w:tcW w:w="1960" w:type="dxa"/>
            <w:vAlign w:val="bottom"/>
          </w:tcPr>
          <w:p>
            <w:pPr>
              <w:spacing w:after="0"/>
              <w:rPr>
                <w:sz w:val="24"/>
                <w:szCs w:val="24"/>
                <w:color w:val="auto"/>
              </w:rPr>
            </w:pPr>
          </w:p>
        </w:tc>
        <w:tc>
          <w:tcPr>
            <w:tcW w:w="8480" w:type="dxa"/>
            <w:vAlign w:val="bottom"/>
          </w:tcPr>
          <w:p>
            <w:pPr>
              <w:jc w:val="center"/>
              <w:ind w:right="890"/>
              <w:spacing w:after="0"/>
              <w:rPr>
                <w:sz w:val="20"/>
                <w:szCs w:val="20"/>
                <w:color w:val="auto"/>
              </w:rPr>
            </w:pPr>
            <w:r>
              <w:rPr>
                <w:rFonts w:ascii="Arial" w:cs="Arial" w:eastAsia="Arial" w:hAnsi="Arial"/>
                <w:sz w:val="18"/>
                <w:szCs w:val="18"/>
                <w:color w:val="auto"/>
              </w:rPr>
              <w:t>ii</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960" w:type="dxa"/>
            <w:vAlign w:val="bottom"/>
            <w:tcBorders>
              <w:bottom w:val="single" w:sz="8" w:color="808080"/>
            </w:tcBorders>
          </w:tcPr>
          <w:p>
            <w:pPr>
              <w:spacing w:after="0"/>
              <w:rPr>
                <w:sz w:val="11"/>
                <w:szCs w:val="11"/>
                <w:color w:val="auto"/>
              </w:rPr>
            </w:pPr>
          </w:p>
        </w:tc>
        <w:tc>
          <w:tcPr>
            <w:tcW w:w="848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62"/>
        </w:trPr>
        <w:tc>
          <w:tcPr>
            <w:tcW w:w="1960" w:type="dxa"/>
            <w:vAlign w:val="bottom"/>
          </w:tcPr>
          <w:p>
            <w:pPr>
              <w:spacing w:after="0"/>
              <w:rPr>
                <w:sz w:val="24"/>
                <w:szCs w:val="24"/>
                <w:color w:val="auto"/>
              </w:rPr>
            </w:pPr>
          </w:p>
        </w:tc>
        <w:tc>
          <w:tcPr>
            <w:tcW w:w="8480" w:type="dxa"/>
            <w:vAlign w:val="bottom"/>
          </w:tcPr>
          <w:p>
            <w:pPr>
              <w:jc w:val="center"/>
              <w:ind w:right="870"/>
              <w:spacing w:after="0"/>
              <w:rPr>
                <w:sz w:val="20"/>
                <w:szCs w:val="20"/>
                <w:color w:val="auto"/>
              </w:rPr>
            </w:pPr>
            <w:r>
              <w:rPr>
                <w:rFonts w:ascii="Arial" w:cs="Arial" w:eastAsia="Arial" w:hAnsi="Arial"/>
                <w:sz w:val="18"/>
                <w:szCs w:val="18"/>
                <w:b w:val="1"/>
                <w:bCs w:val="1"/>
                <w:color w:val="auto"/>
                <w:w w:val="98"/>
              </w:rPr>
              <w:t>TABLE OF CONTENTS</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960" w:type="dxa"/>
            <w:vAlign w:val="bottom"/>
          </w:tcPr>
          <w:p>
            <w:pPr>
              <w:spacing w:after="0"/>
              <w:rPr>
                <w:sz w:val="20"/>
                <w:szCs w:val="20"/>
                <w:color w:val="auto"/>
              </w:rPr>
            </w:pPr>
          </w:p>
        </w:tc>
        <w:tc>
          <w:tcPr>
            <w:tcW w:w="8480" w:type="dxa"/>
            <w:vAlign w:val="bottom"/>
          </w:tcPr>
          <w:p>
            <w:pPr>
              <w:jc w:val="center"/>
              <w:ind w:right="890"/>
              <w:spacing w:after="0"/>
              <w:rPr>
                <w:sz w:val="20"/>
                <w:szCs w:val="20"/>
                <w:color w:val="auto"/>
              </w:rPr>
            </w:pPr>
            <w:r>
              <w:rPr>
                <w:rFonts w:ascii="Arial" w:cs="Arial" w:eastAsia="Arial" w:hAnsi="Arial"/>
                <w:sz w:val="18"/>
                <w:szCs w:val="18"/>
                <w:b w:val="1"/>
                <w:bCs w:val="1"/>
                <w:color w:val="auto"/>
                <w:w w:val="93"/>
              </w:rPr>
              <w:t>(Continued)</w:t>
            </w: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1960" w:type="dxa"/>
            <w:vAlign w:val="bottom"/>
            <w:vMerge w:val="restart"/>
          </w:tcPr>
          <w:p>
            <w:pPr>
              <w:ind w:left="400"/>
              <w:spacing w:after="0"/>
              <w:rPr>
                <w:sz w:val="20"/>
                <w:szCs w:val="20"/>
                <w:color w:val="auto"/>
              </w:rPr>
            </w:pPr>
            <w:r>
              <w:rPr>
                <w:rFonts w:ascii="Arial" w:cs="Arial" w:eastAsia="Arial" w:hAnsi="Arial"/>
                <w:sz w:val="18"/>
                <w:szCs w:val="18"/>
                <w:color w:val="auto"/>
              </w:rPr>
              <w:t>Section 9.6</w:t>
            </w:r>
          </w:p>
        </w:tc>
        <w:tc>
          <w:tcPr>
            <w:tcW w:w="8480" w:type="dxa"/>
            <w:vAlign w:val="bottom"/>
            <w:vMerge w:val="restart"/>
          </w:tcPr>
          <w:p>
            <w:pPr>
              <w:ind w:left="60"/>
              <w:spacing w:after="0"/>
              <w:rPr>
                <w:sz w:val="20"/>
                <w:szCs w:val="20"/>
                <w:color w:val="auto"/>
              </w:rPr>
            </w:pPr>
            <w:r>
              <w:rPr>
                <w:rFonts w:ascii="Arial" w:cs="Arial" w:eastAsia="Arial" w:hAnsi="Arial"/>
                <w:sz w:val="18"/>
                <w:szCs w:val="18"/>
                <w:color w:val="auto"/>
              </w:rPr>
              <w:t>Notation on or Exchange of Securities</w:t>
            </w:r>
          </w:p>
        </w:tc>
        <w:tc>
          <w:tcPr>
            <w:tcW w:w="10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5"/>
        </w:trPr>
        <w:tc>
          <w:tcPr>
            <w:tcW w:w="1960" w:type="dxa"/>
            <w:vAlign w:val="bottom"/>
            <w:vMerge w:val="continue"/>
          </w:tcPr>
          <w:p>
            <w:pPr>
              <w:spacing w:after="0"/>
              <w:rPr>
                <w:sz w:val="16"/>
                <w:szCs w:val="16"/>
                <w:color w:val="auto"/>
              </w:rPr>
            </w:pPr>
          </w:p>
        </w:tc>
        <w:tc>
          <w:tcPr>
            <w:tcW w:w="8480" w:type="dxa"/>
            <w:vAlign w:val="bottom"/>
            <w:vMerge w:val="continue"/>
          </w:tcPr>
          <w:p>
            <w:pPr>
              <w:spacing w:after="0"/>
              <w:rPr>
                <w:sz w:val="16"/>
                <w:szCs w:val="16"/>
                <w:color w:val="auto"/>
              </w:rPr>
            </w:pPr>
          </w:p>
        </w:tc>
        <w:tc>
          <w:tcPr>
            <w:tcW w:w="9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960" w:type="dxa"/>
            <w:vAlign w:val="bottom"/>
          </w:tcPr>
          <w:p>
            <w:pPr>
              <w:ind w:left="400"/>
              <w:spacing w:after="0"/>
              <w:rPr>
                <w:sz w:val="20"/>
                <w:szCs w:val="20"/>
                <w:color w:val="auto"/>
              </w:rPr>
            </w:pPr>
            <w:r>
              <w:rPr>
                <w:rFonts w:ascii="Arial" w:cs="Arial" w:eastAsia="Arial" w:hAnsi="Arial"/>
                <w:sz w:val="18"/>
                <w:szCs w:val="18"/>
                <w:color w:val="auto"/>
              </w:rPr>
              <w:t>Section 9.7</w:t>
            </w:r>
          </w:p>
        </w:tc>
        <w:tc>
          <w:tcPr>
            <w:tcW w:w="8480" w:type="dxa"/>
            <w:vAlign w:val="bottom"/>
          </w:tcPr>
          <w:p>
            <w:pPr>
              <w:ind w:left="60"/>
              <w:spacing w:after="0"/>
              <w:rPr>
                <w:sz w:val="20"/>
                <w:szCs w:val="20"/>
                <w:color w:val="auto"/>
              </w:rPr>
            </w:pPr>
            <w:r>
              <w:rPr>
                <w:rFonts w:ascii="Arial" w:cs="Arial" w:eastAsia="Arial" w:hAnsi="Arial"/>
                <w:sz w:val="18"/>
                <w:szCs w:val="18"/>
                <w:color w:val="auto"/>
              </w:rPr>
              <w:t>Trustee Protected</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432"/>
        </w:trPr>
        <w:tc>
          <w:tcPr>
            <w:tcW w:w="10440" w:type="dxa"/>
            <w:vAlign w:val="bottom"/>
            <w:gridSpan w:val="2"/>
          </w:tcPr>
          <w:p>
            <w:pPr>
              <w:spacing w:after="0"/>
              <w:rPr>
                <w:sz w:val="20"/>
                <w:szCs w:val="20"/>
                <w:color w:val="auto"/>
              </w:rPr>
            </w:pPr>
            <w:r>
              <w:rPr>
                <w:rFonts w:ascii="Arial" w:cs="Arial" w:eastAsia="Arial" w:hAnsi="Arial"/>
                <w:sz w:val="18"/>
                <w:szCs w:val="18"/>
                <w:color w:val="auto"/>
              </w:rPr>
              <w:t>ARTICLE X MISCELLANEOUS</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418"/>
        </w:trPr>
        <w:tc>
          <w:tcPr>
            <w:tcW w:w="1960" w:type="dxa"/>
            <w:vAlign w:val="bottom"/>
          </w:tcPr>
          <w:p>
            <w:pPr>
              <w:ind w:left="400"/>
              <w:spacing w:after="0"/>
              <w:rPr>
                <w:sz w:val="20"/>
                <w:szCs w:val="20"/>
                <w:color w:val="auto"/>
              </w:rPr>
            </w:pPr>
            <w:r>
              <w:rPr>
                <w:rFonts w:ascii="Arial" w:cs="Arial" w:eastAsia="Arial" w:hAnsi="Arial"/>
                <w:sz w:val="18"/>
                <w:szCs w:val="18"/>
                <w:color w:val="auto"/>
              </w:rPr>
              <w:t>Section 10.1</w:t>
            </w:r>
          </w:p>
        </w:tc>
        <w:tc>
          <w:tcPr>
            <w:tcW w:w="8480" w:type="dxa"/>
            <w:vAlign w:val="bottom"/>
          </w:tcPr>
          <w:p>
            <w:pPr>
              <w:ind w:left="60"/>
              <w:spacing w:after="0"/>
              <w:rPr>
                <w:sz w:val="20"/>
                <w:szCs w:val="20"/>
                <w:color w:val="auto"/>
              </w:rPr>
            </w:pPr>
            <w:r>
              <w:rPr>
                <w:rFonts w:ascii="Arial" w:cs="Arial" w:eastAsia="Arial" w:hAnsi="Arial"/>
                <w:sz w:val="18"/>
                <w:szCs w:val="18"/>
                <w:color w:val="auto"/>
              </w:rPr>
              <w:t>Trust Indenture Act Controls</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1960" w:type="dxa"/>
            <w:vAlign w:val="bottom"/>
          </w:tcPr>
          <w:p>
            <w:pPr>
              <w:ind w:left="400"/>
              <w:spacing w:after="0"/>
              <w:rPr>
                <w:sz w:val="20"/>
                <w:szCs w:val="20"/>
                <w:color w:val="auto"/>
              </w:rPr>
            </w:pPr>
            <w:r>
              <w:rPr>
                <w:rFonts w:ascii="Arial" w:cs="Arial" w:eastAsia="Arial" w:hAnsi="Arial"/>
                <w:sz w:val="18"/>
                <w:szCs w:val="18"/>
                <w:color w:val="auto"/>
              </w:rPr>
              <w:t>Section 10.2</w:t>
            </w:r>
          </w:p>
        </w:tc>
        <w:tc>
          <w:tcPr>
            <w:tcW w:w="8480" w:type="dxa"/>
            <w:vAlign w:val="bottom"/>
          </w:tcPr>
          <w:p>
            <w:pPr>
              <w:ind w:left="60"/>
              <w:spacing w:after="0"/>
              <w:rPr>
                <w:sz w:val="20"/>
                <w:szCs w:val="20"/>
                <w:color w:val="auto"/>
              </w:rPr>
            </w:pPr>
            <w:r>
              <w:rPr>
                <w:rFonts w:ascii="Arial" w:cs="Arial" w:eastAsia="Arial" w:hAnsi="Arial"/>
                <w:sz w:val="18"/>
                <w:szCs w:val="18"/>
                <w:color w:val="auto"/>
              </w:rPr>
              <w:t>Notices</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1960" w:type="dxa"/>
            <w:vAlign w:val="bottom"/>
          </w:tcPr>
          <w:p>
            <w:pPr>
              <w:ind w:left="400"/>
              <w:spacing w:after="0"/>
              <w:rPr>
                <w:sz w:val="20"/>
                <w:szCs w:val="20"/>
                <w:color w:val="auto"/>
              </w:rPr>
            </w:pPr>
            <w:r>
              <w:rPr>
                <w:rFonts w:ascii="Arial" w:cs="Arial" w:eastAsia="Arial" w:hAnsi="Arial"/>
                <w:sz w:val="18"/>
                <w:szCs w:val="18"/>
                <w:color w:val="auto"/>
              </w:rPr>
              <w:t>Section 10.3</w:t>
            </w:r>
          </w:p>
        </w:tc>
        <w:tc>
          <w:tcPr>
            <w:tcW w:w="8480" w:type="dxa"/>
            <w:vAlign w:val="bottom"/>
          </w:tcPr>
          <w:p>
            <w:pPr>
              <w:ind w:left="60"/>
              <w:spacing w:after="0"/>
              <w:rPr>
                <w:sz w:val="20"/>
                <w:szCs w:val="20"/>
                <w:color w:val="auto"/>
              </w:rPr>
            </w:pPr>
            <w:r>
              <w:rPr>
                <w:rFonts w:ascii="Arial" w:cs="Arial" w:eastAsia="Arial" w:hAnsi="Arial"/>
                <w:sz w:val="18"/>
                <w:szCs w:val="18"/>
                <w:color w:val="auto"/>
              </w:rPr>
              <w:t>Communication by Holders with Other Holders</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1960" w:type="dxa"/>
            <w:vAlign w:val="bottom"/>
          </w:tcPr>
          <w:p>
            <w:pPr>
              <w:ind w:left="400"/>
              <w:spacing w:after="0"/>
              <w:rPr>
                <w:sz w:val="20"/>
                <w:szCs w:val="20"/>
                <w:color w:val="auto"/>
              </w:rPr>
            </w:pPr>
            <w:r>
              <w:rPr>
                <w:rFonts w:ascii="Arial" w:cs="Arial" w:eastAsia="Arial" w:hAnsi="Arial"/>
                <w:sz w:val="18"/>
                <w:szCs w:val="18"/>
                <w:color w:val="auto"/>
              </w:rPr>
              <w:t>Section 10.4</w:t>
            </w:r>
          </w:p>
        </w:tc>
        <w:tc>
          <w:tcPr>
            <w:tcW w:w="8480" w:type="dxa"/>
            <w:vAlign w:val="bottom"/>
          </w:tcPr>
          <w:p>
            <w:pPr>
              <w:ind w:left="60"/>
              <w:spacing w:after="0"/>
              <w:rPr>
                <w:sz w:val="20"/>
                <w:szCs w:val="20"/>
                <w:color w:val="auto"/>
              </w:rPr>
            </w:pPr>
            <w:r>
              <w:rPr>
                <w:rFonts w:ascii="Arial" w:cs="Arial" w:eastAsia="Arial" w:hAnsi="Arial"/>
                <w:sz w:val="18"/>
                <w:szCs w:val="18"/>
                <w:color w:val="auto"/>
              </w:rPr>
              <w:t>Certificate and Opinion as to Conditions Precedent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1960" w:type="dxa"/>
            <w:vAlign w:val="bottom"/>
          </w:tcPr>
          <w:p>
            <w:pPr>
              <w:ind w:left="400"/>
              <w:spacing w:after="0"/>
              <w:rPr>
                <w:sz w:val="20"/>
                <w:szCs w:val="20"/>
                <w:color w:val="auto"/>
              </w:rPr>
            </w:pPr>
            <w:r>
              <w:rPr>
                <w:rFonts w:ascii="Arial" w:cs="Arial" w:eastAsia="Arial" w:hAnsi="Arial"/>
                <w:sz w:val="18"/>
                <w:szCs w:val="18"/>
                <w:color w:val="auto"/>
              </w:rPr>
              <w:t>Section 10.5</w:t>
            </w:r>
          </w:p>
        </w:tc>
        <w:tc>
          <w:tcPr>
            <w:tcW w:w="8480" w:type="dxa"/>
            <w:vAlign w:val="bottom"/>
          </w:tcPr>
          <w:p>
            <w:pPr>
              <w:ind w:left="60"/>
              <w:spacing w:after="0"/>
              <w:rPr>
                <w:sz w:val="20"/>
                <w:szCs w:val="20"/>
                <w:color w:val="auto"/>
              </w:rPr>
            </w:pPr>
            <w:r>
              <w:rPr>
                <w:rFonts w:ascii="Arial" w:cs="Arial" w:eastAsia="Arial" w:hAnsi="Arial"/>
                <w:sz w:val="18"/>
                <w:szCs w:val="18"/>
                <w:color w:val="auto"/>
              </w:rPr>
              <w:t>Statements Required in Certificate or Opinion</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1960" w:type="dxa"/>
            <w:vAlign w:val="bottom"/>
          </w:tcPr>
          <w:p>
            <w:pPr>
              <w:ind w:left="400"/>
              <w:spacing w:after="0"/>
              <w:rPr>
                <w:sz w:val="20"/>
                <w:szCs w:val="20"/>
                <w:color w:val="auto"/>
              </w:rPr>
            </w:pPr>
            <w:r>
              <w:rPr>
                <w:rFonts w:ascii="Arial" w:cs="Arial" w:eastAsia="Arial" w:hAnsi="Arial"/>
                <w:sz w:val="18"/>
                <w:szCs w:val="18"/>
                <w:color w:val="auto"/>
              </w:rPr>
              <w:t>Section 10.6</w:t>
            </w:r>
          </w:p>
        </w:tc>
        <w:tc>
          <w:tcPr>
            <w:tcW w:w="8480" w:type="dxa"/>
            <w:vAlign w:val="bottom"/>
          </w:tcPr>
          <w:p>
            <w:pPr>
              <w:ind w:left="60"/>
              <w:spacing w:after="0"/>
              <w:rPr>
                <w:sz w:val="20"/>
                <w:szCs w:val="20"/>
                <w:color w:val="auto"/>
              </w:rPr>
            </w:pPr>
            <w:r>
              <w:rPr>
                <w:rFonts w:ascii="Arial" w:cs="Arial" w:eastAsia="Arial" w:hAnsi="Arial"/>
                <w:sz w:val="18"/>
                <w:szCs w:val="18"/>
                <w:color w:val="auto"/>
              </w:rPr>
              <w:t>Rules by Trustee and Agents</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1960" w:type="dxa"/>
            <w:vAlign w:val="bottom"/>
          </w:tcPr>
          <w:p>
            <w:pPr>
              <w:ind w:left="400"/>
              <w:spacing w:after="0"/>
              <w:rPr>
                <w:sz w:val="20"/>
                <w:szCs w:val="20"/>
                <w:color w:val="auto"/>
              </w:rPr>
            </w:pPr>
            <w:r>
              <w:rPr>
                <w:rFonts w:ascii="Arial" w:cs="Arial" w:eastAsia="Arial" w:hAnsi="Arial"/>
                <w:sz w:val="18"/>
                <w:szCs w:val="18"/>
                <w:color w:val="auto"/>
              </w:rPr>
              <w:t>Section 10.7</w:t>
            </w:r>
          </w:p>
        </w:tc>
        <w:tc>
          <w:tcPr>
            <w:tcW w:w="8480" w:type="dxa"/>
            <w:vAlign w:val="bottom"/>
          </w:tcPr>
          <w:p>
            <w:pPr>
              <w:ind w:left="60"/>
              <w:spacing w:after="0"/>
              <w:rPr>
                <w:sz w:val="20"/>
                <w:szCs w:val="20"/>
                <w:color w:val="auto"/>
              </w:rPr>
            </w:pPr>
            <w:r>
              <w:rPr>
                <w:rFonts w:ascii="Arial" w:cs="Arial" w:eastAsia="Arial" w:hAnsi="Arial"/>
                <w:sz w:val="18"/>
                <w:szCs w:val="18"/>
                <w:color w:val="auto"/>
              </w:rPr>
              <w:t>Legal Holidays</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1960" w:type="dxa"/>
            <w:vAlign w:val="bottom"/>
          </w:tcPr>
          <w:p>
            <w:pPr>
              <w:ind w:left="400"/>
              <w:spacing w:after="0"/>
              <w:rPr>
                <w:sz w:val="20"/>
                <w:szCs w:val="20"/>
                <w:color w:val="auto"/>
              </w:rPr>
            </w:pPr>
            <w:r>
              <w:rPr>
                <w:rFonts w:ascii="Arial" w:cs="Arial" w:eastAsia="Arial" w:hAnsi="Arial"/>
                <w:sz w:val="18"/>
                <w:szCs w:val="18"/>
                <w:color w:val="auto"/>
              </w:rPr>
              <w:t>Section 10.8</w:t>
            </w:r>
          </w:p>
        </w:tc>
        <w:tc>
          <w:tcPr>
            <w:tcW w:w="8480" w:type="dxa"/>
            <w:vAlign w:val="bottom"/>
          </w:tcPr>
          <w:p>
            <w:pPr>
              <w:ind w:left="60"/>
              <w:spacing w:after="0"/>
              <w:rPr>
                <w:sz w:val="20"/>
                <w:szCs w:val="20"/>
                <w:color w:val="auto"/>
              </w:rPr>
            </w:pPr>
            <w:r>
              <w:rPr>
                <w:rFonts w:ascii="Arial" w:cs="Arial" w:eastAsia="Arial" w:hAnsi="Arial"/>
                <w:sz w:val="18"/>
                <w:szCs w:val="18"/>
                <w:color w:val="auto"/>
              </w:rPr>
              <w:t>No Recourse Against Others</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1960" w:type="dxa"/>
            <w:vAlign w:val="bottom"/>
          </w:tcPr>
          <w:p>
            <w:pPr>
              <w:ind w:left="400"/>
              <w:spacing w:after="0"/>
              <w:rPr>
                <w:sz w:val="20"/>
                <w:szCs w:val="20"/>
                <w:color w:val="auto"/>
              </w:rPr>
            </w:pPr>
            <w:r>
              <w:rPr>
                <w:rFonts w:ascii="Arial" w:cs="Arial" w:eastAsia="Arial" w:hAnsi="Arial"/>
                <w:sz w:val="18"/>
                <w:szCs w:val="18"/>
                <w:color w:val="auto"/>
              </w:rPr>
              <w:t>Section 10.9</w:t>
            </w:r>
          </w:p>
        </w:tc>
        <w:tc>
          <w:tcPr>
            <w:tcW w:w="8480" w:type="dxa"/>
            <w:vAlign w:val="bottom"/>
          </w:tcPr>
          <w:p>
            <w:pPr>
              <w:ind w:left="60"/>
              <w:spacing w:after="0"/>
              <w:rPr>
                <w:sz w:val="20"/>
                <w:szCs w:val="20"/>
                <w:color w:val="auto"/>
              </w:rPr>
            </w:pPr>
            <w:r>
              <w:rPr>
                <w:rFonts w:ascii="Arial" w:cs="Arial" w:eastAsia="Arial" w:hAnsi="Arial"/>
                <w:sz w:val="18"/>
                <w:szCs w:val="18"/>
                <w:color w:val="auto"/>
              </w:rPr>
              <w:t>Counterparts</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-2822575</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-2822575</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580" w:right="199" w:bottom="0" w:gutter="0" w:footer="0" w:header="0"/>
        </w:sectPr>
      </w:pPr>
    </w:p>
    <w:bookmarkStart w:id="24" w:name="page25"/>
    <w:bookmarkEnd w:id="24"/>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00" w:type="dxa"/>
            <w:vAlign w:val="bottom"/>
          </w:tcPr>
          <w:p>
            <w:pPr>
              <w:ind w:left="400"/>
              <w:spacing w:after="0"/>
              <w:rPr>
                <w:sz w:val="20"/>
                <w:szCs w:val="20"/>
                <w:color w:val="auto"/>
              </w:rPr>
            </w:pPr>
            <w:r>
              <w:rPr>
                <w:rFonts w:ascii="Arial" w:cs="Arial" w:eastAsia="Arial" w:hAnsi="Arial"/>
                <w:sz w:val="18"/>
                <w:szCs w:val="18"/>
                <w:color w:val="auto"/>
              </w:rPr>
              <w:t>Section 10.10</w:t>
            </w:r>
          </w:p>
        </w:tc>
        <w:tc>
          <w:tcPr>
            <w:tcW w:w="5420" w:type="dxa"/>
            <w:vAlign w:val="bottom"/>
          </w:tcPr>
          <w:p>
            <w:pPr>
              <w:ind w:left="320"/>
              <w:spacing w:after="0"/>
              <w:rPr>
                <w:sz w:val="20"/>
                <w:szCs w:val="20"/>
                <w:color w:val="auto"/>
              </w:rPr>
            </w:pPr>
            <w:r>
              <w:rPr>
                <w:rFonts w:ascii="Arial" w:cs="Arial" w:eastAsia="Arial" w:hAnsi="Arial"/>
                <w:sz w:val="18"/>
                <w:szCs w:val="18"/>
                <w:color w:val="auto"/>
              </w:rPr>
              <w:t>Governing Law; Waiver of Jury Trial; Consent to Jurisdiction</w:t>
            </w:r>
          </w:p>
        </w:tc>
        <w:tc>
          <w:tcPr>
            <w:tcW w:w="4340" w:type="dxa"/>
            <w:vAlign w:val="bottom"/>
            <w:gridSpan w:val="2"/>
          </w:tcPr>
          <w:p>
            <w:pPr>
              <w:ind w:left="4120"/>
              <w:spacing w:after="0"/>
              <w:rPr>
                <w:sz w:val="20"/>
                <w:szCs w:val="20"/>
                <w:color w:val="auto"/>
              </w:rPr>
            </w:pPr>
            <w:r>
              <w:rPr>
                <w:rFonts w:ascii="Arial" w:cs="Arial" w:eastAsia="Arial" w:hAnsi="Arial"/>
                <w:sz w:val="18"/>
                <w:szCs w:val="18"/>
                <w:color w:val="auto"/>
                <w:w w:val="99"/>
              </w:rPr>
              <w:t>42</w:t>
            </w:r>
          </w:p>
        </w:tc>
      </w:tr>
      <w:tr>
        <w:trPr>
          <w:trHeight w:val="216"/>
        </w:trPr>
        <w:tc>
          <w:tcPr>
            <w:tcW w:w="1700" w:type="dxa"/>
            <w:vAlign w:val="bottom"/>
          </w:tcPr>
          <w:p>
            <w:pPr>
              <w:ind w:left="400"/>
              <w:spacing w:after="0"/>
              <w:rPr>
                <w:sz w:val="20"/>
                <w:szCs w:val="20"/>
                <w:color w:val="auto"/>
              </w:rPr>
            </w:pPr>
            <w:r>
              <w:rPr>
                <w:rFonts w:ascii="Arial" w:cs="Arial" w:eastAsia="Arial" w:hAnsi="Arial"/>
                <w:sz w:val="18"/>
                <w:szCs w:val="18"/>
                <w:color w:val="auto"/>
              </w:rPr>
              <w:t>Section 10.11</w:t>
            </w:r>
          </w:p>
        </w:tc>
        <w:tc>
          <w:tcPr>
            <w:tcW w:w="5420" w:type="dxa"/>
            <w:vAlign w:val="bottom"/>
          </w:tcPr>
          <w:p>
            <w:pPr>
              <w:ind w:left="320"/>
              <w:spacing w:after="0"/>
              <w:rPr>
                <w:sz w:val="20"/>
                <w:szCs w:val="20"/>
                <w:color w:val="auto"/>
              </w:rPr>
            </w:pPr>
            <w:r>
              <w:rPr>
                <w:rFonts w:ascii="Arial" w:cs="Arial" w:eastAsia="Arial" w:hAnsi="Arial"/>
                <w:sz w:val="18"/>
                <w:szCs w:val="18"/>
                <w:color w:val="auto"/>
              </w:rPr>
              <w:t>No Adverse Interpretation of Other Agreements</w:t>
            </w:r>
          </w:p>
        </w:tc>
        <w:tc>
          <w:tcPr>
            <w:tcW w:w="4340" w:type="dxa"/>
            <w:vAlign w:val="bottom"/>
            <w:gridSpan w:val="2"/>
          </w:tcPr>
          <w:p>
            <w:pPr>
              <w:ind w:left="4120"/>
              <w:spacing w:after="0"/>
              <w:rPr>
                <w:sz w:val="20"/>
                <w:szCs w:val="20"/>
                <w:color w:val="auto"/>
              </w:rPr>
            </w:pPr>
            <w:r>
              <w:rPr>
                <w:rFonts w:ascii="Arial" w:cs="Arial" w:eastAsia="Arial" w:hAnsi="Arial"/>
                <w:sz w:val="18"/>
                <w:szCs w:val="18"/>
                <w:color w:val="auto"/>
                <w:w w:val="99"/>
              </w:rPr>
              <w:t>43</w:t>
            </w:r>
          </w:p>
        </w:tc>
      </w:tr>
      <w:tr>
        <w:trPr>
          <w:trHeight w:val="216"/>
        </w:trPr>
        <w:tc>
          <w:tcPr>
            <w:tcW w:w="1700" w:type="dxa"/>
            <w:vAlign w:val="bottom"/>
          </w:tcPr>
          <w:p>
            <w:pPr>
              <w:ind w:left="400"/>
              <w:spacing w:after="0"/>
              <w:rPr>
                <w:sz w:val="20"/>
                <w:szCs w:val="20"/>
                <w:color w:val="auto"/>
              </w:rPr>
            </w:pPr>
            <w:r>
              <w:rPr>
                <w:rFonts w:ascii="Arial" w:cs="Arial" w:eastAsia="Arial" w:hAnsi="Arial"/>
                <w:sz w:val="18"/>
                <w:szCs w:val="18"/>
                <w:color w:val="auto"/>
              </w:rPr>
              <w:t>Section 10.12</w:t>
            </w:r>
          </w:p>
        </w:tc>
        <w:tc>
          <w:tcPr>
            <w:tcW w:w="5420" w:type="dxa"/>
            <w:vAlign w:val="bottom"/>
          </w:tcPr>
          <w:p>
            <w:pPr>
              <w:ind w:left="320"/>
              <w:spacing w:after="0"/>
              <w:rPr>
                <w:sz w:val="20"/>
                <w:szCs w:val="20"/>
                <w:color w:val="auto"/>
              </w:rPr>
            </w:pPr>
            <w:r>
              <w:rPr>
                <w:rFonts w:ascii="Arial" w:cs="Arial" w:eastAsia="Arial" w:hAnsi="Arial"/>
                <w:sz w:val="18"/>
                <w:szCs w:val="18"/>
                <w:color w:val="auto"/>
              </w:rPr>
              <w:t>Successors</w:t>
            </w:r>
          </w:p>
        </w:tc>
        <w:tc>
          <w:tcPr>
            <w:tcW w:w="4340" w:type="dxa"/>
            <w:vAlign w:val="bottom"/>
            <w:gridSpan w:val="2"/>
          </w:tcPr>
          <w:p>
            <w:pPr>
              <w:ind w:left="4120"/>
              <w:spacing w:after="0"/>
              <w:rPr>
                <w:sz w:val="20"/>
                <w:szCs w:val="20"/>
                <w:color w:val="auto"/>
              </w:rPr>
            </w:pPr>
            <w:r>
              <w:rPr>
                <w:rFonts w:ascii="Arial" w:cs="Arial" w:eastAsia="Arial" w:hAnsi="Arial"/>
                <w:sz w:val="18"/>
                <w:szCs w:val="18"/>
                <w:color w:val="auto"/>
                <w:w w:val="99"/>
              </w:rPr>
              <w:t>43</w:t>
            </w:r>
          </w:p>
        </w:tc>
      </w:tr>
      <w:tr>
        <w:trPr>
          <w:trHeight w:val="216"/>
        </w:trPr>
        <w:tc>
          <w:tcPr>
            <w:tcW w:w="1700" w:type="dxa"/>
            <w:vAlign w:val="bottom"/>
          </w:tcPr>
          <w:p>
            <w:pPr>
              <w:ind w:left="400"/>
              <w:spacing w:after="0"/>
              <w:rPr>
                <w:sz w:val="20"/>
                <w:szCs w:val="20"/>
                <w:color w:val="auto"/>
              </w:rPr>
            </w:pPr>
            <w:r>
              <w:rPr>
                <w:rFonts w:ascii="Arial" w:cs="Arial" w:eastAsia="Arial" w:hAnsi="Arial"/>
                <w:sz w:val="18"/>
                <w:szCs w:val="18"/>
                <w:color w:val="auto"/>
              </w:rPr>
              <w:t>Section 10.13</w:t>
            </w:r>
          </w:p>
        </w:tc>
        <w:tc>
          <w:tcPr>
            <w:tcW w:w="5420" w:type="dxa"/>
            <w:vAlign w:val="bottom"/>
          </w:tcPr>
          <w:p>
            <w:pPr>
              <w:ind w:left="320"/>
              <w:spacing w:after="0"/>
              <w:rPr>
                <w:sz w:val="20"/>
                <w:szCs w:val="20"/>
                <w:color w:val="auto"/>
              </w:rPr>
            </w:pPr>
            <w:r>
              <w:rPr>
                <w:rFonts w:ascii="Arial" w:cs="Arial" w:eastAsia="Arial" w:hAnsi="Arial"/>
                <w:sz w:val="18"/>
                <w:szCs w:val="18"/>
                <w:color w:val="auto"/>
              </w:rPr>
              <w:t>Severability</w:t>
            </w:r>
          </w:p>
        </w:tc>
        <w:tc>
          <w:tcPr>
            <w:tcW w:w="4340" w:type="dxa"/>
            <w:vAlign w:val="bottom"/>
            <w:gridSpan w:val="2"/>
          </w:tcPr>
          <w:p>
            <w:pPr>
              <w:ind w:left="4120"/>
              <w:spacing w:after="0"/>
              <w:rPr>
                <w:sz w:val="20"/>
                <w:szCs w:val="20"/>
                <w:color w:val="auto"/>
              </w:rPr>
            </w:pPr>
            <w:r>
              <w:rPr>
                <w:rFonts w:ascii="Arial" w:cs="Arial" w:eastAsia="Arial" w:hAnsi="Arial"/>
                <w:sz w:val="18"/>
                <w:szCs w:val="18"/>
                <w:color w:val="auto"/>
                <w:w w:val="99"/>
              </w:rPr>
              <w:t>43</w:t>
            </w:r>
          </w:p>
        </w:tc>
      </w:tr>
      <w:tr>
        <w:trPr>
          <w:trHeight w:val="216"/>
        </w:trPr>
        <w:tc>
          <w:tcPr>
            <w:tcW w:w="1700" w:type="dxa"/>
            <w:vAlign w:val="bottom"/>
          </w:tcPr>
          <w:p>
            <w:pPr>
              <w:ind w:left="400"/>
              <w:spacing w:after="0"/>
              <w:rPr>
                <w:sz w:val="20"/>
                <w:szCs w:val="20"/>
                <w:color w:val="auto"/>
              </w:rPr>
            </w:pPr>
            <w:r>
              <w:rPr>
                <w:rFonts w:ascii="Arial" w:cs="Arial" w:eastAsia="Arial" w:hAnsi="Arial"/>
                <w:sz w:val="18"/>
                <w:szCs w:val="18"/>
                <w:color w:val="auto"/>
              </w:rPr>
              <w:t>Section 10.14</w:t>
            </w:r>
          </w:p>
        </w:tc>
        <w:tc>
          <w:tcPr>
            <w:tcW w:w="5420" w:type="dxa"/>
            <w:vAlign w:val="bottom"/>
          </w:tcPr>
          <w:p>
            <w:pPr>
              <w:ind w:left="320"/>
              <w:spacing w:after="0"/>
              <w:rPr>
                <w:sz w:val="20"/>
                <w:szCs w:val="20"/>
                <w:color w:val="auto"/>
              </w:rPr>
            </w:pPr>
            <w:r>
              <w:rPr>
                <w:rFonts w:ascii="Arial" w:cs="Arial" w:eastAsia="Arial" w:hAnsi="Arial"/>
                <w:sz w:val="18"/>
                <w:szCs w:val="18"/>
                <w:color w:val="auto"/>
              </w:rPr>
              <w:t>Table of Contents, Headings, Etc.</w:t>
            </w:r>
          </w:p>
        </w:tc>
        <w:tc>
          <w:tcPr>
            <w:tcW w:w="4340" w:type="dxa"/>
            <w:vAlign w:val="bottom"/>
            <w:gridSpan w:val="2"/>
          </w:tcPr>
          <w:p>
            <w:pPr>
              <w:ind w:left="4120"/>
              <w:spacing w:after="0"/>
              <w:rPr>
                <w:sz w:val="20"/>
                <w:szCs w:val="20"/>
                <w:color w:val="auto"/>
              </w:rPr>
            </w:pPr>
            <w:r>
              <w:rPr>
                <w:rFonts w:ascii="Arial" w:cs="Arial" w:eastAsia="Arial" w:hAnsi="Arial"/>
                <w:sz w:val="18"/>
                <w:szCs w:val="18"/>
                <w:color w:val="auto"/>
                <w:w w:val="99"/>
              </w:rPr>
              <w:t>43</w:t>
            </w:r>
          </w:p>
        </w:tc>
      </w:tr>
      <w:tr>
        <w:trPr>
          <w:trHeight w:val="216"/>
        </w:trPr>
        <w:tc>
          <w:tcPr>
            <w:tcW w:w="1700" w:type="dxa"/>
            <w:vAlign w:val="bottom"/>
          </w:tcPr>
          <w:p>
            <w:pPr>
              <w:ind w:left="400"/>
              <w:spacing w:after="0"/>
              <w:rPr>
                <w:sz w:val="20"/>
                <w:szCs w:val="20"/>
                <w:color w:val="auto"/>
              </w:rPr>
            </w:pPr>
            <w:r>
              <w:rPr>
                <w:rFonts w:ascii="Arial" w:cs="Arial" w:eastAsia="Arial" w:hAnsi="Arial"/>
                <w:sz w:val="18"/>
                <w:szCs w:val="18"/>
                <w:color w:val="auto"/>
              </w:rPr>
              <w:t>Section 10.15</w:t>
            </w:r>
          </w:p>
        </w:tc>
        <w:tc>
          <w:tcPr>
            <w:tcW w:w="5420" w:type="dxa"/>
            <w:vAlign w:val="bottom"/>
          </w:tcPr>
          <w:p>
            <w:pPr>
              <w:ind w:left="320"/>
              <w:spacing w:after="0"/>
              <w:rPr>
                <w:sz w:val="20"/>
                <w:szCs w:val="20"/>
                <w:color w:val="auto"/>
              </w:rPr>
            </w:pPr>
            <w:r>
              <w:rPr>
                <w:rFonts w:ascii="Arial" w:cs="Arial" w:eastAsia="Arial" w:hAnsi="Arial"/>
                <w:sz w:val="18"/>
                <w:szCs w:val="18"/>
                <w:color w:val="auto"/>
              </w:rPr>
              <w:t>Securities in a Foreign Currency</w:t>
            </w:r>
          </w:p>
        </w:tc>
        <w:tc>
          <w:tcPr>
            <w:tcW w:w="4340" w:type="dxa"/>
            <w:vAlign w:val="bottom"/>
            <w:gridSpan w:val="2"/>
          </w:tcPr>
          <w:p>
            <w:pPr>
              <w:ind w:left="4120"/>
              <w:spacing w:after="0"/>
              <w:rPr>
                <w:sz w:val="20"/>
                <w:szCs w:val="20"/>
                <w:color w:val="auto"/>
              </w:rPr>
            </w:pPr>
            <w:r>
              <w:rPr>
                <w:rFonts w:ascii="Arial" w:cs="Arial" w:eastAsia="Arial" w:hAnsi="Arial"/>
                <w:sz w:val="18"/>
                <w:szCs w:val="18"/>
                <w:color w:val="auto"/>
                <w:w w:val="99"/>
              </w:rPr>
              <w:t>44</w:t>
            </w:r>
          </w:p>
        </w:tc>
      </w:tr>
      <w:tr>
        <w:trPr>
          <w:trHeight w:val="216"/>
        </w:trPr>
        <w:tc>
          <w:tcPr>
            <w:tcW w:w="1700" w:type="dxa"/>
            <w:vAlign w:val="bottom"/>
          </w:tcPr>
          <w:p>
            <w:pPr>
              <w:ind w:left="400"/>
              <w:spacing w:after="0"/>
              <w:rPr>
                <w:sz w:val="20"/>
                <w:szCs w:val="20"/>
                <w:color w:val="auto"/>
              </w:rPr>
            </w:pPr>
            <w:r>
              <w:rPr>
                <w:rFonts w:ascii="Arial" w:cs="Arial" w:eastAsia="Arial" w:hAnsi="Arial"/>
                <w:sz w:val="18"/>
                <w:szCs w:val="18"/>
                <w:color w:val="auto"/>
              </w:rPr>
              <w:t>Section 10.16</w:t>
            </w:r>
          </w:p>
        </w:tc>
        <w:tc>
          <w:tcPr>
            <w:tcW w:w="5420" w:type="dxa"/>
            <w:vAlign w:val="bottom"/>
          </w:tcPr>
          <w:p>
            <w:pPr>
              <w:ind w:left="320"/>
              <w:spacing w:after="0"/>
              <w:rPr>
                <w:sz w:val="20"/>
                <w:szCs w:val="20"/>
                <w:color w:val="auto"/>
              </w:rPr>
            </w:pPr>
            <w:r>
              <w:rPr>
                <w:rFonts w:ascii="Arial" w:cs="Arial" w:eastAsia="Arial" w:hAnsi="Arial"/>
                <w:sz w:val="18"/>
                <w:szCs w:val="18"/>
                <w:color w:val="auto"/>
              </w:rPr>
              <w:t>Judgment Currency</w:t>
            </w:r>
          </w:p>
        </w:tc>
        <w:tc>
          <w:tcPr>
            <w:tcW w:w="4340" w:type="dxa"/>
            <w:vAlign w:val="bottom"/>
            <w:gridSpan w:val="2"/>
          </w:tcPr>
          <w:p>
            <w:pPr>
              <w:ind w:left="4120"/>
              <w:spacing w:after="0"/>
              <w:rPr>
                <w:sz w:val="20"/>
                <w:szCs w:val="20"/>
                <w:color w:val="auto"/>
              </w:rPr>
            </w:pPr>
            <w:r>
              <w:rPr>
                <w:rFonts w:ascii="Arial" w:cs="Arial" w:eastAsia="Arial" w:hAnsi="Arial"/>
                <w:sz w:val="18"/>
                <w:szCs w:val="18"/>
                <w:color w:val="auto"/>
                <w:w w:val="99"/>
              </w:rPr>
              <w:t>44</w:t>
            </w:r>
          </w:p>
        </w:tc>
      </w:tr>
      <w:tr>
        <w:trPr>
          <w:trHeight w:val="230"/>
        </w:trPr>
        <w:tc>
          <w:tcPr>
            <w:tcW w:w="1700" w:type="dxa"/>
            <w:vAlign w:val="bottom"/>
          </w:tcPr>
          <w:p>
            <w:pPr>
              <w:ind w:left="400"/>
              <w:spacing w:after="0"/>
              <w:rPr>
                <w:sz w:val="20"/>
                <w:szCs w:val="20"/>
                <w:color w:val="auto"/>
              </w:rPr>
            </w:pPr>
            <w:r>
              <w:rPr>
                <w:rFonts w:ascii="Arial" w:cs="Arial" w:eastAsia="Arial" w:hAnsi="Arial"/>
                <w:sz w:val="18"/>
                <w:szCs w:val="18"/>
                <w:color w:val="auto"/>
              </w:rPr>
              <w:t>Section 10.17</w:t>
            </w:r>
          </w:p>
        </w:tc>
        <w:tc>
          <w:tcPr>
            <w:tcW w:w="5420" w:type="dxa"/>
            <w:vAlign w:val="bottom"/>
          </w:tcPr>
          <w:p>
            <w:pPr>
              <w:ind w:left="320"/>
              <w:spacing w:after="0"/>
              <w:rPr>
                <w:sz w:val="20"/>
                <w:szCs w:val="20"/>
                <w:color w:val="auto"/>
              </w:rPr>
            </w:pPr>
            <w:r>
              <w:rPr>
                <w:rFonts w:ascii="Arial" w:cs="Arial" w:eastAsia="Arial" w:hAnsi="Arial"/>
                <w:sz w:val="18"/>
                <w:szCs w:val="18"/>
                <w:color w:val="auto"/>
              </w:rPr>
              <w:t>Force Majeure</w:t>
            </w:r>
          </w:p>
        </w:tc>
        <w:tc>
          <w:tcPr>
            <w:tcW w:w="4340" w:type="dxa"/>
            <w:vAlign w:val="bottom"/>
            <w:gridSpan w:val="2"/>
          </w:tcPr>
          <w:p>
            <w:pPr>
              <w:ind w:left="4120"/>
              <w:spacing w:after="0"/>
              <w:rPr>
                <w:sz w:val="20"/>
                <w:szCs w:val="20"/>
                <w:color w:val="auto"/>
              </w:rPr>
            </w:pPr>
            <w:r>
              <w:rPr>
                <w:rFonts w:ascii="Arial" w:cs="Arial" w:eastAsia="Arial" w:hAnsi="Arial"/>
                <w:sz w:val="18"/>
                <w:szCs w:val="18"/>
                <w:color w:val="auto"/>
                <w:w w:val="99"/>
              </w:rPr>
              <w:t>45</w:t>
            </w:r>
          </w:p>
        </w:tc>
      </w:tr>
      <w:tr>
        <w:trPr>
          <w:trHeight w:val="432"/>
        </w:trPr>
        <w:tc>
          <w:tcPr>
            <w:tcW w:w="7120" w:type="dxa"/>
            <w:vAlign w:val="bottom"/>
            <w:gridSpan w:val="2"/>
          </w:tcPr>
          <w:p>
            <w:pPr>
              <w:jc w:val="right"/>
              <w:ind w:right="4610"/>
              <w:spacing w:after="0"/>
              <w:rPr>
                <w:sz w:val="20"/>
                <w:szCs w:val="20"/>
                <w:color w:val="auto"/>
              </w:rPr>
            </w:pPr>
            <w:r>
              <w:rPr>
                <w:rFonts w:ascii="Arial" w:cs="Arial" w:eastAsia="Arial" w:hAnsi="Arial"/>
                <w:sz w:val="18"/>
                <w:szCs w:val="18"/>
                <w:color w:val="auto"/>
                <w:w w:val="98"/>
              </w:rPr>
              <w:t>ARTICLE XI SINKING FUNDS</w:t>
            </w:r>
          </w:p>
        </w:tc>
        <w:tc>
          <w:tcPr>
            <w:tcW w:w="4340" w:type="dxa"/>
            <w:vAlign w:val="bottom"/>
            <w:gridSpan w:val="2"/>
          </w:tcPr>
          <w:p>
            <w:pPr>
              <w:ind w:left="4120"/>
              <w:spacing w:after="0"/>
              <w:rPr>
                <w:sz w:val="20"/>
                <w:szCs w:val="20"/>
                <w:color w:val="auto"/>
              </w:rPr>
            </w:pPr>
            <w:r>
              <w:rPr>
                <w:rFonts w:ascii="Arial" w:cs="Arial" w:eastAsia="Arial" w:hAnsi="Arial"/>
                <w:sz w:val="18"/>
                <w:szCs w:val="18"/>
                <w:color w:val="auto"/>
                <w:w w:val="99"/>
              </w:rPr>
              <w:t>45</w:t>
            </w:r>
          </w:p>
        </w:tc>
      </w:tr>
      <w:tr>
        <w:trPr>
          <w:trHeight w:val="418"/>
        </w:trPr>
        <w:tc>
          <w:tcPr>
            <w:tcW w:w="1700" w:type="dxa"/>
            <w:vAlign w:val="bottom"/>
          </w:tcPr>
          <w:p>
            <w:pPr>
              <w:ind w:left="400"/>
              <w:spacing w:after="0"/>
              <w:rPr>
                <w:sz w:val="20"/>
                <w:szCs w:val="20"/>
                <w:color w:val="auto"/>
              </w:rPr>
            </w:pPr>
            <w:r>
              <w:rPr>
                <w:rFonts w:ascii="Arial" w:cs="Arial" w:eastAsia="Arial" w:hAnsi="Arial"/>
                <w:sz w:val="18"/>
                <w:szCs w:val="18"/>
                <w:color w:val="auto"/>
              </w:rPr>
              <w:t>Section 11.1</w:t>
            </w:r>
          </w:p>
        </w:tc>
        <w:tc>
          <w:tcPr>
            <w:tcW w:w="5420" w:type="dxa"/>
            <w:vAlign w:val="bottom"/>
          </w:tcPr>
          <w:p>
            <w:pPr>
              <w:ind w:left="320"/>
              <w:spacing w:after="0"/>
              <w:rPr>
                <w:sz w:val="20"/>
                <w:szCs w:val="20"/>
                <w:color w:val="auto"/>
              </w:rPr>
            </w:pPr>
            <w:r>
              <w:rPr>
                <w:rFonts w:ascii="Arial" w:cs="Arial" w:eastAsia="Arial" w:hAnsi="Arial"/>
                <w:sz w:val="18"/>
                <w:szCs w:val="18"/>
                <w:color w:val="auto"/>
              </w:rPr>
              <w:t>Applicability of Article</w:t>
            </w:r>
          </w:p>
        </w:tc>
        <w:tc>
          <w:tcPr>
            <w:tcW w:w="4340" w:type="dxa"/>
            <w:vAlign w:val="bottom"/>
            <w:gridSpan w:val="2"/>
          </w:tcPr>
          <w:p>
            <w:pPr>
              <w:ind w:left="4120"/>
              <w:spacing w:after="0"/>
              <w:rPr>
                <w:sz w:val="20"/>
                <w:szCs w:val="20"/>
                <w:color w:val="auto"/>
              </w:rPr>
            </w:pPr>
            <w:r>
              <w:rPr>
                <w:rFonts w:ascii="Arial" w:cs="Arial" w:eastAsia="Arial" w:hAnsi="Arial"/>
                <w:sz w:val="18"/>
                <w:szCs w:val="18"/>
                <w:color w:val="auto"/>
                <w:w w:val="99"/>
              </w:rPr>
              <w:t>45</w:t>
            </w:r>
          </w:p>
        </w:tc>
      </w:tr>
      <w:tr>
        <w:trPr>
          <w:trHeight w:val="216"/>
        </w:trPr>
        <w:tc>
          <w:tcPr>
            <w:tcW w:w="1700" w:type="dxa"/>
            <w:vAlign w:val="bottom"/>
          </w:tcPr>
          <w:p>
            <w:pPr>
              <w:ind w:left="400"/>
              <w:spacing w:after="0"/>
              <w:rPr>
                <w:sz w:val="20"/>
                <w:szCs w:val="20"/>
                <w:color w:val="auto"/>
              </w:rPr>
            </w:pPr>
            <w:r>
              <w:rPr>
                <w:rFonts w:ascii="Arial" w:cs="Arial" w:eastAsia="Arial" w:hAnsi="Arial"/>
                <w:sz w:val="18"/>
                <w:szCs w:val="18"/>
                <w:color w:val="auto"/>
              </w:rPr>
              <w:t>Section 11.2</w:t>
            </w:r>
          </w:p>
        </w:tc>
        <w:tc>
          <w:tcPr>
            <w:tcW w:w="5420" w:type="dxa"/>
            <w:vAlign w:val="bottom"/>
          </w:tcPr>
          <w:p>
            <w:pPr>
              <w:ind w:left="320"/>
              <w:spacing w:after="0"/>
              <w:rPr>
                <w:sz w:val="20"/>
                <w:szCs w:val="20"/>
                <w:color w:val="auto"/>
              </w:rPr>
            </w:pPr>
            <w:r>
              <w:rPr>
                <w:rFonts w:ascii="Arial" w:cs="Arial" w:eastAsia="Arial" w:hAnsi="Arial"/>
                <w:sz w:val="18"/>
                <w:szCs w:val="18"/>
                <w:color w:val="auto"/>
              </w:rPr>
              <w:t>Satisfaction of Sinking Fund Payments with Securities</w:t>
            </w:r>
          </w:p>
        </w:tc>
        <w:tc>
          <w:tcPr>
            <w:tcW w:w="4340" w:type="dxa"/>
            <w:vAlign w:val="bottom"/>
            <w:gridSpan w:val="2"/>
          </w:tcPr>
          <w:p>
            <w:pPr>
              <w:ind w:left="4120"/>
              <w:spacing w:after="0"/>
              <w:rPr>
                <w:sz w:val="20"/>
                <w:szCs w:val="20"/>
                <w:color w:val="auto"/>
              </w:rPr>
            </w:pPr>
            <w:r>
              <w:rPr>
                <w:rFonts w:ascii="Arial" w:cs="Arial" w:eastAsia="Arial" w:hAnsi="Arial"/>
                <w:sz w:val="18"/>
                <w:szCs w:val="18"/>
                <w:color w:val="auto"/>
                <w:w w:val="99"/>
              </w:rPr>
              <w:t>45</w:t>
            </w:r>
          </w:p>
        </w:tc>
      </w:tr>
      <w:tr>
        <w:trPr>
          <w:trHeight w:val="230"/>
        </w:trPr>
        <w:tc>
          <w:tcPr>
            <w:tcW w:w="1700" w:type="dxa"/>
            <w:vAlign w:val="bottom"/>
          </w:tcPr>
          <w:p>
            <w:pPr>
              <w:ind w:left="400"/>
              <w:spacing w:after="0"/>
              <w:rPr>
                <w:sz w:val="20"/>
                <w:szCs w:val="20"/>
                <w:color w:val="auto"/>
              </w:rPr>
            </w:pPr>
            <w:r>
              <w:rPr>
                <w:rFonts w:ascii="Arial" w:cs="Arial" w:eastAsia="Arial" w:hAnsi="Arial"/>
                <w:sz w:val="18"/>
                <w:szCs w:val="18"/>
                <w:color w:val="auto"/>
              </w:rPr>
              <w:t>Section 11.3</w:t>
            </w:r>
          </w:p>
        </w:tc>
        <w:tc>
          <w:tcPr>
            <w:tcW w:w="5420" w:type="dxa"/>
            <w:vAlign w:val="bottom"/>
          </w:tcPr>
          <w:p>
            <w:pPr>
              <w:ind w:left="320"/>
              <w:spacing w:after="0"/>
              <w:rPr>
                <w:sz w:val="20"/>
                <w:szCs w:val="20"/>
                <w:color w:val="auto"/>
              </w:rPr>
            </w:pPr>
            <w:r>
              <w:rPr>
                <w:rFonts w:ascii="Arial" w:cs="Arial" w:eastAsia="Arial" w:hAnsi="Arial"/>
                <w:sz w:val="18"/>
                <w:szCs w:val="18"/>
                <w:color w:val="auto"/>
              </w:rPr>
              <w:t>Redemption of Securities for Sinking Fund</w:t>
            </w:r>
          </w:p>
        </w:tc>
        <w:tc>
          <w:tcPr>
            <w:tcW w:w="4340" w:type="dxa"/>
            <w:vAlign w:val="bottom"/>
            <w:gridSpan w:val="2"/>
          </w:tcPr>
          <w:p>
            <w:pPr>
              <w:ind w:left="4120"/>
              <w:spacing w:after="0"/>
              <w:rPr>
                <w:sz w:val="20"/>
                <w:szCs w:val="20"/>
                <w:color w:val="auto"/>
              </w:rPr>
            </w:pPr>
            <w:r>
              <w:rPr>
                <w:rFonts w:ascii="Arial" w:cs="Arial" w:eastAsia="Arial" w:hAnsi="Arial"/>
                <w:sz w:val="18"/>
                <w:szCs w:val="18"/>
                <w:color w:val="auto"/>
                <w:w w:val="99"/>
              </w:rPr>
              <w:t>46</w:t>
            </w:r>
          </w:p>
        </w:tc>
      </w:tr>
      <w:tr>
        <w:trPr>
          <w:trHeight w:val="432"/>
        </w:trPr>
        <w:tc>
          <w:tcPr>
            <w:tcW w:w="1700" w:type="dxa"/>
            <w:vAlign w:val="bottom"/>
          </w:tcPr>
          <w:p>
            <w:pPr>
              <w:spacing w:after="0"/>
              <w:rPr>
                <w:sz w:val="24"/>
                <w:szCs w:val="24"/>
                <w:color w:val="auto"/>
              </w:rPr>
            </w:pPr>
          </w:p>
        </w:tc>
        <w:tc>
          <w:tcPr>
            <w:tcW w:w="5420" w:type="dxa"/>
            <w:vAlign w:val="bottom"/>
          </w:tcPr>
          <w:p>
            <w:pPr>
              <w:jc w:val="center"/>
              <w:ind w:left="2510"/>
              <w:spacing w:after="0"/>
              <w:rPr>
                <w:sz w:val="20"/>
                <w:szCs w:val="20"/>
                <w:color w:val="auto"/>
              </w:rPr>
            </w:pPr>
            <w:r>
              <w:rPr>
                <w:rFonts w:ascii="Arial" w:cs="Arial" w:eastAsia="Arial" w:hAnsi="Arial"/>
                <w:sz w:val="18"/>
                <w:szCs w:val="18"/>
                <w:color w:val="auto"/>
              </w:rPr>
              <w:t>iii</w:t>
            </w:r>
          </w:p>
        </w:tc>
        <w:tc>
          <w:tcPr>
            <w:tcW w:w="43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700" w:type="dxa"/>
            <w:vAlign w:val="bottom"/>
            <w:tcBorders>
              <w:bottom w:val="single" w:sz="8" w:color="808080"/>
            </w:tcBorders>
          </w:tcPr>
          <w:p>
            <w:pPr>
              <w:spacing w:after="0"/>
              <w:rPr>
                <w:sz w:val="11"/>
                <w:szCs w:val="11"/>
                <w:color w:val="auto"/>
              </w:rPr>
            </w:pPr>
          </w:p>
        </w:tc>
        <w:tc>
          <w:tcPr>
            <w:tcW w:w="5420" w:type="dxa"/>
            <w:vAlign w:val="bottom"/>
            <w:tcBorders>
              <w:bottom w:val="single" w:sz="8" w:color="808080"/>
            </w:tcBorders>
          </w:tcPr>
          <w:p>
            <w:pPr>
              <w:spacing w:after="0"/>
              <w:rPr>
                <w:sz w:val="11"/>
                <w:szCs w:val="11"/>
                <w:color w:val="auto"/>
              </w:rPr>
            </w:pPr>
          </w:p>
        </w:tc>
        <w:tc>
          <w:tcPr>
            <w:tcW w:w="43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r>
        <w:trPr>
          <w:trHeight w:val="780"/>
        </w:trPr>
        <w:tc>
          <w:tcPr>
            <w:tcW w:w="1700" w:type="dxa"/>
            <w:vAlign w:val="bottom"/>
          </w:tcPr>
          <w:p>
            <w:pPr>
              <w:spacing w:after="0"/>
              <w:rPr>
                <w:sz w:val="24"/>
                <w:szCs w:val="24"/>
                <w:color w:val="auto"/>
              </w:rPr>
            </w:pPr>
          </w:p>
        </w:tc>
        <w:tc>
          <w:tcPr>
            <w:tcW w:w="5420" w:type="dxa"/>
            <w:vAlign w:val="bottom"/>
          </w:tcPr>
          <w:p>
            <w:pPr>
              <w:jc w:val="center"/>
              <w:ind w:left="2510"/>
              <w:spacing w:after="0"/>
              <w:rPr>
                <w:sz w:val="20"/>
                <w:szCs w:val="20"/>
                <w:color w:val="auto"/>
              </w:rPr>
            </w:pPr>
            <w:r>
              <w:rPr>
                <w:rFonts w:ascii="Arial" w:cs="Arial" w:eastAsia="Arial" w:hAnsi="Arial"/>
                <w:sz w:val="18"/>
                <w:szCs w:val="18"/>
                <w:b w:val="1"/>
                <w:bCs w:val="1"/>
                <w:color w:val="auto"/>
              </w:rPr>
              <w:t>MICRON TECHNOLOGY, INC.</w:t>
            </w:r>
          </w:p>
        </w:tc>
        <w:tc>
          <w:tcPr>
            <w:tcW w:w="43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1700" w:type="dxa"/>
            <w:vAlign w:val="bottom"/>
          </w:tcPr>
          <w:p>
            <w:pPr>
              <w:spacing w:after="0"/>
              <w:rPr>
                <w:sz w:val="24"/>
                <w:szCs w:val="24"/>
                <w:color w:val="auto"/>
              </w:rPr>
            </w:pPr>
          </w:p>
        </w:tc>
        <w:tc>
          <w:tcPr>
            <w:tcW w:w="9760" w:type="dxa"/>
            <w:vAlign w:val="bottom"/>
            <w:gridSpan w:val="3"/>
          </w:tcPr>
          <w:p>
            <w:pPr>
              <w:jc w:val="center"/>
              <w:ind w:right="1720"/>
              <w:spacing w:after="0"/>
              <w:rPr>
                <w:sz w:val="20"/>
                <w:szCs w:val="20"/>
                <w:color w:val="auto"/>
              </w:rPr>
            </w:pPr>
            <w:r>
              <w:rPr>
                <w:rFonts w:ascii="Arial" w:cs="Arial" w:eastAsia="Arial" w:hAnsi="Arial"/>
                <w:sz w:val="18"/>
                <w:szCs w:val="18"/>
                <w:color w:val="auto"/>
                <w:w w:val="90"/>
              </w:rPr>
              <w:t>Reconciliation and tie between Trust Indenture Act of 1939 and Indenture, dated as of [·]</w:t>
            </w:r>
          </w:p>
        </w:tc>
      </w:tr>
      <w:tr>
        <w:trPr>
          <w:trHeight w:val="216"/>
        </w:trPr>
        <w:tc>
          <w:tcPr>
            <w:tcW w:w="170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700" w:type="dxa"/>
            <w:vAlign w:val="bottom"/>
            <w:shd w:val="clear" w:color="auto" w:fill="CCEEFF"/>
          </w:tcPr>
          <w:p>
            <w:pPr>
              <w:spacing w:after="0"/>
              <w:rPr>
                <w:sz w:val="18"/>
                <w:szCs w:val="18"/>
                <w:color w:val="auto"/>
              </w:rPr>
            </w:pPr>
          </w:p>
        </w:tc>
        <w:tc>
          <w:tcPr>
            <w:tcW w:w="5420" w:type="dxa"/>
            <w:vAlign w:val="bottom"/>
            <w:shd w:val="clear" w:color="auto" w:fill="CCEEFF"/>
          </w:tcPr>
          <w:p>
            <w:pPr>
              <w:jc w:val="right"/>
              <w:ind w:right="3130"/>
              <w:spacing w:after="0"/>
              <w:rPr>
                <w:sz w:val="20"/>
                <w:szCs w:val="20"/>
                <w:color w:val="auto"/>
              </w:rPr>
            </w:pPr>
            <w:r>
              <w:rPr>
                <w:rFonts w:ascii="Arial" w:cs="Arial" w:eastAsia="Arial" w:hAnsi="Arial"/>
                <w:sz w:val="18"/>
                <w:szCs w:val="18"/>
                <w:color w:val="auto"/>
              </w:rPr>
              <w:t>§ 310(a)(1)</w:t>
            </w:r>
          </w:p>
        </w:tc>
        <w:tc>
          <w:tcPr>
            <w:tcW w:w="4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7.10</w:t>
            </w:r>
          </w:p>
        </w:tc>
        <w:tc>
          <w:tcPr>
            <w:tcW w:w="4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5420" w:type="dxa"/>
            <w:vAlign w:val="bottom"/>
          </w:tcPr>
          <w:p>
            <w:pPr>
              <w:jc w:val="right"/>
              <w:ind w:right="3130"/>
              <w:spacing w:after="0"/>
              <w:rPr>
                <w:sz w:val="20"/>
                <w:szCs w:val="20"/>
                <w:color w:val="auto"/>
              </w:rPr>
            </w:pPr>
            <w:r>
              <w:rPr>
                <w:rFonts w:ascii="Arial" w:cs="Arial" w:eastAsia="Arial" w:hAnsi="Arial"/>
                <w:sz w:val="18"/>
                <w:szCs w:val="18"/>
                <w:color w:val="auto"/>
              </w:rPr>
              <w:t>(a)(2)</w:t>
            </w:r>
          </w:p>
        </w:tc>
        <w:tc>
          <w:tcPr>
            <w:tcW w:w="4300" w:type="dxa"/>
            <w:vAlign w:val="bottom"/>
          </w:tcPr>
          <w:p>
            <w:pPr>
              <w:ind w:left="100"/>
              <w:spacing w:after="0"/>
              <w:rPr>
                <w:sz w:val="20"/>
                <w:szCs w:val="20"/>
                <w:color w:val="auto"/>
              </w:rPr>
            </w:pPr>
            <w:r>
              <w:rPr>
                <w:rFonts w:ascii="Arial" w:cs="Arial" w:eastAsia="Arial" w:hAnsi="Arial"/>
                <w:sz w:val="18"/>
                <w:szCs w:val="18"/>
                <w:color w:val="auto"/>
              </w:rPr>
              <w:t>7.10</w:t>
            </w:r>
          </w:p>
        </w:tc>
        <w:tc>
          <w:tcPr>
            <w:tcW w:w="40" w:type="dxa"/>
            <w:vAlign w:val="bottom"/>
          </w:tcPr>
          <w:p>
            <w:pPr>
              <w:spacing w:after="0"/>
              <w:rPr>
                <w:sz w:val="18"/>
                <w:szCs w:val="18"/>
                <w:color w:val="auto"/>
              </w:rPr>
            </w:pPr>
          </w:p>
        </w:tc>
      </w:tr>
      <w:tr>
        <w:trPr>
          <w:trHeight w:val="216"/>
        </w:trPr>
        <w:tc>
          <w:tcPr>
            <w:tcW w:w="1700" w:type="dxa"/>
            <w:vAlign w:val="bottom"/>
            <w:shd w:val="clear" w:color="auto" w:fill="CCEEFF"/>
          </w:tcPr>
          <w:p>
            <w:pPr>
              <w:spacing w:after="0"/>
              <w:rPr>
                <w:sz w:val="18"/>
                <w:szCs w:val="18"/>
                <w:color w:val="auto"/>
              </w:rPr>
            </w:pPr>
          </w:p>
        </w:tc>
        <w:tc>
          <w:tcPr>
            <w:tcW w:w="5420" w:type="dxa"/>
            <w:vAlign w:val="bottom"/>
            <w:shd w:val="clear" w:color="auto" w:fill="CCEEFF"/>
          </w:tcPr>
          <w:p>
            <w:pPr>
              <w:jc w:val="right"/>
              <w:ind w:right="3130"/>
              <w:spacing w:after="0"/>
              <w:rPr>
                <w:sz w:val="20"/>
                <w:szCs w:val="20"/>
                <w:color w:val="auto"/>
              </w:rPr>
            </w:pPr>
            <w:r>
              <w:rPr>
                <w:rFonts w:ascii="Arial" w:cs="Arial" w:eastAsia="Arial" w:hAnsi="Arial"/>
                <w:sz w:val="18"/>
                <w:szCs w:val="18"/>
                <w:color w:val="auto"/>
              </w:rPr>
              <w:t>(a)(3)</w:t>
            </w:r>
          </w:p>
        </w:tc>
        <w:tc>
          <w:tcPr>
            <w:tcW w:w="4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Not Applicable</w:t>
            </w:r>
          </w:p>
        </w:tc>
        <w:tc>
          <w:tcPr>
            <w:tcW w:w="4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5420" w:type="dxa"/>
            <w:vAlign w:val="bottom"/>
          </w:tcPr>
          <w:p>
            <w:pPr>
              <w:jc w:val="right"/>
              <w:ind w:right="3130"/>
              <w:spacing w:after="0"/>
              <w:rPr>
                <w:sz w:val="20"/>
                <w:szCs w:val="20"/>
                <w:color w:val="auto"/>
              </w:rPr>
            </w:pPr>
            <w:r>
              <w:rPr>
                <w:rFonts w:ascii="Arial" w:cs="Arial" w:eastAsia="Arial" w:hAnsi="Arial"/>
                <w:sz w:val="18"/>
                <w:szCs w:val="18"/>
                <w:color w:val="auto"/>
              </w:rPr>
              <w:t>(a)(4)</w:t>
            </w:r>
          </w:p>
        </w:tc>
        <w:tc>
          <w:tcPr>
            <w:tcW w:w="4300" w:type="dxa"/>
            <w:vAlign w:val="bottom"/>
          </w:tcPr>
          <w:p>
            <w:pPr>
              <w:ind w:left="100"/>
              <w:spacing w:after="0"/>
              <w:rPr>
                <w:sz w:val="20"/>
                <w:szCs w:val="20"/>
                <w:color w:val="auto"/>
              </w:rPr>
            </w:pPr>
            <w:r>
              <w:rPr>
                <w:rFonts w:ascii="Arial" w:cs="Arial" w:eastAsia="Arial" w:hAnsi="Arial"/>
                <w:sz w:val="18"/>
                <w:szCs w:val="18"/>
                <w:color w:val="auto"/>
              </w:rPr>
              <w:t>Not Applicable</w:t>
            </w:r>
          </w:p>
        </w:tc>
        <w:tc>
          <w:tcPr>
            <w:tcW w:w="40" w:type="dxa"/>
            <w:vAlign w:val="bottom"/>
          </w:tcPr>
          <w:p>
            <w:pPr>
              <w:spacing w:after="0"/>
              <w:rPr>
                <w:sz w:val="18"/>
                <w:szCs w:val="18"/>
                <w:color w:val="auto"/>
              </w:rPr>
            </w:pPr>
          </w:p>
        </w:tc>
      </w:tr>
      <w:tr>
        <w:trPr>
          <w:trHeight w:val="216"/>
        </w:trPr>
        <w:tc>
          <w:tcPr>
            <w:tcW w:w="1700" w:type="dxa"/>
            <w:vAlign w:val="bottom"/>
            <w:shd w:val="clear" w:color="auto" w:fill="CCEEFF"/>
          </w:tcPr>
          <w:p>
            <w:pPr>
              <w:spacing w:after="0"/>
              <w:rPr>
                <w:sz w:val="18"/>
                <w:szCs w:val="18"/>
                <w:color w:val="auto"/>
              </w:rPr>
            </w:pPr>
          </w:p>
        </w:tc>
        <w:tc>
          <w:tcPr>
            <w:tcW w:w="5420" w:type="dxa"/>
            <w:vAlign w:val="bottom"/>
            <w:shd w:val="clear" w:color="auto" w:fill="CCEEFF"/>
          </w:tcPr>
          <w:p>
            <w:pPr>
              <w:jc w:val="right"/>
              <w:ind w:right="3130"/>
              <w:spacing w:after="0"/>
              <w:rPr>
                <w:sz w:val="20"/>
                <w:szCs w:val="20"/>
                <w:color w:val="auto"/>
              </w:rPr>
            </w:pPr>
            <w:r>
              <w:rPr>
                <w:rFonts w:ascii="Arial" w:cs="Arial" w:eastAsia="Arial" w:hAnsi="Arial"/>
                <w:sz w:val="18"/>
                <w:szCs w:val="18"/>
                <w:color w:val="auto"/>
              </w:rPr>
              <w:t>(a)(5)</w:t>
            </w:r>
          </w:p>
        </w:tc>
        <w:tc>
          <w:tcPr>
            <w:tcW w:w="4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7.10</w:t>
            </w:r>
          </w:p>
        </w:tc>
        <w:tc>
          <w:tcPr>
            <w:tcW w:w="4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5420" w:type="dxa"/>
            <w:vAlign w:val="bottom"/>
          </w:tcPr>
          <w:p>
            <w:pPr>
              <w:jc w:val="right"/>
              <w:ind w:right="3130"/>
              <w:spacing w:after="0"/>
              <w:rPr>
                <w:sz w:val="20"/>
                <w:szCs w:val="20"/>
                <w:color w:val="auto"/>
              </w:rPr>
            </w:pPr>
            <w:r>
              <w:rPr>
                <w:rFonts w:ascii="Arial" w:cs="Arial" w:eastAsia="Arial" w:hAnsi="Arial"/>
                <w:sz w:val="18"/>
                <w:szCs w:val="18"/>
                <w:color w:val="auto"/>
              </w:rPr>
              <w:t>(b)</w:t>
            </w:r>
          </w:p>
        </w:tc>
        <w:tc>
          <w:tcPr>
            <w:tcW w:w="4300" w:type="dxa"/>
            <w:vAlign w:val="bottom"/>
          </w:tcPr>
          <w:p>
            <w:pPr>
              <w:ind w:left="100"/>
              <w:spacing w:after="0"/>
              <w:rPr>
                <w:sz w:val="20"/>
                <w:szCs w:val="20"/>
                <w:color w:val="auto"/>
              </w:rPr>
            </w:pPr>
            <w:r>
              <w:rPr>
                <w:rFonts w:ascii="Arial" w:cs="Arial" w:eastAsia="Arial" w:hAnsi="Arial"/>
                <w:sz w:val="18"/>
                <w:szCs w:val="18"/>
                <w:color w:val="auto"/>
              </w:rPr>
              <w:t>7.10</w:t>
            </w:r>
          </w:p>
        </w:tc>
        <w:tc>
          <w:tcPr>
            <w:tcW w:w="40" w:type="dxa"/>
            <w:vAlign w:val="bottom"/>
          </w:tcPr>
          <w:p>
            <w:pPr>
              <w:spacing w:after="0"/>
              <w:rPr>
                <w:sz w:val="18"/>
                <w:szCs w:val="18"/>
                <w:color w:val="auto"/>
              </w:rPr>
            </w:pPr>
          </w:p>
        </w:tc>
      </w:tr>
      <w:tr>
        <w:trPr>
          <w:trHeight w:val="216"/>
        </w:trPr>
        <w:tc>
          <w:tcPr>
            <w:tcW w:w="1700" w:type="dxa"/>
            <w:vAlign w:val="bottom"/>
            <w:shd w:val="clear" w:color="auto" w:fill="CCEEFF"/>
          </w:tcPr>
          <w:p>
            <w:pPr>
              <w:spacing w:after="0"/>
              <w:rPr>
                <w:sz w:val="18"/>
                <w:szCs w:val="18"/>
                <w:color w:val="auto"/>
              </w:rPr>
            </w:pPr>
          </w:p>
        </w:tc>
        <w:tc>
          <w:tcPr>
            <w:tcW w:w="5420" w:type="dxa"/>
            <w:vAlign w:val="bottom"/>
            <w:shd w:val="clear" w:color="auto" w:fill="CCEEFF"/>
          </w:tcPr>
          <w:p>
            <w:pPr>
              <w:jc w:val="right"/>
              <w:ind w:right="3130"/>
              <w:spacing w:after="0"/>
              <w:rPr>
                <w:sz w:val="20"/>
                <w:szCs w:val="20"/>
                <w:color w:val="auto"/>
              </w:rPr>
            </w:pPr>
            <w:r>
              <w:rPr>
                <w:rFonts w:ascii="Arial" w:cs="Arial" w:eastAsia="Arial" w:hAnsi="Arial"/>
                <w:sz w:val="18"/>
                <w:szCs w:val="18"/>
                <w:color w:val="auto"/>
              </w:rPr>
              <w:t>§ 311(a)</w:t>
            </w:r>
          </w:p>
        </w:tc>
        <w:tc>
          <w:tcPr>
            <w:tcW w:w="4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7.11</w:t>
            </w:r>
          </w:p>
        </w:tc>
        <w:tc>
          <w:tcPr>
            <w:tcW w:w="4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5420" w:type="dxa"/>
            <w:vAlign w:val="bottom"/>
          </w:tcPr>
          <w:p>
            <w:pPr>
              <w:jc w:val="right"/>
              <w:ind w:right="3130"/>
              <w:spacing w:after="0"/>
              <w:rPr>
                <w:sz w:val="20"/>
                <w:szCs w:val="20"/>
                <w:color w:val="auto"/>
              </w:rPr>
            </w:pPr>
            <w:r>
              <w:rPr>
                <w:rFonts w:ascii="Arial" w:cs="Arial" w:eastAsia="Arial" w:hAnsi="Arial"/>
                <w:sz w:val="18"/>
                <w:szCs w:val="18"/>
                <w:color w:val="auto"/>
              </w:rPr>
              <w:t>(b)</w:t>
            </w:r>
          </w:p>
        </w:tc>
        <w:tc>
          <w:tcPr>
            <w:tcW w:w="4300" w:type="dxa"/>
            <w:vAlign w:val="bottom"/>
          </w:tcPr>
          <w:p>
            <w:pPr>
              <w:ind w:left="100"/>
              <w:spacing w:after="0"/>
              <w:rPr>
                <w:sz w:val="20"/>
                <w:szCs w:val="20"/>
                <w:color w:val="auto"/>
              </w:rPr>
            </w:pPr>
            <w:r>
              <w:rPr>
                <w:rFonts w:ascii="Arial" w:cs="Arial" w:eastAsia="Arial" w:hAnsi="Arial"/>
                <w:sz w:val="18"/>
                <w:szCs w:val="18"/>
                <w:color w:val="auto"/>
              </w:rPr>
              <w:t>7.11</w:t>
            </w:r>
          </w:p>
        </w:tc>
        <w:tc>
          <w:tcPr>
            <w:tcW w:w="40" w:type="dxa"/>
            <w:vAlign w:val="bottom"/>
          </w:tcPr>
          <w:p>
            <w:pPr>
              <w:spacing w:after="0"/>
              <w:rPr>
                <w:sz w:val="18"/>
                <w:szCs w:val="18"/>
                <w:color w:val="auto"/>
              </w:rPr>
            </w:pPr>
          </w:p>
        </w:tc>
      </w:tr>
      <w:tr>
        <w:trPr>
          <w:trHeight w:val="216"/>
        </w:trPr>
        <w:tc>
          <w:tcPr>
            <w:tcW w:w="1700" w:type="dxa"/>
            <w:vAlign w:val="bottom"/>
            <w:shd w:val="clear" w:color="auto" w:fill="CCEEFF"/>
          </w:tcPr>
          <w:p>
            <w:pPr>
              <w:spacing w:after="0"/>
              <w:rPr>
                <w:sz w:val="18"/>
                <w:szCs w:val="18"/>
                <w:color w:val="auto"/>
              </w:rPr>
            </w:pPr>
          </w:p>
        </w:tc>
        <w:tc>
          <w:tcPr>
            <w:tcW w:w="5420" w:type="dxa"/>
            <w:vAlign w:val="bottom"/>
            <w:shd w:val="clear" w:color="auto" w:fill="CCEEFF"/>
          </w:tcPr>
          <w:p>
            <w:pPr>
              <w:jc w:val="right"/>
              <w:ind w:right="3130"/>
              <w:spacing w:after="0"/>
              <w:rPr>
                <w:sz w:val="20"/>
                <w:szCs w:val="20"/>
                <w:color w:val="auto"/>
              </w:rPr>
            </w:pPr>
            <w:r>
              <w:rPr>
                <w:rFonts w:ascii="Arial" w:cs="Arial" w:eastAsia="Arial" w:hAnsi="Arial"/>
                <w:sz w:val="18"/>
                <w:szCs w:val="18"/>
                <w:color w:val="auto"/>
              </w:rPr>
              <w:t>(c)</w:t>
            </w:r>
          </w:p>
        </w:tc>
        <w:tc>
          <w:tcPr>
            <w:tcW w:w="4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Not Applicable</w:t>
            </w:r>
          </w:p>
        </w:tc>
        <w:tc>
          <w:tcPr>
            <w:tcW w:w="4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5420" w:type="dxa"/>
            <w:vAlign w:val="bottom"/>
          </w:tcPr>
          <w:p>
            <w:pPr>
              <w:jc w:val="right"/>
              <w:ind w:right="3130"/>
              <w:spacing w:after="0"/>
              <w:rPr>
                <w:sz w:val="20"/>
                <w:szCs w:val="20"/>
                <w:color w:val="auto"/>
              </w:rPr>
            </w:pPr>
            <w:r>
              <w:rPr>
                <w:rFonts w:ascii="Arial" w:cs="Arial" w:eastAsia="Arial" w:hAnsi="Arial"/>
                <w:sz w:val="18"/>
                <w:szCs w:val="18"/>
                <w:color w:val="auto"/>
              </w:rPr>
              <w:t>§ 312(a)</w:t>
            </w:r>
          </w:p>
        </w:tc>
        <w:tc>
          <w:tcPr>
            <w:tcW w:w="4300" w:type="dxa"/>
            <w:vAlign w:val="bottom"/>
          </w:tcPr>
          <w:p>
            <w:pPr>
              <w:ind w:left="100"/>
              <w:spacing w:after="0"/>
              <w:rPr>
                <w:sz w:val="20"/>
                <w:szCs w:val="20"/>
                <w:color w:val="auto"/>
              </w:rPr>
            </w:pPr>
            <w:r>
              <w:rPr>
                <w:rFonts w:ascii="Arial" w:cs="Arial" w:eastAsia="Arial" w:hAnsi="Arial"/>
                <w:sz w:val="18"/>
                <w:szCs w:val="18"/>
                <w:color w:val="auto"/>
              </w:rPr>
              <w:t>2.6</w:t>
            </w:r>
          </w:p>
        </w:tc>
        <w:tc>
          <w:tcPr>
            <w:tcW w:w="40" w:type="dxa"/>
            <w:vAlign w:val="bottom"/>
          </w:tcPr>
          <w:p>
            <w:pPr>
              <w:spacing w:after="0"/>
              <w:rPr>
                <w:sz w:val="18"/>
                <w:szCs w:val="18"/>
                <w:color w:val="auto"/>
              </w:rPr>
            </w:pPr>
          </w:p>
        </w:tc>
      </w:tr>
      <w:tr>
        <w:trPr>
          <w:trHeight w:val="216"/>
        </w:trPr>
        <w:tc>
          <w:tcPr>
            <w:tcW w:w="1700" w:type="dxa"/>
            <w:vAlign w:val="bottom"/>
            <w:shd w:val="clear" w:color="auto" w:fill="CCEEFF"/>
          </w:tcPr>
          <w:p>
            <w:pPr>
              <w:spacing w:after="0"/>
              <w:rPr>
                <w:sz w:val="18"/>
                <w:szCs w:val="18"/>
                <w:color w:val="auto"/>
              </w:rPr>
            </w:pPr>
          </w:p>
        </w:tc>
        <w:tc>
          <w:tcPr>
            <w:tcW w:w="5420" w:type="dxa"/>
            <w:vAlign w:val="bottom"/>
            <w:shd w:val="clear" w:color="auto" w:fill="CCEEFF"/>
          </w:tcPr>
          <w:p>
            <w:pPr>
              <w:jc w:val="right"/>
              <w:ind w:right="3130"/>
              <w:spacing w:after="0"/>
              <w:rPr>
                <w:sz w:val="20"/>
                <w:szCs w:val="20"/>
                <w:color w:val="auto"/>
              </w:rPr>
            </w:pPr>
            <w:r>
              <w:rPr>
                <w:rFonts w:ascii="Arial" w:cs="Arial" w:eastAsia="Arial" w:hAnsi="Arial"/>
                <w:sz w:val="18"/>
                <w:szCs w:val="18"/>
                <w:color w:val="auto"/>
              </w:rPr>
              <w:t>(b)</w:t>
            </w:r>
          </w:p>
        </w:tc>
        <w:tc>
          <w:tcPr>
            <w:tcW w:w="4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10.3</w:t>
            </w:r>
          </w:p>
        </w:tc>
        <w:tc>
          <w:tcPr>
            <w:tcW w:w="4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5420" w:type="dxa"/>
            <w:vAlign w:val="bottom"/>
          </w:tcPr>
          <w:p>
            <w:pPr>
              <w:jc w:val="right"/>
              <w:ind w:right="3130"/>
              <w:spacing w:after="0"/>
              <w:rPr>
                <w:sz w:val="20"/>
                <w:szCs w:val="20"/>
                <w:color w:val="auto"/>
              </w:rPr>
            </w:pPr>
            <w:r>
              <w:rPr>
                <w:rFonts w:ascii="Arial" w:cs="Arial" w:eastAsia="Arial" w:hAnsi="Arial"/>
                <w:sz w:val="18"/>
                <w:szCs w:val="18"/>
                <w:color w:val="auto"/>
              </w:rPr>
              <w:t>(c)</w:t>
            </w:r>
          </w:p>
        </w:tc>
        <w:tc>
          <w:tcPr>
            <w:tcW w:w="4300" w:type="dxa"/>
            <w:vAlign w:val="bottom"/>
          </w:tcPr>
          <w:p>
            <w:pPr>
              <w:ind w:left="100"/>
              <w:spacing w:after="0"/>
              <w:rPr>
                <w:sz w:val="20"/>
                <w:szCs w:val="20"/>
                <w:color w:val="auto"/>
              </w:rPr>
            </w:pPr>
            <w:r>
              <w:rPr>
                <w:rFonts w:ascii="Arial" w:cs="Arial" w:eastAsia="Arial" w:hAnsi="Arial"/>
                <w:sz w:val="18"/>
                <w:szCs w:val="18"/>
                <w:color w:val="auto"/>
              </w:rPr>
              <w:t>10.3</w:t>
            </w:r>
          </w:p>
        </w:tc>
        <w:tc>
          <w:tcPr>
            <w:tcW w:w="40" w:type="dxa"/>
            <w:vAlign w:val="bottom"/>
          </w:tcPr>
          <w:p>
            <w:pPr>
              <w:spacing w:after="0"/>
              <w:rPr>
                <w:sz w:val="18"/>
                <w:szCs w:val="18"/>
                <w:color w:val="auto"/>
              </w:rPr>
            </w:pPr>
          </w:p>
        </w:tc>
      </w:tr>
      <w:tr>
        <w:trPr>
          <w:trHeight w:val="216"/>
        </w:trPr>
        <w:tc>
          <w:tcPr>
            <w:tcW w:w="1700" w:type="dxa"/>
            <w:vAlign w:val="bottom"/>
            <w:shd w:val="clear" w:color="auto" w:fill="CCEEFF"/>
          </w:tcPr>
          <w:p>
            <w:pPr>
              <w:spacing w:after="0"/>
              <w:rPr>
                <w:sz w:val="18"/>
                <w:szCs w:val="18"/>
                <w:color w:val="auto"/>
              </w:rPr>
            </w:pPr>
          </w:p>
        </w:tc>
        <w:tc>
          <w:tcPr>
            <w:tcW w:w="5420" w:type="dxa"/>
            <w:vAlign w:val="bottom"/>
            <w:shd w:val="clear" w:color="auto" w:fill="CCEEFF"/>
          </w:tcPr>
          <w:p>
            <w:pPr>
              <w:jc w:val="right"/>
              <w:ind w:right="3130"/>
              <w:spacing w:after="0"/>
              <w:rPr>
                <w:sz w:val="20"/>
                <w:szCs w:val="20"/>
                <w:color w:val="auto"/>
              </w:rPr>
            </w:pPr>
            <w:r>
              <w:rPr>
                <w:rFonts w:ascii="Arial" w:cs="Arial" w:eastAsia="Arial" w:hAnsi="Arial"/>
                <w:sz w:val="18"/>
                <w:szCs w:val="18"/>
                <w:color w:val="auto"/>
              </w:rPr>
              <w:t>§ 313(a)</w:t>
            </w:r>
          </w:p>
        </w:tc>
        <w:tc>
          <w:tcPr>
            <w:tcW w:w="4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7.6</w:t>
            </w:r>
          </w:p>
        </w:tc>
        <w:tc>
          <w:tcPr>
            <w:tcW w:w="4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5420" w:type="dxa"/>
            <w:vAlign w:val="bottom"/>
          </w:tcPr>
          <w:p>
            <w:pPr>
              <w:jc w:val="right"/>
              <w:ind w:right="3130"/>
              <w:spacing w:after="0"/>
              <w:rPr>
                <w:sz w:val="20"/>
                <w:szCs w:val="20"/>
                <w:color w:val="auto"/>
              </w:rPr>
            </w:pPr>
            <w:r>
              <w:rPr>
                <w:rFonts w:ascii="Arial" w:cs="Arial" w:eastAsia="Arial" w:hAnsi="Arial"/>
                <w:sz w:val="18"/>
                <w:szCs w:val="18"/>
                <w:color w:val="auto"/>
              </w:rPr>
              <w:t>(b)(1)</w:t>
            </w:r>
          </w:p>
        </w:tc>
        <w:tc>
          <w:tcPr>
            <w:tcW w:w="4300" w:type="dxa"/>
            <w:vAlign w:val="bottom"/>
          </w:tcPr>
          <w:p>
            <w:pPr>
              <w:ind w:left="100"/>
              <w:spacing w:after="0"/>
              <w:rPr>
                <w:sz w:val="20"/>
                <w:szCs w:val="20"/>
                <w:color w:val="auto"/>
              </w:rPr>
            </w:pPr>
            <w:r>
              <w:rPr>
                <w:rFonts w:ascii="Arial" w:cs="Arial" w:eastAsia="Arial" w:hAnsi="Arial"/>
                <w:sz w:val="18"/>
                <w:szCs w:val="18"/>
                <w:color w:val="auto"/>
              </w:rPr>
              <w:t>7.6</w:t>
            </w:r>
          </w:p>
        </w:tc>
        <w:tc>
          <w:tcPr>
            <w:tcW w:w="40" w:type="dxa"/>
            <w:vAlign w:val="bottom"/>
          </w:tcPr>
          <w:p>
            <w:pPr>
              <w:spacing w:after="0"/>
              <w:rPr>
                <w:sz w:val="18"/>
                <w:szCs w:val="18"/>
                <w:color w:val="auto"/>
              </w:rPr>
            </w:pPr>
          </w:p>
        </w:tc>
      </w:tr>
      <w:tr>
        <w:trPr>
          <w:trHeight w:val="216"/>
        </w:trPr>
        <w:tc>
          <w:tcPr>
            <w:tcW w:w="1700" w:type="dxa"/>
            <w:vAlign w:val="bottom"/>
            <w:shd w:val="clear" w:color="auto" w:fill="CCEEFF"/>
          </w:tcPr>
          <w:p>
            <w:pPr>
              <w:spacing w:after="0"/>
              <w:rPr>
                <w:sz w:val="18"/>
                <w:szCs w:val="18"/>
                <w:color w:val="auto"/>
              </w:rPr>
            </w:pPr>
          </w:p>
        </w:tc>
        <w:tc>
          <w:tcPr>
            <w:tcW w:w="5420" w:type="dxa"/>
            <w:vAlign w:val="bottom"/>
            <w:shd w:val="clear" w:color="auto" w:fill="CCEEFF"/>
          </w:tcPr>
          <w:p>
            <w:pPr>
              <w:jc w:val="right"/>
              <w:ind w:right="3130"/>
              <w:spacing w:after="0"/>
              <w:rPr>
                <w:sz w:val="20"/>
                <w:szCs w:val="20"/>
                <w:color w:val="auto"/>
              </w:rPr>
            </w:pPr>
            <w:r>
              <w:rPr>
                <w:rFonts w:ascii="Arial" w:cs="Arial" w:eastAsia="Arial" w:hAnsi="Arial"/>
                <w:sz w:val="18"/>
                <w:szCs w:val="18"/>
                <w:color w:val="auto"/>
              </w:rPr>
              <w:t>(b)(2)</w:t>
            </w:r>
          </w:p>
        </w:tc>
        <w:tc>
          <w:tcPr>
            <w:tcW w:w="4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7.6</w:t>
            </w:r>
          </w:p>
        </w:tc>
        <w:tc>
          <w:tcPr>
            <w:tcW w:w="4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5420" w:type="dxa"/>
            <w:vAlign w:val="bottom"/>
          </w:tcPr>
          <w:p>
            <w:pPr>
              <w:jc w:val="right"/>
              <w:ind w:right="3130"/>
              <w:spacing w:after="0"/>
              <w:rPr>
                <w:sz w:val="20"/>
                <w:szCs w:val="20"/>
                <w:color w:val="auto"/>
              </w:rPr>
            </w:pPr>
            <w:r>
              <w:rPr>
                <w:rFonts w:ascii="Arial" w:cs="Arial" w:eastAsia="Arial" w:hAnsi="Arial"/>
                <w:sz w:val="18"/>
                <w:szCs w:val="18"/>
                <w:color w:val="auto"/>
              </w:rPr>
              <w:t>(c)(1)</w:t>
            </w:r>
          </w:p>
        </w:tc>
        <w:tc>
          <w:tcPr>
            <w:tcW w:w="4300" w:type="dxa"/>
            <w:vAlign w:val="bottom"/>
          </w:tcPr>
          <w:p>
            <w:pPr>
              <w:ind w:left="100"/>
              <w:spacing w:after="0"/>
              <w:rPr>
                <w:sz w:val="20"/>
                <w:szCs w:val="20"/>
                <w:color w:val="auto"/>
              </w:rPr>
            </w:pPr>
            <w:r>
              <w:rPr>
                <w:rFonts w:ascii="Arial" w:cs="Arial" w:eastAsia="Arial" w:hAnsi="Arial"/>
                <w:sz w:val="18"/>
                <w:szCs w:val="18"/>
                <w:color w:val="auto"/>
              </w:rPr>
              <w:t>7.6</w:t>
            </w:r>
          </w:p>
        </w:tc>
        <w:tc>
          <w:tcPr>
            <w:tcW w:w="40" w:type="dxa"/>
            <w:vAlign w:val="bottom"/>
          </w:tcPr>
          <w:p>
            <w:pPr>
              <w:spacing w:after="0"/>
              <w:rPr>
                <w:sz w:val="18"/>
                <w:szCs w:val="18"/>
                <w:color w:val="auto"/>
              </w:rPr>
            </w:pPr>
          </w:p>
        </w:tc>
      </w:tr>
      <w:tr>
        <w:trPr>
          <w:trHeight w:val="216"/>
        </w:trPr>
        <w:tc>
          <w:tcPr>
            <w:tcW w:w="1700" w:type="dxa"/>
            <w:vAlign w:val="bottom"/>
            <w:shd w:val="clear" w:color="auto" w:fill="CCEEFF"/>
          </w:tcPr>
          <w:p>
            <w:pPr>
              <w:spacing w:after="0"/>
              <w:rPr>
                <w:sz w:val="18"/>
                <w:szCs w:val="18"/>
                <w:color w:val="auto"/>
              </w:rPr>
            </w:pPr>
          </w:p>
        </w:tc>
        <w:tc>
          <w:tcPr>
            <w:tcW w:w="5420" w:type="dxa"/>
            <w:vAlign w:val="bottom"/>
            <w:shd w:val="clear" w:color="auto" w:fill="CCEEFF"/>
          </w:tcPr>
          <w:p>
            <w:pPr>
              <w:jc w:val="right"/>
              <w:ind w:right="3130"/>
              <w:spacing w:after="0"/>
              <w:rPr>
                <w:sz w:val="20"/>
                <w:szCs w:val="20"/>
                <w:color w:val="auto"/>
              </w:rPr>
            </w:pPr>
            <w:r>
              <w:rPr>
                <w:rFonts w:ascii="Arial" w:cs="Arial" w:eastAsia="Arial" w:hAnsi="Arial"/>
                <w:sz w:val="18"/>
                <w:szCs w:val="18"/>
                <w:color w:val="auto"/>
              </w:rPr>
              <w:t>(d)</w:t>
            </w:r>
          </w:p>
        </w:tc>
        <w:tc>
          <w:tcPr>
            <w:tcW w:w="4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7.6</w:t>
            </w:r>
          </w:p>
        </w:tc>
        <w:tc>
          <w:tcPr>
            <w:tcW w:w="4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5420" w:type="dxa"/>
            <w:vAlign w:val="bottom"/>
          </w:tcPr>
          <w:p>
            <w:pPr>
              <w:jc w:val="right"/>
              <w:ind w:right="3130"/>
              <w:spacing w:after="0"/>
              <w:rPr>
                <w:sz w:val="20"/>
                <w:szCs w:val="20"/>
                <w:color w:val="auto"/>
              </w:rPr>
            </w:pPr>
            <w:r>
              <w:rPr>
                <w:rFonts w:ascii="Arial" w:cs="Arial" w:eastAsia="Arial" w:hAnsi="Arial"/>
                <w:sz w:val="18"/>
                <w:szCs w:val="18"/>
                <w:color w:val="auto"/>
              </w:rPr>
              <w:t>§ 314(a)</w:t>
            </w:r>
          </w:p>
        </w:tc>
        <w:tc>
          <w:tcPr>
            <w:tcW w:w="4300" w:type="dxa"/>
            <w:vAlign w:val="bottom"/>
          </w:tcPr>
          <w:p>
            <w:pPr>
              <w:ind w:left="100"/>
              <w:spacing w:after="0"/>
              <w:rPr>
                <w:sz w:val="20"/>
                <w:szCs w:val="20"/>
                <w:color w:val="auto"/>
              </w:rPr>
            </w:pPr>
            <w:r>
              <w:rPr>
                <w:rFonts w:ascii="Arial" w:cs="Arial" w:eastAsia="Arial" w:hAnsi="Arial"/>
                <w:sz w:val="18"/>
                <w:szCs w:val="18"/>
                <w:color w:val="auto"/>
              </w:rPr>
              <w:t>4.2, 10.5</w:t>
            </w:r>
          </w:p>
        </w:tc>
        <w:tc>
          <w:tcPr>
            <w:tcW w:w="40" w:type="dxa"/>
            <w:vAlign w:val="bottom"/>
          </w:tcPr>
          <w:p>
            <w:pPr>
              <w:spacing w:after="0"/>
              <w:rPr>
                <w:sz w:val="18"/>
                <w:szCs w:val="18"/>
                <w:color w:val="auto"/>
              </w:rPr>
            </w:pPr>
          </w:p>
        </w:tc>
      </w:tr>
      <w:tr>
        <w:trPr>
          <w:trHeight w:val="216"/>
        </w:trPr>
        <w:tc>
          <w:tcPr>
            <w:tcW w:w="1700" w:type="dxa"/>
            <w:vAlign w:val="bottom"/>
            <w:shd w:val="clear" w:color="auto" w:fill="CCEEFF"/>
          </w:tcPr>
          <w:p>
            <w:pPr>
              <w:spacing w:after="0"/>
              <w:rPr>
                <w:sz w:val="18"/>
                <w:szCs w:val="18"/>
                <w:color w:val="auto"/>
              </w:rPr>
            </w:pPr>
          </w:p>
        </w:tc>
        <w:tc>
          <w:tcPr>
            <w:tcW w:w="5420" w:type="dxa"/>
            <w:vAlign w:val="bottom"/>
            <w:shd w:val="clear" w:color="auto" w:fill="CCEEFF"/>
          </w:tcPr>
          <w:p>
            <w:pPr>
              <w:jc w:val="right"/>
              <w:ind w:right="3130"/>
              <w:spacing w:after="0"/>
              <w:rPr>
                <w:sz w:val="20"/>
                <w:szCs w:val="20"/>
                <w:color w:val="auto"/>
              </w:rPr>
            </w:pPr>
            <w:r>
              <w:rPr>
                <w:rFonts w:ascii="Arial" w:cs="Arial" w:eastAsia="Arial" w:hAnsi="Arial"/>
                <w:sz w:val="18"/>
                <w:szCs w:val="18"/>
                <w:color w:val="auto"/>
              </w:rPr>
              <w:t>(b)</w:t>
            </w:r>
          </w:p>
        </w:tc>
        <w:tc>
          <w:tcPr>
            <w:tcW w:w="4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Not Applicable</w:t>
            </w:r>
          </w:p>
        </w:tc>
        <w:tc>
          <w:tcPr>
            <w:tcW w:w="4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5420" w:type="dxa"/>
            <w:vAlign w:val="bottom"/>
          </w:tcPr>
          <w:p>
            <w:pPr>
              <w:jc w:val="right"/>
              <w:ind w:right="3130"/>
              <w:spacing w:after="0"/>
              <w:rPr>
                <w:sz w:val="20"/>
                <w:szCs w:val="20"/>
                <w:color w:val="auto"/>
              </w:rPr>
            </w:pPr>
            <w:r>
              <w:rPr>
                <w:rFonts w:ascii="Arial" w:cs="Arial" w:eastAsia="Arial" w:hAnsi="Arial"/>
                <w:sz w:val="18"/>
                <w:szCs w:val="18"/>
                <w:color w:val="auto"/>
              </w:rPr>
              <w:t>(c)(1)</w:t>
            </w:r>
          </w:p>
        </w:tc>
        <w:tc>
          <w:tcPr>
            <w:tcW w:w="4300" w:type="dxa"/>
            <w:vAlign w:val="bottom"/>
          </w:tcPr>
          <w:p>
            <w:pPr>
              <w:ind w:left="100"/>
              <w:spacing w:after="0"/>
              <w:rPr>
                <w:sz w:val="20"/>
                <w:szCs w:val="20"/>
                <w:color w:val="auto"/>
              </w:rPr>
            </w:pPr>
            <w:r>
              <w:rPr>
                <w:rFonts w:ascii="Arial" w:cs="Arial" w:eastAsia="Arial" w:hAnsi="Arial"/>
                <w:sz w:val="18"/>
                <w:szCs w:val="18"/>
                <w:color w:val="auto"/>
              </w:rPr>
              <w:t>10.4</w:t>
            </w:r>
          </w:p>
        </w:tc>
        <w:tc>
          <w:tcPr>
            <w:tcW w:w="40" w:type="dxa"/>
            <w:vAlign w:val="bottom"/>
          </w:tcPr>
          <w:p>
            <w:pPr>
              <w:spacing w:after="0"/>
              <w:rPr>
                <w:sz w:val="18"/>
                <w:szCs w:val="18"/>
                <w:color w:val="auto"/>
              </w:rPr>
            </w:pPr>
          </w:p>
        </w:tc>
      </w:tr>
      <w:tr>
        <w:trPr>
          <w:trHeight w:val="216"/>
        </w:trPr>
        <w:tc>
          <w:tcPr>
            <w:tcW w:w="1700" w:type="dxa"/>
            <w:vAlign w:val="bottom"/>
            <w:shd w:val="clear" w:color="auto" w:fill="CCEEFF"/>
          </w:tcPr>
          <w:p>
            <w:pPr>
              <w:spacing w:after="0"/>
              <w:rPr>
                <w:sz w:val="18"/>
                <w:szCs w:val="18"/>
                <w:color w:val="auto"/>
              </w:rPr>
            </w:pPr>
          </w:p>
        </w:tc>
        <w:tc>
          <w:tcPr>
            <w:tcW w:w="5420" w:type="dxa"/>
            <w:vAlign w:val="bottom"/>
            <w:shd w:val="clear" w:color="auto" w:fill="CCEEFF"/>
          </w:tcPr>
          <w:p>
            <w:pPr>
              <w:jc w:val="right"/>
              <w:ind w:right="3130"/>
              <w:spacing w:after="0"/>
              <w:rPr>
                <w:sz w:val="20"/>
                <w:szCs w:val="20"/>
                <w:color w:val="auto"/>
              </w:rPr>
            </w:pPr>
            <w:r>
              <w:rPr>
                <w:rFonts w:ascii="Arial" w:cs="Arial" w:eastAsia="Arial" w:hAnsi="Arial"/>
                <w:sz w:val="18"/>
                <w:szCs w:val="18"/>
                <w:color w:val="auto"/>
              </w:rPr>
              <w:t>(c)(2)</w:t>
            </w:r>
          </w:p>
        </w:tc>
        <w:tc>
          <w:tcPr>
            <w:tcW w:w="4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10.4</w:t>
            </w:r>
          </w:p>
        </w:tc>
        <w:tc>
          <w:tcPr>
            <w:tcW w:w="4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5420" w:type="dxa"/>
            <w:vAlign w:val="bottom"/>
          </w:tcPr>
          <w:p>
            <w:pPr>
              <w:jc w:val="right"/>
              <w:ind w:right="3130"/>
              <w:spacing w:after="0"/>
              <w:rPr>
                <w:sz w:val="20"/>
                <w:szCs w:val="20"/>
                <w:color w:val="auto"/>
              </w:rPr>
            </w:pPr>
            <w:r>
              <w:rPr>
                <w:rFonts w:ascii="Arial" w:cs="Arial" w:eastAsia="Arial" w:hAnsi="Arial"/>
                <w:sz w:val="18"/>
                <w:szCs w:val="18"/>
                <w:color w:val="auto"/>
              </w:rPr>
              <w:t>(c)(3)</w:t>
            </w:r>
          </w:p>
        </w:tc>
        <w:tc>
          <w:tcPr>
            <w:tcW w:w="4300" w:type="dxa"/>
            <w:vAlign w:val="bottom"/>
          </w:tcPr>
          <w:p>
            <w:pPr>
              <w:ind w:left="100"/>
              <w:spacing w:after="0"/>
              <w:rPr>
                <w:sz w:val="20"/>
                <w:szCs w:val="20"/>
                <w:color w:val="auto"/>
              </w:rPr>
            </w:pPr>
            <w:r>
              <w:rPr>
                <w:rFonts w:ascii="Arial" w:cs="Arial" w:eastAsia="Arial" w:hAnsi="Arial"/>
                <w:sz w:val="18"/>
                <w:szCs w:val="18"/>
                <w:color w:val="auto"/>
              </w:rPr>
              <w:t>Not Applicable</w:t>
            </w:r>
          </w:p>
        </w:tc>
        <w:tc>
          <w:tcPr>
            <w:tcW w:w="40" w:type="dxa"/>
            <w:vAlign w:val="bottom"/>
          </w:tcPr>
          <w:p>
            <w:pPr>
              <w:spacing w:after="0"/>
              <w:rPr>
                <w:sz w:val="18"/>
                <w:szCs w:val="18"/>
                <w:color w:val="auto"/>
              </w:rPr>
            </w:pPr>
          </w:p>
        </w:tc>
      </w:tr>
      <w:tr>
        <w:trPr>
          <w:trHeight w:val="216"/>
        </w:trPr>
        <w:tc>
          <w:tcPr>
            <w:tcW w:w="1700" w:type="dxa"/>
            <w:vAlign w:val="bottom"/>
            <w:shd w:val="clear" w:color="auto" w:fill="CCEEFF"/>
          </w:tcPr>
          <w:p>
            <w:pPr>
              <w:spacing w:after="0"/>
              <w:rPr>
                <w:sz w:val="18"/>
                <w:szCs w:val="18"/>
                <w:color w:val="auto"/>
              </w:rPr>
            </w:pPr>
          </w:p>
        </w:tc>
        <w:tc>
          <w:tcPr>
            <w:tcW w:w="5420" w:type="dxa"/>
            <w:vAlign w:val="bottom"/>
            <w:shd w:val="clear" w:color="auto" w:fill="CCEEFF"/>
          </w:tcPr>
          <w:p>
            <w:pPr>
              <w:jc w:val="right"/>
              <w:ind w:right="3130"/>
              <w:spacing w:after="0"/>
              <w:rPr>
                <w:sz w:val="20"/>
                <w:szCs w:val="20"/>
                <w:color w:val="auto"/>
              </w:rPr>
            </w:pPr>
            <w:r>
              <w:rPr>
                <w:rFonts w:ascii="Arial" w:cs="Arial" w:eastAsia="Arial" w:hAnsi="Arial"/>
                <w:sz w:val="18"/>
                <w:szCs w:val="18"/>
                <w:color w:val="auto"/>
              </w:rPr>
              <w:t>(d)</w:t>
            </w:r>
          </w:p>
        </w:tc>
        <w:tc>
          <w:tcPr>
            <w:tcW w:w="4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Not Applicable</w:t>
            </w:r>
          </w:p>
        </w:tc>
        <w:tc>
          <w:tcPr>
            <w:tcW w:w="4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5420" w:type="dxa"/>
            <w:vAlign w:val="bottom"/>
          </w:tcPr>
          <w:p>
            <w:pPr>
              <w:jc w:val="right"/>
              <w:ind w:right="3130"/>
              <w:spacing w:after="0"/>
              <w:rPr>
                <w:sz w:val="20"/>
                <w:szCs w:val="20"/>
                <w:color w:val="auto"/>
              </w:rPr>
            </w:pPr>
            <w:r>
              <w:rPr>
                <w:rFonts w:ascii="Arial" w:cs="Arial" w:eastAsia="Arial" w:hAnsi="Arial"/>
                <w:sz w:val="18"/>
                <w:szCs w:val="18"/>
                <w:color w:val="auto"/>
              </w:rPr>
              <w:t>(e)</w:t>
            </w:r>
          </w:p>
        </w:tc>
        <w:tc>
          <w:tcPr>
            <w:tcW w:w="4300" w:type="dxa"/>
            <w:vAlign w:val="bottom"/>
          </w:tcPr>
          <w:p>
            <w:pPr>
              <w:ind w:left="100"/>
              <w:spacing w:after="0"/>
              <w:rPr>
                <w:sz w:val="20"/>
                <w:szCs w:val="20"/>
                <w:color w:val="auto"/>
              </w:rPr>
            </w:pPr>
            <w:r>
              <w:rPr>
                <w:rFonts w:ascii="Arial" w:cs="Arial" w:eastAsia="Arial" w:hAnsi="Arial"/>
                <w:sz w:val="18"/>
                <w:szCs w:val="18"/>
                <w:color w:val="auto"/>
              </w:rPr>
              <w:t>10.5</w:t>
            </w:r>
          </w:p>
        </w:tc>
        <w:tc>
          <w:tcPr>
            <w:tcW w:w="40" w:type="dxa"/>
            <w:vAlign w:val="bottom"/>
          </w:tcPr>
          <w:p>
            <w:pPr>
              <w:spacing w:after="0"/>
              <w:rPr>
                <w:sz w:val="18"/>
                <w:szCs w:val="18"/>
                <w:color w:val="auto"/>
              </w:rPr>
            </w:pPr>
          </w:p>
        </w:tc>
      </w:tr>
      <w:tr>
        <w:trPr>
          <w:trHeight w:val="216"/>
        </w:trPr>
        <w:tc>
          <w:tcPr>
            <w:tcW w:w="1700" w:type="dxa"/>
            <w:vAlign w:val="bottom"/>
            <w:shd w:val="clear" w:color="auto" w:fill="CCEEFF"/>
          </w:tcPr>
          <w:p>
            <w:pPr>
              <w:spacing w:after="0"/>
              <w:rPr>
                <w:sz w:val="18"/>
                <w:szCs w:val="18"/>
                <w:color w:val="auto"/>
              </w:rPr>
            </w:pPr>
          </w:p>
        </w:tc>
        <w:tc>
          <w:tcPr>
            <w:tcW w:w="5420" w:type="dxa"/>
            <w:vAlign w:val="bottom"/>
            <w:shd w:val="clear" w:color="auto" w:fill="CCEEFF"/>
          </w:tcPr>
          <w:p>
            <w:pPr>
              <w:jc w:val="right"/>
              <w:ind w:right="3130"/>
              <w:spacing w:after="0"/>
              <w:rPr>
                <w:sz w:val="20"/>
                <w:szCs w:val="20"/>
                <w:color w:val="auto"/>
              </w:rPr>
            </w:pPr>
            <w:r>
              <w:rPr>
                <w:rFonts w:ascii="Arial" w:cs="Arial" w:eastAsia="Arial" w:hAnsi="Arial"/>
                <w:sz w:val="18"/>
                <w:szCs w:val="18"/>
                <w:color w:val="auto"/>
              </w:rPr>
              <w:t>(f)</w:t>
            </w:r>
          </w:p>
        </w:tc>
        <w:tc>
          <w:tcPr>
            <w:tcW w:w="4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Not Applicable</w:t>
            </w:r>
          </w:p>
        </w:tc>
        <w:tc>
          <w:tcPr>
            <w:tcW w:w="4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5420" w:type="dxa"/>
            <w:vAlign w:val="bottom"/>
          </w:tcPr>
          <w:p>
            <w:pPr>
              <w:jc w:val="right"/>
              <w:ind w:right="3130"/>
              <w:spacing w:after="0"/>
              <w:rPr>
                <w:sz w:val="20"/>
                <w:szCs w:val="20"/>
                <w:color w:val="auto"/>
              </w:rPr>
            </w:pPr>
            <w:r>
              <w:rPr>
                <w:rFonts w:ascii="Arial" w:cs="Arial" w:eastAsia="Arial" w:hAnsi="Arial"/>
                <w:sz w:val="18"/>
                <w:szCs w:val="18"/>
                <w:color w:val="auto"/>
              </w:rPr>
              <w:t>§ 315(a)</w:t>
            </w:r>
          </w:p>
        </w:tc>
        <w:tc>
          <w:tcPr>
            <w:tcW w:w="4300" w:type="dxa"/>
            <w:vAlign w:val="bottom"/>
          </w:tcPr>
          <w:p>
            <w:pPr>
              <w:ind w:left="100"/>
              <w:spacing w:after="0"/>
              <w:rPr>
                <w:sz w:val="20"/>
                <w:szCs w:val="20"/>
                <w:color w:val="auto"/>
              </w:rPr>
            </w:pPr>
            <w:r>
              <w:rPr>
                <w:rFonts w:ascii="Arial" w:cs="Arial" w:eastAsia="Arial" w:hAnsi="Arial"/>
                <w:sz w:val="18"/>
                <w:szCs w:val="18"/>
                <w:color w:val="auto"/>
              </w:rPr>
              <w:t>7.1</w:t>
            </w:r>
          </w:p>
        </w:tc>
        <w:tc>
          <w:tcPr>
            <w:tcW w:w="40" w:type="dxa"/>
            <w:vAlign w:val="bottom"/>
          </w:tcPr>
          <w:p>
            <w:pPr>
              <w:spacing w:after="0"/>
              <w:rPr>
                <w:sz w:val="18"/>
                <w:szCs w:val="18"/>
                <w:color w:val="auto"/>
              </w:rPr>
            </w:pPr>
          </w:p>
        </w:tc>
      </w:tr>
      <w:tr>
        <w:trPr>
          <w:trHeight w:val="216"/>
        </w:trPr>
        <w:tc>
          <w:tcPr>
            <w:tcW w:w="1700" w:type="dxa"/>
            <w:vAlign w:val="bottom"/>
            <w:shd w:val="clear" w:color="auto" w:fill="CCEEFF"/>
          </w:tcPr>
          <w:p>
            <w:pPr>
              <w:spacing w:after="0"/>
              <w:rPr>
                <w:sz w:val="18"/>
                <w:szCs w:val="18"/>
                <w:color w:val="auto"/>
              </w:rPr>
            </w:pPr>
          </w:p>
        </w:tc>
        <w:tc>
          <w:tcPr>
            <w:tcW w:w="5420" w:type="dxa"/>
            <w:vAlign w:val="bottom"/>
            <w:shd w:val="clear" w:color="auto" w:fill="CCEEFF"/>
          </w:tcPr>
          <w:p>
            <w:pPr>
              <w:jc w:val="right"/>
              <w:ind w:right="3130"/>
              <w:spacing w:after="0"/>
              <w:rPr>
                <w:sz w:val="20"/>
                <w:szCs w:val="20"/>
                <w:color w:val="auto"/>
              </w:rPr>
            </w:pPr>
            <w:r>
              <w:rPr>
                <w:rFonts w:ascii="Arial" w:cs="Arial" w:eastAsia="Arial" w:hAnsi="Arial"/>
                <w:sz w:val="18"/>
                <w:szCs w:val="18"/>
                <w:color w:val="auto"/>
              </w:rPr>
              <w:t>(b)</w:t>
            </w:r>
          </w:p>
        </w:tc>
        <w:tc>
          <w:tcPr>
            <w:tcW w:w="4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7.5</w:t>
            </w:r>
          </w:p>
        </w:tc>
        <w:tc>
          <w:tcPr>
            <w:tcW w:w="4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5420" w:type="dxa"/>
            <w:vAlign w:val="bottom"/>
          </w:tcPr>
          <w:p>
            <w:pPr>
              <w:jc w:val="right"/>
              <w:ind w:right="3130"/>
              <w:spacing w:after="0"/>
              <w:rPr>
                <w:sz w:val="20"/>
                <w:szCs w:val="20"/>
                <w:color w:val="auto"/>
              </w:rPr>
            </w:pPr>
            <w:r>
              <w:rPr>
                <w:rFonts w:ascii="Arial" w:cs="Arial" w:eastAsia="Arial" w:hAnsi="Arial"/>
                <w:sz w:val="18"/>
                <w:szCs w:val="18"/>
                <w:color w:val="auto"/>
              </w:rPr>
              <w:t>(c)</w:t>
            </w:r>
          </w:p>
        </w:tc>
        <w:tc>
          <w:tcPr>
            <w:tcW w:w="4300" w:type="dxa"/>
            <w:vAlign w:val="bottom"/>
          </w:tcPr>
          <w:p>
            <w:pPr>
              <w:ind w:left="100"/>
              <w:spacing w:after="0"/>
              <w:rPr>
                <w:sz w:val="20"/>
                <w:szCs w:val="20"/>
                <w:color w:val="auto"/>
              </w:rPr>
            </w:pPr>
            <w:r>
              <w:rPr>
                <w:rFonts w:ascii="Arial" w:cs="Arial" w:eastAsia="Arial" w:hAnsi="Arial"/>
                <w:sz w:val="18"/>
                <w:szCs w:val="18"/>
                <w:color w:val="auto"/>
              </w:rPr>
              <w:t>7.1</w:t>
            </w:r>
          </w:p>
        </w:tc>
        <w:tc>
          <w:tcPr>
            <w:tcW w:w="40" w:type="dxa"/>
            <w:vAlign w:val="bottom"/>
          </w:tcPr>
          <w:p>
            <w:pPr>
              <w:spacing w:after="0"/>
              <w:rPr>
                <w:sz w:val="18"/>
                <w:szCs w:val="18"/>
                <w:color w:val="auto"/>
              </w:rPr>
            </w:pPr>
          </w:p>
        </w:tc>
      </w:tr>
      <w:tr>
        <w:trPr>
          <w:trHeight w:val="216"/>
        </w:trPr>
        <w:tc>
          <w:tcPr>
            <w:tcW w:w="1700" w:type="dxa"/>
            <w:vAlign w:val="bottom"/>
            <w:shd w:val="clear" w:color="auto" w:fill="CCEEFF"/>
          </w:tcPr>
          <w:p>
            <w:pPr>
              <w:spacing w:after="0"/>
              <w:rPr>
                <w:sz w:val="18"/>
                <w:szCs w:val="18"/>
                <w:color w:val="auto"/>
              </w:rPr>
            </w:pPr>
          </w:p>
        </w:tc>
        <w:tc>
          <w:tcPr>
            <w:tcW w:w="5420" w:type="dxa"/>
            <w:vAlign w:val="bottom"/>
            <w:shd w:val="clear" w:color="auto" w:fill="CCEEFF"/>
          </w:tcPr>
          <w:p>
            <w:pPr>
              <w:jc w:val="right"/>
              <w:ind w:right="3130"/>
              <w:spacing w:after="0"/>
              <w:rPr>
                <w:sz w:val="20"/>
                <w:szCs w:val="20"/>
                <w:color w:val="auto"/>
              </w:rPr>
            </w:pPr>
            <w:r>
              <w:rPr>
                <w:rFonts w:ascii="Arial" w:cs="Arial" w:eastAsia="Arial" w:hAnsi="Arial"/>
                <w:sz w:val="18"/>
                <w:szCs w:val="18"/>
                <w:color w:val="auto"/>
              </w:rPr>
              <w:t>(d)</w:t>
            </w:r>
          </w:p>
        </w:tc>
        <w:tc>
          <w:tcPr>
            <w:tcW w:w="4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7.1</w:t>
            </w:r>
          </w:p>
        </w:tc>
        <w:tc>
          <w:tcPr>
            <w:tcW w:w="4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5420" w:type="dxa"/>
            <w:vAlign w:val="bottom"/>
          </w:tcPr>
          <w:p>
            <w:pPr>
              <w:jc w:val="right"/>
              <w:ind w:right="3130"/>
              <w:spacing w:after="0"/>
              <w:rPr>
                <w:sz w:val="20"/>
                <w:szCs w:val="20"/>
                <w:color w:val="auto"/>
              </w:rPr>
            </w:pPr>
            <w:r>
              <w:rPr>
                <w:rFonts w:ascii="Arial" w:cs="Arial" w:eastAsia="Arial" w:hAnsi="Arial"/>
                <w:sz w:val="18"/>
                <w:szCs w:val="18"/>
                <w:color w:val="auto"/>
              </w:rPr>
              <w:t>(e)</w:t>
            </w:r>
          </w:p>
        </w:tc>
        <w:tc>
          <w:tcPr>
            <w:tcW w:w="4300" w:type="dxa"/>
            <w:vAlign w:val="bottom"/>
          </w:tcPr>
          <w:p>
            <w:pPr>
              <w:ind w:left="100"/>
              <w:spacing w:after="0"/>
              <w:rPr>
                <w:sz w:val="20"/>
                <w:szCs w:val="20"/>
                <w:color w:val="auto"/>
              </w:rPr>
            </w:pPr>
            <w:r>
              <w:rPr>
                <w:rFonts w:ascii="Arial" w:cs="Arial" w:eastAsia="Arial" w:hAnsi="Arial"/>
                <w:sz w:val="18"/>
                <w:szCs w:val="18"/>
                <w:color w:val="auto"/>
              </w:rPr>
              <w:t>6.14</w:t>
            </w:r>
          </w:p>
        </w:tc>
        <w:tc>
          <w:tcPr>
            <w:tcW w:w="40" w:type="dxa"/>
            <w:vAlign w:val="bottom"/>
          </w:tcPr>
          <w:p>
            <w:pPr>
              <w:spacing w:after="0"/>
              <w:rPr>
                <w:sz w:val="18"/>
                <w:szCs w:val="18"/>
                <w:color w:val="auto"/>
              </w:rPr>
            </w:pPr>
          </w:p>
        </w:tc>
      </w:tr>
      <w:tr>
        <w:trPr>
          <w:trHeight w:val="216"/>
        </w:trPr>
        <w:tc>
          <w:tcPr>
            <w:tcW w:w="1700" w:type="dxa"/>
            <w:vAlign w:val="bottom"/>
            <w:shd w:val="clear" w:color="auto" w:fill="CCEEFF"/>
          </w:tcPr>
          <w:p>
            <w:pPr>
              <w:spacing w:after="0"/>
              <w:rPr>
                <w:sz w:val="18"/>
                <w:szCs w:val="18"/>
                <w:color w:val="auto"/>
              </w:rPr>
            </w:pPr>
          </w:p>
        </w:tc>
        <w:tc>
          <w:tcPr>
            <w:tcW w:w="5420" w:type="dxa"/>
            <w:vAlign w:val="bottom"/>
            <w:shd w:val="clear" w:color="auto" w:fill="CCEEFF"/>
          </w:tcPr>
          <w:p>
            <w:pPr>
              <w:jc w:val="right"/>
              <w:ind w:right="3130"/>
              <w:spacing w:after="0"/>
              <w:rPr>
                <w:sz w:val="20"/>
                <w:szCs w:val="20"/>
                <w:color w:val="auto"/>
              </w:rPr>
            </w:pPr>
            <w:r>
              <w:rPr>
                <w:rFonts w:ascii="Arial" w:cs="Arial" w:eastAsia="Arial" w:hAnsi="Arial"/>
                <w:sz w:val="18"/>
                <w:szCs w:val="18"/>
                <w:color w:val="auto"/>
              </w:rPr>
              <w:t>§ 316(a)</w:t>
            </w:r>
          </w:p>
        </w:tc>
        <w:tc>
          <w:tcPr>
            <w:tcW w:w="4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2.10</w:t>
            </w:r>
          </w:p>
        </w:tc>
        <w:tc>
          <w:tcPr>
            <w:tcW w:w="4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5420" w:type="dxa"/>
            <w:vAlign w:val="bottom"/>
          </w:tcPr>
          <w:p>
            <w:pPr>
              <w:jc w:val="right"/>
              <w:ind w:right="3130"/>
              <w:spacing w:after="0"/>
              <w:rPr>
                <w:sz w:val="20"/>
                <w:szCs w:val="20"/>
                <w:color w:val="auto"/>
              </w:rPr>
            </w:pPr>
            <w:r>
              <w:rPr>
                <w:rFonts w:ascii="Arial" w:cs="Arial" w:eastAsia="Arial" w:hAnsi="Arial"/>
                <w:sz w:val="18"/>
                <w:szCs w:val="18"/>
                <w:color w:val="auto"/>
              </w:rPr>
              <w:t>(a)(1)(A)</w:t>
            </w:r>
          </w:p>
        </w:tc>
        <w:tc>
          <w:tcPr>
            <w:tcW w:w="4300" w:type="dxa"/>
            <w:vAlign w:val="bottom"/>
          </w:tcPr>
          <w:p>
            <w:pPr>
              <w:ind w:left="100"/>
              <w:spacing w:after="0"/>
              <w:rPr>
                <w:sz w:val="20"/>
                <w:szCs w:val="20"/>
                <w:color w:val="auto"/>
              </w:rPr>
            </w:pPr>
            <w:r>
              <w:rPr>
                <w:rFonts w:ascii="Arial" w:cs="Arial" w:eastAsia="Arial" w:hAnsi="Arial"/>
                <w:sz w:val="18"/>
                <w:szCs w:val="18"/>
                <w:color w:val="auto"/>
              </w:rPr>
              <w:t>6.12</w:t>
            </w:r>
          </w:p>
        </w:tc>
        <w:tc>
          <w:tcPr>
            <w:tcW w:w="40" w:type="dxa"/>
            <w:vAlign w:val="bottom"/>
          </w:tcPr>
          <w:p>
            <w:pPr>
              <w:spacing w:after="0"/>
              <w:rPr>
                <w:sz w:val="18"/>
                <w:szCs w:val="18"/>
                <w:color w:val="auto"/>
              </w:rPr>
            </w:pPr>
          </w:p>
        </w:tc>
      </w:tr>
      <w:tr>
        <w:trPr>
          <w:trHeight w:val="216"/>
        </w:trPr>
        <w:tc>
          <w:tcPr>
            <w:tcW w:w="1700" w:type="dxa"/>
            <w:vAlign w:val="bottom"/>
            <w:shd w:val="clear" w:color="auto" w:fill="CCEEFF"/>
          </w:tcPr>
          <w:p>
            <w:pPr>
              <w:spacing w:after="0"/>
              <w:rPr>
                <w:sz w:val="18"/>
                <w:szCs w:val="18"/>
                <w:color w:val="auto"/>
              </w:rPr>
            </w:pPr>
          </w:p>
        </w:tc>
        <w:tc>
          <w:tcPr>
            <w:tcW w:w="5420" w:type="dxa"/>
            <w:vAlign w:val="bottom"/>
            <w:shd w:val="clear" w:color="auto" w:fill="CCEEFF"/>
          </w:tcPr>
          <w:p>
            <w:pPr>
              <w:jc w:val="right"/>
              <w:ind w:right="3130"/>
              <w:spacing w:after="0"/>
              <w:rPr>
                <w:sz w:val="20"/>
                <w:szCs w:val="20"/>
                <w:color w:val="auto"/>
              </w:rPr>
            </w:pPr>
            <w:r>
              <w:rPr>
                <w:rFonts w:ascii="Arial" w:cs="Arial" w:eastAsia="Arial" w:hAnsi="Arial"/>
                <w:sz w:val="18"/>
                <w:szCs w:val="18"/>
                <w:color w:val="auto"/>
              </w:rPr>
              <w:t>(a)(1)(B)</w:t>
            </w:r>
          </w:p>
        </w:tc>
        <w:tc>
          <w:tcPr>
            <w:tcW w:w="4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6.13</w:t>
            </w:r>
          </w:p>
        </w:tc>
        <w:tc>
          <w:tcPr>
            <w:tcW w:w="4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5420" w:type="dxa"/>
            <w:vAlign w:val="bottom"/>
          </w:tcPr>
          <w:p>
            <w:pPr>
              <w:jc w:val="right"/>
              <w:ind w:right="3130"/>
              <w:spacing w:after="0"/>
              <w:rPr>
                <w:sz w:val="20"/>
                <w:szCs w:val="20"/>
                <w:color w:val="auto"/>
              </w:rPr>
            </w:pPr>
            <w:r>
              <w:rPr>
                <w:rFonts w:ascii="Arial" w:cs="Arial" w:eastAsia="Arial" w:hAnsi="Arial"/>
                <w:sz w:val="18"/>
                <w:szCs w:val="18"/>
                <w:color w:val="auto"/>
              </w:rPr>
              <w:t>(b)</w:t>
            </w:r>
          </w:p>
        </w:tc>
        <w:tc>
          <w:tcPr>
            <w:tcW w:w="4300" w:type="dxa"/>
            <w:vAlign w:val="bottom"/>
          </w:tcPr>
          <w:p>
            <w:pPr>
              <w:ind w:left="100"/>
              <w:spacing w:after="0"/>
              <w:rPr>
                <w:sz w:val="20"/>
                <w:szCs w:val="20"/>
                <w:color w:val="auto"/>
              </w:rPr>
            </w:pPr>
            <w:r>
              <w:rPr>
                <w:rFonts w:ascii="Arial" w:cs="Arial" w:eastAsia="Arial" w:hAnsi="Arial"/>
                <w:sz w:val="18"/>
                <w:szCs w:val="18"/>
                <w:color w:val="auto"/>
              </w:rPr>
              <w:t>6.8</w:t>
            </w:r>
          </w:p>
        </w:tc>
        <w:tc>
          <w:tcPr>
            <w:tcW w:w="40" w:type="dxa"/>
            <w:vAlign w:val="bottom"/>
          </w:tcPr>
          <w:p>
            <w:pPr>
              <w:spacing w:after="0"/>
              <w:rPr>
                <w:sz w:val="18"/>
                <w:szCs w:val="18"/>
                <w:color w:val="auto"/>
              </w:rPr>
            </w:pPr>
          </w:p>
        </w:tc>
      </w:tr>
      <w:tr>
        <w:trPr>
          <w:trHeight w:val="216"/>
        </w:trPr>
        <w:tc>
          <w:tcPr>
            <w:tcW w:w="1700" w:type="dxa"/>
            <w:vAlign w:val="bottom"/>
            <w:shd w:val="clear" w:color="auto" w:fill="CCEEFF"/>
          </w:tcPr>
          <w:p>
            <w:pPr>
              <w:spacing w:after="0"/>
              <w:rPr>
                <w:sz w:val="18"/>
                <w:szCs w:val="18"/>
                <w:color w:val="auto"/>
              </w:rPr>
            </w:pPr>
          </w:p>
        </w:tc>
        <w:tc>
          <w:tcPr>
            <w:tcW w:w="5420" w:type="dxa"/>
            <w:vAlign w:val="bottom"/>
            <w:shd w:val="clear" w:color="auto" w:fill="CCEEFF"/>
          </w:tcPr>
          <w:p>
            <w:pPr>
              <w:jc w:val="right"/>
              <w:ind w:right="3130"/>
              <w:spacing w:after="0"/>
              <w:rPr>
                <w:sz w:val="20"/>
                <w:szCs w:val="20"/>
                <w:color w:val="auto"/>
              </w:rPr>
            </w:pPr>
            <w:r>
              <w:rPr>
                <w:rFonts w:ascii="Arial" w:cs="Arial" w:eastAsia="Arial" w:hAnsi="Arial"/>
                <w:sz w:val="18"/>
                <w:szCs w:val="18"/>
                <w:color w:val="auto"/>
              </w:rPr>
              <w:t>§ 317(a)(1)</w:t>
            </w:r>
          </w:p>
        </w:tc>
        <w:tc>
          <w:tcPr>
            <w:tcW w:w="4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6.3</w:t>
            </w:r>
          </w:p>
        </w:tc>
        <w:tc>
          <w:tcPr>
            <w:tcW w:w="4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5420" w:type="dxa"/>
            <w:vAlign w:val="bottom"/>
          </w:tcPr>
          <w:p>
            <w:pPr>
              <w:jc w:val="right"/>
              <w:ind w:right="3130"/>
              <w:spacing w:after="0"/>
              <w:rPr>
                <w:sz w:val="20"/>
                <w:szCs w:val="20"/>
                <w:color w:val="auto"/>
              </w:rPr>
            </w:pPr>
            <w:r>
              <w:rPr>
                <w:rFonts w:ascii="Arial" w:cs="Arial" w:eastAsia="Arial" w:hAnsi="Arial"/>
                <w:sz w:val="18"/>
                <w:szCs w:val="18"/>
                <w:color w:val="auto"/>
              </w:rPr>
              <w:t>(a)(2)</w:t>
            </w:r>
          </w:p>
        </w:tc>
        <w:tc>
          <w:tcPr>
            <w:tcW w:w="4300" w:type="dxa"/>
            <w:vAlign w:val="bottom"/>
          </w:tcPr>
          <w:p>
            <w:pPr>
              <w:ind w:left="100"/>
              <w:spacing w:after="0"/>
              <w:rPr>
                <w:sz w:val="20"/>
                <w:szCs w:val="20"/>
                <w:color w:val="auto"/>
              </w:rPr>
            </w:pPr>
            <w:r>
              <w:rPr>
                <w:rFonts w:ascii="Arial" w:cs="Arial" w:eastAsia="Arial" w:hAnsi="Arial"/>
                <w:sz w:val="18"/>
                <w:szCs w:val="18"/>
                <w:color w:val="auto"/>
              </w:rPr>
              <w:t>6.4</w:t>
            </w:r>
          </w:p>
        </w:tc>
        <w:tc>
          <w:tcPr>
            <w:tcW w:w="40" w:type="dxa"/>
            <w:vAlign w:val="bottom"/>
          </w:tcPr>
          <w:p>
            <w:pPr>
              <w:spacing w:after="0"/>
              <w:rPr>
                <w:sz w:val="18"/>
                <w:szCs w:val="18"/>
                <w:color w:val="auto"/>
              </w:rPr>
            </w:pPr>
          </w:p>
        </w:tc>
      </w:tr>
      <w:tr>
        <w:trPr>
          <w:trHeight w:val="216"/>
        </w:trPr>
        <w:tc>
          <w:tcPr>
            <w:tcW w:w="1700" w:type="dxa"/>
            <w:vAlign w:val="bottom"/>
            <w:shd w:val="clear" w:color="auto" w:fill="CCEEFF"/>
          </w:tcPr>
          <w:p>
            <w:pPr>
              <w:spacing w:after="0"/>
              <w:rPr>
                <w:sz w:val="18"/>
                <w:szCs w:val="18"/>
                <w:color w:val="auto"/>
              </w:rPr>
            </w:pPr>
          </w:p>
        </w:tc>
        <w:tc>
          <w:tcPr>
            <w:tcW w:w="5420" w:type="dxa"/>
            <w:vAlign w:val="bottom"/>
            <w:shd w:val="clear" w:color="auto" w:fill="CCEEFF"/>
          </w:tcPr>
          <w:p>
            <w:pPr>
              <w:jc w:val="right"/>
              <w:ind w:right="3130"/>
              <w:spacing w:after="0"/>
              <w:rPr>
                <w:sz w:val="20"/>
                <w:szCs w:val="20"/>
                <w:color w:val="auto"/>
              </w:rPr>
            </w:pPr>
            <w:r>
              <w:rPr>
                <w:rFonts w:ascii="Arial" w:cs="Arial" w:eastAsia="Arial" w:hAnsi="Arial"/>
                <w:sz w:val="18"/>
                <w:szCs w:val="18"/>
                <w:color w:val="auto"/>
              </w:rPr>
              <w:t>(b)</w:t>
            </w:r>
          </w:p>
        </w:tc>
        <w:tc>
          <w:tcPr>
            <w:tcW w:w="4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2.5</w:t>
            </w:r>
          </w:p>
        </w:tc>
        <w:tc>
          <w:tcPr>
            <w:tcW w:w="40" w:type="dxa"/>
            <w:vAlign w:val="bottom"/>
          </w:tcPr>
          <w:p>
            <w:pPr>
              <w:spacing w:after="0"/>
              <w:rPr>
                <w:sz w:val="18"/>
                <w:szCs w:val="18"/>
                <w:color w:val="auto"/>
              </w:rPr>
            </w:pPr>
          </w:p>
        </w:tc>
      </w:tr>
      <w:tr>
        <w:trPr>
          <w:trHeight w:val="230"/>
        </w:trPr>
        <w:tc>
          <w:tcPr>
            <w:tcW w:w="1700" w:type="dxa"/>
            <w:vAlign w:val="bottom"/>
          </w:tcPr>
          <w:p>
            <w:pPr>
              <w:spacing w:after="0"/>
              <w:rPr>
                <w:sz w:val="20"/>
                <w:szCs w:val="20"/>
                <w:color w:val="auto"/>
              </w:rPr>
            </w:pPr>
          </w:p>
        </w:tc>
        <w:tc>
          <w:tcPr>
            <w:tcW w:w="5420" w:type="dxa"/>
            <w:vAlign w:val="bottom"/>
          </w:tcPr>
          <w:p>
            <w:pPr>
              <w:jc w:val="right"/>
              <w:ind w:right="3130"/>
              <w:spacing w:after="0"/>
              <w:rPr>
                <w:sz w:val="20"/>
                <w:szCs w:val="20"/>
                <w:color w:val="auto"/>
              </w:rPr>
            </w:pPr>
            <w:r>
              <w:rPr>
                <w:rFonts w:ascii="Arial" w:cs="Arial" w:eastAsia="Arial" w:hAnsi="Arial"/>
                <w:sz w:val="18"/>
                <w:szCs w:val="18"/>
                <w:color w:val="auto"/>
              </w:rPr>
              <w:t>§ 318(a)</w:t>
            </w:r>
          </w:p>
        </w:tc>
        <w:tc>
          <w:tcPr>
            <w:tcW w:w="4300" w:type="dxa"/>
            <w:vAlign w:val="bottom"/>
          </w:tcPr>
          <w:p>
            <w:pPr>
              <w:ind w:left="100"/>
              <w:spacing w:after="0"/>
              <w:rPr>
                <w:sz w:val="20"/>
                <w:szCs w:val="20"/>
                <w:color w:val="auto"/>
              </w:rPr>
            </w:pPr>
            <w:r>
              <w:rPr>
                <w:rFonts w:ascii="Arial" w:cs="Arial" w:eastAsia="Arial" w:hAnsi="Arial"/>
                <w:sz w:val="18"/>
                <w:szCs w:val="18"/>
                <w:color w:val="auto"/>
              </w:rPr>
              <w:t>10.1</w:t>
            </w:r>
          </w:p>
        </w:tc>
        <w:tc>
          <w:tcPr>
            <w:tcW w:w="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-6159500</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-6159500</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Note: This reconciliation and tie shall not, for any purpose, be deemed to be part of the Indenture.</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80" w:firstLine="881"/>
        <w:spacing w:after="0" w:line="277" w:lineRule="auto"/>
        <w:rPr>
          <w:sz w:val="20"/>
          <w:szCs w:val="20"/>
          <w:color w:val="auto"/>
        </w:rPr>
      </w:pPr>
      <w:r>
        <w:rPr>
          <w:rFonts w:ascii="Arial" w:cs="Arial" w:eastAsia="Arial" w:hAnsi="Arial"/>
          <w:sz w:val="18"/>
          <w:szCs w:val="18"/>
          <w:color w:val="auto"/>
        </w:rPr>
        <w:t>Indenture dated as of [·] between MICRON TECHNOLOGY, INC., a company incorporated under the laws of Delaware (“</w:t>
      </w:r>
      <w:r>
        <w:rPr>
          <w:rFonts w:ascii="Arial" w:cs="Arial" w:eastAsia="Arial" w:hAnsi="Arial"/>
          <w:sz w:val="18"/>
          <w:szCs w:val="18"/>
          <w:i w:val="1"/>
          <w:iCs w:val="1"/>
          <w:color w:val="auto"/>
        </w:rPr>
        <w:t>Company</w:t>
      </w:r>
      <w:r>
        <w:rPr>
          <w:rFonts w:ascii="Arial" w:cs="Arial" w:eastAsia="Arial" w:hAnsi="Arial"/>
          <w:sz w:val="18"/>
          <w:szCs w:val="18"/>
          <w:color w:val="auto"/>
        </w:rPr>
        <w:t>”), and [·], as trustee (“</w:t>
      </w:r>
      <w:r>
        <w:rPr>
          <w:rFonts w:ascii="Arial" w:cs="Arial" w:eastAsia="Arial" w:hAnsi="Arial"/>
          <w:sz w:val="18"/>
          <w:szCs w:val="18"/>
          <w:i w:val="1"/>
          <w:iCs w:val="1"/>
          <w:color w:val="auto"/>
        </w:rPr>
        <w:t>Trustee</w:t>
      </w:r>
      <w:r>
        <w:rPr>
          <w:rFonts w:ascii="Arial" w:cs="Arial" w:eastAsia="Arial" w:hAnsi="Arial"/>
          <w:sz w:val="18"/>
          <w:szCs w:val="18"/>
          <w:color w:val="auto"/>
        </w:rPr>
        <w:t>”).</w:t>
      </w:r>
    </w:p>
    <w:p>
      <w:pPr>
        <w:spacing w:after="0" w:line="170" w:lineRule="exact"/>
        <w:rPr>
          <w:sz w:val="20"/>
          <w:szCs w:val="20"/>
          <w:color w:val="auto"/>
        </w:rPr>
      </w:pPr>
    </w:p>
    <w:p>
      <w:pPr>
        <w:ind w:right="280" w:firstLine="881"/>
        <w:spacing w:after="0" w:line="277" w:lineRule="auto"/>
        <w:rPr>
          <w:sz w:val="20"/>
          <w:szCs w:val="20"/>
          <w:color w:val="auto"/>
        </w:rPr>
      </w:pPr>
      <w:r>
        <w:rPr>
          <w:rFonts w:ascii="Arial" w:cs="Arial" w:eastAsia="Arial" w:hAnsi="Arial"/>
          <w:sz w:val="18"/>
          <w:szCs w:val="18"/>
          <w:color w:val="auto"/>
        </w:rPr>
        <w:t>Each party agrees as follows for the benefit of the other party and for the equal and ratable benefit of the Holders of the Securities issued under this Indenture.</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DEFINITIONS AND INCORPORATION BY REFERENCE</w:t>
      </w:r>
    </w:p>
    <w:p>
      <w:pPr>
        <w:sectPr>
          <w:pgSz w:w="11900" w:h="16875" w:orient="portrait"/>
          <w:cols w:equalWidth="0" w:num="1">
            <w:col w:w="11460"/>
          </w:cols>
          <w:pgMar w:left="240" w:top="125" w:right="199" w:bottom="0" w:gutter="0" w:footer="0" w:header="0"/>
        </w:sectPr>
      </w:pPr>
    </w:p>
    <w:bookmarkStart w:id="25" w:name="page26"/>
    <w:bookmarkEnd w:id="25"/>
    <w:p>
      <w:pPr>
        <w:ind w:left="660"/>
        <w:spacing w:after="0"/>
        <w:tabs>
          <w:tab w:leader="none" w:pos="194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6"/>
          <w:szCs w:val="16"/>
          <w:u w:val="single" w:color="auto"/>
          <w:color w:val="auto"/>
        </w:rPr>
        <w:t>Definitions</w:t>
      </w:r>
      <w:r>
        <w:rPr>
          <w:rFonts w:ascii="Arial" w:cs="Arial" w:eastAsia="Arial" w:hAnsi="Arial"/>
          <w:sz w:val="16"/>
          <w:szCs w:val="16"/>
          <w:color w:val="auto"/>
        </w:rPr>
        <w:t>.</w:t>
      </w:r>
    </w:p>
    <w:p>
      <w:pPr>
        <w:spacing w:after="0" w:line="225" w:lineRule="exact"/>
        <w:rPr>
          <w:sz w:val="20"/>
          <w:szCs w:val="20"/>
          <w:color w:val="auto"/>
        </w:rPr>
      </w:pPr>
    </w:p>
    <w:p>
      <w:pPr>
        <w:ind w:right="480" w:firstLine="88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Additional Amounts</w:t>
      </w:r>
      <w:r>
        <w:rPr>
          <w:rFonts w:ascii="Arial" w:cs="Arial" w:eastAsia="Arial" w:hAnsi="Arial"/>
          <w:sz w:val="16"/>
          <w:szCs w:val="16"/>
          <w:color w:val="auto"/>
        </w:rPr>
        <w:t>” means any additional amounts which are required hereby or by any Security, under circumstances specified herein or therein, to be paid by the Company in respect of certain taxes imposed on Holders specified herein or therein and which are owing to such Holders.</w:t>
      </w:r>
    </w:p>
    <w:p>
      <w:pPr>
        <w:spacing w:after="0" w:line="124" w:lineRule="exact"/>
        <w:rPr>
          <w:sz w:val="20"/>
          <w:szCs w:val="20"/>
          <w:color w:val="auto"/>
        </w:rPr>
      </w:pPr>
    </w:p>
    <w:p>
      <w:pPr>
        <w:ind w:right="60" w:firstLine="88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Affiliate</w:t>
      </w:r>
      <w:r>
        <w:rPr>
          <w:rFonts w:ascii="Arial" w:cs="Arial" w:eastAsia="Arial" w:hAnsi="Arial"/>
          <w:sz w:val="17"/>
          <w:szCs w:val="17"/>
          <w:color w:val="auto"/>
        </w:rPr>
        <w:t>” of any specified person means any other person directly or indirectly controlling or controlled by or under common control with such specified person. For the purposes of this definition, “control” (including, with correlative meanings, the terms “controlled by” and “under common control with”), as used with respect to any person, shall mean the possession, directly or indirectly, of the power to direct or cause the direction of the management or policies of such person, whether through the ownership of voting securities or by agreement or otherwise.</w:t>
      </w:r>
    </w:p>
    <w:p>
      <w:pPr>
        <w:spacing w:after="0" w:line="17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Agent</w:t>
      </w:r>
      <w:r>
        <w:rPr>
          <w:rFonts w:ascii="Arial" w:cs="Arial" w:eastAsia="Arial" w:hAnsi="Arial"/>
          <w:sz w:val="18"/>
          <w:szCs w:val="18"/>
          <w:color w:val="auto"/>
        </w:rPr>
        <w:t>” means any Registrar, Paying Agent or Notice Agent.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of Directors</w:t>
      </w:r>
      <w:r>
        <w:rPr>
          <w:rFonts w:ascii="Arial" w:cs="Arial" w:eastAsia="Arial" w:hAnsi="Arial"/>
          <w:sz w:val="18"/>
          <w:szCs w:val="18"/>
          <w:color w:val="auto"/>
        </w:rPr>
        <w:t>” means the board of directors of the Company or any duly authorized committee thereof.</w:t>
      </w:r>
    </w:p>
    <w:p>
      <w:pPr>
        <w:spacing w:after="0" w:line="225" w:lineRule="exact"/>
        <w:rPr>
          <w:sz w:val="20"/>
          <w:szCs w:val="20"/>
          <w:color w:val="auto"/>
        </w:rPr>
      </w:pPr>
    </w:p>
    <w:p>
      <w:pPr>
        <w:ind w:right="40" w:firstLine="88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Resolution</w:t>
      </w:r>
      <w:r>
        <w:rPr>
          <w:rFonts w:ascii="Arial" w:cs="Arial" w:eastAsia="Arial" w:hAnsi="Arial"/>
          <w:sz w:val="18"/>
          <w:szCs w:val="18"/>
          <w:color w:val="auto"/>
        </w:rPr>
        <w:t>” means a copy of a resolution certified by the Secretary or an Assistant Secretary of the Company to have been adopted by the Board of Directors or pursuant to authorization by the Board of Directors and to be in full force and effect on the date of the certificate and delivered to the Trustee.</w:t>
      </w:r>
    </w:p>
    <w:p>
      <w:pPr>
        <w:spacing w:after="0" w:line="181" w:lineRule="exact"/>
        <w:rPr>
          <w:sz w:val="20"/>
          <w:szCs w:val="20"/>
          <w:color w:val="auto"/>
        </w:rPr>
      </w:pPr>
    </w:p>
    <w:p>
      <w:pPr>
        <w:ind w:right="280" w:firstLine="88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Business Day</w:t>
      </w:r>
      <w:r>
        <w:rPr>
          <w:rFonts w:ascii="Arial" w:cs="Arial" w:eastAsia="Arial" w:hAnsi="Arial"/>
          <w:sz w:val="17"/>
          <w:szCs w:val="17"/>
          <w:color w:val="auto"/>
        </w:rPr>
        <w:t>” means, any day except a Saturday, Sunday or a Legal Holiday in The City of New York, New York (or in connection with any payment, the place of payment) on which banking institutions are authorized or required by law, regulation or executive order to close.</w:t>
      </w:r>
    </w:p>
    <w:p>
      <w:pPr>
        <w:spacing w:after="0" w:line="147" w:lineRule="exact"/>
        <w:rPr>
          <w:sz w:val="20"/>
          <w:szCs w:val="20"/>
          <w:color w:val="auto"/>
        </w:rPr>
      </w:pPr>
    </w:p>
    <w:p>
      <w:pPr>
        <w:ind w:left="8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Capital Stock</w:t>
      </w:r>
      <w:r>
        <w:rPr>
          <w:rFonts w:ascii="Arial" w:cs="Arial" w:eastAsia="Arial" w:hAnsi="Arial"/>
          <w:sz w:val="17"/>
          <w:szCs w:val="17"/>
          <w:color w:val="auto"/>
        </w:rPr>
        <w:t>” means any and all shares, interests, participations, rights or other equivalents (however designated) of corporate stock.</w:t>
      </w:r>
    </w:p>
    <w:p>
      <w:pPr>
        <w:spacing w:after="0" w:line="23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w:t>
      </w:r>
      <w:r>
        <w:rPr>
          <w:rFonts w:ascii="Arial" w:cs="Arial" w:eastAsia="Arial" w:hAnsi="Arial"/>
          <w:sz w:val="18"/>
          <w:szCs w:val="18"/>
          <w:color w:val="auto"/>
        </w:rPr>
        <w:t>” means the party named as such above until a successor replaces it and thereafter means the successor.</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 Order</w:t>
      </w:r>
      <w:r>
        <w:rPr>
          <w:rFonts w:ascii="Arial" w:cs="Arial" w:eastAsia="Arial" w:hAnsi="Arial"/>
          <w:sz w:val="18"/>
          <w:szCs w:val="18"/>
          <w:color w:val="auto"/>
        </w:rPr>
        <w:t>” means a written order signed in the name of the Company by an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firstLine="881"/>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Corporate Trust Office</w:t>
      </w:r>
      <w:r>
        <w:rPr>
          <w:rFonts w:ascii="Arial" w:cs="Arial" w:eastAsia="Arial" w:hAnsi="Arial"/>
          <w:sz w:val="16"/>
          <w:szCs w:val="16"/>
          <w:color w:val="auto"/>
        </w:rPr>
        <w:t>” means the principal office of the Trustee at which at any time this Indenture shall be administered, which office as of the date hereof is located at [·]. With respect to presentation for transfer or exchange, conversions or principal payment, such address shall be [·], or such other address as the Trustee may designate from time to time by written notice to the Holders and the Company, or the principal corporate trust office of any successor Trustee (or such other address as such successor Trustee may designate from time to time by written notice to the Holders and the Company).</w:t>
      </w:r>
    </w:p>
    <w:p>
      <w:pPr>
        <w:spacing w:after="0" w:line="15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w:t>
      </w:r>
      <w:r>
        <w:rPr>
          <w:rFonts w:ascii="Arial" w:cs="Arial" w:eastAsia="Arial" w:hAnsi="Arial"/>
          <w:sz w:val="18"/>
          <w:szCs w:val="18"/>
          <w:color w:val="auto"/>
        </w:rPr>
        <w:t>” means any event which is, or after notice or passage of time or both would be, an Event of Default.</w:t>
      </w:r>
    </w:p>
    <w:p>
      <w:pPr>
        <w:spacing w:after="0" w:line="225" w:lineRule="exact"/>
        <w:rPr>
          <w:sz w:val="20"/>
          <w:szCs w:val="20"/>
          <w:color w:val="auto"/>
        </w:rPr>
      </w:pPr>
    </w:p>
    <w:p>
      <w:pPr>
        <w:ind w:right="180" w:firstLine="88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Depositary</w:t>
      </w:r>
      <w:r>
        <w:rPr>
          <w:rFonts w:ascii="Arial" w:cs="Arial" w:eastAsia="Arial" w:hAnsi="Arial"/>
          <w:sz w:val="18"/>
          <w:szCs w:val="18"/>
          <w:color w:val="auto"/>
        </w:rPr>
        <w:t>” means, with respect to the Securities of any Series issuable or issued in whole or in part in the form of one or more Global Securities, the person designated as Depositary for such Series by the Company, which Depositary shall be a clearing agency registered under the Exchange Act; and if at any time there is more than one such person, “Depositary” as used with respect to the Securities of any Series shall mean the Depositary with respect to the Securities of such Series.</w:t>
      </w:r>
    </w:p>
    <w:p>
      <w:pPr>
        <w:spacing w:after="0" w:line="187" w:lineRule="exact"/>
        <w:rPr>
          <w:sz w:val="20"/>
          <w:szCs w:val="20"/>
          <w:color w:val="auto"/>
        </w:rPr>
      </w:pPr>
    </w:p>
    <w:p>
      <w:pPr>
        <w:ind w:right="360" w:firstLine="88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Discount Security</w:t>
      </w:r>
      <w:r>
        <w:rPr>
          <w:rFonts w:ascii="Arial" w:cs="Arial" w:eastAsia="Arial" w:hAnsi="Arial"/>
          <w:sz w:val="18"/>
          <w:szCs w:val="18"/>
          <w:color w:val="auto"/>
        </w:rPr>
        <w:t>” means any Security that provides for an amount less than the stated principal amount thereof to be due and payable upon declaration of acceleration of the maturity thereof pursuant to Section 6.2.</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Dollars</w:t>
      </w:r>
      <w:r>
        <w:rPr>
          <w:rFonts w:ascii="Arial" w:cs="Arial" w:eastAsia="Arial" w:hAnsi="Arial"/>
          <w:sz w:val="18"/>
          <w:szCs w:val="18"/>
          <w:color w:val="auto"/>
        </w:rPr>
        <w:t>” and “</w:t>
      </w:r>
      <w:r>
        <w:rPr>
          <w:rFonts w:ascii="Arial" w:cs="Arial" w:eastAsia="Arial" w:hAnsi="Arial"/>
          <w:sz w:val="18"/>
          <w:szCs w:val="18"/>
          <w:i w:val="1"/>
          <w:iCs w:val="1"/>
          <w:color w:val="auto"/>
        </w:rPr>
        <w:t>$</w:t>
      </w:r>
      <w:r>
        <w:rPr>
          <w:rFonts w:ascii="Arial" w:cs="Arial" w:eastAsia="Arial" w:hAnsi="Arial"/>
          <w:sz w:val="18"/>
          <w:szCs w:val="18"/>
          <w:color w:val="auto"/>
        </w:rPr>
        <w:t>” means the currency of The United States of America.</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means the Securities Exchange Act of 1934, as amended.</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Foreign Currency</w:t>
      </w:r>
      <w:r>
        <w:rPr>
          <w:rFonts w:ascii="Arial" w:cs="Arial" w:eastAsia="Arial" w:hAnsi="Arial"/>
          <w:sz w:val="16"/>
          <w:szCs w:val="16"/>
          <w:color w:val="auto"/>
        </w:rPr>
        <w:t>” means any currency or currency unit issued by a government other than the government of The United States of America.</w:t>
      </w:r>
    </w:p>
    <w:p>
      <w:pPr>
        <w:spacing w:after="0" w:line="248" w:lineRule="exact"/>
        <w:rPr>
          <w:sz w:val="20"/>
          <w:szCs w:val="20"/>
          <w:color w:val="auto"/>
        </w:rPr>
      </w:pPr>
    </w:p>
    <w:p>
      <w:pPr>
        <w:jc w:val="both"/>
        <w:ind w:right="60" w:firstLine="88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Foreign Government Obligations</w:t>
      </w:r>
      <w:r>
        <w:rPr>
          <w:rFonts w:ascii="Arial" w:cs="Arial" w:eastAsia="Arial" w:hAnsi="Arial"/>
          <w:sz w:val="18"/>
          <w:szCs w:val="18"/>
          <w:color w:val="auto"/>
        </w:rPr>
        <w:t>” means, with respect to Securities of any Series that are denominated in a Foreign Currency, direct obligations of, or obligations guaranteed by, the government that issued or caused to be issued such currency for the payment of which obligations its full faith and credit is pledged and which are not callable or redeemable at the option of the issuer thereof.</w:t>
      </w:r>
    </w:p>
    <w:p>
      <w:pPr>
        <w:spacing w:after="0" w:line="181" w:lineRule="exact"/>
        <w:rPr>
          <w:sz w:val="20"/>
          <w:szCs w:val="20"/>
          <w:color w:val="auto"/>
        </w:rPr>
      </w:pPr>
    </w:p>
    <w:p>
      <w:pPr>
        <w:ind w:right="220" w:firstLine="881"/>
        <w:spacing w:after="0" w:line="259" w:lineRule="auto"/>
        <w:rPr>
          <w:sz w:val="20"/>
          <w:szCs w:val="20"/>
          <w:color w:val="auto"/>
        </w:rPr>
      </w:pPr>
      <w:r>
        <w:rPr>
          <w:rFonts w:ascii="Arial" w:cs="Arial" w:eastAsia="Arial" w:hAnsi="Arial"/>
          <w:sz w:val="18"/>
          <w:szCs w:val="18"/>
          <w:i w:val="1"/>
          <w:iCs w:val="1"/>
          <w:color w:val="auto"/>
        </w:rPr>
        <w:t xml:space="preserve">“GAAP” </w:t>
      </w:r>
      <w:r>
        <w:rPr>
          <w:rFonts w:ascii="Arial" w:cs="Arial" w:eastAsia="Arial" w:hAnsi="Arial"/>
          <w:sz w:val="18"/>
          <w:szCs w:val="18"/>
          <w:color w:val="auto"/>
        </w:rPr>
        <w:t>means accounting principles generally accepted in the United States of America set forth in the opinions and pronouncements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as of the date of determination.</w:t>
      </w:r>
    </w:p>
    <w:p>
      <w:pPr>
        <w:spacing w:after="0" w:line="187" w:lineRule="exact"/>
        <w:rPr>
          <w:sz w:val="20"/>
          <w:szCs w:val="20"/>
          <w:color w:val="auto"/>
        </w:rPr>
      </w:pPr>
    </w:p>
    <w:p>
      <w:pPr>
        <w:jc w:val="both"/>
        <w:ind w:right="480" w:firstLine="88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Global Security</w:t>
      </w:r>
      <w:r>
        <w:rPr>
          <w:rFonts w:ascii="Arial" w:cs="Arial" w:eastAsia="Arial" w:hAnsi="Arial"/>
          <w:sz w:val="18"/>
          <w:szCs w:val="18"/>
          <w:color w:val="auto"/>
        </w:rPr>
        <w:t>” or “</w:t>
      </w:r>
      <w:r>
        <w:rPr>
          <w:rFonts w:ascii="Arial" w:cs="Arial" w:eastAsia="Arial" w:hAnsi="Arial"/>
          <w:sz w:val="18"/>
          <w:szCs w:val="18"/>
          <w:i w:val="1"/>
          <w:iCs w:val="1"/>
          <w:color w:val="auto"/>
        </w:rPr>
        <w:t>Global Securities</w:t>
      </w:r>
      <w:r>
        <w:rPr>
          <w:rFonts w:ascii="Arial" w:cs="Arial" w:eastAsia="Arial" w:hAnsi="Arial"/>
          <w:sz w:val="18"/>
          <w:szCs w:val="18"/>
          <w:color w:val="auto"/>
        </w:rPr>
        <w:t>” means a Security or Securities, as the case may be, in the form established pursuant to Section 2.2 evidencing all or part of a Series of Securities, issued to the Depositary for such Series or its nominee, and registered in the name of such Depositary or nominee.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Holder</w:t>
      </w:r>
      <w:r>
        <w:rPr>
          <w:rFonts w:ascii="Arial" w:cs="Arial" w:eastAsia="Arial" w:hAnsi="Arial"/>
          <w:sz w:val="18"/>
          <w:szCs w:val="18"/>
          <w:color w:val="auto"/>
        </w:rPr>
        <w:t>” or “</w:t>
      </w:r>
      <w:r>
        <w:rPr>
          <w:rFonts w:ascii="Arial" w:cs="Arial" w:eastAsia="Arial" w:hAnsi="Arial"/>
          <w:sz w:val="18"/>
          <w:szCs w:val="18"/>
          <w:i w:val="1"/>
          <w:iCs w:val="1"/>
          <w:color w:val="auto"/>
        </w:rPr>
        <w:t>Securityholder</w:t>
      </w:r>
      <w:r>
        <w:rPr>
          <w:rFonts w:ascii="Arial" w:cs="Arial" w:eastAsia="Arial" w:hAnsi="Arial"/>
          <w:sz w:val="18"/>
          <w:szCs w:val="18"/>
          <w:color w:val="auto"/>
        </w:rPr>
        <w:t>” means a person in whose name a Security is registered on the books of the Registrar.</w:t>
      </w:r>
    </w:p>
    <w:p>
      <w:pPr>
        <w:spacing w:after="0" w:line="225" w:lineRule="exact"/>
        <w:rPr>
          <w:sz w:val="20"/>
          <w:szCs w:val="20"/>
          <w:color w:val="auto"/>
        </w:rPr>
      </w:pPr>
    </w:p>
    <w:p>
      <w:pPr>
        <w:ind w:right="420" w:firstLine="88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Indenture</w:t>
      </w:r>
      <w:r>
        <w:rPr>
          <w:rFonts w:ascii="Arial" w:cs="Arial" w:eastAsia="Arial" w:hAnsi="Arial"/>
          <w:sz w:val="18"/>
          <w:szCs w:val="18"/>
          <w:color w:val="auto"/>
        </w:rPr>
        <w:t>” means this Indenture as amended or supplemented from time to time and shall include the form and terms of particular Series of Securities established as contemplated hereunder.</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interest</w:t>
      </w:r>
      <w:r>
        <w:rPr>
          <w:rFonts w:ascii="Arial" w:cs="Arial" w:eastAsia="Arial" w:hAnsi="Arial"/>
          <w:sz w:val="17"/>
          <w:szCs w:val="17"/>
          <w:color w:val="auto"/>
        </w:rPr>
        <w:t>” with respect to any Discount Security which by its terms bears interest only after Maturity, means interest payable after Maturity.</w:t>
      </w:r>
    </w:p>
    <w:p>
      <w:pPr>
        <w:sectPr>
          <w:pgSz w:w="11900" w:h="16838" w:orient="portrait"/>
          <w:cols w:equalWidth="0" w:num="1">
            <w:col w:w="11420"/>
          </w:cols>
          <w:pgMar w:left="240" w:top="341" w:right="239" w:bottom="0" w:gutter="0" w:footer="0" w:header="0"/>
        </w:sectPr>
      </w:pPr>
    </w:p>
    <w:bookmarkStart w:id="26" w:name="page27"/>
    <w:bookmarkEnd w:id="26"/>
    <w:p>
      <w:pPr>
        <w:ind w:right="140" w:firstLine="88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Maturity</w:t>
      </w:r>
      <w:r>
        <w:rPr>
          <w:rFonts w:ascii="Arial" w:cs="Arial" w:eastAsia="Arial" w:hAnsi="Arial"/>
          <w:sz w:val="18"/>
          <w:szCs w:val="18"/>
          <w:color w:val="auto"/>
        </w:rPr>
        <w:t>,” when used with respect to any Security, means the date on which the principal of such Security becomes due and payable as therein or herein provided, whether at the Stated Maturity or by declaration of acceleration, call for redemption or otherwise.</w:t>
      </w:r>
    </w:p>
    <w:p>
      <w:pPr>
        <w:spacing w:after="0" w:line="170" w:lineRule="exact"/>
        <w:rPr>
          <w:sz w:val="20"/>
          <w:szCs w:val="20"/>
          <w:color w:val="auto"/>
        </w:rPr>
      </w:pPr>
    </w:p>
    <w:p>
      <w:pPr>
        <w:ind w:firstLine="88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Officer</w:t>
      </w:r>
      <w:r>
        <w:rPr>
          <w:rFonts w:ascii="Arial" w:cs="Arial" w:eastAsia="Arial" w:hAnsi="Arial"/>
          <w:sz w:val="18"/>
          <w:szCs w:val="18"/>
          <w:color w:val="auto"/>
        </w:rPr>
        <w:t>” means the Chief Executive Officer, President, the Chief Financial Officer, the Treasurer or any Assistant Treasurer, the Secretary or any Assistant Secretary, and any Vice President of the Company.</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Officer’s Certificate</w:t>
      </w:r>
      <w:r>
        <w:rPr>
          <w:rFonts w:ascii="Arial" w:cs="Arial" w:eastAsia="Arial" w:hAnsi="Arial"/>
          <w:sz w:val="18"/>
          <w:szCs w:val="18"/>
          <w:color w:val="auto"/>
        </w:rPr>
        <w:t>” means a certificate signed by any Officer that meets the requirements of Section 10.5.</w:t>
      </w:r>
    </w:p>
    <w:p>
      <w:pPr>
        <w:spacing w:after="0" w:line="225" w:lineRule="exact"/>
        <w:rPr>
          <w:sz w:val="20"/>
          <w:szCs w:val="20"/>
          <w:color w:val="auto"/>
        </w:rPr>
      </w:pPr>
    </w:p>
    <w:p>
      <w:pPr>
        <w:ind w:firstLine="88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Opinion of Counsel</w:t>
      </w:r>
      <w:r>
        <w:rPr>
          <w:rFonts w:ascii="Arial" w:cs="Arial" w:eastAsia="Arial" w:hAnsi="Arial"/>
          <w:sz w:val="18"/>
          <w:szCs w:val="18"/>
          <w:color w:val="auto"/>
        </w:rPr>
        <w:t>” means a written opinion of legal counsel who is acceptable to the Trustee. The opinion may contain customary limitations, qualifications, conditions and exceptions. The counsel may be an employee of or counsel to the Company.</w:t>
      </w:r>
    </w:p>
    <w:p>
      <w:pPr>
        <w:spacing w:after="0" w:line="170" w:lineRule="exact"/>
        <w:rPr>
          <w:sz w:val="20"/>
          <w:szCs w:val="20"/>
          <w:color w:val="auto"/>
        </w:rPr>
      </w:pPr>
    </w:p>
    <w:p>
      <w:pPr>
        <w:ind w:right="640" w:firstLine="88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any individual, corporation, partnership, joint venture, association, limited liability company, joint-stock company, trust, unincorporated organization or government or any agency or political subdivision thereof.</w:t>
      </w:r>
    </w:p>
    <w:p>
      <w:pPr>
        <w:spacing w:after="0" w:line="170" w:lineRule="exact"/>
        <w:rPr>
          <w:sz w:val="20"/>
          <w:szCs w:val="20"/>
          <w:color w:val="auto"/>
        </w:rPr>
      </w:pPr>
    </w:p>
    <w:p>
      <w:pPr>
        <w:ind w:right="320" w:firstLine="88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w:t>
      </w:r>
      <w:r>
        <w:rPr>
          <w:rFonts w:ascii="Arial" w:cs="Arial" w:eastAsia="Arial" w:hAnsi="Arial"/>
          <w:sz w:val="18"/>
          <w:szCs w:val="18"/>
          <w:color w:val="auto"/>
        </w:rPr>
        <w:t>” of a Security means the principal of the Security plus, when appropriate, the premium, if any, on, and any Additional Amounts in respect of, the Security.</w:t>
      </w:r>
    </w:p>
    <w:p>
      <w:pPr>
        <w:spacing w:after="0" w:line="170" w:lineRule="exact"/>
        <w:rPr>
          <w:sz w:val="20"/>
          <w:szCs w:val="20"/>
          <w:color w:val="auto"/>
        </w:rPr>
      </w:pPr>
    </w:p>
    <w:p>
      <w:pPr>
        <w:ind w:right="40" w:firstLine="88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Responsible Officer</w:t>
      </w:r>
      <w:r>
        <w:rPr>
          <w:rFonts w:ascii="Arial" w:cs="Arial" w:eastAsia="Arial" w:hAnsi="Arial"/>
          <w:sz w:val="18"/>
          <w:szCs w:val="18"/>
          <w:color w:val="auto"/>
        </w:rPr>
        <w:t>” means any officer of the Trustee in its Corporate Trust Office having direct responsibility for the administration of this Indenture and also means, with respect to a particular corporate trust matter, any other officer to whom any corporate trust matter is referred because of his or her knowledge of and familiarity with a particular subject.</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w:t>
      </w:r>
      <w:r>
        <w:rPr>
          <w:rFonts w:ascii="Arial" w:cs="Arial" w:eastAsia="Arial" w:hAnsi="Arial"/>
          <w:sz w:val="18"/>
          <w:szCs w:val="18"/>
          <w:color w:val="auto"/>
        </w:rPr>
        <w:t>” means the Securities and Exchange Commission.</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Securities</w:t>
      </w:r>
      <w:r>
        <w:rPr>
          <w:rFonts w:ascii="Arial" w:cs="Arial" w:eastAsia="Arial" w:hAnsi="Arial"/>
          <w:sz w:val="17"/>
          <w:szCs w:val="17"/>
          <w:color w:val="auto"/>
        </w:rPr>
        <w:t>” means the debentures, notes or other debt instruments of the Company of any Series authenticated and delivered under this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Indenture.</w:t>
      </w:r>
    </w:p>
    <w:p>
      <w:pPr>
        <w:spacing w:after="0" w:line="211" w:lineRule="exact"/>
        <w:rPr>
          <w:sz w:val="20"/>
          <w:szCs w:val="20"/>
          <w:color w:val="auto"/>
        </w:rPr>
      </w:pPr>
    </w:p>
    <w:p>
      <w:pPr>
        <w:ind w:right="160" w:firstLine="88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Series</w:t>
      </w:r>
      <w:r>
        <w:rPr>
          <w:rFonts w:ascii="Arial" w:cs="Arial" w:eastAsia="Arial" w:hAnsi="Arial"/>
          <w:sz w:val="18"/>
          <w:szCs w:val="18"/>
          <w:color w:val="auto"/>
        </w:rPr>
        <w:t>” or “</w:t>
      </w:r>
      <w:r>
        <w:rPr>
          <w:rFonts w:ascii="Arial" w:cs="Arial" w:eastAsia="Arial" w:hAnsi="Arial"/>
          <w:sz w:val="18"/>
          <w:szCs w:val="18"/>
          <w:i w:val="1"/>
          <w:iCs w:val="1"/>
          <w:color w:val="auto"/>
        </w:rPr>
        <w:t>Series of Securities</w:t>
      </w:r>
      <w:r>
        <w:rPr>
          <w:rFonts w:ascii="Arial" w:cs="Arial" w:eastAsia="Arial" w:hAnsi="Arial"/>
          <w:sz w:val="18"/>
          <w:szCs w:val="18"/>
          <w:color w:val="auto"/>
        </w:rPr>
        <w:t>” means each series of debentures, notes or other debt instruments of the Company created pursuant to Sections 2.1 and 2.2 hereof.</w:t>
      </w:r>
    </w:p>
    <w:p>
      <w:pPr>
        <w:spacing w:after="0" w:line="170" w:lineRule="exact"/>
        <w:rPr>
          <w:sz w:val="20"/>
          <w:szCs w:val="20"/>
          <w:color w:val="auto"/>
        </w:rPr>
      </w:pPr>
    </w:p>
    <w:p>
      <w:pPr>
        <w:ind w:right="220" w:firstLine="88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Stated Maturity</w:t>
      </w:r>
      <w:r>
        <w:rPr>
          <w:rFonts w:ascii="Arial" w:cs="Arial" w:eastAsia="Arial" w:hAnsi="Arial"/>
          <w:sz w:val="18"/>
          <w:szCs w:val="18"/>
          <w:color w:val="auto"/>
        </w:rPr>
        <w:t>” when used with respect to any Security, means the date specified in such Security as the fixed date on which the principal of such Security or interest is due and payable.</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400" w:firstLine="88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of any specified person means any corporation, association or other business entity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w:t>
      </w:r>
    </w:p>
    <w:p>
      <w:pPr>
        <w:spacing w:after="0" w:line="187" w:lineRule="exact"/>
        <w:rPr>
          <w:sz w:val="20"/>
          <w:szCs w:val="20"/>
          <w:color w:val="auto"/>
        </w:rPr>
      </w:pPr>
    </w:p>
    <w:p>
      <w:pPr>
        <w:jc w:val="both"/>
        <w:ind w:right="20" w:firstLine="88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TIA</w:t>
      </w:r>
      <w:r>
        <w:rPr>
          <w:rFonts w:ascii="Arial" w:cs="Arial" w:eastAsia="Arial" w:hAnsi="Arial"/>
          <w:sz w:val="18"/>
          <w:szCs w:val="18"/>
          <w:color w:val="auto"/>
        </w:rPr>
        <w:t xml:space="preserve">” means the Trust Indenture Act of 1939 (15 U.S. Code §§ 77aaa-77bbbb) as in effect on the date of this Indenture;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event the Trust Indenture Act of 1939 is amended after such date, “TIA” means, to the extent required by any such amendment, the Trust Indenture Act as so amended.</w:t>
      </w:r>
    </w:p>
    <w:p>
      <w:pPr>
        <w:spacing w:after="0" w:line="181" w:lineRule="exact"/>
        <w:rPr>
          <w:sz w:val="20"/>
          <w:szCs w:val="20"/>
          <w:color w:val="auto"/>
        </w:rPr>
      </w:pPr>
    </w:p>
    <w:p>
      <w:pPr>
        <w:ind w:right="20" w:firstLine="88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Trustee</w:t>
      </w:r>
      <w:r>
        <w:rPr>
          <w:rFonts w:ascii="Arial" w:cs="Arial" w:eastAsia="Arial" w:hAnsi="Arial"/>
          <w:sz w:val="18"/>
          <w:szCs w:val="18"/>
          <w:color w:val="auto"/>
        </w:rPr>
        <w:t>” means the person named as the “Trustee” in the first paragraph of this instrument until a successor Trustee shall have become such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w:t>
      </w:r>
    </w:p>
    <w:p>
      <w:pPr>
        <w:spacing w:after="0" w:line="187" w:lineRule="exact"/>
        <w:rPr>
          <w:sz w:val="20"/>
          <w:szCs w:val="20"/>
          <w:color w:val="auto"/>
        </w:rPr>
      </w:pPr>
    </w:p>
    <w:p>
      <w:pPr>
        <w:ind w:firstLine="881"/>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U.S. Government Obligations</w:t>
      </w:r>
      <w:r>
        <w:rPr>
          <w:rFonts w:ascii="Arial" w:cs="Arial" w:eastAsia="Arial" w:hAnsi="Arial"/>
          <w:sz w:val="17"/>
          <w:szCs w:val="17"/>
          <w:color w:val="auto"/>
        </w:rPr>
        <w:t xml:space="preserve">” means securities which are direct obligations of, or guaranteed by, The United States of America for the payment of which its full faith and credit is pledged and which are not callable or redeemable at the option of the issuer thereof, and shall also include a depositary receipt issued by a bank or trust company as custodian with respect to any such U.S. Government Obligation or a specific payment of interest on or principal of any such U.S. Government Obligation held by such custodian for the account of the holder of a depository receipt,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(except as required by law) such custodian is not authorized to make any deduction from the amount payable to the holder of such depositary receipt from any amount received by the custodian in respect of the U.S. Government Obligation evidenced by such depositary receipt.</w:t>
      </w:r>
    </w:p>
    <w:p>
      <w:pPr>
        <w:spacing w:after="0" w:line="161"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1300" w:type="dxa"/>
            <w:vAlign w:val="bottom"/>
            <w:gridSpan w:val="2"/>
          </w:tcPr>
          <w:p>
            <w:pPr>
              <w:spacing w:after="0"/>
              <w:rPr>
                <w:sz w:val="20"/>
                <w:szCs w:val="20"/>
                <w:color w:val="auto"/>
              </w:rPr>
            </w:pPr>
            <w:r>
              <w:rPr>
                <w:rFonts w:ascii="Arial" w:cs="Arial" w:eastAsia="Arial" w:hAnsi="Arial"/>
                <w:sz w:val="18"/>
                <w:szCs w:val="18"/>
                <w:color w:val="auto"/>
              </w:rPr>
              <w:t>Section 1.2</w:t>
            </w:r>
          </w:p>
        </w:tc>
        <w:tc>
          <w:tcPr>
            <w:tcW w:w="4000" w:type="dxa"/>
            <w:vAlign w:val="bottom"/>
            <w:gridSpan w:val="3"/>
          </w:tcPr>
          <w:p>
            <w:pPr>
              <w:spacing w:after="0"/>
              <w:rPr>
                <w:sz w:val="20"/>
                <w:szCs w:val="20"/>
                <w:color w:val="auto"/>
              </w:rPr>
            </w:pPr>
            <w:r>
              <w:rPr>
                <w:rFonts w:ascii="Arial" w:cs="Arial" w:eastAsia="Arial" w:hAnsi="Arial"/>
                <w:sz w:val="18"/>
                <w:szCs w:val="18"/>
                <w:color w:val="auto"/>
              </w:rPr>
              <w:t>Other Definitions.</w:t>
            </w:r>
          </w:p>
        </w:tc>
        <w:tc>
          <w:tcPr>
            <w:tcW w:w="4520" w:type="dxa"/>
            <w:vAlign w:val="bottom"/>
          </w:tcPr>
          <w:p>
            <w:pPr>
              <w:spacing w:after="0"/>
              <w:rPr>
                <w:sz w:val="18"/>
                <w:szCs w:val="18"/>
                <w:color w:val="auto"/>
              </w:rPr>
            </w:pPr>
          </w:p>
        </w:tc>
      </w:tr>
      <w:tr>
        <w:trPr>
          <w:trHeight w:val="385"/>
        </w:trPr>
        <w:tc>
          <w:tcPr>
            <w:tcW w:w="260" w:type="dxa"/>
            <w:vAlign w:val="bottom"/>
          </w:tcPr>
          <w:p>
            <w:pPr>
              <w:spacing w:after="0"/>
              <w:rPr>
                <w:sz w:val="24"/>
                <w:szCs w:val="24"/>
                <w:color w:val="auto"/>
              </w:rPr>
            </w:pPr>
          </w:p>
        </w:tc>
        <w:tc>
          <w:tcPr>
            <w:tcW w:w="1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TERM</w:t>
            </w:r>
          </w:p>
        </w:tc>
        <w:tc>
          <w:tcPr>
            <w:tcW w:w="1260" w:type="dxa"/>
            <w:vAlign w:val="bottom"/>
            <w:tcBorders>
              <w:top w:val="single" w:sz="8" w:color="auto"/>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4520" w:type="dxa"/>
            <w:vAlign w:val="bottom"/>
            <w:tcBorders>
              <w:bottom w:val="single" w:sz="8" w:color="auto"/>
            </w:tcBorders>
          </w:tcPr>
          <w:p>
            <w:pPr>
              <w:ind w:left="1500"/>
              <w:spacing w:after="0"/>
              <w:rPr>
                <w:sz w:val="20"/>
                <w:szCs w:val="20"/>
                <w:color w:val="auto"/>
              </w:rPr>
            </w:pPr>
            <w:r>
              <w:rPr>
                <w:rFonts w:ascii="Arial" w:cs="Arial" w:eastAsia="Arial" w:hAnsi="Arial"/>
                <w:sz w:val="14"/>
                <w:szCs w:val="14"/>
                <w:b w:val="1"/>
                <w:bCs w:val="1"/>
                <w:color w:val="auto"/>
              </w:rPr>
              <w:t>DEFINED IN SECTION</w:t>
            </w:r>
          </w:p>
        </w:tc>
      </w:tr>
      <w:tr>
        <w:trPr>
          <w:trHeight w:val="210"/>
        </w:trPr>
        <w:tc>
          <w:tcPr>
            <w:tcW w:w="260" w:type="dxa"/>
            <w:vAlign w:val="bottom"/>
          </w:tcPr>
          <w:p>
            <w:pPr>
              <w:spacing w:after="0"/>
              <w:rPr>
                <w:sz w:val="18"/>
                <w:szCs w:val="18"/>
                <w:color w:val="auto"/>
              </w:rPr>
            </w:pPr>
          </w:p>
        </w:tc>
        <w:tc>
          <w:tcPr>
            <w:tcW w:w="4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Bankruptcy Law</w:t>
            </w: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4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6.1</w:t>
            </w:r>
          </w:p>
        </w:tc>
      </w:tr>
      <w:tr>
        <w:trPr>
          <w:trHeight w:val="216"/>
        </w:trPr>
        <w:tc>
          <w:tcPr>
            <w:tcW w:w="26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Custodian</w:t>
            </w: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520" w:type="dxa"/>
            <w:vAlign w:val="bottom"/>
          </w:tcPr>
          <w:p>
            <w:pPr>
              <w:jc w:val="center"/>
              <w:spacing w:after="0"/>
              <w:rPr>
                <w:sz w:val="20"/>
                <w:szCs w:val="20"/>
                <w:color w:val="auto"/>
              </w:rPr>
            </w:pPr>
            <w:r>
              <w:rPr>
                <w:rFonts w:ascii="Arial" w:cs="Arial" w:eastAsia="Arial" w:hAnsi="Arial"/>
                <w:sz w:val="18"/>
                <w:szCs w:val="18"/>
                <w:color w:val="auto"/>
                <w:w w:val="95"/>
              </w:rPr>
              <w:t>6.1</w:t>
            </w:r>
          </w:p>
        </w:tc>
      </w:tr>
      <w:tr>
        <w:trPr>
          <w:trHeight w:val="216"/>
        </w:trPr>
        <w:tc>
          <w:tcPr>
            <w:tcW w:w="260" w:type="dxa"/>
            <w:vAlign w:val="bottom"/>
          </w:tcPr>
          <w:p>
            <w:pPr>
              <w:spacing w:after="0"/>
              <w:rPr>
                <w:sz w:val="18"/>
                <w:szCs w:val="18"/>
                <w:color w:val="auto"/>
              </w:rPr>
            </w:pPr>
          </w:p>
        </w:tc>
        <w:tc>
          <w:tcPr>
            <w:tcW w:w="50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Event of Default</w:t>
            </w:r>
            <w:r>
              <w:rPr>
                <w:rFonts w:ascii="Arial" w:cs="Arial" w:eastAsia="Arial" w:hAnsi="Arial"/>
                <w:sz w:val="18"/>
                <w:szCs w:val="18"/>
                <w:color w:val="auto"/>
              </w:rPr>
              <w:t>”</w:t>
            </w:r>
          </w:p>
        </w:tc>
        <w:tc>
          <w:tcPr>
            <w:tcW w:w="4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6.1</w:t>
            </w:r>
          </w:p>
        </w:tc>
      </w:tr>
      <w:tr>
        <w:trPr>
          <w:trHeight w:val="216"/>
        </w:trPr>
        <w:tc>
          <w:tcPr>
            <w:tcW w:w="260" w:type="dxa"/>
            <w:vAlign w:val="bottom"/>
          </w:tcPr>
          <w:p>
            <w:pPr>
              <w:spacing w:after="0"/>
              <w:rPr>
                <w:sz w:val="18"/>
                <w:szCs w:val="18"/>
                <w:color w:val="auto"/>
              </w:rPr>
            </w:pPr>
          </w:p>
        </w:tc>
        <w:tc>
          <w:tcPr>
            <w:tcW w:w="5040" w:type="dxa"/>
            <w:vAlign w:val="bottom"/>
            <w:gridSpan w:val="4"/>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Judgment Currency</w:t>
            </w:r>
            <w:r>
              <w:rPr>
                <w:rFonts w:ascii="Arial" w:cs="Arial" w:eastAsia="Arial" w:hAnsi="Arial"/>
                <w:sz w:val="18"/>
                <w:szCs w:val="18"/>
                <w:color w:val="auto"/>
              </w:rPr>
              <w:t>”</w:t>
            </w:r>
          </w:p>
        </w:tc>
        <w:tc>
          <w:tcPr>
            <w:tcW w:w="4520" w:type="dxa"/>
            <w:vAlign w:val="bottom"/>
          </w:tcPr>
          <w:p>
            <w:pPr>
              <w:jc w:val="center"/>
              <w:spacing w:after="0"/>
              <w:rPr>
                <w:sz w:val="20"/>
                <w:szCs w:val="20"/>
                <w:color w:val="auto"/>
              </w:rPr>
            </w:pPr>
            <w:r>
              <w:rPr>
                <w:rFonts w:ascii="Arial" w:cs="Arial" w:eastAsia="Arial" w:hAnsi="Arial"/>
                <w:sz w:val="18"/>
                <w:szCs w:val="18"/>
                <w:color w:val="auto"/>
                <w:w w:val="88"/>
              </w:rPr>
              <w:t>10.16</w:t>
            </w:r>
          </w:p>
        </w:tc>
      </w:tr>
      <w:tr>
        <w:trPr>
          <w:trHeight w:val="216"/>
        </w:trPr>
        <w:tc>
          <w:tcPr>
            <w:tcW w:w="260" w:type="dxa"/>
            <w:vAlign w:val="bottom"/>
          </w:tcPr>
          <w:p>
            <w:pPr>
              <w:spacing w:after="0"/>
              <w:rPr>
                <w:sz w:val="18"/>
                <w:szCs w:val="18"/>
                <w:color w:val="auto"/>
              </w:rPr>
            </w:pPr>
          </w:p>
        </w:tc>
        <w:tc>
          <w:tcPr>
            <w:tcW w:w="50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Legal Holiday</w:t>
            </w:r>
            <w:r>
              <w:rPr>
                <w:rFonts w:ascii="Arial" w:cs="Arial" w:eastAsia="Arial" w:hAnsi="Arial"/>
                <w:sz w:val="18"/>
                <w:szCs w:val="18"/>
                <w:color w:val="auto"/>
              </w:rPr>
              <w:t>”</w:t>
            </w:r>
          </w:p>
        </w:tc>
        <w:tc>
          <w:tcPr>
            <w:tcW w:w="4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10.7</w:t>
            </w:r>
          </w:p>
        </w:tc>
      </w:tr>
      <w:tr>
        <w:trPr>
          <w:trHeight w:val="216"/>
        </w:trPr>
        <w:tc>
          <w:tcPr>
            <w:tcW w:w="260" w:type="dxa"/>
            <w:vAlign w:val="bottom"/>
          </w:tcPr>
          <w:p>
            <w:pPr>
              <w:spacing w:after="0"/>
              <w:rPr>
                <w:sz w:val="18"/>
                <w:szCs w:val="18"/>
                <w:color w:val="auto"/>
              </w:rPr>
            </w:pPr>
          </w:p>
        </w:tc>
        <w:tc>
          <w:tcPr>
            <w:tcW w:w="5040" w:type="dxa"/>
            <w:vAlign w:val="bottom"/>
            <w:gridSpan w:val="4"/>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mandatory sinking fund payment</w:t>
            </w:r>
            <w:r>
              <w:rPr>
                <w:rFonts w:ascii="Arial" w:cs="Arial" w:eastAsia="Arial" w:hAnsi="Arial"/>
                <w:sz w:val="18"/>
                <w:szCs w:val="18"/>
                <w:color w:val="auto"/>
              </w:rPr>
              <w:t>”</w:t>
            </w:r>
          </w:p>
        </w:tc>
        <w:tc>
          <w:tcPr>
            <w:tcW w:w="4520" w:type="dxa"/>
            <w:vAlign w:val="bottom"/>
          </w:tcPr>
          <w:p>
            <w:pPr>
              <w:jc w:val="center"/>
              <w:spacing w:after="0"/>
              <w:rPr>
                <w:sz w:val="20"/>
                <w:szCs w:val="20"/>
                <w:color w:val="auto"/>
              </w:rPr>
            </w:pPr>
            <w:r>
              <w:rPr>
                <w:rFonts w:ascii="Arial" w:cs="Arial" w:eastAsia="Arial" w:hAnsi="Arial"/>
                <w:sz w:val="18"/>
                <w:szCs w:val="18"/>
                <w:color w:val="auto"/>
                <w:w w:val="91"/>
              </w:rPr>
              <w:t>11.1</w:t>
            </w:r>
          </w:p>
        </w:tc>
      </w:tr>
      <w:tr>
        <w:trPr>
          <w:trHeight w:val="216"/>
        </w:trPr>
        <w:tc>
          <w:tcPr>
            <w:tcW w:w="260" w:type="dxa"/>
            <w:vAlign w:val="bottom"/>
          </w:tcPr>
          <w:p>
            <w:pPr>
              <w:spacing w:after="0"/>
              <w:rPr>
                <w:sz w:val="18"/>
                <w:szCs w:val="18"/>
                <w:color w:val="auto"/>
              </w:rPr>
            </w:pPr>
          </w:p>
        </w:tc>
        <w:tc>
          <w:tcPr>
            <w:tcW w:w="50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New York Banking Day</w:t>
            </w:r>
            <w:r>
              <w:rPr>
                <w:rFonts w:ascii="Arial" w:cs="Arial" w:eastAsia="Arial" w:hAnsi="Arial"/>
                <w:sz w:val="18"/>
                <w:szCs w:val="18"/>
                <w:color w:val="auto"/>
              </w:rPr>
              <w:t>”</w:t>
            </w:r>
          </w:p>
        </w:tc>
        <w:tc>
          <w:tcPr>
            <w:tcW w:w="4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10.16</w:t>
            </w:r>
          </w:p>
        </w:tc>
      </w:tr>
      <w:tr>
        <w:trPr>
          <w:trHeight w:val="216"/>
        </w:trPr>
        <w:tc>
          <w:tcPr>
            <w:tcW w:w="260" w:type="dxa"/>
            <w:vAlign w:val="bottom"/>
          </w:tcPr>
          <w:p>
            <w:pPr>
              <w:spacing w:after="0"/>
              <w:rPr>
                <w:sz w:val="18"/>
                <w:szCs w:val="18"/>
                <w:color w:val="auto"/>
              </w:rPr>
            </w:pPr>
          </w:p>
        </w:tc>
        <w:tc>
          <w:tcPr>
            <w:tcW w:w="5040" w:type="dxa"/>
            <w:vAlign w:val="bottom"/>
            <w:gridSpan w:val="4"/>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Notice Agent</w:t>
            </w:r>
            <w:r>
              <w:rPr>
                <w:rFonts w:ascii="Arial" w:cs="Arial" w:eastAsia="Arial" w:hAnsi="Arial"/>
                <w:sz w:val="18"/>
                <w:szCs w:val="18"/>
                <w:color w:val="auto"/>
              </w:rPr>
              <w:t>”</w:t>
            </w:r>
          </w:p>
        </w:tc>
        <w:tc>
          <w:tcPr>
            <w:tcW w:w="4520" w:type="dxa"/>
            <w:vAlign w:val="bottom"/>
          </w:tcPr>
          <w:p>
            <w:pPr>
              <w:jc w:val="center"/>
              <w:spacing w:after="0"/>
              <w:rPr>
                <w:sz w:val="20"/>
                <w:szCs w:val="20"/>
                <w:color w:val="auto"/>
              </w:rPr>
            </w:pPr>
            <w:r>
              <w:rPr>
                <w:rFonts w:ascii="Arial" w:cs="Arial" w:eastAsia="Arial" w:hAnsi="Arial"/>
                <w:sz w:val="18"/>
                <w:szCs w:val="18"/>
                <w:color w:val="auto"/>
                <w:w w:val="95"/>
              </w:rPr>
              <w:t>2.4</w:t>
            </w:r>
          </w:p>
        </w:tc>
      </w:tr>
      <w:tr>
        <w:trPr>
          <w:trHeight w:val="216"/>
        </w:trPr>
        <w:tc>
          <w:tcPr>
            <w:tcW w:w="260" w:type="dxa"/>
            <w:vAlign w:val="bottom"/>
          </w:tcPr>
          <w:p>
            <w:pPr>
              <w:spacing w:after="0"/>
              <w:rPr>
                <w:sz w:val="18"/>
                <w:szCs w:val="18"/>
                <w:color w:val="auto"/>
              </w:rPr>
            </w:pPr>
          </w:p>
        </w:tc>
        <w:tc>
          <w:tcPr>
            <w:tcW w:w="50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optional sinking fund payment</w:t>
            </w:r>
            <w:r>
              <w:rPr>
                <w:rFonts w:ascii="Arial" w:cs="Arial" w:eastAsia="Arial" w:hAnsi="Arial"/>
                <w:sz w:val="18"/>
                <w:szCs w:val="18"/>
                <w:color w:val="auto"/>
              </w:rPr>
              <w:t>”</w:t>
            </w:r>
          </w:p>
        </w:tc>
        <w:tc>
          <w:tcPr>
            <w:tcW w:w="4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11.1</w:t>
            </w:r>
          </w:p>
        </w:tc>
      </w:tr>
      <w:tr>
        <w:trPr>
          <w:trHeight w:val="216"/>
        </w:trPr>
        <w:tc>
          <w:tcPr>
            <w:tcW w:w="260" w:type="dxa"/>
            <w:vAlign w:val="bottom"/>
          </w:tcPr>
          <w:p>
            <w:pPr>
              <w:spacing w:after="0"/>
              <w:rPr>
                <w:sz w:val="18"/>
                <w:szCs w:val="18"/>
                <w:color w:val="auto"/>
              </w:rPr>
            </w:pPr>
          </w:p>
        </w:tc>
        <w:tc>
          <w:tcPr>
            <w:tcW w:w="5040" w:type="dxa"/>
            <w:vAlign w:val="bottom"/>
            <w:gridSpan w:val="4"/>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Paying Agent</w:t>
            </w:r>
            <w:r>
              <w:rPr>
                <w:rFonts w:ascii="Arial" w:cs="Arial" w:eastAsia="Arial" w:hAnsi="Arial"/>
                <w:sz w:val="18"/>
                <w:szCs w:val="18"/>
                <w:color w:val="auto"/>
              </w:rPr>
              <w:t>”</w:t>
            </w:r>
          </w:p>
        </w:tc>
        <w:tc>
          <w:tcPr>
            <w:tcW w:w="4520" w:type="dxa"/>
            <w:vAlign w:val="bottom"/>
          </w:tcPr>
          <w:p>
            <w:pPr>
              <w:jc w:val="center"/>
              <w:spacing w:after="0"/>
              <w:rPr>
                <w:sz w:val="20"/>
                <w:szCs w:val="20"/>
                <w:color w:val="auto"/>
              </w:rPr>
            </w:pPr>
            <w:r>
              <w:rPr>
                <w:rFonts w:ascii="Arial" w:cs="Arial" w:eastAsia="Arial" w:hAnsi="Arial"/>
                <w:sz w:val="18"/>
                <w:szCs w:val="18"/>
                <w:color w:val="auto"/>
                <w:w w:val="95"/>
              </w:rPr>
              <w:t>2.4</w:t>
            </w:r>
          </w:p>
        </w:tc>
      </w:tr>
      <w:tr>
        <w:trPr>
          <w:trHeight w:val="216"/>
        </w:trPr>
        <w:tc>
          <w:tcPr>
            <w:tcW w:w="260" w:type="dxa"/>
            <w:vAlign w:val="bottom"/>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Registrar</w:t>
            </w:r>
            <w:r>
              <w:rPr>
                <w:rFonts w:ascii="Arial" w:cs="Arial" w:eastAsia="Arial" w:hAnsi="Arial"/>
                <w:sz w:val="18"/>
                <w:szCs w:val="18"/>
                <w:color w:val="auto"/>
              </w:rPr>
              <w:t>”</w:t>
            </w:r>
          </w:p>
        </w:tc>
        <w:tc>
          <w:tcPr>
            <w:tcW w:w="12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2.4</w:t>
            </w:r>
          </w:p>
        </w:tc>
      </w:tr>
      <w:tr>
        <w:trPr>
          <w:trHeight w:val="216"/>
        </w:trPr>
        <w:tc>
          <w:tcPr>
            <w:tcW w:w="260" w:type="dxa"/>
            <w:vAlign w:val="bottom"/>
          </w:tcPr>
          <w:p>
            <w:pPr>
              <w:spacing w:after="0"/>
              <w:rPr>
                <w:sz w:val="18"/>
                <w:szCs w:val="18"/>
                <w:color w:val="auto"/>
              </w:rPr>
            </w:pPr>
          </w:p>
        </w:tc>
        <w:tc>
          <w:tcPr>
            <w:tcW w:w="5040" w:type="dxa"/>
            <w:vAlign w:val="bottom"/>
            <w:gridSpan w:val="4"/>
          </w:tcPr>
          <w:p>
            <w:pPr>
              <w:spacing w:after="0"/>
              <w:rPr>
                <w:sz w:val="20"/>
                <w:szCs w:val="20"/>
                <w:color w:val="auto"/>
              </w:rPr>
            </w:pPr>
            <w:r>
              <w:rPr>
                <w:rFonts w:ascii="Arial" w:cs="Arial" w:eastAsia="Arial" w:hAnsi="Arial"/>
                <w:sz w:val="18"/>
                <w:szCs w:val="18"/>
                <w:color w:val="auto"/>
              </w:rPr>
              <w:t>“Required Currency”</w:t>
            </w:r>
          </w:p>
        </w:tc>
        <w:tc>
          <w:tcPr>
            <w:tcW w:w="4520" w:type="dxa"/>
            <w:vAlign w:val="bottom"/>
          </w:tcPr>
          <w:p>
            <w:pPr>
              <w:jc w:val="center"/>
              <w:spacing w:after="0"/>
              <w:rPr>
                <w:sz w:val="20"/>
                <w:szCs w:val="20"/>
                <w:color w:val="auto"/>
              </w:rPr>
            </w:pPr>
            <w:r>
              <w:rPr>
                <w:rFonts w:ascii="Arial" w:cs="Arial" w:eastAsia="Arial" w:hAnsi="Arial"/>
                <w:sz w:val="18"/>
                <w:szCs w:val="18"/>
                <w:color w:val="auto"/>
                <w:w w:val="88"/>
              </w:rPr>
              <w:t>10.16</w:t>
            </w:r>
          </w:p>
        </w:tc>
      </w:tr>
      <w:tr>
        <w:trPr>
          <w:trHeight w:val="216"/>
        </w:trPr>
        <w:tc>
          <w:tcPr>
            <w:tcW w:w="260" w:type="dxa"/>
            <w:vAlign w:val="bottom"/>
          </w:tcPr>
          <w:p>
            <w:pPr>
              <w:spacing w:after="0"/>
              <w:rPr>
                <w:sz w:val="18"/>
                <w:szCs w:val="18"/>
                <w:color w:val="auto"/>
              </w:rPr>
            </w:pPr>
          </w:p>
        </w:tc>
        <w:tc>
          <w:tcPr>
            <w:tcW w:w="50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“Specified Courts”</w:t>
            </w:r>
          </w:p>
        </w:tc>
        <w:tc>
          <w:tcPr>
            <w:tcW w:w="4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10.10</w:t>
            </w:r>
          </w:p>
        </w:tc>
      </w:tr>
      <w:tr>
        <w:trPr>
          <w:trHeight w:val="230"/>
        </w:trPr>
        <w:tc>
          <w:tcPr>
            <w:tcW w:w="260" w:type="dxa"/>
            <w:vAlign w:val="bottom"/>
          </w:tcPr>
          <w:p>
            <w:pPr>
              <w:spacing w:after="0"/>
              <w:rPr>
                <w:sz w:val="20"/>
                <w:szCs w:val="20"/>
                <w:color w:val="auto"/>
              </w:rPr>
            </w:pPr>
          </w:p>
        </w:tc>
        <w:tc>
          <w:tcPr>
            <w:tcW w:w="5040" w:type="dxa"/>
            <w:vAlign w:val="bottom"/>
            <w:gridSpan w:val="4"/>
          </w:tcPr>
          <w:p>
            <w:pPr>
              <w:spacing w:after="0"/>
              <w:rPr>
                <w:sz w:val="20"/>
                <w:szCs w:val="20"/>
                <w:color w:val="auto"/>
              </w:rPr>
            </w:pPr>
            <w:r>
              <w:rPr>
                <w:rFonts w:ascii="Arial" w:cs="Arial" w:eastAsia="Arial" w:hAnsi="Arial"/>
                <w:sz w:val="18"/>
                <w:szCs w:val="18"/>
                <w:color w:val="auto"/>
              </w:rPr>
              <w:t>“successor person”</w:t>
            </w:r>
          </w:p>
        </w:tc>
        <w:tc>
          <w:tcPr>
            <w:tcW w:w="4520" w:type="dxa"/>
            <w:vAlign w:val="bottom"/>
          </w:tcPr>
          <w:p>
            <w:pPr>
              <w:jc w:val="center"/>
              <w:spacing w:after="0"/>
              <w:rPr>
                <w:sz w:val="20"/>
                <w:szCs w:val="20"/>
                <w:color w:val="auto"/>
              </w:rPr>
            </w:pPr>
            <w:r>
              <w:rPr>
                <w:rFonts w:ascii="Arial" w:cs="Arial" w:eastAsia="Arial" w:hAnsi="Arial"/>
                <w:sz w:val="18"/>
                <w:szCs w:val="18"/>
                <w:color w:val="auto"/>
                <w:w w:val="95"/>
              </w:rPr>
              <w:t>5.1</w:t>
            </w:r>
          </w:p>
        </w:tc>
      </w:tr>
    </w:tbl>
    <w:p>
      <w:pPr>
        <w:spacing w:after="0" w:line="187" w:lineRule="exact"/>
        <w:rPr>
          <w:sz w:val="20"/>
          <w:szCs w:val="20"/>
          <w:color w:val="auto"/>
        </w:rPr>
      </w:pPr>
    </w:p>
    <w:p>
      <w:pPr>
        <w:sectPr>
          <w:pgSz w:w="11900" w:h="16838" w:orient="portrait"/>
          <w:cols w:equalWidth="0" w:num="1">
            <w:col w:w="11380"/>
          </w:cols>
          <w:pgMar w:left="240" w:top="125" w:right="279" w:bottom="0" w:gutter="0" w:footer="0" w:header="0"/>
        </w:sectPr>
      </w:pPr>
    </w:p>
    <w:p>
      <w:pPr>
        <w:jc w:val="center"/>
        <w:ind w:right="-3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120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7267575" cy="12065"/>
                    </a:xfrm>
                    <a:prstGeom prst="rect">
                      <a:avLst/>
                    </a:prstGeom>
                    <a:noFill/>
                  </pic:spPr>
                </pic:pic>
              </a:graphicData>
            </a:graphic>
          </wp:anchor>
        </w:drawing>
      </w:r>
    </w:p>
    <w:p>
      <w:pPr>
        <w:sectPr>
          <w:pgSz w:w="11900" w:h="16838" w:orient="portrait"/>
          <w:cols w:equalWidth="0" w:num="1">
            <w:col w:w="11380"/>
          </w:cols>
          <w:pgMar w:left="240" w:top="125" w:right="279" w:bottom="0" w:gutter="0" w:footer="0" w:header="0"/>
          <w:type w:val="continuous"/>
        </w:sectPr>
      </w:pPr>
    </w:p>
    <w:bookmarkStart w:id="27" w:name="page28"/>
    <w:bookmarkEnd w:id="27"/>
    <w:p>
      <w:pPr>
        <w:ind w:left="660"/>
        <w:spacing w:after="0"/>
        <w:tabs>
          <w:tab w:leader="none" w:pos="19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07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7267575" cy="10795"/>
                    </a:xfrm>
                    <a:prstGeom prst="rect">
                      <a:avLst/>
                    </a:prstGeom>
                    <a:noFill/>
                  </pic:spPr>
                </pic:pic>
              </a:graphicData>
            </a:graphic>
          </wp:anchor>
        </w:drawing>
        <w:t>Section 1.3</w:t>
      </w:r>
      <w:r>
        <w:rPr>
          <w:sz w:val="20"/>
          <w:szCs w:val="20"/>
          <w:color w:val="auto"/>
        </w:rPr>
        <w:tab/>
      </w:r>
      <w:r>
        <w:rPr>
          <w:rFonts w:ascii="Arial" w:cs="Arial" w:eastAsia="Arial" w:hAnsi="Arial"/>
          <w:sz w:val="16"/>
          <w:szCs w:val="16"/>
          <w:u w:val="single" w:color="auto"/>
          <w:color w:val="auto"/>
        </w:rPr>
        <w:t>Incorporation by Reference of Trust Indenture Act</w:t>
      </w:r>
      <w:r>
        <w:rPr>
          <w:rFonts w:ascii="Arial" w:cs="Arial" w:eastAsia="Arial" w:hAnsi="Arial"/>
          <w:sz w:val="16"/>
          <w:szCs w:val="16"/>
          <w:color w:val="auto"/>
        </w:rPr>
        <w:t>.</w:t>
      </w:r>
    </w:p>
    <w:p>
      <w:pPr>
        <w:spacing w:after="0" w:line="225" w:lineRule="exact"/>
        <w:rPr>
          <w:sz w:val="20"/>
          <w:szCs w:val="20"/>
          <w:color w:val="auto"/>
        </w:rPr>
      </w:pPr>
    </w:p>
    <w:p>
      <w:pPr>
        <w:ind w:right="320" w:firstLine="881"/>
        <w:spacing w:after="0" w:line="277" w:lineRule="auto"/>
        <w:rPr>
          <w:sz w:val="20"/>
          <w:szCs w:val="20"/>
          <w:color w:val="auto"/>
        </w:rPr>
      </w:pPr>
      <w:r>
        <w:rPr>
          <w:rFonts w:ascii="Arial" w:cs="Arial" w:eastAsia="Arial" w:hAnsi="Arial"/>
          <w:sz w:val="18"/>
          <w:szCs w:val="18"/>
          <w:color w:val="auto"/>
        </w:rPr>
        <w:t>Whenever this Indenture refers to a provision of the TIA, the provision is incorporated by reference in and made a part of this Indenture. The following TIA terms used in this Indenture have the following meanings: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Commission</w:t>
      </w:r>
      <w:r>
        <w:rPr>
          <w:rFonts w:ascii="Arial" w:cs="Arial" w:eastAsia="Arial" w:hAnsi="Arial"/>
          <w:sz w:val="18"/>
          <w:szCs w:val="18"/>
          <w:color w:val="auto"/>
        </w:rPr>
        <w:t>” means the SEC.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indenture securities</w:t>
      </w:r>
      <w:r>
        <w:rPr>
          <w:rFonts w:ascii="Arial" w:cs="Arial" w:eastAsia="Arial" w:hAnsi="Arial"/>
          <w:sz w:val="18"/>
          <w:szCs w:val="18"/>
          <w:color w:val="auto"/>
        </w:rPr>
        <w:t>” means the Securities.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indenture security holder</w:t>
      </w:r>
      <w:r>
        <w:rPr>
          <w:rFonts w:ascii="Arial" w:cs="Arial" w:eastAsia="Arial" w:hAnsi="Arial"/>
          <w:sz w:val="18"/>
          <w:szCs w:val="18"/>
          <w:color w:val="auto"/>
        </w:rPr>
        <w:t>” means a Securityholder.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indenture to be qualified”</w:t>
      </w:r>
      <w:r>
        <w:rPr>
          <w:rFonts w:ascii="Arial" w:cs="Arial" w:eastAsia="Arial" w:hAnsi="Arial"/>
          <w:sz w:val="18"/>
          <w:szCs w:val="18"/>
          <w:color w:val="auto"/>
        </w:rPr>
        <w:t xml:space="preserve"> means this Indenture.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indenture trustee</w:t>
      </w:r>
      <w:r>
        <w:rPr>
          <w:rFonts w:ascii="Arial" w:cs="Arial" w:eastAsia="Arial" w:hAnsi="Arial"/>
          <w:sz w:val="18"/>
          <w:szCs w:val="18"/>
          <w:color w:val="auto"/>
        </w:rPr>
        <w:t>” or “</w:t>
      </w:r>
      <w:r>
        <w:rPr>
          <w:rFonts w:ascii="Arial" w:cs="Arial" w:eastAsia="Arial" w:hAnsi="Arial"/>
          <w:sz w:val="18"/>
          <w:szCs w:val="18"/>
          <w:i w:val="1"/>
          <w:iCs w:val="1"/>
          <w:color w:val="auto"/>
        </w:rPr>
        <w:t>institutional trustee</w:t>
      </w:r>
      <w:r>
        <w:rPr>
          <w:rFonts w:ascii="Arial" w:cs="Arial" w:eastAsia="Arial" w:hAnsi="Arial"/>
          <w:sz w:val="18"/>
          <w:szCs w:val="18"/>
          <w:color w:val="auto"/>
        </w:rPr>
        <w:t>” means the Trustee.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obligor</w:t>
      </w:r>
      <w:r>
        <w:rPr>
          <w:rFonts w:ascii="Arial" w:cs="Arial" w:eastAsia="Arial" w:hAnsi="Arial"/>
          <w:sz w:val="18"/>
          <w:szCs w:val="18"/>
          <w:color w:val="auto"/>
        </w:rPr>
        <w:t>” on the indenture securities means the Company and any successor obligor upon the Securities.</w:t>
      </w:r>
    </w:p>
    <w:p>
      <w:pPr>
        <w:spacing w:after="0" w:line="225" w:lineRule="exact"/>
        <w:rPr>
          <w:sz w:val="20"/>
          <w:szCs w:val="20"/>
          <w:color w:val="auto"/>
        </w:rPr>
      </w:pPr>
    </w:p>
    <w:p>
      <w:pPr>
        <w:ind w:right="200" w:firstLine="881"/>
        <w:spacing w:after="0" w:line="277" w:lineRule="auto"/>
        <w:rPr>
          <w:sz w:val="20"/>
          <w:szCs w:val="20"/>
          <w:color w:val="auto"/>
        </w:rPr>
      </w:pPr>
      <w:r>
        <w:rPr>
          <w:rFonts w:ascii="Arial" w:cs="Arial" w:eastAsia="Arial" w:hAnsi="Arial"/>
          <w:sz w:val="18"/>
          <w:szCs w:val="18"/>
          <w:color w:val="auto"/>
        </w:rPr>
        <w:t>All other terms used in this Indenture that are defined by the TIA, defined by TIA reference to another statute or defined by SEC rule under the TIA and not otherwise defined herein are used herein as so defined.</w:t>
      </w:r>
    </w:p>
    <w:p>
      <w:pPr>
        <w:spacing w:after="0" w:line="17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1.4</w:t>
      </w:r>
      <w:r>
        <w:rPr>
          <w:sz w:val="20"/>
          <w:szCs w:val="20"/>
          <w:color w:val="auto"/>
        </w:rPr>
        <w:tab/>
      </w:r>
      <w:r>
        <w:rPr>
          <w:rFonts w:ascii="Arial" w:cs="Arial" w:eastAsia="Arial" w:hAnsi="Arial"/>
          <w:sz w:val="16"/>
          <w:szCs w:val="16"/>
          <w:u w:val="single" w:color="auto"/>
          <w:color w:val="auto"/>
        </w:rPr>
        <w:t>Rules of Construction</w:t>
      </w:r>
      <w:r>
        <w:rPr>
          <w:rFonts w:ascii="Arial" w:cs="Arial" w:eastAsia="Arial" w:hAnsi="Arial"/>
          <w:sz w:val="16"/>
          <w:szCs w:val="16"/>
          <w:color w:val="auto"/>
        </w:rPr>
        <w: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Unless the context otherwise requires:</w:t>
      </w:r>
    </w:p>
    <w:p>
      <w:pPr>
        <w:spacing w:after="0" w:line="225" w:lineRule="exact"/>
        <w:rPr>
          <w:sz w:val="20"/>
          <w:szCs w:val="20"/>
          <w:color w:val="auto"/>
        </w:rPr>
      </w:pPr>
    </w:p>
    <w:p>
      <w:pPr>
        <w:ind w:left="1940" w:hanging="635"/>
        <w:spacing w:after="0"/>
        <w:tabs>
          <w:tab w:leader="none" w:pos="1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term has the meaning assigned to it;</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accounting term not otherwise defined has the meaning assigned to it in accordance with GAAP;</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or</w:t>
      </w:r>
      <w:r>
        <w:rPr>
          <w:rFonts w:ascii="Arial" w:cs="Arial" w:eastAsia="Arial" w:hAnsi="Arial"/>
          <w:sz w:val="18"/>
          <w:szCs w:val="18"/>
          <w:color w:val="auto"/>
        </w:rPr>
        <w:t>” is not exclusive;</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words in the singular include the plural, and in the plural include the singular; and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provisions apply to successive events and transactions.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SECURITIES</w:t>
      </w:r>
    </w:p>
    <w:p>
      <w:pPr>
        <w:spacing w:after="0" w:line="21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2.1</w:t>
      </w:r>
      <w:r>
        <w:rPr>
          <w:sz w:val="20"/>
          <w:szCs w:val="20"/>
          <w:color w:val="auto"/>
        </w:rPr>
        <w:tab/>
      </w:r>
      <w:r>
        <w:rPr>
          <w:rFonts w:ascii="Arial" w:cs="Arial" w:eastAsia="Arial" w:hAnsi="Arial"/>
          <w:sz w:val="15"/>
          <w:szCs w:val="15"/>
          <w:u w:val="single" w:color="auto"/>
          <w:color w:val="auto"/>
        </w:rPr>
        <w:t>Issuable in Series</w:t>
      </w:r>
      <w:r>
        <w:rPr>
          <w:rFonts w:ascii="Arial" w:cs="Arial" w:eastAsia="Arial" w:hAnsi="Arial"/>
          <w:sz w:val="15"/>
          <w:szCs w:val="15"/>
          <w:color w:val="auto"/>
        </w:rPr>
        <w:t>.</w:t>
      </w:r>
    </w:p>
    <w:p>
      <w:pPr>
        <w:spacing w:after="0" w:line="225" w:lineRule="exact"/>
        <w:rPr>
          <w:sz w:val="20"/>
          <w:szCs w:val="20"/>
          <w:color w:val="auto"/>
        </w:rPr>
      </w:pPr>
    </w:p>
    <w:p>
      <w:pPr>
        <w:ind w:right="220" w:firstLine="881"/>
        <w:spacing w:after="0" w:line="264" w:lineRule="auto"/>
        <w:rPr>
          <w:sz w:val="20"/>
          <w:szCs w:val="20"/>
          <w:color w:val="auto"/>
        </w:rPr>
      </w:pPr>
      <w:r>
        <w:rPr>
          <w:rFonts w:ascii="Arial" w:cs="Arial" w:eastAsia="Arial" w:hAnsi="Arial"/>
          <w:sz w:val="18"/>
          <w:szCs w:val="18"/>
          <w:color w:val="auto"/>
        </w:rPr>
        <w:t>The aggregate principal amount of Securities that may be authenticated and delivered under this Indenture is unlimited. The Securities may be issued in one or more Series. All Securities of a Series shall be identical except as may be set forth or determined in the manner provided in a Board Resolution, a supplemental indenture or an Officer’s Certificate detailing the adoption of the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terms thereof pursuant to authority granted under a Board Resolution. In the case of Securities of a Series to be issued from time to time, the Board Resolution, Officer’s Certificate or supplemental indenture detailing the adoption of the terms thereof pursuant to authority granted under a Board Resolution may provide for the method by which specified terms (such as interest rate, maturity date, record date or date from which interest shall accrue) are to be determined. Securities may differ between Series in respect of any matters, provided that all Series of Securities shall be equally and ratably entitled to the benefits of the Indenture.</w:t>
      </w:r>
    </w:p>
    <w:p>
      <w:pPr>
        <w:spacing w:after="0" w:line="18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2.2</w:t>
      </w:r>
      <w:r>
        <w:rPr>
          <w:sz w:val="20"/>
          <w:szCs w:val="20"/>
          <w:color w:val="auto"/>
        </w:rPr>
        <w:tab/>
      </w:r>
      <w:r>
        <w:rPr>
          <w:rFonts w:ascii="Arial" w:cs="Arial" w:eastAsia="Arial" w:hAnsi="Arial"/>
          <w:sz w:val="16"/>
          <w:szCs w:val="16"/>
          <w:u w:val="single" w:color="auto"/>
          <w:color w:val="auto"/>
        </w:rPr>
        <w:t>Establishment of Terms of Series of Securities</w:t>
      </w:r>
      <w:r>
        <w:rPr>
          <w:rFonts w:ascii="Arial" w:cs="Arial" w:eastAsia="Arial" w:hAnsi="Arial"/>
          <w:sz w:val="16"/>
          <w:szCs w:val="16"/>
          <w:color w:val="auto"/>
        </w:rPr>
        <w:t>.</w:t>
      </w:r>
    </w:p>
    <w:p>
      <w:pPr>
        <w:spacing w:after="0" w:line="225" w:lineRule="exact"/>
        <w:rPr>
          <w:sz w:val="20"/>
          <w:szCs w:val="20"/>
          <w:color w:val="auto"/>
        </w:rPr>
      </w:pPr>
    </w:p>
    <w:p>
      <w:pPr>
        <w:ind w:firstLine="881"/>
        <w:spacing w:after="0" w:line="312" w:lineRule="auto"/>
        <w:rPr>
          <w:sz w:val="20"/>
          <w:szCs w:val="20"/>
          <w:color w:val="auto"/>
        </w:rPr>
      </w:pPr>
      <w:r>
        <w:rPr>
          <w:rFonts w:ascii="Arial" w:cs="Arial" w:eastAsia="Arial" w:hAnsi="Arial"/>
          <w:sz w:val="16"/>
          <w:szCs w:val="16"/>
          <w:color w:val="auto"/>
        </w:rPr>
        <w:t>At or prior to the issuance of any Securities within a Series, the following shall be established (as to the Series generally, in the case of Subsection 2.2.1 and either as to such Securities within the Series or as to the Series generally in the case of Subsections 2.2.2 through 2.2.23) by or pursuant to a Board Resolution, and set forth or determined in the manner provided in a Board Resolution, supplemental indenture hereto or Officer’s Certificate:</w:t>
      </w:r>
    </w:p>
    <w:p>
      <w:pPr>
        <w:spacing w:after="0" w:line="147" w:lineRule="exact"/>
        <w:rPr>
          <w:sz w:val="20"/>
          <w:szCs w:val="20"/>
          <w:color w:val="auto"/>
        </w:rPr>
      </w:pPr>
    </w:p>
    <w:p>
      <w:pPr>
        <w:ind w:right="620" w:firstLine="881"/>
        <w:spacing w:after="0" w:line="277" w:lineRule="auto"/>
        <w:rPr>
          <w:sz w:val="20"/>
          <w:szCs w:val="20"/>
          <w:color w:val="auto"/>
        </w:rPr>
      </w:pPr>
      <w:r>
        <w:rPr>
          <w:rFonts w:ascii="Arial" w:cs="Arial" w:eastAsia="Arial" w:hAnsi="Arial"/>
          <w:sz w:val="18"/>
          <w:szCs w:val="18"/>
          <w:color w:val="auto"/>
        </w:rPr>
        <w:t>2.2.1. the title (which shall distinguish the Securities of that particular Series from the Securities of any other Series) and ranking (including the terms of any subordination provisions) of the Series;</w:t>
      </w:r>
    </w:p>
    <w:p>
      <w:pPr>
        <w:spacing w:after="0" w:line="170" w:lineRule="exact"/>
        <w:rPr>
          <w:sz w:val="20"/>
          <w:szCs w:val="20"/>
          <w:color w:val="auto"/>
        </w:rPr>
      </w:pPr>
    </w:p>
    <w:p>
      <w:pPr>
        <w:ind w:left="880"/>
        <w:spacing w:after="0"/>
        <w:tabs>
          <w:tab w:leader="none" w:pos="1940"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16"/>
          <w:szCs w:val="16"/>
          <w:color w:val="auto"/>
        </w:rPr>
        <w:t>the price or prices (expressed as a percentage of the principal amount thereof) at which the Securities of the Series will be issued;</w:t>
      </w:r>
    </w:p>
    <w:p>
      <w:pPr>
        <w:spacing w:after="0" w:line="225" w:lineRule="exact"/>
        <w:rPr>
          <w:sz w:val="20"/>
          <w:szCs w:val="20"/>
          <w:color w:val="auto"/>
        </w:rPr>
      </w:pPr>
    </w:p>
    <w:p>
      <w:pPr>
        <w:ind w:right="120" w:firstLine="881"/>
        <w:spacing w:after="0" w:line="264" w:lineRule="auto"/>
        <w:rPr>
          <w:sz w:val="20"/>
          <w:szCs w:val="20"/>
          <w:color w:val="auto"/>
        </w:rPr>
      </w:pPr>
      <w:r>
        <w:rPr>
          <w:rFonts w:ascii="Arial" w:cs="Arial" w:eastAsia="Arial" w:hAnsi="Arial"/>
          <w:sz w:val="18"/>
          <w:szCs w:val="18"/>
          <w:color w:val="auto"/>
        </w:rPr>
        <w:t>2.2.3. 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Section 2.7, 2.8, 2.11, 3.6 or 9.6);</w:t>
      </w:r>
    </w:p>
    <w:p>
      <w:pPr>
        <w:spacing w:after="0" w:line="181" w:lineRule="exact"/>
        <w:rPr>
          <w:sz w:val="20"/>
          <w:szCs w:val="20"/>
          <w:color w:val="auto"/>
        </w:rPr>
      </w:pPr>
    </w:p>
    <w:p>
      <w:pPr>
        <w:ind w:left="880"/>
        <w:spacing w:after="0"/>
        <w:tabs>
          <w:tab w:leader="none" w:pos="1940" w:val="left"/>
        </w:tabs>
        <w:rPr>
          <w:sz w:val="20"/>
          <w:szCs w:val="20"/>
          <w:color w:val="auto"/>
        </w:rPr>
      </w:pPr>
      <w:r>
        <w:rPr>
          <w:rFonts w:ascii="Arial" w:cs="Arial" w:eastAsia="Arial" w:hAnsi="Arial"/>
          <w:sz w:val="18"/>
          <w:szCs w:val="18"/>
          <w:color w:val="auto"/>
        </w:rPr>
        <w:t>2.2.4.</w:t>
      </w:r>
      <w:r>
        <w:rPr>
          <w:sz w:val="20"/>
          <w:szCs w:val="20"/>
          <w:color w:val="auto"/>
        </w:rPr>
        <w:tab/>
      </w:r>
      <w:r>
        <w:rPr>
          <w:rFonts w:ascii="Arial" w:cs="Arial" w:eastAsia="Arial" w:hAnsi="Arial"/>
          <w:sz w:val="16"/>
          <w:szCs w:val="16"/>
          <w:color w:val="auto"/>
        </w:rPr>
        <w:t>the date or dates on which the principal of the Securities of the Series is payable;</w:t>
      </w:r>
    </w:p>
    <w:p>
      <w:pPr>
        <w:spacing w:after="0" w:line="225" w:lineRule="exact"/>
        <w:rPr>
          <w:sz w:val="20"/>
          <w:szCs w:val="20"/>
          <w:color w:val="auto"/>
        </w:rPr>
      </w:pPr>
    </w:p>
    <w:p>
      <w:pPr>
        <w:ind w:right="380" w:firstLine="881"/>
        <w:spacing w:after="0" w:line="342" w:lineRule="auto"/>
        <w:rPr>
          <w:sz w:val="20"/>
          <w:szCs w:val="20"/>
          <w:color w:val="auto"/>
        </w:rPr>
      </w:pPr>
      <w:r>
        <w:rPr>
          <w:rFonts w:ascii="Arial" w:cs="Arial" w:eastAsia="Arial" w:hAnsi="Arial"/>
          <w:sz w:val="16"/>
          <w:szCs w:val="16"/>
          <w:color w:val="auto"/>
        </w:rPr>
        <w:t>2.2.5. the rate or rates (which may be fixed or variable) per annum or, if applicable, the method used to determine such rate or rates (including, but not limited to, any commodity, commodity index, stock exchange index or financial index) at which the Securities of the Series shall bear</w:t>
      </w:r>
    </w:p>
    <w:p>
      <w:pPr>
        <w:sectPr>
          <w:pgSz w:w="11900" w:h="16838" w:orient="portrait"/>
          <w:cols w:equalWidth="0" w:num="1">
            <w:col w:w="11400"/>
          </w:cols>
          <w:pgMar w:left="240" w:top="706" w:right="259" w:bottom="0" w:gutter="0" w:footer="0" w:header="0"/>
        </w:sectPr>
      </w:pPr>
    </w:p>
    <w:bookmarkStart w:id="28" w:name="page29"/>
    <w:bookmarkEnd w:id="28"/>
    <w:p>
      <w:pPr>
        <w:ind w:right="60"/>
        <w:spacing w:after="0" w:line="277" w:lineRule="auto"/>
        <w:rPr>
          <w:sz w:val="20"/>
          <w:szCs w:val="20"/>
          <w:color w:val="auto"/>
        </w:rPr>
      </w:pPr>
      <w:r>
        <w:rPr>
          <w:rFonts w:ascii="Arial" w:cs="Arial" w:eastAsia="Arial" w:hAnsi="Arial"/>
          <w:sz w:val="18"/>
          <w:szCs w:val="18"/>
          <w:color w:val="auto"/>
        </w:rPr>
        <w:t>interest, if any, the date or dates from which such interest, if any, shall accrue, the date or dates on which such interest, if any, shall commence and be payable and any regular record date for the interest payable on any interest payment date;</w:t>
      </w:r>
    </w:p>
    <w:p>
      <w:pPr>
        <w:spacing w:after="0" w:line="170" w:lineRule="exact"/>
        <w:rPr>
          <w:sz w:val="20"/>
          <w:szCs w:val="20"/>
          <w:color w:val="auto"/>
        </w:rPr>
      </w:pPr>
    </w:p>
    <w:p>
      <w:pPr>
        <w:ind w:right="20" w:firstLine="881"/>
        <w:spacing w:after="0" w:line="286" w:lineRule="auto"/>
        <w:rPr>
          <w:sz w:val="20"/>
          <w:szCs w:val="20"/>
          <w:color w:val="auto"/>
        </w:rPr>
      </w:pPr>
      <w:r>
        <w:rPr>
          <w:rFonts w:ascii="Arial" w:cs="Arial" w:eastAsia="Arial" w:hAnsi="Arial"/>
          <w:sz w:val="17"/>
          <w:szCs w:val="17"/>
          <w:color w:val="auto"/>
        </w:rPr>
        <w:t>2.2.6. the place or places where the principal of and interest, if any, on the Securities of the Series shall be payable, where the Securities of such Series may be surrendered for registration of transfer or exchange and where notices and demands to or upon the Company in respect of the Securities of such Series and this Indenture may be delivered, and the method of such payment, if by wire transfer, mail or other means;</w:t>
      </w:r>
    </w:p>
    <w:p>
      <w:pPr>
        <w:spacing w:after="0" w:line="166" w:lineRule="exact"/>
        <w:rPr>
          <w:sz w:val="20"/>
          <w:szCs w:val="20"/>
          <w:color w:val="auto"/>
        </w:rPr>
      </w:pPr>
    </w:p>
    <w:p>
      <w:pPr>
        <w:ind w:right="680" w:firstLine="881"/>
        <w:spacing w:after="0" w:line="277" w:lineRule="auto"/>
        <w:rPr>
          <w:sz w:val="20"/>
          <w:szCs w:val="20"/>
          <w:color w:val="auto"/>
        </w:rPr>
      </w:pPr>
      <w:r>
        <w:rPr>
          <w:rFonts w:ascii="Arial" w:cs="Arial" w:eastAsia="Arial" w:hAnsi="Arial"/>
          <w:sz w:val="18"/>
          <w:szCs w:val="18"/>
          <w:color w:val="auto"/>
        </w:rPr>
        <w:t>2.2.7. if applicable, the period or periods within which, the price or prices at which and the terms and conditions upon which the Securities of the Series may be redeemed, in whole or in part, at the option of the Company;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881"/>
        <w:spacing w:after="0" w:line="264" w:lineRule="auto"/>
        <w:rPr>
          <w:sz w:val="20"/>
          <w:szCs w:val="20"/>
          <w:color w:val="auto"/>
        </w:rPr>
      </w:pPr>
      <w:r>
        <w:rPr>
          <w:rFonts w:ascii="Arial" w:cs="Arial" w:eastAsia="Arial" w:hAnsi="Arial"/>
          <w:sz w:val="18"/>
          <w:szCs w:val="18"/>
          <w:color w:val="auto"/>
        </w:rPr>
        <w:t>2.2.8. the obligation, if any, of the Company to redeem or purchase the Securities of the Series pursuant to any sinking fund or analogous provisions or at the option of a Holder thereof and the period or periods within which, the price or prices at which and the terms and conditions upon which Securities of the Series shall be redeemed or purchased, in whole or in part, pursuant to such obligation;</w:t>
      </w:r>
    </w:p>
    <w:p>
      <w:pPr>
        <w:spacing w:after="0" w:line="181" w:lineRule="exact"/>
        <w:rPr>
          <w:sz w:val="20"/>
          <w:szCs w:val="20"/>
          <w:color w:val="auto"/>
        </w:rPr>
      </w:pPr>
    </w:p>
    <w:p>
      <w:pPr>
        <w:ind w:right="180" w:firstLine="881"/>
        <w:spacing w:after="0" w:line="277" w:lineRule="auto"/>
        <w:rPr>
          <w:sz w:val="20"/>
          <w:szCs w:val="20"/>
          <w:color w:val="auto"/>
        </w:rPr>
      </w:pPr>
      <w:r>
        <w:rPr>
          <w:rFonts w:ascii="Arial" w:cs="Arial" w:eastAsia="Arial" w:hAnsi="Arial"/>
          <w:sz w:val="18"/>
          <w:szCs w:val="18"/>
          <w:color w:val="auto"/>
        </w:rPr>
        <w:t>2.2.9. the dates, if any, on which and the price or prices at which the Securities of the Series will be repurchased by the Company at the option of the Holders thereof and other detailed terms and provisions of such repurchase obligations;</w:t>
      </w:r>
    </w:p>
    <w:p>
      <w:pPr>
        <w:spacing w:after="0" w:line="170" w:lineRule="exact"/>
        <w:rPr>
          <w:sz w:val="20"/>
          <w:szCs w:val="20"/>
          <w:color w:val="auto"/>
        </w:rPr>
      </w:pPr>
    </w:p>
    <w:p>
      <w:pPr>
        <w:ind w:right="780" w:firstLine="881"/>
        <w:spacing w:after="0" w:line="277" w:lineRule="auto"/>
        <w:rPr>
          <w:sz w:val="20"/>
          <w:szCs w:val="20"/>
          <w:color w:val="auto"/>
        </w:rPr>
      </w:pPr>
      <w:r>
        <w:rPr>
          <w:rFonts w:ascii="Arial" w:cs="Arial" w:eastAsia="Arial" w:hAnsi="Arial"/>
          <w:sz w:val="18"/>
          <w:szCs w:val="18"/>
          <w:color w:val="auto"/>
        </w:rPr>
        <w:t>2.2.10. if other than denominations of $1,000 and any integral multiple thereof, the denominations in which the Securities of the Series shall be issuable;</w:t>
      </w:r>
    </w:p>
    <w:p>
      <w:pPr>
        <w:spacing w:after="0" w:line="170" w:lineRule="exact"/>
        <w:rPr>
          <w:sz w:val="20"/>
          <w:szCs w:val="20"/>
          <w:color w:val="auto"/>
        </w:rPr>
      </w:pPr>
    </w:p>
    <w:p>
      <w:pPr>
        <w:ind w:left="880"/>
        <w:spacing w:after="0"/>
        <w:tabs>
          <w:tab w:leader="none" w:pos="1920" w:val="left"/>
        </w:tabs>
        <w:rPr>
          <w:sz w:val="20"/>
          <w:szCs w:val="20"/>
          <w:color w:val="auto"/>
        </w:rPr>
      </w:pPr>
      <w:r>
        <w:rPr>
          <w:rFonts w:ascii="Arial" w:cs="Arial" w:eastAsia="Arial" w:hAnsi="Arial"/>
          <w:sz w:val="18"/>
          <w:szCs w:val="18"/>
          <w:color w:val="auto"/>
        </w:rPr>
        <w:t>2.2.11.</w:t>
      </w:r>
      <w:r>
        <w:rPr>
          <w:sz w:val="20"/>
          <w:szCs w:val="20"/>
          <w:color w:val="auto"/>
        </w:rPr>
        <w:tab/>
      </w:r>
      <w:r>
        <w:rPr>
          <w:rFonts w:ascii="Arial" w:cs="Arial" w:eastAsia="Arial" w:hAnsi="Arial"/>
          <w:sz w:val="16"/>
          <w:szCs w:val="16"/>
          <w:color w:val="auto"/>
        </w:rPr>
        <w:t>the forms of the Securities of the Series and whether the Securities will be issuable as Global Securities;</w:t>
      </w:r>
    </w:p>
    <w:p>
      <w:pPr>
        <w:spacing w:after="0" w:line="225" w:lineRule="exact"/>
        <w:rPr>
          <w:sz w:val="20"/>
          <w:szCs w:val="20"/>
          <w:color w:val="auto"/>
        </w:rPr>
      </w:pPr>
    </w:p>
    <w:p>
      <w:pPr>
        <w:ind w:right="220" w:firstLine="881"/>
        <w:spacing w:after="0" w:line="277" w:lineRule="auto"/>
        <w:rPr>
          <w:sz w:val="20"/>
          <w:szCs w:val="20"/>
          <w:color w:val="auto"/>
        </w:rPr>
      </w:pPr>
      <w:r>
        <w:rPr>
          <w:rFonts w:ascii="Arial" w:cs="Arial" w:eastAsia="Arial" w:hAnsi="Arial"/>
          <w:sz w:val="18"/>
          <w:szCs w:val="18"/>
          <w:color w:val="auto"/>
        </w:rPr>
        <w:t>2.2.12. if other than the principal amount thereof, the portion of the principal amount of the Securities of the Series that shall be payable upon declaration of acceleration of the maturity thereof pursuant to Section 6.2;</w:t>
      </w:r>
    </w:p>
    <w:p>
      <w:pPr>
        <w:spacing w:after="0" w:line="170" w:lineRule="exact"/>
        <w:rPr>
          <w:sz w:val="20"/>
          <w:szCs w:val="20"/>
          <w:color w:val="auto"/>
        </w:rPr>
      </w:pPr>
    </w:p>
    <w:p>
      <w:pPr>
        <w:ind w:right="140" w:firstLine="881"/>
        <w:spacing w:after="0" w:line="277" w:lineRule="auto"/>
        <w:rPr>
          <w:sz w:val="20"/>
          <w:szCs w:val="20"/>
          <w:color w:val="auto"/>
        </w:rPr>
      </w:pPr>
      <w:r>
        <w:rPr>
          <w:rFonts w:ascii="Arial" w:cs="Arial" w:eastAsia="Arial" w:hAnsi="Arial"/>
          <w:sz w:val="18"/>
          <w:szCs w:val="18"/>
          <w:color w:val="auto"/>
        </w:rPr>
        <w:t>2.2.13. the currency of denomination of the Securities of the Series, which may be Dollars or any Foreign Currency, and if such currency of denomination is a composite currency, the agency or organization, if any, responsible for overseeing such composite currency;</w:t>
      </w:r>
    </w:p>
    <w:p>
      <w:pPr>
        <w:spacing w:after="0" w:line="170" w:lineRule="exact"/>
        <w:rPr>
          <w:sz w:val="20"/>
          <w:szCs w:val="20"/>
          <w:color w:val="auto"/>
        </w:rPr>
      </w:pPr>
    </w:p>
    <w:p>
      <w:pPr>
        <w:ind w:right="580" w:firstLine="881"/>
        <w:spacing w:after="0" w:line="277" w:lineRule="auto"/>
        <w:rPr>
          <w:sz w:val="20"/>
          <w:szCs w:val="20"/>
          <w:color w:val="auto"/>
        </w:rPr>
      </w:pPr>
      <w:r>
        <w:rPr>
          <w:rFonts w:ascii="Arial" w:cs="Arial" w:eastAsia="Arial" w:hAnsi="Arial"/>
          <w:sz w:val="18"/>
          <w:szCs w:val="18"/>
          <w:color w:val="auto"/>
        </w:rPr>
        <w:t>2.2.14. the designation of the currency, currencies or currency units in which payment of the principal of and interest, if any, on the Securities of the Series will be made;</w:t>
      </w:r>
    </w:p>
    <w:p>
      <w:pPr>
        <w:spacing w:after="0" w:line="170" w:lineRule="exact"/>
        <w:rPr>
          <w:sz w:val="20"/>
          <w:szCs w:val="20"/>
          <w:color w:val="auto"/>
        </w:rPr>
      </w:pPr>
    </w:p>
    <w:p>
      <w:pPr>
        <w:ind w:right="200" w:firstLine="881"/>
        <w:spacing w:after="0" w:line="264" w:lineRule="auto"/>
        <w:rPr>
          <w:sz w:val="20"/>
          <w:szCs w:val="20"/>
          <w:color w:val="auto"/>
        </w:rPr>
      </w:pPr>
      <w:r>
        <w:rPr>
          <w:rFonts w:ascii="Arial" w:cs="Arial" w:eastAsia="Arial" w:hAnsi="Arial"/>
          <w:sz w:val="18"/>
          <w:szCs w:val="18"/>
          <w:color w:val="auto"/>
        </w:rPr>
        <w:t>2.2.15. if payments of principal of or interest, if any, on the Securities of the Series are to be made in one or more currencies or currency units other than that or those in which such Securities are denominated, the manner in which the exchange rate with respect to such payments will be determined;</w:t>
      </w:r>
    </w:p>
    <w:p>
      <w:pPr>
        <w:spacing w:after="0" w:line="181" w:lineRule="exact"/>
        <w:rPr>
          <w:sz w:val="20"/>
          <w:szCs w:val="20"/>
          <w:color w:val="auto"/>
        </w:rPr>
      </w:pPr>
    </w:p>
    <w:p>
      <w:pPr>
        <w:ind w:right="40" w:firstLine="881"/>
        <w:spacing w:after="0" w:line="264" w:lineRule="auto"/>
        <w:rPr>
          <w:sz w:val="20"/>
          <w:szCs w:val="20"/>
          <w:color w:val="auto"/>
        </w:rPr>
      </w:pPr>
      <w:r>
        <w:rPr>
          <w:rFonts w:ascii="Arial" w:cs="Arial" w:eastAsia="Arial" w:hAnsi="Arial"/>
          <w:sz w:val="18"/>
          <w:szCs w:val="18"/>
          <w:color w:val="auto"/>
        </w:rPr>
        <w:t>2.2.16. the manner in which the amounts of payment of principal of or interest, if any, on the Securities of the Series will be determined, if such amounts may be determined by reference to an index based on a currency or currencies or by reference to a commodity, commodity index, stock exchange index or financial index;</w:t>
      </w:r>
    </w:p>
    <w:p>
      <w:pPr>
        <w:spacing w:after="0" w:line="181" w:lineRule="exact"/>
        <w:rPr>
          <w:sz w:val="20"/>
          <w:szCs w:val="20"/>
          <w:color w:val="auto"/>
        </w:rPr>
      </w:pPr>
    </w:p>
    <w:p>
      <w:pPr>
        <w:ind w:left="880"/>
        <w:spacing w:after="0"/>
        <w:tabs>
          <w:tab w:leader="none" w:pos="1940" w:val="left"/>
        </w:tabs>
        <w:rPr>
          <w:sz w:val="20"/>
          <w:szCs w:val="20"/>
          <w:color w:val="auto"/>
        </w:rPr>
      </w:pPr>
      <w:r>
        <w:rPr>
          <w:rFonts w:ascii="Arial" w:cs="Arial" w:eastAsia="Arial" w:hAnsi="Arial"/>
          <w:sz w:val="18"/>
          <w:szCs w:val="18"/>
          <w:color w:val="auto"/>
        </w:rPr>
        <w:t>2.2.17.</w:t>
      </w:r>
      <w:r>
        <w:rPr>
          <w:sz w:val="20"/>
          <w:szCs w:val="20"/>
          <w:color w:val="auto"/>
        </w:rPr>
        <w:tab/>
      </w:r>
      <w:r>
        <w:rPr>
          <w:rFonts w:ascii="Arial" w:cs="Arial" w:eastAsia="Arial" w:hAnsi="Arial"/>
          <w:sz w:val="16"/>
          <w:szCs w:val="16"/>
          <w:color w:val="auto"/>
        </w:rPr>
        <w:t>the provisions, if any, relating to any security provided for the Securities of the Series;</w:t>
      </w:r>
    </w:p>
    <w:p>
      <w:pPr>
        <w:spacing w:after="0" w:line="225" w:lineRule="exact"/>
        <w:rPr>
          <w:sz w:val="20"/>
          <w:szCs w:val="20"/>
          <w:color w:val="auto"/>
        </w:rPr>
      </w:pPr>
    </w:p>
    <w:p>
      <w:pPr>
        <w:ind w:right="160" w:firstLine="881"/>
        <w:spacing w:after="0" w:line="308" w:lineRule="auto"/>
        <w:rPr>
          <w:sz w:val="20"/>
          <w:szCs w:val="20"/>
          <w:color w:val="auto"/>
        </w:rPr>
      </w:pPr>
      <w:r>
        <w:rPr>
          <w:rFonts w:ascii="Arial" w:cs="Arial" w:eastAsia="Arial" w:hAnsi="Arial"/>
          <w:sz w:val="17"/>
          <w:szCs w:val="17"/>
          <w:color w:val="auto"/>
        </w:rPr>
        <w:t>2.2.18. any addition to, deletion of or change in the Events of Default which applies to any Securities of the Series and any change in the right of the Trustee or the requisite Holders of such Securities to declare the principal amount thereof due and payable pursuant to Section 6.2;</w:t>
      </w:r>
    </w:p>
    <w:p>
      <w:pPr>
        <w:spacing w:after="0" w:line="147" w:lineRule="exact"/>
        <w:rPr>
          <w:sz w:val="20"/>
          <w:szCs w:val="20"/>
          <w:color w:val="auto"/>
        </w:rPr>
      </w:pPr>
    </w:p>
    <w:p>
      <w:pPr>
        <w:ind w:left="880"/>
        <w:spacing w:after="0"/>
        <w:tabs>
          <w:tab w:leader="none" w:pos="1940" w:val="left"/>
        </w:tabs>
        <w:rPr>
          <w:sz w:val="20"/>
          <w:szCs w:val="20"/>
          <w:color w:val="auto"/>
        </w:rPr>
      </w:pPr>
      <w:r>
        <w:rPr>
          <w:rFonts w:ascii="Arial" w:cs="Arial" w:eastAsia="Arial" w:hAnsi="Arial"/>
          <w:sz w:val="18"/>
          <w:szCs w:val="18"/>
          <w:color w:val="auto"/>
        </w:rPr>
        <w:t>2.2.19.</w:t>
      </w:r>
      <w:r>
        <w:rPr>
          <w:sz w:val="20"/>
          <w:szCs w:val="20"/>
          <w:color w:val="auto"/>
        </w:rPr>
        <w:tab/>
      </w:r>
      <w:r>
        <w:rPr>
          <w:rFonts w:ascii="Arial" w:cs="Arial" w:eastAsia="Arial" w:hAnsi="Arial"/>
          <w:sz w:val="16"/>
          <w:szCs w:val="16"/>
          <w:color w:val="auto"/>
        </w:rPr>
        <w:t>any addition to, deletion of or change in the covenants set forth in Articles IV or V which applies to Securities of the Series;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140" w:firstLine="881"/>
        <w:spacing w:after="0" w:line="277" w:lineRule="auto"/>
        <w:rPr>
          <w:sz w:val="20"/>
          <w:szCs w:val="20"/>
          <w:color w:val="auto"/>
        </w:rPr>
      </w:pPr>
      <w:r>
        <w:rPr>
          <w:rFonts w:ascii="Arial" w:cs="Arial" w:eastAsia="Arial" w:hAnsi="Arial"/>
          <w:sz w:val="18"/>
          <w:szCs w:val="18"/>
          <w:color w:val="auto"/>
        </w:rPr>
        <w:t>2.2.20. any Depositaries, interest rate calculation agents, exchange rate calculation agents, conversion agents or other agents with respect to Securities of such Series if other than those appointed herein;</w:t>
      </w:r>
    </w:p>
    <w:p>
      <w:pPr>
        <w:spacing w:after="0" w:line="170" w:lineRule="exact"/>
        <w:rPr>
          <w:sz w:val="20"/>
          <w:szCs w:val="20"/>
          <w:color w:val="auto"/>
        </w:rPr>
      </w:pPr>
    </w:p>
    <w:p>
      <w:pPr>
        <w:jc w:val="both"/>
        <w:ind w:firstLine="881"/>
        <w:spacing w:after="0" w:line="259" w:lineRule="auto"/>
        <w:rPr>
          <w:sz w:val="20"/>
          <w:szCs w:val="20"/>
          <w:color w:val="auto"/>
        </w:rPr>
      </w:pPr>
      <w:r>
        <w:rPr>
          <w:rFonts w:ascii="Arial" w:cs="Arial" w:eastAsia="Arial" w:hAnsi="Arial"/>
          <w:sz w:val="18"/>
          <w:szCs w:val="18"/>
          <w:color w:val="auto"/>
        </w:rPr>
        <w:t>2.2.21. the provisions, if any, relating to conversion or exchange of any Securities of such Series, including if applicable, the conversion or exchange price, the conversion or exchange period, provisions as to whether conversion or exchange will be mandatory, at the option of the Holders thereof or at the option of the Company, the events requiring an adjustment of the conversion price or exchange price and provisions affecting conversion or exchange if such Series of Securities are redeemed;</w:t>
      </w:r>
    </w:p>
    <w:p>
      <w:pPr>
        <w:spacing w:after="0" w:line="187" w:lineRule="exact"/>
        <w:rPr>
          <w:sz w:val="20"/>
          <w:szCs w:val="20"/>
          <w:color w:val="auto"/>
        </w:rPr>
      </w:pPr>
    </w:p>
    <w:p>
      <w:pPr>
        <w:ind w:right="80" w:firstLine="881"/>
        <w:spacing w:after="0" w:line="264" w:lineRule="auto"/>
        <w:rPr>
          <w:sz w:val="20"/>
          <w:szCs w:val="20"/>
          <w:color w:val="auto"/>
        </w:rPr>
      </w:pPr>
      <w:r>
        <w:rPr>
          <w:rFonts w:ascii="Arial" w:cs="Arial" w:eastAsia="Arial" w:hAnsi="Arial"/>
          <w:sz w:val="18"/>
          <w:szCs w:val="18"/>
          <w:color w:val="auto"/>
        </w:rPr>
        <w:t>2.2.22. any other terms of the Series (which may supplement, modify or delete any provision of this Indenture insofar as it applies to such Series), including any terms that may be required under applicable law or regulations or advisable in connection with the marketing of Securities of that Series; and</w:t>
      </w:r>
    </w:p>
    <w:p>
      <w:pPr>
        <w:spacing w:after="0" w:line="181" w:lineRule="exact"/>
        <w:rPr>
          <w:sz w:val="20"/>
          <w:szCs w:val="20"/>
          <w:color w:val="auto"/>
        </w:rPr>
      </w:pPr>
    </w:p>
    <w:p>
      <w:pPr>
        <w:ind w:right="340" w:firstLine="881"/>
        <w:spacing w:after="0" w:line="277" w:lineRule="auto"/>
        <w:rPr>
          <w:sz w:val="20"/>
          <w:szCs w:val="20"/>
          <w:color w:val="auto"/>
        </w:rPr>
      </w:pPr>
      <w:r>
        <w:rPr>
          <w:rFonts w:ascii="Arial" w:cs="Arial" w:eastAsia="Arial" w:hAnsi="Arial"/>
          <w:sz w:val="18"/>
          <w:szCs w:val="18"/>
          <w:color w:val="auto"/>
        </w:rPr>
        <w:t>2.2.23. whether any of the Company’s direct or indirect Subsidiaries will guarantee the Securities of that Series, including the terms of subordination, if any, of such guarantees.</w:t>
      </w:r>
    </w:p>
    <w:p>
      <w:pPr>
        <w:spacing w:after="0" w:line="170" w:lineRule="exact"/>
        <w:rPr>
          <w:sz w:val="20"/>
          <w:szCs w:val="20"/>
          <w:color w:val="auto"/>
        </w:rPr>
      </w:pPr>
    </w:p>
    <w:p>
      <w:pPr>
        <w:ind w:right="600" w:firstLine="881"/>
        <w:spacing w:after="0" w:line="308" w:lineRule="auto"/>
        <w:rPr>
          <w:sz w:val="20"/>
          <w:szCs w:val="20"/>
          <w:color w:val="auto"/>
        </w:rPr>
      </w:pPr>
      <w:r>
        <w:rPr>
          <w:rFonts w:ascii="Arial" w:cs="Arial" w:eastAsia="Arial" w:hAnsi="Arial"/>
          <w:sz w:val="17"/>
          <w:szCs w:val="17"/>
          <w:color w:val="auto"/>
        </w:rPr>
        <w:t>All Securities of any one Series need not be issued at the same time and may be issued from time to time, consistent with the terms of this Indenture, if so provided by or pursuant to the Board Resolution, supplemental indenture hereto or Officer’s Certificate referred to above.</w:t>
      </w:r>
    </w:p>
    <w:p>
      <w:pPr>
        <w:spacing w:after="0" w:line="14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2.3</w:t>
      </w:r>
      <w:r>
        <w:rPr>
          <w:sz w:val="20"/>
          <w:szCs w:val="20"/>
          <w:color w:val="auto"/>
        </w:rPr>
        <w:tab/>
      </w:r>
      <w:r>
        <w:rPr>
          <w:rFonts w:ascii="Arial" w:cs="Arial" w:eastAsia="Arial" w:hAnsi="Arial"/>
          <w:sz w:val="16"/>
          <w:szCs w:val="16"/>
          <w:u w:val="single" w:color="auto"/>
          <w:color w:val="auto"/>
        </w:rPr>
        <w:t>Execution and Authentication</w:t>
      </w:r>
      <w:r>
        <w:rPr>
          <w:rFonts w:ascii="Arial" w:cs="Arial" w:eastAsia="Arial" w:hAnsi="Arial"/>
          <w:sz w:val="16"/>
          <w:szCs w:val="16"/>
          <w:color w:val="auto"/>
        </w:rPr>
        <w: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An Officer shall sign the Securities for the Company by manual or facsimile signature.</w:t>
      </w:r>
    </w:p>
    <w:p>
      <w:pPr>
        <w:sectPr>
          <w:pgSz w:w="11900" w:h="16838" w:orient="portrait"/>
          <w:cols w:equalWidth="0" w:num="1">
            <w:col w:w="11420"/>
          </w:cols>
          <w:pgMar w:left="240" w:top="125" w:right="239" w:bottom="59" w:gutter="0" w:footer="0" w:header="0"/>
        </w:sectPr>
      </w:pPr>
    </w:p>
    <w:bookmarkStart w:id="29" w:name="page30"/>
    <w:bookmarkEnd w:id="29"/>
    <w:p>
      <w:pPr>
        <w:ind w:left="880"/>
        <w:spacing w:after="0"/>
        <w:rPr>
          <w:sz w:val="20"/>
          <w:szCs w:val="20"/>
          <w:color w:val="auto"/>
        </w:rPr>
      </w:pPr>
      <w:r>
        <w:rPr>
          <w:rFonts w:ascii="Arial" w:cs="Arial" w:eastAsia="Arial" w:hAnsi="Arial"/>
          <w:sz w:val="16"/>
          <w:szCs w:val="16"/>
          <w:color w:val="auto"/>
        </w:rPr>
        <w:t>If an Officer whose signature is on a Security no longer holds that office at the time the Security is authenticated, the Security shall nevertheless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 valid.</w:t>
      </w:r>
    </w:p>
    <w:p>
      <w:pPr>
        <w:spacing w:after="0" w:line="211" w:lineRule="exact"/>
        <w:rPr>
          <w:sz w:val="20"/>
          <w:szCs w:val="20"/>
          <w:color w:val="auto"/>
        </w:rPr>
      </w:pPr>
    </w:p>
    <w:p>
      <w:pPr>
        <w:ind w:right="640" w:firstLine="881"/>
        <w:spacing w:after="0" w:line="277" w:lineRule="auto"/>
        <w:rPr>
          <w:sz w:val="20"/>
          <w:szCs w:val="20"/>
          <w:color w:val="auto"/>
        </w:rPr>
      </w:pPr>
      <w:r>
        <w:rPr>
          <w:rFonts w:ascii="Arial" w:cs="Arial" w:eastAsia="Arial" w:hAnsi="Arial"/>
          <w:sz w:val="18"/>
          <w:szCs w:val="18"/>
          <w:color w:val="auto"/>
        </w:rPr>
        <w:t>A Security shall not be valid until authenticated by the manual signature of the Trustee or an authenticating agent. The signature shall be conclusive evidence that the Security has been authenticated under this Indenture.</w:t>
      </w:r>
    </w:p>
    <w:p>
      <w:pPr>
        <w:spacing w:after="0" w:line="170" w:lineRule="exact"/>
        <w:rPr>
          <w:sz w:val="20"/>
          <w:szCs w:val="20"/>
          <w:color w:val="auto"/>
        </w:rPr>
      </w:pPr>
    </w:p>
    <w:p>
      <w:pPr>
        <w:ind w:right="100" w:firstLine="881"/>
        <w:spacing w:after="0" w:line="264" w:lineRule="auto"/>
        <w:rPr>
          <w:sz w:val="20"/>
          <w:szCs w:val="20"/>
          <w:color w:val="auto"/>
        </w:rPr>
      </w:pPr>
      <w:r>
        <w:rPr>
          <w:rFonts w:ascii="Arial" w:cs="Arial" w:eastAsia="Arial" w:hAnsi="Arial"/>
          <w:sz w:val="18"/>
          <w:szCs w:val="18"/>
          <w:color w:val="auto"/>
        </w:rPr>
        <w:t>The Trustee shall at any time, and from time to time, authenticate Securities for original issue in the principal amount provided in the Board Resolution, supplemental indenture hereto or Officer’s Certificate, upon receipt by the Trustee of a Company Order. Each Security shall be dated the date of its authentication.</w:t>
      </w:r>
    </w:p>
    <w:p>
      <w:pPr>
        <w:spacing w:after="0" w:line="181" w:lineRule="exact"/>
        <w:rPr>
          <w:sz w:val="20"/>
          <w:szCs w:val="20"/>
          <w:color w:val="auto"/>
        </w:rPr>
      </w:pPr>
    </w:p>
    <w:p>
      <w:pPr>
        <w:ind w:right="200" w:firstLine="881"/>
        <w:spacing w:after="0" w:line="264" w:lineRule="auto"/>
        <w:rPr>
          <w:sz w:val="20"/>
          <w:szCs w:val="20"/>
          <w:color w:val="auto"/>
        </w:rPr>
      </w:pPr>
      <w:r>
        <w:rPr>
          <w:rFonts w:ascii="Arial" w:cs="Arial" w:eastAsia="Arial" w:hAnsi="Arial"/>
          <w:sz w:val="18"/>
          <w:szCs w:val="18"/>
          <w:color w:val="auto"/>
        </w:rPr>
        <w:t>The aggregate principal amount of Securities of any Series outstanding at any time may not exceed any limit upon the maximum principal amount for such Series set forth in the Board Resolution, supplemental indenture hereto or Officer’s Certificate delivered pursuant to Section 2.2, except as provided in Section 2.8.</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Prior to the issuance of Securities of any Series, the Trustee shall have received and (subject to Section 7.2) shall be fully protected in relying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on: (a) the Board Resolution, supplemental indenture hereto or Officer’s Certificate establishing the form of the Securities of that Series or of</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Securities within that Series and the terms of the Securities of that Series or of Securities within that Series, (b) an Officer’s Certificate complying with Section 10.4, (c) an Opinion of Counsel complying with Section 10.4 and (d) an Opinion of Counsel (which may be the same Opinion of Counsel referred to in the preceding clause (c)) that such Securities, when they have been duly executed, issued, and authenticated in accordance with the terms of the Indenture and delivered against payment therefor in the circumstances described in such Opinion of Counsel, will be legally valid and binding obligations of the Company, enforceable against the Company in accordance with their terms.</w:t>
      </w:r>
    </w:p>
    <w:p>
      <w:pPr>
        <w:spacing w:after="0" w:line="173" w:lineRule="exact"/>
        <w:rPr>
          <w:sz w:val="20"/>
          <w:szCs w:val="20"/>
          <w:color w:val="auto"/>
        </w:rPr>
      </w:pPr>
    </w:p>
    <w:p>
      <w:pPr>
        <w:jc w:val="both"/>
        <w:ind w:right="180" w:firstLine="881"/>
        <w:spacing w:after="0" w:line="259" w:lineRule="auto"/>
        <w:rPr>
          <w:sz w:val="20"/>
          <w:szCs w:val="20"/>
          <w:color w:val="auto"/>
        </w:rPr>
      </w:pPr>
      <w:r>
        <w:rPr>
          <w:rFonts w:ascii="Arial" w:cs="Arial" w:eastAsia="Arial" w:hAnsi="Arial"/>
          <w:sz w:val="18"/>
          <w:szCs w:val="18"/>
          <w:color w:val="auto"/>
        </w:rPr>
        <w:t>The Trustee shall have the right to decline to authenticate and deliver any Securities of such Series: (a) if the Trustee, being advised by counsel, determines that such action may not be taken lawfully; or (b) if the Trustee in good faith by its board of directors or trustees, executive committee or a trust committee of directors and/or vice-presidents or a committee of Responsible Officers shall determine that such action would expose the Trustee to personal liability to Holders of any then-outstanding Series of Securities.</w:t>
      </w:r>
    </w:p>
    <w:p>
      <w:pPr>
        <w:spacing w:after="0" w:line="187" w:lineRule="exact"/>
        <w:rPr>
          <w:sz w:val="20"/>
          <w:szCs w:val="20"/>
          <w:color w:val="auto"/>
        </w:rPr>
      </w:pPr>
    </w:p>
    <w:p>
      <w:pPr>
        <w:ind w:right="20" w:firstLine="881"/>
        <w:spacing w:after="0" w:line="286" w:lineRule="auto"/>
        <w:rPr>
          <w:sz w:val="20"/>
          <w:szCs w:val="20"/>
          <w:color w:val="auto"/>
        </w:rPr>
      </w:pPr>
      <w:r>
        <w:rPr>
          <w:rFonts w:ascii="Arial" w:cs="Arial" w:eastAsia="Arial" w:hAnsi="Arial"/>
          <w:sz w:val="17"/>
          <w:szCs w:val="17"/>
          <w:color w:val="auto"/>
        </w:rPr>
        <w:t>The Trustee may appoint an authenticating agent acceptable to the Company to authenticate Securities. An authenticating agent may authenticate Securities whenever the Trustee may do so. Each reference in this Indenture to authentication by the Trustee includes authentication by such agent. An authenticating agent has the same rights as an Agent to deal with the Company or an Affiliate of the Company.</w:t>
      </w:r>
    </w:p>
    <w:p>
      <w:pPr>
        <w:spacing w:after="0" w:line="166"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2.4</w:t>
      </w:r>
      <w:r>
        <w:rPr>
          <w:sz w:val="20"/>
          <w:szCs w:val="20"/>
          <w:color w:val="auto"/>
        </w:rPr>
        <w:tab/>
      </w:r>
      <w:r>
        <w:rPr>
          <w:rFonts w:ascii="Arial" w:cs="Arial" w:eastAsia="Arial" w:hAnsi="Arial"/>
          <w:sz w:val="16"/>
          <w:szCs w:val="16"/>
          <w:u w:val="single" w:color="auto"/>
          <w:color w:val="auto"/>
        </w:rPr>
        <w:t>Registrar and Paying Agent</w:t>
      </w:r>
      <w:r>
        <w:rPr>
          <w:rFonts w:ascii="Arial" w:cs="Arial" w:eastAsia="Arial" w:hAnsi="Arial"/>
          <w:sz w:val="16"/>
          <w:szCs w:val="16"/>
          <w:color w:val="auto"/>
        </w:rPr>
        <w:t>.</w:t>
      </w:r>
    </w:p>
    <w:p>
      <w:pPr>
        <w:spacing w:after="0" w:line="225" w:lineRule="exact"/>
        <w:rPr>
          <w:sz w:val="20"/>
          <w:szCs w:val="20"/>
          <w:color w:val="auto"/>
        </w:rPr>
      </w:pPr>
    </w:p>
    <w:p>
      <w:pPr>
        <w:ind w:right="140" w:firstLine="881"/>
        <w:spacing w:after="0" w:line="288" w:lineRule="auto"/>
        <w:rPr>
          <w:sz w:val="20"/>
          <w:szCs w:val="20"/>
          <w:color w:val="auto"/>
        </w:rPr>
      </w:pPr>
      <w:r>
        <w:rPr>
          <w:rFonts w:ascii="Arial" w:cs="Arial" w:eastAsia="Arial" w:hAnsi="Arial"/>
          <w:sz w:val="16"/>
          <w:szCs w:val="16"/>
          <w:color w:val="auto"/>
        </w:rPr>
        <w:t>The Company shall maintain, with respect to each Series of Securities, at the place or places specified with respect to such Series pursuant to Section 2.2, an office or agency where Securities of such Series may be presented or surrendered for payment (“</w:t>
      </w:r>
      <w:r>
        <w:rPr>
          <w:rFonts w:ascii="Arial" w:cs="Arial" w:eastAsia="Arial" w:hAnsi="Arial"/>
          <w:sz w:val="16"/>
          <w:szCs w:val="16"/>
          <w:i w:val="1"/>
          <w:iCs w:val="1"/>
          <w:color w:val="auto"/>
        </w:rPr>
        <w:t>Paying Agent</w:t>
      </w:r>
      <w:r>
        <w:rPr>
          <w:rFonts w:ascii="Arial" w:cs="Arial" w:eastAsia="Arial" w:hAnsi="Arial"/>
          <w:sz w:val="16"/>
          <w:szCs w:val="16"/>
          <w:color w:val="auto"/>
        </w:rPr>
        <w:t>”), where Securities of such Series may be surrendered for registration of transfer or exchange (“</w:t>
      </w:r>
      <w:r>
        <w:rPr>
          <w:rFonts w:ascii="Arial" w:cs="Arial" w:eastAsia="Arial" w:hAnsi="Arial"/>
          <w:sz w:val="16"/>
          <w:szCs w:val="16"/>
          <w:i w:val="1"/>
          <w:iCs w:val="1"/>
          <w:color w:val="auto"/>
        </w:rPr>
        <w:t>Registrar</w:t>
      </w:r>
      <w:r>
        <w:rPr>
          <w:rFonts w:ascii="Arial" w:cs="Arial" w:eastAsia="Arial" w:hAnsi="Arial"/>
          <w:sz w:val="16"/>
          <w:szCs w:val="16"/>
          <w:color w:val="auto"/>
        </w:rPr>
        <w:t>”) and where notices and demands to or upon the Company in respect of the Securities of such Series and this Indenture may be delivered (“</w:t>
      </w:r>
      <w:r>
        <w:rPr>
          <w:rFonts w:ascii="Arial" w:cs="Arial" w:eastAsia="Arial" w:hAnsi="Arial"/>
          <w:sz w:val="16"/>
          <w:szCs w:val="16"/>
          <w:i w:val="1"/>
          <w:iCs w:val="1"/>
          <w:color w:val="auto"/>
        </w:rPr>
        <w:t>Notice Agent</w:t>
      </w:r>
      <w:r>
        <w:rPr>
          <w:rFonts w:ascii="Arial" w:cs="Arial" w:eastAsia="Arial" w:hAnsi="Arial"/>
          <w:sz w:val="16"/>
          <w:szCs w:val="16"/>
          <w:color w:val="auto"/>
        </w:rPr>
        <w:t xml:space="preserve">”). The Registrar shall keep a register with respect to each Series of Securities and to their transfer and exchange. The Company will give prompt written notice to the Trustee of the name and address, and any change in the name or address, of each Registrar, Paying Agent or Notice Agent. If at any time the Company shall fail to maintain any such required Registrar, Paying Agent or Notice Agent or shall fail to furnish the Trustee with the name and address thereof, such presentations, surrenders, notices and demands may be made or served at the Corporate Trust Office of the Trustee, and the Company hereby appoints the Trustee as its agent to receive all such presentations, surrenders, notices and demands;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appointment of the Trustee as the Notice Agent shall exclude the appointment of the Trustee or any office of the Trustee as an agent to receive the service of legal process on the Company.</w:t>
      </w:r>
    </w:p>
    <w:p>
      <w:pPr>
        <w:spacing w:after="0" w:line="169" w:lineRule="exact"/>
        <w:rPr>
          <w:sz w:val="20"/>
          <w:szCs w:val="20"/>
          <w:color w:val="auto"/>
        </w:rPr>
      </w:pPr>
    </w:p>
    <w:p>
      <w:pPr>
        <w:ind w:right="40" w:firstLine="881"/>
        <w:spacing w:after="0" w:line="259" w:lineRule="auto"/>
        <w:rPr>
          <w:sz w:val="20"/>
          <w:szCs w:val="20"/>
          <w:color w:val="auto"/>
        </w:rPr>
      </w:pPr>
      <w:r>
        <w:rPr>
          <w:rFonts w:ascii="Arial" w:cs="Arial" w:eastAsia="Arial" w:hAnsi="Arial"/>
          <w:sz w:val="18"/>
          <w:szCs w:val="18"/>
          <w:color w:val="auto"/>
        </w:rPr>
        <w:t xml:space="preserve">The Company may also from time to time designate one or more co-registrars, additional paying agents or additional notice agents and may from time to time rescind such designations;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such designation or rescission shall in any manner relieve the Company of its obligations to maintain a Registrar, Paying Agent and Notice Agent in each place so specified pursuant to Section 2.2 for Securities of any Series for such purposes. The Company will give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prompt written notice to the Trustee of any such designation or rescission and of any change in the name or address of any such co-registrar, additional paying agent or additional notice agent. The term “</w:t>
      </w:r>
      <w:r>
        <w:rPr>
          <w:rFonts w:ascii="Arial" w:cs="Arial" w:eastAsia="Arial" w:hAnsi="Arial"/>
          <w:sz w:val="17"/>
          <w:szCs w:val="17"/>
          <w:i w:val="1"/>
          <w:iCs w:val="1"/>
          <w:color w:val="auto"/>
        </w:rPr>
        <w:t>Registrar</w:t>
      </w:r>
      <w:r>
        <w:rPr>
          <w:rFonts w:ascii="Arial" w:cs="Arial" w:eastAsia="Arial" w:hAnsi="Arial"/>
          <w:sz w:val="17"/>
          <w:szCs w:val="17"/>
          <w:color w:val="auto"/>
        </w:rPr>
        <w:t>” includes any co-registrar; the term “</w:t>
      </w:r>
      <w:r>
        <w:rPr>
          <w:rFonts w:ascii="Arial" w:cs="Arial" w:eastAsia="Arial" w:hAnsi="Arial"/>
          <w:sz w:val="17"/>
          <w:szCs w:val="17"/>
          <w:i w:val="1"/>
          <w:iCs w:val="1"/>
          <w:color w:val="auto"/>
        </w:rPr>
        <w:t>Paying Agent</w:t>
      </w:r>
      <w:r>
        <w:rPr>
          <w:rFonts w:ascii="Arial" w:cs="Arial" w:eastAsia="Arial" w:hAnsi="Arial"/>
          <w:sz w:val="17"/>
          <w:szCs w:val="17"/>
          <w:color w:val="auto"/>
        </w:rPr>
        <w:t>” includes any additional paying agent; and the term “</w:t>
      </w:r>
      <w:r>
        <w:rPr>
          <w:rFonts w:ascii="Arial" w:cs="Arial" w:eastAsia="Arial" w:hAnsi="Arial"/>
          <w:sz w:val="17"/>
          <w:szCs w:val="17"/>
          <w:i w:val="1"/>
          <w:iCs w:val="1"/>
          <w:color w:val="auto"/>
        </w:rPr>
        <w:t>Notice Agent</w:t>
      </w:r>
      <w:r>
        <w:rPr>
          <w:rFonts w:ascii="Arial" w:cs="Arial" w:eastAsia="Arial" w:hAnsi="Arial"/>
          <w:sz w:val="17"/>
          <w:szCs w:val="17"/>
          <w:color w:val="auto"/>
        </w:rPr>
        <w:t>” includes any additional notice agent. The Company or any of its Affiliates may serve as Registrar or Paying Agent.</w:t>
      </w:r>
    </w:p>
    <w:p>
      <w:pPr>
        <w:spacing w:after="0" w:line="166" w:lineRule="exact"/>
        <w:rPr>
          <w:sz w:val="20"/>
          <w:szCs w:val="20"/>
          <w:color w:val="auto"/>
        </w:rPr>
      </w:pPr>
    </w:p>
    <w:p>
      <w:pPr>
        <w:ind w:right="160" w:firstLine="881"/>
        <w:spacing w:after="0" w:line="277" w:lineRule="auto"/>
        <w:rPr>
          <w:sz w:val="20"/>
          <w:szCs w:val="20"/>
          <w:color w:val="auto"/>
        </w:rPr>
      </w:pPr>
      <w:r>
        <w:rPr>
          <w:rFonts w:ascii="Arial" w:cs="Arial" w:eastAsia="Arial" w:hAnsi="Arial"/>
          <w:sz w:val="18"/>
          <w:szCs w:val="18"/>
          <w:color w:val="auto"/>
        </w:rPr>
        <w:t>The Company hereby appoints the Trustee the initial Registrar, Paying Agent and Notice Agent for each Series unless another Registrar, Paying Agent or Notice Agent, as the case may be, is appointed prior to the time Securities of that Series are first issued.</w:t>
      </w:r>
    </w:p>
    <w:p>
      <w:pPr>
        <w:spacing w:after="0" w:line="17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2.5</w:t>
      </w:r>
      <w:r>
        <w:rPr>
          <w:sz w:val="20"/>
          <w:szCs w:val="20"/>
          <w:color w:val="auto"/>
        </w:rPr>
        <w:tab/>
      </w:r>
      <w:r>
        <w:rPr>
          <w:rFonts w:ascii="Arial" w:cs="Arial" w:eastAsia="Arial" w:hAnsi="Arial"/>
          <w:sz w:val="16"/>
          <w:szCs w:val="16"/>
          <w:u w:val="single" w:color="auto"/>
          <w:color w:val="auto"/>
        </w:rPr>
        <w:t>Paying Agent to Hold Money in Trust</w:t>
      </w:r>
      <w:r>
        <w:rPr>
          <w:rFonts w:ascii="Arial" w:cs="Arial" w:eastAsia="Arial" w:hAnsi="Arial"/>
          <w:sz w:val="16"/>
          <w:szCs w:val="16"/>
          <w:color w:val="auto"/>
        </w:rPr>
        <w:t>.</w:t>
      </w:r>
    </w:p>
    <w:p>
      <w:pPr>
        <w:spacing w:after="0" w:line="225" w:lineRule="exact"/>
        <w:rPr>
          <w:sz w:val="20"/>
          <w:szCs w:val="20"/>
          <w:color w:val="auto"/>
        </w:rPr>
      </w:pPr>
    </w:p>
    <w:p>
      <w:pPr>
        <w:ind w:firstLine="881"/>
        <w:spacing w:after="0" w:line="271" w:lineRule="auto"/>
        <w:rPr>
          <w:sz w:val="20"/>
          <w:szCs w:val="20"/>
          <w:color w:val="auto"/>
        </w:rPr>
      </w:pPr>
      <w:r>
        <w:rPr>
          <w:rFonts w:ascii="Arial" w:cs="Arial" w:eastAsia="Arial" w:hAnsi="Arial"/>
          <w:sz w:val="17"/>
          <w:szCs w:val="17"/>
          <w:color w:val="auto"/>
        </w:rPr>
        <w:t>The Company shall require each Paying Agent other than the Trustee to agree in writing that the Paying Agent will hold in trust, for the benefit of Securityholders of any Series of Securities, or the Trustee, all money held by the Paying Agent for the payment of principal of or interest on the Series of Securities, and will notify the Trustee in writing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or a Subsidiary of the Company) shall have no further liability for the money. If the Company or a Subsidiary of the Company acts as Paying Agent, it shall segregate and hold in a separate trust fund for the benefit of Securityholders of any Series of Securities all money held by it as Paying Agent. Upon any bankruptcy, reorganization or similar proceeding with respect to the Company, the Trustee shall serve as Paying Agent for the Securities.</w:t>
      </w:r>
    </w:p>
    <w:p>
      <w:pPr>
        <w:sectPr>
          <w:pgSz w:w="11900" w:h="16838" w:orient="portrait"/>
          <w:cols w:equalWidth="0" w:num="1">
            <w:col w:w="11400"/>
          </w:cols>
          <w:pgMar w:left="240" w:top="125" w:right="259" w:bottom="0" w:gutter="0" w:footer="0" w:header="0"/>
        </w:sectPr>
      </w:pPr>
    </w:p>
    <w:bookmarkStart w:id="30" w:name="page31"/>
    <w:bookmarkEnd w:id="30"/>
    <w:p>
      <w:pPr>
        <w:spacing w:after="0" w:line="36"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2.6</w:t>
      </w:r>
      <w:r>
        <w:rPr>
          <w:sz w:val="20"/>
          <w:szCs w:val="20"/>
          <w:color w:val="auto"/>
        </w:rPr>
        <w:tab/>
      </w:r>
      <w:r>
        <w:rPr>
          <w:rFonts w:ascii="Arial" w:cs="Arial" w:eastAsia="Arial" w:hAnsi="Arial"/>
          <w:sz w:val="16"/>
          <w:szCs w:val="16"/>
          <w:u w:val="single" w:color="auto"/>
          <w:color w:val="auto"/>
        </w:rPr>
        <w:t>Securityholder Lists</w:t>
      </w:r>
      <w:r>
        <w:rPr>
          <w:rFonts w:ascii="Arial" w:cs="Arial" w:eastAsia="Arial" w:hAnsi="Arial"/>
          <w:sz w:val="16"/>
          <w:szCs w:val="16"/>
          <w:color w:val="auto"/>
        </w:rPr>
        <w:t>.</w:t>
      </w:r>
    </w:p>
    <w:p>
      <w:pPr>
        <w:spacing w:after="0" w:line="225" w:lineRule="exact"/>
        <w:rPr>
          <w:sz w:val="20"/>
          <w:szCs w:val="20"/>
          <w:color w:val="auto"/>
        </w:rPr>
      </w:pPr>
    </w:p>
    <w:p>
      <w:pPr>
        <w:ind w:right="60" w:firstLine="881"/>
        <w:spacing w:after="0" w:line="279" w:lineRule="auto"/>
        <w:rPr>
          <w:sz w:val="20"/>
          <w:szCs w:val="20"/>
          <w:color w:val="auto"/>
        </w:rPr>
      </w:pPr>
      <w:r>
        <w:rPr>
          <w:rFonts w:ascii="Arial" w:cs="Arial" w:eastAsia="Arial" w:hAnsi="Arial"/>
          <w:sz w:val="17"/>
          <w:szCs w:val="17"/>
          <w:color w:val="auto"/>
        </w:rPr>
        <w:t>The Trustee shall preserve in as current a form as is reasonably practicable the most recent list available to it of the names and addresses of Securityholders of each Series of Securities and shall otherwise comply with TIA § 312(a). If the Trustee is not the Registrar, the Company shall furnish to the Trustee at least ten days before each interest payment date and at such other times as the Trustee may request in writing a list, in such form and as of such date as the Trustee may reasonably require, of the names and addresses of Securityholders of each Series of Securities.</w:t>
      </w:r>
    </w:p>
    <w:p>
      <w:pPr>
        <w:spacing w:after="0" w:line="17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2.7</w:t>
      </w:r>
      <w:r>
        <w:rPr>
          <w:sz w:val="20"/>
          <w:szCs w:val="20"/>
          <w:color w:val="auto"/>
        </w:rPr>
        <w:tab/>
      </w:r>
      <w:r>
        <w:rPr>
          <w:rFonts w:ascii="Arial" w:cs="Arial" w:eastAsia="Arial" w:hAnsi="Arial"/>
          <w:sz w:val="15"/>
          <w:szCs w:val="15"/>
          <w:u w:val="single" w:color="auto"/>
          <w:color w:val="auto"/>
        </w:rPr>
        <w:t>Transfer and Exchange</w:t>
      </w:r>
      <w:r>
        <w:rPr>
          <w:rFonts w:ascii="Arial" w:cs="Arial" w:eastAsia="Arial" w:hAnsi="Arial"/>
          <w:sz w:val="15"/>
          <w:szCs w:val="15"/>
          <w:color w:val="auto"/>
        </w:rPr>
        <w:t>.</w:t>
      </w:r>
    </w:p>
    <w:p>
      <w:pPr>
        <w:spacing w:after="0" w:line="225" w:lineRule="exact"/>
        <w:rPr>
          <w:sz w:val="20"/>
          <w:szCs w:val="20"/>
          <w:color w:val="auto"/>
        </w:rPr>
      </w:pPr>
    </w:p>
    <w:p>
      <w:pPr>
        <w:ind w:right="140" w:firstLine="881"/>
        <w:spacing w:after="0" w:line="273" w:lineRule="auto"/>
        <w:rPr>
          <w:sz w:val="20"/>
          <w:szCs w:val="20"/>
          <w:color w:val="auto"/>
        </w:rPr>
      </w:pPr>
      <w:r>
        <w:rPr>
          <w:rFonts w:ascii="Arial" w:cs="Arial" w:eastAsia="Arial" w:hAnsi="Arial"/>
          <w:sz w:val="17"/>
          <w:szCs w:val="17"/>
          <w:color w:val="auto"/>
        </w:rPr>
        <w:t>Where Securities of a Series are presented to the Registrar or a co-registrar with a request to register a transfer or to exchange them for an equal principal amount of Securities of the same Series, the Registrar shall register the transfer or make the exchange if its requirements for such transactions are met. To permit registrations of transfers and exchanges, the Trustee shall authenticate Securities at the Registrar’s request. No service charge shall be made for any registration of transfer or exchange (except as otherwise expressly permitted herein), but the Company may require payment of a sum sufficient to cover any transfer tax or similar governmental charge payable in connection therewith (other than any such transfer tax or similar governmental charge payable upon exchanges pursuant to Sections 2.11, 3.6 or 9.6).</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firstLine="881"/>
        <w:spacing w:after="0" w:line="302" w:lineRule="auto"/>
        <w:rPr>
          <w:sz w:val="20"/>
          <w:szCs w:val="20"/>
          <w:color w:val="auto"/>
        </w:rPr>
      </w:pPr>
      <w:r>
        <w:rPr>
          <w:rFonts w:ascii="Arial" w:cs="Arial" w:eastAsia="Arial" w:hAnsi="Arial"/>
          <w:sz w:val="16"/>
          <w:szCs w:val="16"/>
          <w:color w:val="auto"/>
        </w:rPr>
        <w:t>Neither the Company nor the Registrar shall be required (a) to issue, register the transfer of, or exchange Securities of any Series for the period beginning at the opening of business fifteen days immediately preceding the sending of a notice of redemption of Securities of that Series selected for redemption and ending at the close of business on the day such notice is sent, or (b) to register the transfer of or exchange Securities of any Series selected, called or being called for redemption as a whole or the portion being redeemed of any such Securities selected, called or being called for redemption in part.</w:t>
      </w:r>
    </w:p>
    <w:p>
      <w:pPr>
        <w:spacing w:after="0" w:line="15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2.8</w:t>
      </w:r>
      <w:r>
        <w:rPr>
          <w:sz w:val="20"/>
          <w:szCs w:val="20"/>
          <w:color w:val="auto"/>
        </w:rPr>
        <w:tab/>
      </w:r>
      <w:r>
        <w:rPr>
          <w:rFonts w:ascii="Arial" w:cs="Arial" w:eastAsia="Arial" w:hAnsi="Arial"/>
          <w:sz w:val="16"/>
          <w:szCs w:val="16"/>
          <w:u w:val="single" w:color="auto"/>
          <w:color w:val="auto"/>
        </w:rPr>
        <w:t>Mutilated, Destroyed, Lost and Stolen Securities</w:t>
      </w:r>
      <w:r>
        <w:rPr>
          <w:rFonts w:ascii="Arial" w:cs="Arial" w:eastAsia="Arial" w:hAnsi="Arial"/>
          <w:sz w:val="16"/>
          <w:szCs w:val="16"/>
          <w:color w:val="auto"/>
        </w:rPr>
        <w:t>.</w:t>
      </w:r>
    </w:p>
    <w:p>
      <w:pPr>
        <w:spacing w:after="0" w:line="225" w:lineRule="exact"/>
        <w:rPr>
          <w:sz w:val="20"/>
          <w:szCs w:val="20"/>
          <w:color w:val="auto"/>
        </w:rPr>
      </w:pPr>
    </w:p>
    <w:p>
      <w:pPr>
        <w:ind w:right="380" w:firstLine="881"/>
        <w:spacing w:after="0" w:line="342" w:lineRule="auto"/>
        <w:rPr>
          <w:sz w:val="20"/>
          <w:szCs w:val="20"/>
          <w:color w:val="auto"/>
        </w:rPr>
      </w:pPr>
      <w:r>
        <w:rPr>
          <w:rFonts w:ascii="Arial" w:cs="Arial" w:eastAsia="Arial" w:hAnsi="Arial"/>
          <w:sz w:val="16"/>
          <w:szCs w:val="16"/>
          <w:color w:val="auto"/>
        </w:rPr>
        <w:t>If any mutilated Security is surrendered to the Trustee, the Company shall execute and the Trustee shall authenticate and deliver in exchange therefor a new Security of the same Series and of like tenor and principal amount and bearing a number not contemporaneously outstanding.</w:t>
      </w:r>
    </w:p>
    <w:p>
      <w:pPr>
        <w:spacing w:after="0" w:line="124" w:lineRule="exact"/>
        <w:rPr>
          <w:sz w:val="20"/>
          <w:szCs w:val="20"/>
          <w:color w:val="auto"/>
        </w:rPr>
      </w:pPr>
    </w:p>
    <w:p>
      <w:pPr>
        <w:ind w:left="880"/>
        <w:spacing w:after="0"/>
        <w:rPr>
          <w:sz w:val="20"/>
          <w:szCs w:val="20"/>
          <w:color w:val="auto"/>
        </w:rPr>
      </w:pPr>
      <w:r>
        <w:rPr>
          <w:rFonts w:ascii="Arial" w:cs="Arial" w:eastAsia="Arial" w:hAnsi="Arial"/>
          <w:sz w:val="16"/>
          <w:szCs w:val="16"/>
          <w:color w:val="auto"/>
        </w:rPr>
        <w:t>If there shall be delivered to the Company and the Trustee (i) evidence to their satisfaction of the destruction, loss or theft of any Security and</w:t>
      </w:r>
    </w:p>
    <w:p>
      <w:pPr>
        <w:spacing w:after="0" w:line="46" w:lineRule="exact"/>
        <w:rPr>
          <w:sz w:val="20"/>
          <w:szCs w:val="20"/>
          <w:color w:val="auto"/>
        </w:rPr>
      </w:pPr>
    </w:p>
    <w:p>
      <w:pPr>
        <w:ind w:right="100" w:firstLine="8"/>
        <w:spacing w:after="0" w:line="254" w:lineRule="auto"/>
        <w:tabs>
          <w:tab w:leader="none" w:pos="265"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such security or indemnity bond as may be required by each of them to hold itself and any of its agents harmless, then, in the absence of notice to the Company or the Trustee that such Security has been acquired by a bona fide purchaser, the Company shall execute and upon receipt of a Company Order the Trustee shall authenticate and make available for delivery, in lieu of any such destroyed, lost or stolen Security, a new Security of the same Series and of like tenor and principal amount and bearing a number not contemporaneously outstanding.</w:t>
      </w:r>
    </w:p>
    <w:p>
      <w:pPr>
        <w:spacing w:after="0" w:line="190" w:lineRule="exact"/>
        <w:rPr>
          <w:sz w:val="20"/>
          <w:szCs w:val="20"/>
          <w:color w:val="auto"/>
        </w:rPr>
      </w:pPr>
    </w:p>
    <w:p>
      <w:pPr>
        <w:ind w:right="240" w:firstLine="881"/>
        <w:spacing w:after="0" w:line="277" w:lineRule="auto"/>
        <w:rPr>
          <w:sz w:val="20"/>
          <w:szCs w:val="20"/>
          <w:color w:val="auto"/>
        </w:rPr>
      </w:pPr>
      <w:r>
        <w:rPr>
          <w:rFonts w:ascii="Arial" w:cs="Arial" w:eastAsia="Arial" w:hAnsi="Arial"/>
          <w:sz w:val="18"/>
          <w:szCs w:val="18"/>
          <w:color w:val="auto"/>
        </w:rPr>
        <w:t>In case any such mutilated, destroyed, lost or stolen Security has become or is about to become due and payable, the Company in its discretion may, instead of issuing a new Security, pay such Security.</w:t>
      </w:r>
    </w:p>
    <w:p>
      <w:pPr>
        <w:spacing w:after="0" w:line="170" w:lineRule="exact"/>
        <w:rPr>
          <w:sz w:val="20"/>
          <w:szCs w:val="20"/>
          <w:color w:val="auto"/>
        </w:rPr>
      </w:pPr>
    </w:p>
    <w:p>
      <w:pPr>
        <w:jc w:val="both"/>
        <w:ind w:right="260" w:firstLine="881"/>
        <w:spacing w:after="0" w:line="342" w:lineRule="auto"/>
        <w:rPr>
          <w:sz w:val="20"/>
          <w:szCs w:val="20"/>
          <w:color w:val="auto"/>
        </w:rPr>
      </w:pPr>
      <w:r>
        <w:rPr>
          <w:rFonts w:ascii="Arial" w:cs="Arial" w:eastAsia="Arial" w:hAnsi="Arial"/>
          <w:sz w:val="16"/>
          <w:szCs w:val="16"/>
          <w:color w:val="auto"/>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w:t>
      </w:r>
    </w:p>
    <w:p>
      <w:pPr>
        <w:spacing w:after="0" w:line="124" w:lineRule="exact"/>
        <w:rPr>
          <w:sz w:val="20"/>
          <w:szCs w:val="20"/>
          <w:color w:val="auto"/>
        </w:rPr>
      </w:pPr>
    </w:p>
    <w:p>
      <w:pPr>
        <w:ind w:right="200" w:firstLine="881"/>
        <w:spacing w:after="0" w:line="312" w:lineRule="auto"/>
        <w:rPr>
          <w:sz w:val="20"/>
          <w:szCs w:val="20"/>
          <w:color w:val="auto"/>
        </w:rPr>
      </w:pPr>
      <w:r>
        <w:rPr>
          <w:rFonts w:ascii="Arial" w:cs="Arial" w:eastAsia="Arial" w:hAnsi="Arial"/>
          <w:sz w:val="16"/>
          <w:szCs w:val="16"/>
          <w:color w:val="auto"/>
        </w:rPr>
        <w:t>Every new Security of any Series issued pursuant to this Section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w:t>
      </w:r>
    </w:p>
    <w:p>
      <w:pPr>
        <w:spacing w:after="0" w:line="147" w:lineRule="exact"/>
        <w:rPr>
          <w:sz w:val="20"/>
          <w:szCs w:val="20"/>
          <w:color w:val="auto"/>
        </w:rPr>
      </w:pPr>
    </w:p>
    <w:p>
      <w:pPr>
        <w:ind w:right="60" w:firstLine="881"/>
        <w:spacing w:after="0" w:line="277" w:lineRule="auto"/>
        <w:rPr>
          <w:sz w:val="20"/>
          <w:szCs w:val="20"/>
          <w:color w:val="auto"/>
        </w:rPr>
      </w:pPr>
      <w:r>
        <w:rPr>
          <w:rFonts w:ascii="Arial" w:cs="Arial" w:eastAsia="Arial" w:hAnsi="Arial"/>
          <w:sz w:val="18"/>
          <w:szCs w:val="18"/>
          <w:color w:val="auto"/>
        </w:rPr>
        <w:t>The provisions of this Section are exclusive and shall preclude (to the extent lawful) all other rights and remedies with respect to the replacement or payment of mutilated, destroyed, lost or stolen Securities.</w:t>
      </w:r>
    </w:p>
    <w:p>
      <w:pPr>
        <w:spacing w:after="0" w:line="17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2.9</w:t>
      </w:r>
      <w:r>
        <w:rPr>
          <w:sz w:val="20"/>
          <w:szCs w:val="20"/>
          <w:color w:val="auto"/>
        </w:rPr>
        <w:tab/>
      </w:r>
      <w:r>
        <w:rPr>
          <w:rFonts w:ascii="Arial" w:cs="Arial" w:eastAsia="Arial" w:hAnsi="Arial"/>
          <w:sz w:val="16"/>
          <w:szCs w:val="16"/>
          <w:u w:val="single" w:color="auto"/>
          <w:color w:val="auto"/>
        </w:rPr>
        <w:t>Outstanding Securities</w:t>
      </w:r>
      <w:r>
        <w:rPr>
          <w:rFonts w:ascii="Arial" w:cs="Arial" w:eastAsia="Arial" w:hAnsi="Arial"/>
          <w:sz w:val="16"/>
          <w:szCs w:val="16"/>
          <w:color w:val="auto"/>
        </w:rPr>
        <w:t>.</w:t>
      </w:r>
    </w:p>
    <w:p>
      <w:pPr>
        <w:spacing w:after="0" w:line="225" w:lineRule="exact"/>
        <w:rPr>
          <w:sz w:val="20"/>
          <w:szCs w:val="20"/>
          <w:color w:val="auto"/>
        </w:rPr>
      </w:pPr>
    </w:p>
    <w:p>
      <w:pPr>
        <w:ind w:right="160" w:firstLine="881"/>
        <w:spacing w:after="0" w:line="277" w:lineRule="auto"/>
        <w:rPr>
          <w:sz w:val="20"/>
          <w:szCs w:val="20"/>
          <w:color w:val="auto"/>
        </w:rPr>
      </w:pPr>
      <w:r>
        <w:rPr>
          <w:rFonts w:ascii="Arial" w:cs="Arial" w:eastAsia="Arial" w:hAnsi="Arial"/>
          <w:sz w:val="18"/>
          <w:szCs w:val="18"/>
          <w:color w:val="auto"/>
        </w:rPr>
        <w:t>The Securities outstanding at any time are all the Securities authenticated by the Trustee except for those canceled by it, those delivered to it for cancellation, those reductions in the interest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on a Global Security effected by the Trustee in accordance with the provisions hereof and those described in this Section as not outstanding.</w:t>
      </w:r>
    </w:p>
    <w:p>
      <w:pPr>
        <w:spacing w:after="0" w:line="225" w:lineRule="exact"/>
        <w:rPr>
          <w:sz w:val="20"/>
          <w:szCs w:val="20"/>
          <w:color w:val="auto"/>
        </w:rPr>
      </w:pPr>
    </w:p>
    <w:p>
      <w:pPr>
        <w:ind w:right="400" w:firstLine="881"/>
        <w:spacing w:after="0" w:line="277" w:lineRule="auto"/>
        <w:rPr>
          <w:sz w:val="20"/>
          <w:szCs w:val="20"/>
          <w:color w:val="auto"/>
        </w:rPr>
      </w:pPr>
      <w:r>
        <w:rPr>
          <w:rFonts w:ascii="Arial" w:cs="Arial" w:eastAsia="Arial" w:hAnsi="Arial"/>
          <w:sz w:val="18"/>
          <w:szCs w:val="18"/>
          <w:color w:val="auto"/>
        </w:rPr>
        <w:t>If a Security is replaced pursuant to Section 2.8, it ceases to be outstanding until the Trustee receives proof satisfactory to it that the replaced Security is held by a bona fide purchaser.</w:t>
      </w:r>
    </w:p>
    <w:p>
      <w:pPr>
        <w:spacing w:after="0" w:line="170" w:lineRule="exact"/>
        <w:rPr>
          <w:sz w:val="20"/>
          <w:szCs w:val="20"/>
          <w:color w:val="auto"/>
        </w:rPr>
      </w:pPr>
    </w:p>
    <w:p>
      <w:pPr>
        <w:ind w:firstLine="881"/>
        <w:spacing w:after="0" w:line="264" w:lineRule="auto"/>
        <w:rPr>
          <w:sz w:val="20"/>
          <w:szCs w:val="20"/>
          <w:color w:val="auto"/>
        </w:rPr>
      </w:pPr>
      <w:r>
        <w:rPr>
          <w:rFonts w:ascii="Arial" w:cs="Arial" w:eastAsia="Arial" w:hAnsi="Arial"/>
          <w:sz w:val="18"/>
          <w:szCs w:val="18"/>
          <w:color w:val="auto"/>
        </w:rPr>
        <w:t>If the Paying Agent (other than the Company, a Subsidiary of the Company or an Affiliate of the Company) holds on the Maturity of Securities of a Series money sufficient to pay such Securities payable on that date, then on and after that date such Securities of the Series cease to be outstanding and interest on them ceases to accrue.</w:t>
      </w:r>
    </w:p>
    <w:p>
      <w:pPr>
        <w:spacing w:after="0" w:line="181" w:lineRule="exact"/>
        <w:rPr>
          <w:sz w:val="20"/>
          <w:szCs w:val="20"/>
          <w:color w:val="auto"/>
        </w:rPr>
      </w:pPr>
    </w:p>
    <w:p>
      <w:pPr>
        <w:ind w:right="380" w:firstLine="881"/>
        <w:spacing w:after="0" w:line="342" w:lineRule="auto"/>
        <w:rPr>
          <w:sz w:val="20"/>
          <w:szCs w:val="20"/>
          <w:color w:val="auto"/>
        </w:rPr>
      </w:pPr>
      <w:r>
        <w:rPr>
          <w:rFonts w:ascii="Arial" w:cs="Arial" w:eastAsia="Arial" w:hAnsi="Arial"/>
          <w:sz w:val="16"/>
          <w:szCs w:val="16"/>
          <w:color w:val="auto"/>
        </w:rPr>
        <w:t>The Company may purchase or otherwise acquire the Securities, whether by open market purchases, negotiated transactions or otherwise. A Security does not cease to be outstanding because the Company or an Affiliate of the Company holds the Security (but see Section 2.10 below).</w:t>
      </w:r>
    </w:p>
    <w:p>
      <w:pPr>
        <w:spacing w:after="0" w:line="124" w:lineRule="exact"/>
        <w:rPr>
          <w:sz w:val="20"/>
          <w:szCs w:val="20"/>
          <w:color w:val="auto"/>
        </w:rPr>
      </w:pPr>
    </w:p>
    <w:p>
      <w:pPr>
        <w:ind w:right="140" w:firstLine="881"/>
        <w:spacing w:after="0" w:line="259" w:lineRule="auto"/>
        <w:rPr>
          <w:sz w:val="20"/>
          <w:szCs w:val="20"/>
          <w:color w:val="auto"/>
        </w:rPr>
      </w:pPr>
      <w:r>
        <w:rPr>
          <w:rFonts w:ascii="Arial" w:cs="Arial" w:eastAsia="Arial" w:hAnsi="Arial"/>
          <w:sz w:val="18"/>
          <w:szCs w:val="18"/>
          <w:color w:val="auto"/>
        </w:rPr>
        <w:t>In determining whether the Holders of the requisite principal amount of outstanding Securities have given any request, demand, authorization, direction, notice, consent or waiver hereunder, the principal amount of a Discount Security that shall be deemed to be outstanding for such purposes shall be the amount of the principal thereof that would be due and payable as of the date of such determination upon a declaration of acceleration of the Maturity thereof pursuant to Section 6.2.</w:t>
      </w:r>
    </w:p>
    <w:p>
      <w:pPr>
        <w:spacing w:after="0" w:line="187"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2.10</w:t>
      </w:r>
      <w:r>
        <w:rPr>
          <w:sz w:val="20"/>
          <w:szCs w:val="20"/>
          <w:color w:val="auto"/>
        </w:rPr>
        <w:tab/>
      </w:r>
      <w:r>
        <w:rPr>
          <w:rFonts w:ascii="Arial" w:cs="Arial" w:eastAsia="Arial" w:hAnsi="Arial"/>
          <w:sz w:val="16"/>
          <w:szCs w:val="16"/>
          <w:u w:val="single" w:color="auto"/>
          <w:color w:val="auto"/>
        </w:rPr>
        <w:t>Treasury Securities</w:t>
      </w:r>
      <w:r>
        <w:rPr>
          <w:rFonts w:ascii="Arial" w:cs="Arial" w:eastAsia="Arial" w:hAnsi="Arial"/>
          <w:sz w:val="16"/>
          <w:szCs w:val="16"/>
          <w:color w:val="auto"/>
        </w:rPr>
        <w:t>.</w:t>
      </w:r>
    </w:p>
    <w:p>
      <w:pPr>
        <w:sectPr>
          <w:pgSz w:w="11900" w:h="16874" w:orient="portrait"/>
          <w:cols w:equalWidth="0" w:num="1">
            <w:col w:w="11400"/>
          </w:cols>
          <w:pgMar w:left="240" w:top="125" w:right="259" w:bottom="0" w:gutter="0" w:footer="0" w:header="0"/>
        </w:sectPr>
      </w:pPr>
    </w:p>
    <w:bookmarkStart w:id="31" w:name="page32"/>
    <w:bookmarkEnd w:id="31"/>
    <w:p>
      <w:pPr>
        <w:spacing w:after="0" w:line="114" w:lineRule="exact"/>
        <w:rPr>
          <w:sz w:val="20"/>
          <w:szCs w:val="20"/>
          <w:color w:val="auto"/>
        </w:rPr>
      </w:pPr>
    </w:p>
    <w:p>
      <w:pPr>
        <w:ind w:right="40" w:firstLine="881"/>
        <w:spacing w:after="0" w:line="279" w:lineRule="auto"/>
        <w:rPr>
          <w:sz w:val="20"/>
          <w:szCs w:val="20"/>
          <w:color w:val="auto"/>
        </w:rPr>
      </w:pPr>
      <w:r>
        <w:rPr>
          <w:rFonts w:ascii="Arial" w:cs="Arial" w:eastAsia="Arial" w:hAnsi="Arial"/>
          <w:sz w:val="17"/>
          <w:szCs w:val="17"/>
          <w:color w:val="auto"/>
        </w:rPr>
        <w:t>In determining whether the Holders of the required principal amount of Securities of a Series have concurred in any request, demand, authorization, direction, notice, consent or waiver, Securities of a Series owned by the Company or any Affiliate of the Company shall be disregarded, except that for the purposes of determining whether the Trustee shall be protected in relying on any such request, demand, authorization, direction, notice, consent or waiver only Securities of a Series that a Responsible Officer of the Trustee knows are so owned shall be so disregarded.</w:t>
      </w:r>
    </w:p>
    <w:p>
      <w:pPr>
        <w:spacing w:after="0" w:line="171"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2.11</w:t>
      </w:r>
      <w:r>
        <w:rPr>
          <w:sz w:val="20"/>
          <w:szCs w:val="20"/>
          <w:color w:val="auto"/>
        </w:rPr>
        <w:tab/>
      </w:r>
      <w:r>
        <w:rPr>
          <w:rFonts w:ascii="Arial" w:cs="Arial" w:eastAsia="Arial" w:hAnsi="Arial"/>
          <w:sz w:val="16"/>
          <w:szCs w:val="16"/>
          <w:u w:val="single" w:color="auto"/>
          <w:color w:val="auto"/>
        </w:rPr>
        <w:t>Temporary Securities</w:t>
      </w:r>
      <w:r>
        <w:rPr>
          <w:rFonts w:ascii="Arial" w:cs="Arial" w:eastAsia="Arial" w:hAnsi="Arial"/>
          <w:sz w:val="16"/>
          <w:szCs w:val="16"/>
          <w:color w:val="auto"/>
        </w:rPr>
        <w:t>.</w:t>
      </w:r>
    </w:p>
    <w:p>
      <w:pPr>
        <w:spacing w:after="0" w:line="225" w:lineRule="exact"/>
        <w:rPr>
          <w:sz w:val="20"/>
          <w:szCs w:val="20"/>
          <w:color w:val="auto"/>
        </w:rPr>
      </w:pPr>
    </w:p>
    <w:p>
      <w:pPr>
        <w:ind w:right="20" w:firstLine="881"/>
        <w:spacing w:after="0" w:line="257" w:lineRule="auto"/>
        <w:rPr>
          <w:sz w:val="20"/>
          <w:szCs w:val="20"/>
          <w:color w:val="auto"/>
        </w:rPr>
      </w:pPr>
      <w:r>
        <w:rPr>
          <w:rFonts w:ascii="Arial" w:cs="Arial" w:eastAsia="Arial" w:hAnsi="Arial"/>
          <w:sz w:val="18"/>
          <w:szCs w:val="18"/>
          <w:color w:val="auto"/>
        </w:rPr>
        <w:t>Until definitive Securities are ready for delivery, the Company may prepare and the Trustee shall authenticate temporary Securities upon a Company Order. Temporary Securities shall be substantially in the form of definitive Securities but may have variations that the Company considers appropriate for temporary Securities. Without unreasonable delay, the Company shall prepare and the Trustee upon receipt of a Company Order shall authenticate definitive Securities of the same Series and date of maturity in exchange for temporary Securities. Until so exchanged, temporary securities shall have the same rights under this Indenture as the definitive Securities.</w:t>
      </w:r>
    </w:p>
    <w:p>
      <w:pPr>
        <w:spacing w:after="0" w:line="188"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2.12</w:t>
      </w:r>
      <w:r>
        <w:rPr>
          <w:sz w:val="20"/>
          <w:szCs w:val="20"/>
          <w:color w:val="auto"/>
        </w:rPr>
        <w:tab/>
      </w:r>
      <w:r>
        <w:rPr>
          <w:rFonts w:ascii="Arial" w:cs="Arial" w:eastAsia="Arial" w:hAnsi="Arial"/>
          <w:sz w:val="16"/>
          <w:szCs w:val="16"/>
          <w:u w:val="single" w:color="auto"/>
          <w:color w:val="auto"/>
        </w:rPr>
        <w:t>Cancellation</w:t>
      </w:r>
      <w:r>
        <w:rPr>
          <w:rFonts w:ascii="Arial" w:cs="Arial" w:eastAsia="Arial" w:hAnsi="Arial"/>
          <w:sz w:val="16"/>
          <w:szCs w:val="16"/>
          <w:color w:val="auto"/>
        </w:rPr>
        <w:t>.</w:t>
      </w:r>
    </w:p>
    <w:p>
      <w:pPr>
        <w:spacing w:after="0" w:line="225" w:lineRule="exact"/>
        <w:rPr>
          <w:sz w:val="20"/>
          <w:szCs w:val="20"/>
          <w:color w:val="auto"/>
        </w:rPr>
      </w:pPr>
    </w:p>
    <w:p>
      <w:pPr>
        <w:ind w:right="60" w:firstLine="881"/>
        <w:spacing w:after="0" w:line="264" w:lineRule="auto"/>
        <w:rPr>
          <w:sz w:val="20"/>
          <w:szCs w:val="20"/>
          <w:color w:val="auto"/>
        </w:rPr>
      </w:pPr>
      <w:r>
        <w:rPr>
          <w:rFonts w:ascii="Arial" w:cs="Arial" w:eastAsia="Arial" w:hAnsi="Arial"/>
          <w:sz w:val="18"/>
          <w:szCs w:val="18"/>
          <w:color w:val="auto"/>
        </w:rPr>
        <w:t>The Company at any time may deliver Securities to the Trustee for cancellation. The Registrar and the Paying Agent shall forward to the Trustee any Securities surrendered to them for registration of transfer, exchange or payment. The Trustee shall cancel all Securities surrendered for transfer, exchange, payment, replacement or cancellation in accordance with its customary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procedures (subject to the record retention requirement of the Exchange Act and the Trustee) and deliver a certificate of such cancellation to the Company upon written request of the Company. The Company may not issue new Securities to replace Securities that it has paid or delivered to the Trustee for cancellation.</w:t>
      </w:r>
    </w:p>
    <w:p>
      <w:pPr>
        <w:spacing w:after="0" w:line="181"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2.13</w:t>
      </w:r>
      <w:r>
        <w:rPr>
          <w:sz w:val="20"/>
          <w:szCs w:val="20"/>
          <w:color w:val="auto"/>
        </w:rPr>
        <w:tab/>
      </w:r>
      <w:r>
        <w:rPr>
          <w:rFonts w:ascii="Arial" w:cs="Arial" w:eastAsia="Arial" w:hAnsi="Arial"/>
          <w:sz w:val="16"/>
          <w:szCs w:val="16"/>
          <w:u w:val="single" w:color="auto"/>
          <w:color w:val="auto"/>
        </w:rPr>
        <w:t>Defaulted Interest</w:t>
      </w:r>
      <w:r>
        <w:rPr>
          <w:rFonts w:ascii="Arial" w:cs="Arial" w:eastAsia="Arial" w:hAnsi="Arial"/>
          <w:sz w:val="16"/>
          <w:szCs w:val="16"/>
          <w:color w:val="auto"/>
        </w:rPr>
        <w:t>.</w:t>
      </w:r>
    </w:p>
    <w:p>
      <w:pPr>
        <w:spacing w:after="0" w:line="225" w:lineRule="exact"/>
        <w:rPr>
          <w:sz w:val="20"/>
          <w:szCs w:val="20"/>
          <w:color w:val="auto"/>
        </w:rPr>
      </w:pPr>
    </w:p>
    <w:p>
      <w:pPr>
        <w:ind w:right="60" w:firstLine="881"/>
        <w:spacing w:after="0" w:line="257" w:lineRule="auto"/>
        <w:rPr>
          <w:sz w:val="20"/>
          <w:szCs w:val="20"/>
          <w:color w:val="auto"/>
        </w:rPr>
      </w:pPr>
      <w:r>
        <w:rPr>
          <w:rFonts w:ascii="Arial" w:cs="Arial" w:eastAsia="Arial" w:hAnsi="Arial"/>
          <w:sz w:val="18"/>
          <w:szCs w:val="18"/>
          <w:color w:val="auto"/>
        </w:rPr>
        <w:t>If the Company defaults in a payment of interest on a Series of Securities, it shall pay the defaulted interest, plus, to the extent permitted by law, any interest payable on the defaulted interest, to the persons who are Securityholders of the Series on a subsequent special record date. The Company shall fix the record date and payment date. At least 10 days before the special record date, the Company shall send to the Trustee and to each Securityholder of the Series a notice that states the special record date, the payment date and the amount of interest to be paid. The Company may pay defaulted interest in any other lawful manner.</w:t>
      </w:r>
    </w:p>
    <w:p>
      <w:pPr>
        <w:spacing w:after="0" w:line="188"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2.14</w:t>
      </w:r>
      <w:r>
        <w:rPr>
          <w:sz w:val="20"/>
          <w:szCs w:val="20"/>
          <w:color w:val="auto"/>
        </w:rPr>
        <w:tab/>
      </w:r>
      <w:r>
        <w:rPr>
          <w:rFonts w:ascii="Arial" w:cs="Arial" w:eastAsia="Arial" w:hAnsi="Arial"/>
          <w:sz w:val="16"/>
          <w:szCs w:val="16"/>
          <w:u w:val="single" w:color="auto"/>
          <w:color w:val="auto"/>
        </w:rPr>
        <w:t>Global Securities</w:t>
      </w:r>
      <w:r>
        <w:rPr>
          <w:rFonts w:ascii="Arial" w:cs="Arial" w:eastAsia="Arial" w:hAnsi="Arial"/>
          <w:sz w:val="16"/>
          <w:szCs w:val="16"/>
          <w:color w:val="auto"/>
        </w:rPr>
        <w:t>.</w:t>
      </w:r>
    </w:p>
    <w:p>
      <w:pPr>
        <w:spacing w:after="0" w:line="225" w:lineRule="exact"/>
        <w:rPr>
          <w:sz w:val="20"/>
          <w:szCs w:val="20"/>
          <w:color w:val="auto"/>
        </w:rPr>
      </w:pPr>
    </w:p>
    <w:p>
      <w:pPr>
        <w:ind w:right="260" w:firstLine="881"/>
        <w:spacing w:after="0" w:line="264" w:lineRule="auto"/>
        <w:rPr>
          <w:sz w:val="20"/>
          <w:szCs w:val="20"/>
          <w:color w:val="auto"/>
        </w:rPr>
      </w:pPr>
      <w:r>
        <w:rPr>
          <w:rFonts w:ascii="Arial" w:cs="Arial" w:eastAsia="Arial" w:hAnsi="Arial"/>
          <w:sz w:val="18"/>
          <w:szCs w:val="18"/>
          <w:color w:val="auto"/>
        </w:rPr>
        <w:t xml:space="preserve">2.14.1. </w:t>
      </w:r>
      <w:r>
        <w:rPr>
          <w:rFonts w:ascii="Arial" w:cs="Arial" w:eastAsia="Arial" w:hAnsi="Arial"/>
          <w:sz w:val="18"/>
          <w:szCs w:val="18"/>
          <w:u w:val="single" w:color="auto"/>
          <w:color w:val="auto"/>
        </w:rPr>
        <w:t>Terms of Securities</w:t>
      </w:r>
      <w:r>
        <w:rPr>
          <w:rFonts w:ascii="Arial" w:cs="Arial" w:eastAsia="Arial" w:hAnsi="Arial"/>
          <w:sz w:val="18"/>
          <w:szCs w:val="18"/>
          <w:color w:val="auto"/>
        </w:rPr>
        <w:t>. A Board Resolution, a supplemental indenture hereto or an Officer’s Certificate shall establish whether the Securities of a Series shall be issued in whole or in part in the form of one or more Global Securities and the Depositary for such Global Security or Securities.</w:t>
      </w:r>
    </w:p>
    <w:p>
      <w:pPr>
        <w:spacing w:after="0" w:line="181" w:lineRule="exact"/>
        <w:rPr>
          <w:sz w:val="20"/>
          <w:szCs w:val="20"/>
          <w:color w:val="auto"/>
        </w:rPr>
      </w:pPr>
    </w:p>
    <w:p>
      <w:pPr>
        <w:ind w:right="140" w:firstLine="881"/>
        <w:spacing w:after="0" w:line="271" w:lineRule="auto"/>
        <w:rPr>
          <w:sz w:val="20"/>
          <w:szCs w:val="20"/>
          <w:color w:val="auto"/>
        </w:rPr>
      </w:pPr>
      <w:r>
        <w:rPr>
          <w:rFonts w:ascii="Arial" w:cs="Arial" w:eastAsia="Arial" w:hAnsi="Arial"/>
          <w:sz w:val="17"/>
          <w:szCs w:val="17"/>
          <w:color w:val="auto"/>
        </w:rPr>
        <w:t xml:space="preserve">2.14.2. </w:t>
      </w:r>
      <w:r>
        <w:rPr>
          <w:rFonts w:ascii="Arial" w:cs="Arial" w:eastAsia="Arial" w:hAnsi="Arial"/>
          <w:sz w:val="17"/>
          <w:szCs w:val="17"/>
          <w:u w:val="single" w:color="auto"/>
          <w:color w:val="auto"/>
        </w:rPr>
        <w:t>Transfer and Exchange</w:t>
      </w:r>
      <w:r>
        <w:rPr>
          <w:rFonts w:ascii="Arial" w:cs="Arial" w:eastAsia="Arial" w:hAnsi="Arial"/>
          <w:sz w:val="17"/>
          <w:szCs w:val="17"/>
          <w:color w:val="auto"/>
        </w:rPr>
        <w:t>. Notwithstanding any provisions to the contrary contained in Section 2.7 of the Indenture and in addition thereto, any Global Security shall be exchangeable pursuant to Section 2.7 of the Indenture for Securities registered in the names of Holders other than the Depositary for such Security or its nominee only if (i) such Depositary notifies the Company that it is unwilling or unable to continue as Depositary for such Global Security or if at any time such Depositary ceases to be a clearing agency registered under the Exchange Act, and, in either case, the Company fails to appoint a successor Depositary registered as a clearing agency under the Exchange Act within 90 days of such event or (ii) the Company executes and delivers to the Trustee an Officer’s Certificate to the effect that such Global Security shall be so exchangeable. Any Global Security that is exchangeable pursuant to the preceding sentence shall be exchangeable for Securities registered in such names as the Depositary shall direct in writing in an aggregate principal amount equal to the principal amount of the Global Security with like tenor and terms.</w:t>
      </w:r>
    </w:p>
    <w:p>
      <w:pPr>
        <w:spacing w:after="0" w:line="179" w:lineRule="exact"/>
        <w:rPr>
          <w:sz w:val="20"/>
          <w:szCs w:val="20"/>
          <w:color w:val="auto"/>
        </w:rPr>
      </w:pPr>
    </w:p>
    <w:p>
      <w:pPr>
        <w:jc w:val="both"/>
        <w:ind w:right="440" w:firstLine="881"/>
        <w:spacing w:after="0" w:line="286" w:lineRule="auto"/>
        <w:rPr>
          <w:sz w:val="20"/>
          <w:szCs w:val="20"/>
          <w:color w:val="auto"/>
        </w:rPr>
      </w:pPr>
      <w:r>
        <w:rPr>
          <w:rFonts w:ascii="Arial" w:cs="Arial" w:eastAsia="Arial" w:hAnsi="Arial"/>
          <w:sz w:val="17"/>
          <w:szCs w:val="17"/>
          <w:color w:val="auto"/>
        </w:rPr>
        <w:t>Except as provided in this Section 2.14.2, a Global Security may not be transferred except as a whole by the Depositary with respect to such Global Security to a nominee of such Depositary, by a nominee of such Depositary to such Depositary or another nominee of such Depositary or by the Depositary or any such nominee to a successor Depositary or a nominee of such a successor Depositary.</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Neither the Trustee nor any Agent shall have any responsibility for any actions taken or not taken by the Depositary.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880"/>
        <w:spacing w:after="0"/>
        <w:tabs>
          <w:tab w:leader="none" w:pos="1940" w:val="left"/>
        </w:tabs>
        <w:rPr>
          <w:sz w:val="20"/>
          <w:szCs w:val="20"/>
          <w:color w:val="auto"/>
        </w:rPr>
      </w:pPr>
      <w:r>
        <w:rPr>
          <w:rFonts w:ascii="Arial" w:cs="Arial" w:eastAsia="Arial" w:hAnsi="Arial"/>
          <w:sz w:val="18"/>
          <w:szCs w:val="18"/>
          <w:color w:val="auto"/>
        </w:rPr>
        <w:t>2.14.3.</w:t>
      </w:r>
      <w:r>
        <w:rPr>
          <w:sz w:val="20"/>
          <w:szCs w:val="20"/>
          <w:color w:val="auto"/>
        </w:rPr>
        <w:tab/>
      </w:r>
      <w:r>
        <w:rPr>
          <w:rFonts w:ascii="Arial" w:cs="Arial" w:eastAsia="Arial" w:hAnsi="Arial"/>
          <w:sz w:val="16"/>
          <w:szCs w:val="16"/>
          <w:u w:val="single" w:color="auto"/>
          <w:color w:val="auto"/>
        </w:rPr>
        <w:t>Legends</w:t>
      </w:r>
      <w:r>
        <w:rPr>
          <w:rFonts w:ascii="Arial" w:cs="Arial" w:eastAsia="Arial" w:hAnsi="Arial"/>
          <w:sz w:val="16"/>
          <w:szCs w:val="16"/>
          <w:color w:val="auto"/>
        </w:rPr>
        <w:t>. Any Global Security issued hereunder shall bear a legend in substantially the following form:</w:t>
      </w:r>
    </w:p>
    <w:p>
      <w:pPr>
        <w:spacing w:after="0" w:line="225" w:lineRule="exact"/>
        <w:rPr>
          <w:sz w:val="20"/>
          <w:szCs w:val="20"/>
          <w:color w:val="auto"/>
        </w:rPr>
      </w:pPr>
    </w:p>
    <w:p>
      <w:pPr>
        <w:ind w:right="80" w:firstLine="881"/>
        <w:spacing w:after="0" w:line="255" w:lineRule="auto"/>
        <w:rPr>
          <w:sz w:val="20"/>
          <w:szCs w:val="20"/>
          <w:color w:val="auto"/>
        </w:rPr>
      </w:pPr>
      <w:r>
        <w:rPr>
          <w:rFonts w:ascii="Arial" w:cs="Arial" w:eastAsia="Arial" w:hAnsi="Arial"/>
          <w:sz w:val="18"/>
          <w:szCs w:val="18"/>
          <w:color w:val="auto"/>
        </w:rPr>
        <w:t>“THIS SECURITY IS A GLOBAL SECURITY WITHIN THE MEANING OF THE INDENTURE HEREINAFTER REFERRED TO AND IS REGISTERED IN THE NAME OF THE DEPOSITARY OR A NOMINEE OF THE DEPOSITARY. THIS SECURITY IS EXCHANGEABLE FOR SECURITIES REGISTERED IN THE NAME OF A PERSON OTHER THAN THE DEPOSITARY OR ITS NOMINEE ONLY IN THE LIMITED CIRCUMSTANCES DESCRIBED IN THE INDENTURE, AND MAY NOT BE TRANSFERRED EXCEPT AS A WHOLE BY THE DEPOSITARY TO A NOMINEE OF THE DEPOSITARY, BY A NOMINEE OF THE DEPOSITARY TO THE DEPOSITARY OR ANOTHER NOMINEE OF THE DEPOSITARY OR BY THE DEPOSITARY OR ANY SUCH NOMINEE TO A SUCCESSOR DEPOSITARY OR A NOMINEE OF SUCH A SUCCESSOR DEPOSITARY.”</w:t>
      </w:r>
    </w:p>
    <w:p>
      <w:pPr>
        <w:spacing w:after="0" w:line="189" w:lineRule="exact"/>
        <w:rPr>
          <w:sz w:val="20"/>
          <w:szCs w:val="20"/>
          <w:color w:val="auto"/>
        </w:rPr>
      </w:pPr>
    </w:p>
    <w:p>
      <w:pPr>
        <w:ind w:right="60" w:firstLine="881"/>
        <w:spacing w:after="0" w:line="277" w:lineRule="auto"/>
        <w:rPr>
          <w:sz w:val="20"/>
          <w:szCs w:val="20"/>
          <w:color w:val="auto"/>
        </w:rPr>
      </w:pPr>
      <w:r>
        <w:rPr>
          <w:rFonts w:ascii="Arial" w:cs="Arial" w:eastAsia="Arial" w:hAnsi="Arial"/>
          <w:sz w:val="18"/>
          <w:szCs w:val="18"/>
          <w:color w:val="auto"/>
        </w:rPr>
        <w:t>In addition, so long as the Depository Trust Company (“DTC”) is the Depositary, each Global Note registered in the name of DTC or its nominee shall bear a legend in substantially the following form:</w:t>
      </w:r>
    </w:p>
    <w:p>
      <w:pPr>
        <w:spacing w:after="0" w:line="170" w:lineRule="exact"/>
        <w:rPr>
          <w:sz w:val="20"/>
          <w:szCs w:val="20"/>
          <w:color w:val="auto"/>
        </w:rPr>
      </w:pPr>
    </w:p>
    <w:p>
      <w:pPr>
        <w:ind w:firstLine="881"/>
        <w:spacing w:after="0" w:line="308" w:lineRule="auto"/>
        <w:rPr>
          <w:sz w:val="20"/>
          <w:szCs w:val="20"/>
          <w:color w:val="auto"/>
        </w:rPr>
      </w:pPr>
      <w:r>
        <w:rPr>
          <w:rFonts w:ascii="Arial" w:cs="Arial" w:eastAsia="Arial" w:hAnsi="Arial"/>
          <w:sz w:val="17"/>
          <w:szCs w:val="17"/>
          <w:color w:val="auto"/>
        </w:rPr>
        <w:t>“UNLESS THIS GLOBAL NOTE IS PRESENTED BY AN AUTHORIZED REPRESENTATIVE OF THE DEPOSITORY TRUST COMPANY, A NEW YORK CORPORATION (“DTC”), TO THE COMPANY OR ITS AGENT FOR REGISTRATION OF TRANSFER, EXCHANGE OR PAYMENT,</w:t>
      </w:r>
    </w:p>
    <w:p>
      <w:pPr>
        <w:sectPr>
          <w:pgSz w:w="11900" w:h="16953" w:orient="portrait"/>
          <w:cols w:equalWidth="0" w:num="1">
            <w:col w:w="11420"/>
          </w:cols>
          <w:pgMar w:left="240" w:top="341" w:right="239" w:bottom="0" w:gutter="0" w:footer="0" w:header="0"/>
        </w:sectPr>
      </w:pPr>
    </w:p>
    <w:bookmarkStart w:id="32" w:name="page33"/>
    <w:bookmarkEnd w:id="32"/>
    <w:p>
      <w:pPr>
        <w:spacing w:after="0" w:line="68"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AND ANY GLOBAL NOTE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THE REGISTERED OWNER HEREOF, CEDE &amp; CO., HAS AN INTEREST HEREIN.”</w:t>
      </w:r>
    </w:p>
    <w:p>
      <w:pPr>
        <w:spacing w:after="0" w:line="171" w:lineRule="exact"/>
        <w:rPr>
          <w:sz w:val="20"/>
          <w:szCs w:val="20"/>
          <w:color w:val="auto"/>
        </w:rPr>
      </w:pPr>
    </w:p>
    <w:p>
      <w:pPr>
        <w:ind w:right="40" w:firstLine="881"/>
        <w:spacing w:after="0" w:line="277" w:lineRule="auto"/>
        <w:rPr>
          <w:sz w:val="20"/>
          <w:szCs w:val="20"/>
          <w:color w:val="auto"/>
        </w:rPr>
      </w:pPr>
      <w:r>
        <w:rPr>
          <w:rFonts w:ascii="Arial" w:cs="Arial" w:eastAsia="Arial" w:hAnsi="Arial"/>
          <w:sz w:val="18"/>
          <w:szCs w:val="18"/>
          <w:color w:val="auto"/>
        </w:rPr>
        <w:t xml:space="preserve">2.14.4. </w:t>
      </w:r>
      <w:r>
        <w:rPr>
          <w:rFonts w:ascii="Arial" w:cs="Arial" w:eastAsia="Arial" w:hAnsi="Arial"/>
          <w:sz w:val="18"/>
          <w:szCs w:val="18"/>
          <w:u w:val="single" w:color="auto"/>
          <w:color w:val="auto"/>
        </w:rPr>
        <w:t>Acts of Holders</w:t>
      </w:r>
      <w:r>
        <w:rPr>
          <w:rFonts w:ascii="Arial" w:cs="Arial" w:eastAsia="Arial" w:hAnsi="Arial"/>
          <w:sz w:val="18"/>
          <w:szCs w:val="18"/>
          <w:color w:val="auto"/>
        </w:rPr>
        <w:t>. The Depositary, as a Holder, may appoint agents and otherwise authorize participants to give or take any request, demand, authorization, direction, notice, consent, waiver or other action which a Holder is entitled to give or take under the Indenture.</w:t>
      </w:r>
    </w:p>
    <w:p>
      <w:pPr>
        <w:spacing w:after="0" w:line="170" w:lineRule="exact"/>
        <w:rPr>
          <w:sz w:val="20"/>
          <w:szCs w:val="20"/>
          <w:color w:val="auto"/>
        </w:rPr>
      </w:pPr>
    </w:p>
    <w:p>
      <w:pPr>
        <w:ind w:right="140" w:firstLine="1305"/>
        <w:spacing w:after="0" w:line="255" w:lineRule="auto"/>
        <w:tabs>
          <w:tab w:leader="none" w:pos="1942"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request, demand, authorization, direction, notice, consent, waiver or other action provided by this Indenture to be given or taken by Holders may be embodied in and evidenced by one or more instruments of substantially similar tenor signed by such Holders in person or by agent duly appointed in writing; and, except as herein otherwise expressly provided, such action shall become effective when such instrument or instruments are delivered to the Trustee and, where it is hereby expressly required, to the Company. Such instrument or instruments (and the action embodied therein and evidenced thereby) are herein sometimes referred to as the “Act” of Holders signing such instrument or instruments. Proof of execution of any such instrument or of a writing appointing any such agent shall be sufficient for any purpose of this Indenture and conclusive in favor of the Trustee and the Company, if made in the manner provided in this Section.</w:t>
      </w:r>
    </w:p>
    <w:p>
      <w:pPr>
        <w:spacing w:after="0" w:line="189" w:lineRule="exact"/>
        <w:rPr>
          <w:rFonts w:ascii="Arial" w:cs="Arial" w:eastAsia="Arial" w:hAnsi="Arial"/>
          <w:sz w:val="18"/>
          <w:szCs w:val="18"/>
          <w:color w:val="auto"/>
        </w:rPr>
      </w:pPr>
    </w:p>
    <w:p>
      <w:pPr>
        <w:ind w:right="120" w:firstLine="1305"/>
        <w:spacing w:after="0" w:line="277" w:lineRule="auto"/>
        <w:tabs>
          <w:tab w:leader="none" w:pos="1952"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fact and date of the execution by any Person of any such instrument or writing may be proved by the affidavit of a witness of such execution or by a certificate of a notary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public or other officer authorized by law to take acknowledgments of deeds, certifying that the individual signing such instrument or writing acknowledged to such officer the execution thereof. Where such execution is by a signer acting in a capacity other than such signer’s individual capacity, such certificate or affidavit shall also constitute sufficient proof of such signer’s authority. The fact and date of the execution of any such instrument or writing, or the authority of the Person executing the same, may also be proved in any other manner which the Trustee deems sufficient.</w:t>
      </w:r>
    </w:p>
    <w:p>
      <w:pPr>
        <w:spacing w:after="0" w:line="171" w:lineRule="exact"/>
        <w:rPr>
          <w:sz w:val="20"/>
          <w:szCs w:val="20"/>
          <w:color w:val="auto"/>
        </w:rPr>
      </w:pPr>
    </w:p>
    <w:p>
      <w:pPr>
        <w:ind w:left="1960" w:hanging="655"/>
        <w:spacing w:after="0"/>
        <w:tabs>
          <w:tab w:leader="none" w:pos="1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ownership of Global Securities or any Securities issued in certificated form shall be proved by the Register.</w:t>
      </w:r>
    </w:p>
    <w:p>
      <w:pPr>
        <w:spacing w:after="0" w:line="225" w:lineRule="exact"/>
        <w:rPr>
          <w:rFonts w:ascii="Arial" w:cs="Arial" w:eastAsia="Arial" w:hAnsi="Arial"/>
          <w:sz w:val="18"/>
          <w:szCs w:val="18"/>
          <w:color w:val="auto"/>
        </w:rPr>
      </w:pPr>
    </w:p>
    <w:p>
      <w:pPr>
        <w:ind w:right="20" w:firstLine="1305"/>
        <w:spacing w:after="0" w:line="259" w:lineRule="auto"/>
        <w:tabs>
          <w:tab w:leader="none" w:pos="1952"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request, demand, authorization, direction, notice, consent, waiver or other Act of the Holder of any Security shall bind every future Holder of the same Security and the holder of every Security issued upon the registration of transfer thereof or in exchange therefor or in lieu thereof in respect of anything done, omitted or suffered to be done by the Trustee or the Company in reliance thereon, whether or not notation of such action is made upon such Security.</w:t>
      </w:r>
    </w:p>
    <w:p>
      <w:pPr>
        <w:spacing w:after="0" w:line="186" w:lineRule="exact"/>
        <w:rPr>
          <w:rFonts w:ascii="Arial" w:cs="Arial" w:eastAsia="Arial" w:hAnsi="Arial"/>
          <w:sz w:val="18"/>
          <w:szCs w:val="18"/>
          <w:color w:val="auto"/>
        </w:rPr>
      </w:pPr>
    </w:p>
    <w:p>
      <w:pPr>
        <w:ind w:firstLine="1305"/>
        <w:spacing w:after="0" w:line="253" w:lineRule="auto"/>
        <w:tabs>
          <w:tab w:leader="none" w:pos="19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the Company shall solicit from the Holders any request, demand, authorization, direction, notice, consent, waiver or other Act, the Company may, at its option, by or pursuant to a Board Resolution, fix in advance a record date for the determination of Holders entitled to give such request, demand, authorization, direction, notice, consent, waiver or other Act, but the Company shall have no obligation to do so. If such a record date is fixed, such request, demand, authorization, direction, notice, consent, waiver or other Act may be given before or after such record date, but only the Holders of record at the close of business on such record date shall be deemed to be Holders for the purposes of determining whether Holders of the requisite proportion of Outstanding Securities have authorized or agreed or consented to such request, demand, authorization, direction, notice, consent, waiver or other Act, and for that purpose the Outstanding Securities shall be computed as of such record date; provided that no such authorization, agreement or consent by the Holders on such record date shall be deemed effective unless it shall become effective pursuant to the provisions of this Indenture not later than six months after the record date.</w:t>
      </w:r>
    </w:p>
    <w:p>
      <w:pPr>
        <w:spacing w:after="0" w:line="197" w:lineRule="exact"/>
        <w:rPr>
          <w:sz w:val="20"/>
          <w:szCs w:val="20"/>
          <w:color w:val="auto"/>
        </w:rPr>
      </w:pPr>
    </w:p>
    <w:p>
      <w:pPr>
        <w:ind w:right="400" w:firstLine="881"/>
        <w:spacing w:after="0" w:line="277" w:lineRule="auto"/>
        <w:rPr>
          <w:sz w:val="20"/>
          <w:szCs w:val="20"/>
          <w:color w:val="auto"/>
        </w:rPr>
      </w:pPr>
      <w:r>
        <w:rPr>
          <w:rFonts w:ascii="Arial" w:cs="Arial" w:eastAsia="Arial" w:hAnsi="Arial"/>
          <w:sz w:val="18"/>
          <w:szCs w:val="18"/>
          <w:color w:val="auto"/>
        </w:rPr>
        <w:t xml:space="preserve">2.14.5. </w:t>
      </w:r>
      <w:r>
        <w:rPr>
          <w:rFonts w:ascii="Arial" w:cs="Arial" w:eastAsia="Arial" w:hAnsi="Arial"/>
          <w:sz w:val="18"/>
          <w:szCs w:val="18"/>
          <w:u w:val="single" w:color="auto"/>
          <w:color w:val="auto"/>
        </w:rPr>
        <w:t>Payments</w:t>
      </w:r>
      <w:r>
        <w:rPr>
          <w:rFonts w:ascii="Arial" w:cs="Arial" w:eastAsia="Arial" w:hAnsi="Arial"/>
          <w:sz w:val="18"/>
          <w:szCs w:val="18"/>
          <w:color w:val="auto"/>
        </w:rPr>
        <w:t>. Notwithstanding the other provisions of this Indenture, unless otherwise specified as contemplated by Section 2.2, payment of the principal of and interest, if any, on any Global Security shall be made to the Holder thereof.</w:t>
      </w:r>
    </w:p>
    <w:p>
      <w:pPr>
        <w:spacing w:after="0" w:line="170" w:lineRule="exact"/>
        <w:rPr>
          <w:sz w:val="20"/>
          <w:szCs w:val="20"/>
          <w:color w:val="auto"/>
        </w:rPr>
      </w:pPr>
    </w:p>
    <w:p>
      <w:pPr>
        <w:ind w:right="60" w:firstLine="881"/>
        <w:spacing w:after="0" w:line="259" w:lineRule="auto"/>
        <w:rPr>
          <w:sz w:val="20"/>
          <w:szCs w:val="20"/>
          <w:color w:val="auto"/>
        </w:rPr>
      </w:pPr>
      <w:r>
        <w:rPr>
          <w:rFonts w:ascii="Arial" w:cs="Arial" w:eastAsia="Arial" w:hAnsi="Arial"/>
          <w:sz w:val="18"/>
          <w:szCs w:val="18"/>
          <w:color w:val="auto"/>
        </w:rPr>
        <w:t xml:space="preserve">2.14.6. </w:t>
      </w:r>
      <w:r>
        <w:rPr>
          <w:rFonts w:ascii="Arial" w:cs="Arial" w:eastAsia="Arial" w:hAnsi="Arial"/>
          <w:sz w:val="18"/>
          <w:szCs w:val="18"/>
          <w:u w:val="single" w:color="auto"/>
          <w:color w:val="auto"/>
        </w:rPr>
        <w:t>Consents, Declaration and Directions</w:t>
      </w:r>
      <w:r>
        <w:rPr>
          <w:rFonts w:ascii="Arial" w:cs="Arial" w:eastAsia="Arial" w:hAnsi="Arial"/>
          <w:sz w:val="18"/>
          <w:szCs w:val="18"/>
          <w:color w:val="auto"/>
        </w:rPr>
        <w:t>. The Company, the Trustee and any Agent shall treat a person as the Holder of such principal amount of outstanding Securities of such Series represented by a Global Security as shall be specified in a written statement of the Depositary or by the applicable procedures of such Depositary with respect to such Global Security, for purposes of obtaining any consents, declarations, waivers or directions required to be given by the Holders pursuant to this Indenture.</w:t>
      </w:r>
    </w:p>
    <w:p>
      <w:pPr>
        <w:spacing w:after="0" w:line="187"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2.15</w:t>
      </w:r>
      <w:r>
        <w:rPr>
          <w:sz w:val="20"/>
          <w:szCs w:val="20"/>
          <w:color w:val="auto"/>
        </w:rPr>
        <w:tab/>
      </w:r>
      <w:r>
        <w:rPr>
          <w:rFonts w:ascii="Arial" w:cs="Arial" w:eastAsia="Arial" w:hAnsi="Arial"/>
          <w:sz w:val="16"/>
          <w:szCs w:val="16"/>
          <w:u w:val="single" w:color="auto"/>
          <w:color w:val="auto"/>
        </w:rPr>
        <w:t>CUSIP Numbers</w:t>
      </w:r>
      <w:r>
        <w:rPr>
          <w:rFonts w:ascii="Arial" w:cs="Arial" w:eastAsia="Arial" w:hAnsi="Arial"/>
          <w:sz w:val="16"/>
          <w:szCs w:val="16"/>
          <w:color w:val="auto"/>
        </w:rPr>
        <w:t>.</w:t>
      </w:r>
    </w:p>
    <w:p>
      <w:pPr>
        <w:spacing w:after="0" w:line="225" w:lineRule="exact"/>
        <w:rPr>
          <w:sz w:val="20"/>
          <w:szCs w:val="20"/>
          <w:color w:val="auto"/>
        </w:rPr>
      </w:pPr>
    </w:p>
    <w:p>
      <w:pPr>
        <w:ind w:right="20" w:firstLine="881"/>
        <w:spacing w:after="0" w:line="342" w:lineRule="auto"/>
        <w:rPr>
          <w:sz w:val="20"/>
          <w:szCs w:val="20"/>
          <w:color w:val="auto"/>
        </w:rPr>
      </w:pPr>
      <w:r>
        <w:rPr>
          <w:rFonts w:ascii="Arial" w:cs="Arial" w:eastAsia="Arial" w:hAnsi="Arial"/>
          <w:sz w:val="16"/>
          <w:szCs w:val="16"/>
          <w:color w:val="auto"/>
        </w:rPr>
        <w:t xml:space="preserve">The Company in issuing the Securities may use “CUSIP” numbers (if then generally in use), and, if so, the Trustee shall use “CUSIP” numbers in notices of redemption as a convenience to Holders;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notice may state that no representation is made as to the correctness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of such numbers either as printed on the Securities or as contained in any notice of a redemption and that reliance may be placed only on the other elements of identification printed on the Securities, and any such redemption shall not be affected by any defect in or omission of such numbers.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REDEMPTION</w:t>
      </w:r>
    </w:p>
    <w:p>
      <w:pPr>
        <w:spacing w:after="0" w:line="21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3.1</w:t>
      </w:r>
      <w:r>
        <w:rPr>
          <w:sz w:val="20"/>
          <w:szCs w:val="20"/>
          <w:color w:val="auto"/>
        </w:rPr>
        <w:tab/>
      </w:r>
      <w:r>
        <w:rPr>
          <w:rFonts w:ascii="Arial" w:cs="Arial" w:eastAsia="Arial" w:hAnsi="Arial"/>
          <w:sz w:val="16"/>
          <w:szCs w:val="16"/>
          <w:u w:val="single" w:color="auto"/>
          <w:color w:val="auto"/>
        </w:rPr>
        <w:t>Notice to Trustee</w:t>
      </w:r>
      <w:r>
        <w:rPr>
          <w:rFonts w:ascii="Arial" w:cs="Arial" w:eastAsia="Arial" w:hAnsi="Arial"/>
          <w:sz w:val="16"/>
          <w:szCs w:val="16"/>
          <w:color w:val="auto"/>
        </w:rPr>
        <w:t>.</w:t>
      </w:r>
    </w:p>
    <w:p>
      <w:pPr>
        <w:spacing w:after="0" w:line="225" w:lineRule="exact"/>
        <w:rPr>
          <w:sz w:val="20"/>
          <w:szCs w:val="20"/>
          <w:color w:val="auto"/>
        </w:rPr>
      </w:pPr>
    </w:p>
    <w:p>
      <w:pPr>
        <w:ind w:right="100" w:firstLine="881"/>
        <w:spacing w:after="0" w:line="255" w:lineRule="auto"/>
        <w:rPr>
          <w:sz w:val="20"/>
          <w:szCs w:val="20"/>
          <w:color w:val="auto"/>
        </w:rPr>
      </w:pPr>
      <w:r>
        <w:rPr>
          <w:rFonts w:ascii="Arial" w:cs="Arial" w:eastAsia="Arial" w:hAnsi="Arial"/>
          <w:sz w:val="18"/>
          <w:szCs w:val="18"/>
          <w:color w:val="auto"/>
        </w:rPr>
        <w:t>The Company may, with respect to any Series of Securities, reserve the right to redeem and pay the Series of Securities or may covenant to redeem and pay the Series of Securities or any part thereof prior to the Stated Maturity thereof at such time and on such terms as provided for in such Securities. If a Series of Securities is redeemable and the Company wants or is obligated to redeem prior to the Stated Maturity thereof all or part of the Series of Securities pursuant to the terms of such Securities, it shall notify the Trustee in writing of the redemption date and the principal amount of Series of Securities to be redeemed. The Company shall give the notice at least 5 days before the notice is delivered to the Holders, unless a shorter period is satisfactory to the Trustee.</w:t>
      </w:r>
    </w:p>
    <w:p>
      <w:pPr>
        <w:sectPr>
          <w:pgSz w:w="11900" w:h="16906" w:orient="portrait"/>
          <w:cols w:equalWidth="0" w:num="1">
            <w:col w:w="11400"/>
          </w:cols>
          <w:pgMar w:left="240" w:top="125" w:right="259" w:bottom="0" w:gutter="0" w:footer="0" w:header="0"/>
        </w:sectPr>
      </w:pPr>
    </w:p>
    <w:bookmarkStart w:id="33" w:name="page34"/>
    <w:bookmarkEnd w:id="33"/>
    <w:p>
      <w:pPr>
        <w:ind w:left="660"/>
        <w:spacing w:after="0"/>
        <w:tabs>
          <w:tab w:leader="none" w:pos="1940" w:val="left"/>
        </w:tabs>
        <w:rPr>
          <w:sz w:val="20"/>
          <w:szCs w:val="20"/>
          <w:color w:val="auto"/>
        </w:rPr>
      </w:pPr>
      <w:r>
        <w:rPr>
          <w:rFonts w:ascii="Arial" w:cs="Arial" w:eastAsia="Arial" w:hAnsi="Arial"/>
          <w:sz w:val="18"/>
          <w:szCs w:val="18"/>
          <w:color w:val="auto"/>
        </w:rPr>
        <w:t>Section 3.2</w:t>
      </w:r>
      <w:r>
        <w:rPr>
          <w:sz w:val="20"/>
          <w:szCs w:val="20"/>
          <w:color w:val="auto"/>
        </w:rPr>
        <w:tab/>
      </w:r>
      <w:r>
        <w:rPr>
          <w:rFonts w:ascii="Arial" w:cs="Arial" w:eastAsia="Arial" w:hAnsi="Arial"/>
          <w:sz w:val="16"/>
          <w:szCs w:val="16"/>
          <w:u w:val="single" w:color="auto"/>
          <w:color w:val="auto"/>
        </w:rPr>
        <w:t>Selection of Securities to be Redeemed</w:t>
      </w:r>
      <w:r>
        <w:rPr>
          <w:rFonts w:ascii="Arial" w:cs="Arial" w:eastAsia="Arial" w:hAnsi="Arial"/>
          <w:sz w:val="16"/>
          <w:szCs w:val="16"/>
          <w:color w:val="auto"/>
        </w:rPr>
        <w:t>.</w:t>
      </w:r>
    </w:p>
    <w:p>
      <w:pPr>
        <w:spacing w:after="0" w:line="225" w:lineRule="exact"/>
        <w:rPr>
          <w:sz w:val="20"/>
          <w:szCs w:val="20"/>
          <w:color w:val="auto"/>
        </w:rPr>
      </w:pPr>
    </w:p>
    <w:p>
      <w:pPr>
        <w:jc w:val="both"/>
        <w:ind w:right="20" w:firstLine="881"/>
        <w:spacing w:after="0" w:line="286" w:lineRule="auto"/>
        <w:rPr>
          <w:sz w:val="20"/>
          <w:szCs w:val="20"/>
          <w:color w:val="auto"/>
        </w:rPr>
      </w:pPr>
      <w:r>
        <w:rPr>
          <w:rFonts w:ascii="Arial" w:cs="Arial" w:eastAsia="Arial" w:hAnsi="Arial"/>
          <w:sz w:val="16"/>
          <w:szCs w:val="16"/>
          <w:color w:val="auto"/>
        </w:rPr>
        <w:t>Unless otherwise indicated for a particular Series by a Board Resolution, a supplemental indenture hereto or an Officer’s Certificate, if less than all the Securities of a Series are to be redeemed, the Securities of the Series to be redeemed will be selected as follows: (a) if the Securities are in the form of Global Securities, in accordance with the procedures of the Depositary, (b) if the Securities are listed on any national securities exchange, in compliance with the requirements of the principal national securities exchange, if any, on which the Securities are listed, or (c) if not otherwise provided for under clause (a) or</w:t>
      </w:r>
    </w:p>
    <w:p>
      <w:pPr>
        <w:spacing w:after="0" w:line="2" w:lineRule="exact"/>
        <w:rPr>
          <w:sz w:val="20"/>
          <w:szCs w:val="20"/>
          <w:color w:val="auto"/>
        </w:rPr>
      </w:pPr>
    </w:p>
    <w:p>
      <w:pPr>
        <w:ind w:firstLine="8"/>
        <w:spacing w:after="0" w:line="269" w:lineRule="auto"/>
        <w:tabs>
          <w:tab w:leader="none" w:pos="255"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 the manner that the Trustee deems fair and appropriate, including by lot or other method, unless otherwise required by law or applicable stock exchange requirements, subject, in the case of Global Securities, to the applicable rules and procedures of the Depositary. The Securities to be redeemed shall be selected from Securities of the Series outstanding not previously called for redemption. Portions of the principal of Securities of the Series that have denominations larger than $1,000 may be selected for redemption. Securities of the Series and portions of them it selected for redemption shall be in amounts of $1,000 or whole multiples of $1,000 or, with respect to Securities of any Series issuable in other denominations pursuant to Section 2.2.10, the minimum principal denomination for each Series and the authorized integral multiples thereof. Provisions of this Indenture that apply to Securities of a Series called for redemption also apply to portions of Securities of that Series called for redemption.</w:t>
      </w:r>
    </w:p>
    <w:p>
      <w:pPr>
        <w:spacing w:after="0" w:line="18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3.3</w:t>
      </w:r>
      <w:r>
        <w:rPr>
          <w:sz w:val="20"/>
          <w:szCs w:val="20"/>
          <w:color w:val="auto"/>
        </w:rPr>
        <w:tab/>
      </w:r>
      <w:r>
        <w:rPr>
          <w:rFonts w:ascii="Arial" w:cs="Arial" w:eastAsia="Arial" w:hAnsi="Arial"/>
          <w:sz w:val="16"/>
          <w:szCs w:val="16"/>
          <w:u w:val="single" w:color="auto"/>
          <w:color w:val="auto"/>
        </w:rPr>
        <w:t>Notice of Redemption</w:t>
      </w:r>
      <w:r>
        <w:rPr>
          <w:rFonts w:ascii="Arial" w:cs="Arial" w:eastAsia="Arial" w:hAnsi="Arial"/>
          <w:sz w:val="16"/>
          <w:szCs w:val="16"/>
          <w:color w:val="auto"/>
        </w:rPr>
        <w:t>.</w:t>
      </w:r>
    </w:p>
    <w:p>
      <w:pPr>
        <w:spacing w:after="0" w:line="225" w:lineRule="exact"/>
        <w:rPr>
          <w:sz w:val="20"/>
          <w:szCs w:val="20"/>
          <w:color w:val="auto"/>
        </w:rPr>
      </w:pPr>
    </w:p>
    <w:p>
      <w:pPr>
        <w:ind w:right="120" w:firstLine="881"/>
        <w:spacing w:after="0" w:line="286" w:lineRule="auto"/>
        <w:rPr>
          <w:sz w:val="20"/>
          <w:szCs w:val="20"/>
          <w:color w:val="auto"/>
        </w:rPr>
      </w:pPr>
      <w:r>
        <w:rPr>
          <w:rFonts w:ascii="Arial" w:cs="Arial" w:eastAsia="Arial" w:hAnsi="Arial"/>
          <w:sz w:val="17"/>
          <w:szCs w:val="17"/>
          <w:color w:val="auto"/>
        </w:rPr>
        <w:t>Unless otherwise indicated for a particular Series by Board Resolution, a supplemental indenture hereto or an Officer’s Certificate, at least 15 days but not more than 60 days before a redemption date, the Company shall send or cause to be sent by first-class mail or electronically, in accordance with the procedures of the Depositary, a notice of redemption to each Holder whose Securities are to be redeemed.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notice shall identify the Securities of the Series to be redeemed and shall state:</w:t>
      </w:r>
    </w:p>
    <w:p>
      <w:pPr>
        <w:spacing w:after="0" w:line="225" w:lineRule="exact"/>
        <w:rPr>
          <w:sz w:val="20"/>
          <w:szCs w:val="20"/>
          <w:color w:val="auto"/>
        </w:rPr>
      </w:pPr>
    </w:p>
    <w:p>
      <w:pPr>
        <w:ind w:left="1940" w:hanging="635"/>
        <w:spacing w:after="0"/>
        <w:tabs>
          <w:tab w:leader="none" w:pos="19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redemption price;</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name and address of the Paying Agent;</w:t>
      </w:r>
    </w:p>
    <w:p>
      <w:pPr>
        <w:spacing w:after="0" w:line="225" w:lineRule="exact"/>
        <w:rPr>
          <w:rFonts w:ascii="Arial" w:cs="Arial" w:eastAsia="Arial" w:hAnsi="Arial"/>
          <w:sz w:val="18"/>
          <w:szCs w:val="18"/>
          <w:color w:val="auto"/>
        </w:rPr>
      </w:pPr>
    </w:p>
    <w:p>
      <w:pPr>
        <w:ind w:right="200" w:firstLine="1305"/>
        <w:spacing w:after="0" w:line="264" w:lineRule="auto"/>
        <w:tabs>
          <w:tab w:leader="none" w:pos="1952"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any Securities are being redeemed in part, the portion of the principal amount of such Securities to be redeemed and that, after the redemption date and upon surrender of such Security, a new Security or Securities in principal amount equal to the unredeemed portion of the original Security shall be issued in the name of the Holder thereof upon cancellation of the original Security;</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that Securities of the Series called for redemption must be surrendered to the Paying Agent to collect the redemption price;</w:t>
      </w:r>
    </w:p>
    <w:p>
      <w:pPr>
        <w:spacing w:after="0" w:line="236" w:lineRule="exact"/>
        <w:rPr>
          <w:rFonts w:ascii="Arial" w:cs="Arial" w:eastAsia="Arial" w:hAnsi="Arial"/>
          <w:sz w:val="17"/>
          <w:szCs w:val="17"/>
          <w:color w:val="auto"/>
        </w:rPr>
      </w:pPr>
    </w:p>
    <w:p>
      <w:pPr>
        <w:ind w:firstLine="1305"/>
        <w:spacing w:after="0" w:line="277" w:lineRule="auto"/>
        <w:tabs>
          <w:tab w:leader="none" w:pos="1949"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that interest on Securities of the Series called for redemption ceases to accrue on and after the redemption date unless the Company defaults in the deposit of the redemption price;</w:t>
      </w:r>
    </w:p>
    <w:p>
      <w:pPr>
        <w:spacing w:after="0" w:line="170" w:lineRule="exact"/>
        <w:rPr>
          <w:rFonts w:ascii="Arial" w:cs="Arial" w:eastAsia="Arial" w:hAnsi="Arial"/>
          <w:sz w:val="18"/>
          <w:szCs w:val="18"/>
          <w:color w:val="auto"/>
        </w:rPr>
      </w:pPr>
    </w:p>
    <w:p>
      <w:pPr>
        <w:ind w:left="1980" w:hanging="675"/>
        <w:spacing w:after="0"/>
        <w:tabs>
          <w:tab w:leader="none" w:pos="1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CUSIP number, if any; and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any other information as may be required by the terms of the particular Series or the Securities of a Series being redeemed.</w:t>
      </w:r>
    </w:p>
    <w:p>
      <w:pPr>
        <w:spacing w:after="0" w:line="237" w:lineRule="exact"/>
        <w:rPr>
          <w:sz w:val="20"/>
          <w:szCs w:val="20"/>
          <w:color w:val="auto"/>
        </w:rPr>
      </w:pPr>
    </w:p>
    <w:p>
      <w:pPr>
        <w:jc w:val="both"/>
        <w:ind w:right="60" w:firstLine="881"/>
        <w:spacing w:after="0" w:line="264" w:lineRule="auto"/>
        <w:rPr>
          <w:sz w:val="20"/>
          <w:szCs w:val="20"/>
          <w:color w:val="auto"/>
        </w:rPr>
      </w:pPr>
      <w:r>
        <w:rPr>
          <w:rFonts w:ascii="Arial" w:cs="Arial" w:eastAsia="Arial" w:hAnsi="Arial"/>
          <w:sz w:val="18"/>
          <w:szCs w:val="18"/>
          <w:color w:val="auto"/>
        </w:rPr>
        <w:t>At the Company’s request, the Trustee shall give the notice of redemption in the Company’s name and at its expense, provided, however, that the Company has delivered to the Trustee, at least 5 days (unless a shorter time shall be acceptable to the Trustee) prior to the notice date, an Officer’s Certificate requesting that the Trustee give such notice and setting forth the information to be stated in such notice.</w:t>
      </w:r>
    </w:p>
    <w:p>
      <w:pPr>
        <w:spacing w:after="0" w:line="18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3.4</w:t>
      </w:r>
      <w:r>
        <w:rPr>
          <w:sz w:val="20"/>
          <w:szCs w:val="20"/>
          <w:color w:val="auto"/>
        </w:rPr>
        <w:tab/>
      </w:r>
      <w:r>
        <w:rPr>
          <w:rFonts w:ascii="Arial" w:cs="Arial" w:eastAsia="Arial" w:hAnsi="Arial"/>
          <w:sz w:val="16"/>
          <w:szCs w:val="16"/>
          <w:u w:val="single" w:color="auto"/>
          <w:color w:val="auto"/>
        </w:rPr>
        <w:t>Effect of Notice of Redemption</w:t>
      </w:r>
      <w:r>
        <w:rPr>
          <w:rFonts w:ascii="Arial" w:cs="Arial" w:eastAsia="Arial" w:hAnsi="Arial"/>
          <w:sz w:val="16"/>
          <w:szCs w:val="16"/>
          <w:color w:val="auto"/>
        </w:rPr>
        <w:t>.</w:t>
      </w:r>
    </w:p>
    <w:p>
      <w:pPr>
        <w:spacing w:after="0" w:line="225" w:lineRule="exact"/>
        <w:rPr>
          <w:sz w:val="20"/>
          <w:szCs w:val="20"/>
          <w:color w:val="auto"/>
        </w:rPr>
      </w:pPr>
    </w:p>
    <w:p>
      <w:pPr>
        <w:ind w:right="20" w:firstLine="881"/>
        <w:spacing w:after="0" w:line="259" w:lineRule="auto"/>
        <w:rPr>
          <w:sz w:val="20"/>
          <w:szCs w:val="20"/>
          <w:color w:val="auto"/>
        </w:rPr>
      </w:pPr>
      <w:r>
        <w:rPr>
          <w:rFonts w:ascii="Arial" w:cs="Arial" w:eastAsia="Arial" w:hAnsi="Arial"/>
          <w:sz w:val="18"/>
          <w:szCs w:val="18"/>
          <w:color w:val="auto"/>
        </w:rPr>
        <w:t>Once notice of redemption is sent as provided in Section 3.3, Securities of a Series called for redemption become due and payable on the redemption date and at the redemption price. Except as otherwise provided in the supplemental indenture, Board Resolution or Officer’s Certificate for a Series, a notice of redemption may not be conditional. Upon surrender to the Paying Agent, such Securities shall be paid at the redemption price plus accrued interest to the redemption date.</w:t>
      </w:r>
    </w:p>
    <w:p>
      <w:pPr>
        <w:spacing w:after="0" w:line="18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3.5</w:t>
      </w:r>
      <w:r>
        <w:rPr>
          <w:sz w:val="20"/>
          <w:szCs w:val="20"/>
          <w:color w:val="auto"/>
        </w:rPr>
        <w:tab/>
      </w:r>
      <w:r>
        <w:rPr>
          <w:rFonts w:ascii="Arial" w:cs="Arial" w:eastAsia="Arial" w:hAnsi="Arial"/>
          <w:sz w:val="16"/>
          <w:szCs w:val="16"/>
          <w:u w:val="single" w:color="auto"/>
          <w:color w:val="auto"/>
        </w:rPr>
        <w:t>Deposit of Redemption Price</w:t>
      </w:r>
      <w:r>
        <w:rPr>
          <w:rFonts w:ascii="Arial" w:cs="Arial" w:eastAsia="Arial" w:hAnsi="Arial"/>
          <w:sz w:val="16"/>
          <w:szCs w:val="16"/>
          <w:color w:val="auto"/>
        </w:rPr>
        <w:t>.</w:t>
      </w:r>
    </w:p>
    <w:p>
      <w:pPr>
        <w:spacing w:after="0" w:line="225" w:lineRule="exact"/>
        <w:rPr>
          <w:sz w:val="20"/>
          <w:szCs w:val="20"/>
          <w:color w:val="auto"/>
        </w:rPr>
      </w:pPr>
    </w:p>
    <w:p>
      <w:pPr>
        <w:ind w:right="440" w:firstLine="881"/>
        <w:spacing w:after="0" w:line="342" w:lineRule="auto"/>
        <w:rPr>
          <w:sz w:val="20"/>
          <w:szCs w:val="20"/>
          <w:color w:val="auto"/>
        </w:rPr>
      </w:pPr>
      <w:r>
        <w:rPr>
          <w:rFonts w:ascii="Arial" w:cs="Arial" w:eastAsia="Arial" w:hAnsi="Arial"/>
          <w:sz w:val="16"/>
          <w:szCs w:val="16"/>
          <w:color w:val="auto"/>
        </w:rPr>
        <w:t>On or before 11:00 a.m., New York City time, on the redemption date, the Company shall irrevocably deposit with the Paying Agent money sufficient (as determined by the Company) to pay the redemption price of and accrued interest, if any, on all Securities to be redeemed on that date.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3.6</w:t>
      </w:r>
      <w:r>
        <w:rPr>
          <w:sz w:val="20"/>
          <w:szCs w:val="20"/>
          <w:color w:val="auto"/>
        </w:rPr>
        <w:tab/>
      </w:r>
      <w:r>
        <w:rPr>
          <w:rFonts w:ascii="Arial" w:cs="Arial" w:eastAsia="Arial" w:hAnsi="Arial"/>
          <w:sz w:val="15"/>
          <w:szCs w:val="15"/>
          <w:u w:val="single" w:color="auto"/>
          <w:color w:val="auto"/>
        </w:rPr>
        <w:t>Securities Redeemed in Part</w:t>
      </w:r>
      <w:r>
        <w:rPr>
          <w:rFonts w:ascii="Arial" w:cs="Arial" w:eastAsia="Arial" w:hAnsi="Arial"/>
          <w:sz w:val="15"/>
          <w:szCs w:val="15"/>
          <w:color w:val="auto"/>
        </w:rPr>
        <w:t>.</w:t>
      </w:r>
    </w:p>
    <w:p>
      <w:pPr>
        <w:spacing w:after="0" w:line="225" w:lineRule="exact"/>
        <w:rPr>
          <w:sz w:val="20"/>
          <w:szCs w:val="20"/>
          <w:color w:val="auto"/>
        </w:rPr>
      </w:pPr>
    </w:p>
    <w:p>
      <w:pPr>
        <w:ind w:right="400" w:firstLine="881"/>
        <w:spacing w:after="0" w:line="277" w:lineRule="auto"/>
        <w:rPr>
          <w:sz w:val="20"/>
          <w:szCs w:val="20"/>
          <w:color w:val="auto"/>
        </w:rPr>
      </w:pPr>
      <w:r>
        <w:rPr>
          <w:rFonts w:ascii="Arial" w:cs="Arial" w:eastAsia="Arial" w:hAnsi="Arial"/>
          <w:sz w:val="18"/>
          <w:szCs w:val="18"/>
          <w:color w:val="auto"/>
        </w:rPr>
        <w:t>Upon surrender of a Security that is redeemed in part, the Trustee shall authenticate for the Holder a new Security of the same Series and the same maturity equal in principal amount to the unredeemed portion of the Security surrendered.</w:t>
      </w:r>
    </w:p>
    <w:p>
      <w:pPr>
        <w:spacing w:after="0" w:line="166"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COVENANTS</w:t>
      </w:r>
    </w:p>
    <w:p>
      <w:pPr>
        <w:spacing w:after="0" w:line="21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4.1</w:t>
      </w:r>
      <w:r>
        <w:rPr>
          <w:sz w:val="20"/>
          <w:szCs w:val="20"/>
          <w:color w:val="auto"/>
        </w:rPr>
        <w:tab/>
      </w:r>
      <w:r>
        <w:rPr>
          <w:rFonts w:ascii="Arial" w:cs="Arial" w:eastAsia="Arial" w:hAnsi="Arial"/>
          <w:sz w:val="16"/>
          <w:szCs w:val="16"/>
          <w:u w:val="single" w:color="auto"/>
          <w:color w:val="auto"/>
        </w:rPr>
        <w:t>Payment of Principal and Interest</w:t>
      </w:r>
      <w:r>
        <w:rPr>
          <w:rFonts w:ascii="Arial" w:cs="Arial" w:eastAsia="Arial" w:hAnsi="Arial"/>
          <w:sz w:val="16"/>
          <w:szCs w:val="16"/>
          <w:color w:val="auto"/>
        </w:rPr>
        <w:t>.</w:t>
      </w:r>
    </w:p>
    <w:p>
      <w:pPr>
        <w:sectPr>
          <w:pgSz w:w="11900" w:h="16838" w:orient="portrait"/>
          <w:cols w:equalWidth="0" w:num="1">
            <w:col w:w="11400"/>
          </w:cols>
          <w:pgMar w:left="240" w:top="341" w:right="259" w:bottom="59" w:gutter="0" w:footer="0" w:header="0"/>
        </w:sectPr>
      </w:pPr>
    </w:p>
    <w:bookmarkStart w:id="34" w:name="page35"/>
    <w:bookmarkEnd w:id="34"/>
    <w:p>
      <w:pPr>
        <w:spacing w:after="0" w:line="36" w:lineRule="exact"/>
        <w:rPr>
          <w:sz w:val="20"/>
          <w:szCs w:val="20"/>
          <w:color w:val="auto"/>
        </w:rPr>
      </w:pPr>
    </w:p>
    <w:p>
      <w:pPr>
        <w:ind w:right="60" w:firstLine="881"/>
        <w:spacing w:after="0" w:line="259" w:lineRule="auto"/>
        <w:rPr>
          <w:sz w:val="20"/>
          <w:szCs w:val="20"/>
          <w:color w:val="auto"/>
        </w:rPr>
      </w:pPr>
      <w:r>
        <w:rPr>
          <w:rFonts w:ascii="Arial" w:cs="Arial" w:eastAsia="Arial" w:hAnsi="Arial"/>
          <w:sz w:val="18"/>
          <w:szCs w:val="18"/>
          <w:color w:val="auto"/>
        </w:rPr>
        <w:t>The Company covenants and agrees for the benefit of the Holders of each Series of Securities that it will duly and punctually pay the principal of and interest, if any, on the Securities of that Series in accordance with the terms of such Securities and this Indenture. On or before 11:00 a.m., New York City time, on the applicable payment date, the Company shall deposit with the Paying Agent money sufficient to pay the principal of and interest, if any, on the Securities of each Series in accordance with the terms of such Securities and this Indenture.</w:t>
      </w:r>
    </w:p>
    <w:p>
      <w:pPr>
        <w:spacing w:after="0" w:line="18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4.2</w:t>
      </w:r>
      <w:r>
        <w:rPr>
          <w:sz w:val="20"/>
          <w:szCs w:val="20"/>
          <w:color w:val="auto"/>
        </w:rPr>
        <w:tab/>
      </w:r>
      <w:r>
        <w:rPr>
          <w:rFonts w:ascii="Arial" w:cs="Arial" w:eastAsia="Arial" w:hAnsi="Arial"/>
          <w:sz w:val="16"/>
          <w:szCs w:val="16"/>
          <w:u w:val="single" w:color="auto"/>
          <w:color w:val="auto"/>
        </w:rPr>
        <w:t>SEC Reports</w:t>
      </w:r>
      <w:r>
        <w:rPr>
          <w:rFonts w:ascii="Arial" w:cs="Arial" w:eastAsia="Arial" w:hAnsi="Arial"/>
          <w:sz w:val="16"/>
          <w:szCs w:val="16"/>
          <w:color w:val="auto"/>
        </w:rPr>
        <w:t>.</w:t>
      </w:r>
    </w:p>
    <w:p>
      <w:pPr>
        <w:spacing w:after="0" w:line="225" w:lineRule="exact"/>
        <w:rPr>
          <w:sz w:val="20"/>
          <w:szCs w:val="20"/>
          <w:color w:val="auto"/>
        </w:rPr>
      </w:pPr>
    </w:p>
    <w:p>
      <w:pPr>
        <w:ind w:right="40" w:firstLine="881"/>
        <w:spacing w:after="0" w:line="297" w:lineRule="auto"/>
        <w:rPr>
          <w:sz w:val="20"/>
          <w:szCs w:val="20"/>
          <w:color w:val="auto"/>
        </w:rPr>
      </w:pPr>
      <w:r>
        <w:rPr>
          <w:rFonts w:ascii="Arial" w:cs="Arial" w:eastAsia="Arial" w:hAnsi="Arial"/>
          <w:sz w:val="16"/>
          <w:szCs w:val="16"/>
          <w:color w:val="auto"/>
        </w:rPr>
        <w:t>To the extent any Securities of a Series are outstanding, the Company shall deliver to the Trustee within 15 days after it files them with the SEC copies of the annual reports and of the information, documents, and other reports (or copies of such portions of any of the foregoing as the SEC may by rules and regulations prescribe) which the Company is required to file with the SEC pursuant to Section 13 or 15(d) of the Exchange Act. The Company also shall comply with the other provisions of TIA § 314(a). Reports, information and documents filed with the SEC via the EDGAR system (or any successor system thereto) will be deemed to be delivered to the Trustee as of the time of such filing via EDGAR for purposes of this Section 4.2.</w:t>
      </w:r>
    </w:p>
    <w:p>
      <w:pPr>
        <w:spacing w:after="0" w:line="158" w:lineRule="exact"/>
        <w:rPr>
          <w:sz w:val="20"/>
          <w:szCs w:val="20"/>
          <w:color w:val="auto"/>
        </w:rPr>
      </w:pPr>
    </w:p>
    <w:p>
      <w:pPr>
        <w:ind w:right="40" w:firstLine="881"/>
        <w:spacing w:after="0" w:line="312" w:lineRule="auto"/>
        <w:rPr>
          <w:sz w:val="20"/>
          <w:szCs w:val="20"/>
          <w:color w:val="auto"/>
        </w:rPr>
      </w:pPr>
      <w:r>
        <w:rPr>
          <w:rFonts w:ascii="Arial" w:cs="Arial" w:eastAsia="Arial" w:hAnsi="Arial"/>
          <w:sz w:val="16"/>
          <w:szCs w:val="16"/>
          <w:color w:val="auto"/>
        </w:rPr>
        <w:t>Delivery of reports, information and documents to the Trustee under this Section 4.2 are for informational purposes only and the Trustee’s receipt of the foregoing shall not constitute constructive or actual notice of any information contained therein or determinable from information contained therein, including the Company’s compliance with any of their covenants hereunder (as to which the Trustee is entitled to rely exclusively on Officer’s Certificates).</w:t>
      </w:r>
    </w:p>
    <w:p>
      <w:pPr>
        <w:spacing w:after="0" w:line="14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4.3</w:t>
      </w:r>
      <w:r>
        <w:rPr>
          <w:sz w:val="20"/>
          <w:szCs w:val="20"/>
          <w:color w:val="auto"/>
        </w:rPr>
        <w:tab/>
      </w:r>
      <w:r>
        <w:rPr>
          <w:rFonts w:ascii="Arial" w:cs="Arial" w:eastAsia="Arial" w:hAnsi="Arial"/>
          <w:sz w:val="16"/>
          <w:szCs w:val="16"/>
          <w:u w:val="single" w:color="auto"/>
          <w:color w:val="auto"/>
        </w:rPr>
        <w:t>Compliance Certificate</w:t>
      </w:r>
      <w:r>
        <w:rPr>
          <w:rFonts w:ascii="Arial" w:cs="Arial" w:eastAsia="Arial" w:hAnsi="Arial"/>
          <w:sz w:val="16"/>
          <w:szCs w:val="16"/>
          <w:color w:val="auto"/>
        </w:rPr>
        <w:t>.</w:t>
      </w:r>
    </w:p>
    <w:p>
      <w:pPr>
        <w:spacing w:after="0" w:line="225" w:lineRule="exact"/>
        <w:rPr>
          <w:sz w:val="20"/>
          <w:szCs w:val="20"/>
          <w:color w:val="auto"/>
        </w:rPr>
      </w:pPr>
    </w:p>
    <w:p>
      <w:pPr>
        <w:ind w:firstLine="881"/>
        <w:spacing w:after="0" w:line="255" w:lineRule="auto"/>
        <w:rPr>
          <w:sz w:val="20"/>
          <w:szCs w:val="20"/>
          <w:color w:val="auto"/>
        </w:rPr>
      </w:pPr>
      <w:r>
        <w:rPr>
          <w:rFonts w:ascii="Arial" w:cs="Arial" w:eastAsia="Arial" w:hAnsi="Arial"/>
          <w:sz w:val="18"/>
          <w:szCs w:val="18"/>
          <w:color w:val="auto"/>
        </w:rPr>
        <w:t>To the extent any Securities of a Series are outstanding, the Company shall deliver to the Trustee, within 120 days after the end of each fiscal year of the Company, an Officer’s Certificate stating that a review of the activities of the Company and its Subsidiaries during the preceding fiscal year has been made under the supervision of the signing Officers with a view to determining whether the Company has kept, observed, performed and fulfilled its obligations under this Indenture, and further stating, as to each such Officer signing such certificate, that to the best of his/her knowledge the Company has kept, observed, performed and fulfilled each and every covenant contained in this Indenture and is not in default in the performance or observance of any of the terms, provisions and conditions hereof (or, if a Default or Event of Default shall have occurred, describing all such Defaults or Events of Default of which the Officer may have knowledge).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4.4</w:t>
      </w:r>
      <w:r>
        <w:rPr>
          <w:sz w:val="20"/>
          <w:szCs w:val="20"/>
          <w:color w:val="auto"/>
        </w:rPr>
        <w:tab/>
      </w:r>
      <w:r>
        <w:rPr>
          <w:rFonts w:ascii="Arial" w:cs="Arial" w:eastAsia="Arial" w:hAnsi="Arial"/>
          <w:sz w:val="16"/>
          <w:szCs w:val="16"/>
          <w:u w:val="single" w:color="auto"/>
          <w:color w:val="auto"/>
        </w:rPr>
        <w:t>Stay, Extension and Usury Laws</w:t>
      </w:r>
      <w:r>
        <w:rPr>
          <w:rFonts w:ascii="Arial" w:cs="Arial" w:eastAsia="Arial" w:hAnsi="Arial"/>
          <w:sz w:val="16"/>
          <w:szCs w:val="16"/>
          <w:color w:val="auto"/>
        </w:rPr>
        <w:t>.</w:t>
      </w:r>
    </w:p>
    <w:p>
      <w:pPr>
        <w:spacing w:after="0" w:line="225" w:lineRule="exact"/>
        <w:rPr>
          <w:sz w:val="20"/>
          <w:szCs w:val="20"/>
          <w:color w:val="auto"/>
        </w:rPr>
      </w:pPr>
    </w:p>
    <w:p>
      <w:pPr>
        <w:ind w:right="40" w:firstLine="881"/>
        <w:spacing w:after="0" w:line="276" w:lineRule="auto"/>
        <w:rPr>
          <w:sz w:val="20"/>
          <w:szCs w:val="20"/>
          <w:color w:val="auto"/>
        </w:rPr>
      </w:pPr>
      <w:r>
        <w:rPr>
          <w:rFonts w:ascii="Arial" w:cs="Arial" w:eastAsia="Arial" w:hAnsi="Arial"/>
          <w:sz w:val="17"/>
          <w:szCs w:val="17"/>
          <w:color w:val="auto"/>
        </w:rPr>
        <w:t>The Company covenants (to the extent that it may lawfully do so) that it will not at any time insist upon, plead, or in any manner whatsoever claim or take the benefit or advantage of, any stay, extension or usury law wherever enacted, now or at any time hereafter in force, which may affect the covenants or the performance of this Indenture or the Securities; and the Company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has been enacted.</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SUCCESSORS</w:t>
      </w:r>
    </w:p>
    <w:p>
      <w:pPr>
        <w:spacing w:after="0" w:line="21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5.1</w:t>
      </w:r>
      <w:r>
        <w:rPr>
          <w:sz w:val="20"/>
          <w:szCs w:val="20"/>
          <w:color w:val="auto"/>
        </w:rPr>
        <w:tab/>
      </w:r>
      <w:r>
        <w:rPr>
          <w:rFonts w:ascii="Arial" w:cs="Arial" w:eastAsia="Arial" w:hAnsi="Arial"/>
          <w:sz w:val="16"/>
          <w:szCs w:val="16"/>
          <w:u w:val="single" w:color="auto"/>
          <w:color w:val="auto"/>
        </w:rPr>
        <w:t>When Company May Merge, Etc</w:t>
      </w:r>
      <w:r>
        <w:rPr>
          <w:rFonts w:ascii="Arial" w:cs="Arial" w:eastAsia="Arial" w:hAnsi="Arial"/>
          <w:sz w:val="16"/>
          <w:szCs w:val="16"/>
          <w:color w:val="auto"/>
        </w:rPr>
        <w:t>.</w:t>
      </w:r>
    </w:p>
    <w:p>
      <w:pPr>
        <w:spacing w:after="0" w:line="225" w:lineRule="exact"/>
        <w:rPr>
          <w:sz w:val="20"/>
          <w:szCs w:val="20"/>
          <w:color w:val="auto"/>
        </w:rPr>
      </w:pPr>
    </w:p>
    <w:p>
      <w:pPr>
        <w:ind w:right="220" w:firstLine="881"/>
        <w:spacing w:after="0" w:line="277" w:lineRule="auto"/>
        <w:rPr>
          <w:sz w:val="20"/>
          <w:szCs w:val="20"/>
          <w:color w:val="auto"/>
        </w:rPr>
      </w:pPr>
      <w:r>
        <w:rPr>
          <w:rFonts w:ascii="Arial" w:cs="Arial" w:eastAsia="Arial" w:hAnsi="Arial"/>
          <w:sz w:val="18"/>
          <w:szCs w:val="18"/>
          <w:color w:val="auto"/>
        </w:rPr>
        <w:t>The Company shall not consolidate with or merge with or into, or convey, transfer or lease all or substantially all of its properties and assets to, any person (a “</w:t>
      </w:r>
      <w:r>
        <w:rPr>
          <w:rFonts w:ascii="Arial" w:cs="Arial" w:eastAsia="Arial" w:hAnsi="Arial"/>
          <w:sz w:val="18"/>
          <w:szCs w:val="18"/>
          <w:i w:val="1"/>
          <w:iCs w:val="1"/>
          <w:color w:val="auto"/>
        </w:rPr>
        <w:t>successor person</w:t>
      </w:r>
      <w:r>
        <w:rPr>
          <w:rFonts w:ascii="Arial" w:cs="Arial" w:eastAsia="Arial" w:hAnsi="Arial"/>
          <w:sz w:val="18"/>
          <w:szCs w:val="18"/>
          <w:color w:val="auto"/>
        </w:rPr>
        <w:t>”) unless:</w:t>
      </w:r>
    </w:p>
    <w:p>
      <w:pPr>
        <w:spacing w:after="0" w:line="170" w:lineRule="exact"/>
        <w:rPr>
          <w:sz w:val="20"/>
          <w:szCs w:val="20"/>
          <w:color w:val="auto"/>
        </w:rPr>
      </w:pPr>
    </w:p>
    <w:p>
      <w:pPr>
        <w:ind w:right="140" w:firstLine="1305"/>
        <w:spacing w:after="0" w:line="264" w:lineRule="auto"/>
        <w:tabs>
          <w:tab w:leader="none" w:pos="1942"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Company is the surviving corporation or the successor person (if other than the Company) is a corporation organized and validly existing under the laws of any U.S. domestic jurisdiction and expressly assumes, by a supplemental indenture, executed and delivered to the Trustee, the Company’s obligations on the Securities and under this Indenture; and</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immediately after giving effect to the transaction, no Default or Event of Default, shall have occurred and be continuing.</w:t>
      </w:r>
    </w:p>
    <w:p>
      <w:pPr>
        <w:spacing w:after="0" w:line="237" w:lineRule="exact"/>
        <w:rPr>
          <w:sz w:val="20"/>
          <w:szCs w:val="20"/>
          <w:color w:val="auto"/>
        </w:rPr>
      </w:pPr>
    </w:p>
    <w:p>
      <w:pPr>
        <w:ind w:right="280" w:firstLine="881"/>
        <w:spacing w:after="0" w:line="264" w:lineRule="auto"/>
        <w:rPr>
          <w:sz w:val="20"/>
          <w:szCs w:val="20"/>
          <w:color w:val="auto"/>
        </w:rPr>
      </w:pPr>
      <w:r>
        <w:rPr>
          <w:rFonts w:ascii="Arial" w:cs="Arial" w:eastAsia="Arial" w:hAnsi="Arial"/>
          <w:sz w:val="18"/>
          <w:szCs w:val="18"/>
          <w:color w:val="auto"/>
        </w:rPr>
        <w:t>Where the Company is not the surviving corporation, the Company shall deliver to the Trustee prior to the consummation of the proposed transaction an Officer’s Certificate to the foregoing effect and an Opinion of Counsel stating that the proposed transaction and any supplemental indenture comply with this Indenture.</w:t>
      </w:r>
    </w:p>
    <w:p>
      <w:pPr>
        <w:spacing w:after="0" w:line="181" w:lineRule="exact"/>
        <w:rPr>
          <w:sz w:val="20"/>
          <w:szCs w:val="20"/>
          <w:color w:val="auto"/>
        </w:rPr>
      </w:pPr>
    </w:p>
    <w:p>
      <w:pPr>
        <w:ind w:right="600" w:firstLine="881"/>
        <w:spacing w:after="0" w:line="308" w:lineRule="auto"/>
        <w:rPr>
          <w:sz w:val="20"/>
          <w:szCs w:val="20"/>
          <w:color w:val="auto"/>
        </w:rPr>
      </w:pPr>
      <w:r>
        <w:rPr>
          <w:rFonts w:ascii="Arial" w:cs="Arial" w:eastAsia="Arial" w:hAnsi="Arial"/>
          <w:sz w:val="17"/>
          <w:szCs w:val="17"/>
          <w:color w:val="auto"/>
        </w:rPr>
        <w:t>Notwithstanding the above, any Subsidiary of the Company may consolidate with, merge into or transfer all or part of its properties to the Company. Neither an Officer’s Certificate nor an Opinion of Counsel shall be required to be delivered in connection therewith.</w:t>
      </w:r>
    </w:p>
    <w:p>
      <w:pPr>
        <w:spacing w:after="0" w:line="14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5.2</w:t>
      </w:r>
      <w:r>
        <w:rPr>
          <w:sz w:val="20"/>
          <w:szCs w:val="20"/>
          <w:color w:val="auto"/>
        </w:rPr>
        <w:tab/>
      </w:r>
      <w:r>
        <w:rPr>
          <w:rFonts w:ascii="Arial" w:cs="Arial" w:eastAsia="Arial" w:hAnsi="Arial"/>
          <w:sz w:val="16"/>
          <w:szCs w:val="16"/>
          <w:u w:val="single" w:color="auto"/>
          <w:color w:val="auto"/>
        </w:rPr>
        <w:t>Successor Corporation Substituted</w:t>
      </w:r>
      <w:r>
        <w:rPr>
          <w:rFonts w:ascii="Arial" w:cs="Arial" w:eastAsia="Arial" w:hAnsi="Arial"/>
          <w:sz w:val="16"/>
          <w:szCs w:val="16"/>
          <w:color w:val="auto"/>
        </w:rPr>
        <w:t>.</w:t>
      </w:r>
    </w:p>
    <w:p>
      <w:pPr>
        <w:spacing w:after="0" w:line="225" w:lineRule="exact"/>
        <w:rPr>
          <w:sz w:val="20"/>
          <w:szCs w:val="20"/>
          <w:color w:val="auto"/>
        </w:rPr>
      </w:pPr>
    </w:p>
    <w:p>
      <w:pPr>
        <w:ind w:firstLine="881"/>
        <w:spacing w:after="0" w:line="297" w:lineRule="auto"/>
        <w:rPr>
          <w:sz w:val="20"/>
          <w:szCs w:val="20"/>
          <w:color w:val="auto"/>
        </w:rPr>
      </w:pPr>
      <w:r>
        <w:rPr>
          <w:rFonts w:ascii="Arial" w:cs="Arial" w:eastAsia="Arial" w:hAnsi="Arial"/>
          <w:sz w:val="16"/>
          <w:szCs w:val="16"/>
          <w:color w:val="auto"/>
        </w:rPr>
        <w:t xml:space="preserve">Upon any consolidation or merger, or any sale, lease, conveyance or other disposition of all or substantially all of the assets of the Company in accordance with Section 5.1, the successor corporation formed by such consolidation or into or with which the Company is merged or to which such sale, lease, conveyance or other disposition is made shall succeed to, and be substituted for, and may exercise every right and power of, the Company under this Indenture with the same effect as if such successor person has been named as the Company herein;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predecessor Company in the case of a sale, conveyance or other disposition (other than a lease) shall be released from all obligations and covenants under this Indenture and the Securities.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DEFAULTS AND REMEDIES</w:t>
      </w:r>
    </w:p>
    <w:p>
      <w:pPr>
        <w:spacing w:after="0" w:line="21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6.1</w:t>
      </w:r>
      <w:r>
        <w:rPr>
          <w:sz w:val="20"/>
          <w:szCs w:val="20"/>
          <w:color w:val="auto"/>
        </w:rPr>
        <w:tab/>
      </w:r>
      <w:r>
        <w:rPr>
          <w:rFonts w:ascii="Arial" w:cs="Arial" w:eastAsia="Arial" w:hAnsi="Arial"/>
          <w:sz w:val="16"/>
          <w:szCs w:val="16"/>
          <w:u w:val="single" w:color="auto"/>
          <w:color w:val="auto"/>
        </w:rPr>
        <w:t>Events of Default</w:t>
      </w:r>
      <w:r>
        <w:rPr>
          <w:rFonts w:ascii="Arial" w:cs="Arial" w:eastAsia="Arial" w:hAnsi="Arial"/>
          <w:sz w:val="16"/>
          <w:szCs w:val="16"/>
          <w:color w:val="auto"/>
        </w:rPr>
        <w:t>.</w:t>
      </w:r>
    </w:p>
    <w:p>
      <w:pPr>
        <w:sectPr>
          <w:pgSz w:w="11900" w:h="16874" w:orient="portrait"/>
          <w:cols w:equalWidth="0" w:num="1">
            <w:col w:w="11400"/>
          </w:cols>
          <w:pgMar w:left="240" w:top="125" w:right="259" w:bottom="0" w:gutter="0" w:footer="0" w:header="0"/>
        </w:sectPr>
      </w:pPr>
    </w:p>
    <w:bookmarkStart w:id="35" w:name="page36"/>
    <w:bookmarkEnd w:id="35"/>
    <w:p>
      <w:pPr>
        <w:ind w:right="500" w:firstLine="88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Event of Default</w:t>
      </w:r>
      <w:r>
        <w:rPr>
          <w:rFonts w:ascii="Arial" w:cs="Arial" w:eastAsia="Arial" w:hAnsi="Arial"/>
          <w:sz w:val="18"/>
          <w:szCs w:val="18"/>
          <w:color w:val="auto"/>
        </w:rPr>
        <w:t>,” wherever used herein with respect to Securities of any Series, means any one of the following events, unless in the establishing Board Resolution, supplemental indenture or Officer’s Certificate, it is provided that such Series shall not have the benefit of said Event of Default:</w:t>
      </w:r>
    </w:p>
    <w:p>
      <w:pPr>
        <w:spacing w:after="0" w:line="181" w:lineRule="exact"/>
        <w:rPr>
          <w:sz w:val="20"/>
          <w:szCs w:val="20"/>
          <w:color w:val="auto"/>
        </w:rPr>
      </w:pPr>
    </w:p>
    <w:p>
      <w:pPr>
        <w:ind w:right="40" w:firstLine="1305"/>
        <w:spacing w:after="0" w:line="273" w:lineRule="auto"/>
        <w:tabs>
          <w:tab w:leader="none" w:pos="1942"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default in the payment of any interest on any Security of that Series when it becomes due and payable, and continuance of such default for a period of 30 days (unless the entire amount of such payment is deposited by the Company with the Trustee or with a Paying Agent prior to 11:00 a.m., New York City time, on the 30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of such period); or</w:t>
      </w:r>
    </w:p>
    <w:p>
      <w:pPr>
        <w:spacing w:after="0" w:line="92" w:lineRule="exact"/>
        <w:rPr>
          <w:rFonts w:ascii="Arial" w:cs="Arial" w:eastAsia="Arial" w:hAnsi="Arial"/>
          <w:sz w:val="18"/>
          <w:szCs w:val="18"/>
          <w:color w:val="auto"/>
        </w:rPr>
      </w:pPr>
    </w:p>
    <w:p>
      <w:pPr>
        <w:ind w:left="1960" w:hanging="655"/>
        <w:spacing w:after="0"/>
        <w:tabs>
          <w:tab w:leader="none" w:pos="1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default in the payment of principal of any Security of that Series at its Maturity; or</w:t>
      </w:r>
    </w:p>
    <w:p>
      <w:pPr>
        <w:spacing w:after="0" w:line="225" w:lineRule="exact"/>
        <w:rPr>
          <w:rFonts w:ascii="Arial" w:cs="Arial" w:eastAsia="Arial" w:hAnsi="Arial"/>
          <w:sz w:val="18"/>
          <w:szCs w:val="18"/>
          <w:color w:val="auto"/>
        </w:rPr>
      </w:pPr>
    </w:p>
    <w:p>
      <w:pPr>
        <w:ind w:right="20" w:firstLine="1305"/>
        <w:spacing w:after="0" w:line="297" w:lineRule="auto"/>
        <w:tabs>
          <w:tab w:leader="none" w:pos="1955" w:val="left"/>
        </w:tabs>
        <w:numPr>
          <w:ilvl w:val="0"/>
          <w:numId w:val="25"/>
        </w:numPr>
        <w:rPr>
          <w:rFonts w:ascii="Arial" w:cs="Arial" w:eastAsia="Arial" w:hAnsi="Arial"/>
          <w:sz w:val="16"/>
          <w:szCs w:val="16"/>
          <w:color w:val="auto"/>
        </w:rPr>
      </w:pPr>
      <w:r>
        <w:rPr>
          <w:rFonts w:ascii="Arial" w:cs="Arial" w:eastAsia="Arial" w:hAnsi="Arial"/>
          <w:sz w:val="16"/>
          <w:szCs w:val="16"/>
          <w:color w:val="auto"/>
        </w:rPr>
        <w:t>default in the performance or breach of any covenant or warranty of the Company in this Indenture (other than defaults pursuant to paragraphs (a) or (b) above or pursuant to a covenant or warranty that has been included in this Indenture solely for the benefit of Series of Securities other than that Series), which default continues uncured for a period of 60 days after there has been given, by registered or certified mail, to the Company by the Trustee or to the Company and the Trustee by the Holders of at least 25% in principal amount of the outstanding Securities of that Series a written notice specifying such default or breach and requiring it to be remedied and stating that such notice is a “Notice of Default” hereunder; or</w:t>
      </w:r>
    </w:p>
    <w:p>
      <w:pPr>
        <w:spacing w:after="0" w:line="158" w:lineRule="exact"/>
        <w:rPr>
          <w:rFonts w:ascii="Arial" w:cs="Arial" w:eastAsia="Arial" w:hAnsi="Arial"/>
          <w:sz w:val="16"/>
          <w:szCs w:val="16"/>
          <w:color w:val="auto"/>
        </w:rPr>
      </w:pPr>
    </w:p>
    <w:p>
      <w:pPr>
        <w:ind w:left="1960" w:hanging="655"/>
        <w:spacing w:after="0"/>
        <w:tabs>
          <w:tab w:leader="none" w:pos="1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Company pursuant to or within the meaning of any Bankruptcy Law:</w:t>
      </w:r>
    </w:p>
    <w:p>
      <w:pPr>
        <w:spacing w:after="0" w:line="225" w:lineRule="exact"/>
        <w:rPr>
          <w:rFonts w:ascii="Arial" w:cs="Arial" w:eastAsia="Arial" w:hAnsi="Arial"/>
          <w:sz w:val="18"/>
          <w:szCs w:val="18"/>
          <w:color w:val="auto"/>
        </w:rPr>
      </w:pPr>
    </w:p>
    <w:p>
      <w:pPr>
        <w:ind w:left="2620" w:hanging="343"/>
        <w:spacing w:after="0"/>
        <w:tabs>
          <w:tab w:leader="none" w:pos="26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commences a voluntary case,</w:t>
      </w:r>
    </w:p>
    <w:p>
      <w:pPr>
        <w:spacing w:after="0" w:line="225" w:lineRule="exact"/>
        <w:rPr>
          <w:rFonts w:ascii="Arial" w:cs="Arial" w:eastAsia="Arial" w:hAnsi="Arial"/>
          <w:sz w:val="18"/>
          <w:szCs w:val="18"/>
          <w:color w:val="auto"/>
        </w:rPr>
      </w:pPr>
    </w:p>
    <w:p>
      <w:pPr>
        <w:ind w:left="2640" w:hanging="363"/>
        <w:spacing w:after="0"/>
        <w:tabs>
          <w:tab w:leader="none" w:pos="26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consents to the entry of an order for relief against it in an involuntary case,</w:t>
      </w:r>
    </w:p>
    <w:p>
      <w:pPr>
        <w:spacing w:after="0" w:line="225" w:lineRule="exact"/>
        <w:rPr>
          <w:rFonts w:ascii="Arial" w:cs="Arial" w:eastAsia="Arial" w:hAnsi="Arial"/>
          <w:sz w:val="18"/>
          <w:szCs w:val="18"/>
          <w:color w:val="auto"/>
        </w:rPr>
      </w:pPr>
    </w:p>
    <w:p>
      <w:pPr>
        <w:ind w:left="2640" w:hanging="363"/>
        <w:spacing w:after="0"/>
        <w:tabs>
          <w:tab w:leader="none" w:pos="26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consents to the appointment of a Custodian of it or for all or substantially all of its property,</w:t>
      </w:r>
    </w:p>
    <w:p>
      <w:pPr>
        <w:spacing w:after="0" w:line="225" w:lineRule="exact"/>
        <w:rPr>
          <w:rFonts w:ascii="Arial" w:cs="Arial" w:eastAsia="Arial" w:hAnsi="Arial"/>
          <w:sz w:val="18"/>
          <w:szCs w:val="18"/>
          <w:color w:val="auto"/>
        </w:rPr>
      </w:pPr>
    </w:p>
    <w:p>
      <w:pPr>
        <w:ind w:left="2620" w:hanging="343"/>
        <w:spacing w:after="0"/>
        <w:tabs>
          <w:tab w:leader="none" w:pos="26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makes a general assignment for the benefit of its creditors, or</w:t>
      </w:r>
    </w:p>
    <w:p>
      <w:pPr>
        <w:spacing w:after="0" w:line="225" w:lineRule="exact"/>
        <w:rPr>
          <w:rFonts w:ascii="Arial" w:cs="Arial" w:eastAsia="Arial" w:hAnsi="Arial"/>
          <w:sz w:val="18"/>
          <w:szCs w:val="18"/>
          <w:color w:val="auto"/>
        </w:rPr>
      </w:pPr>
    </w:p>
    <w:p>
      <w:pPr>
        <w:ind w:left="2600" w:hanging="323"/>
        <w:spacing w:after="0"/>
        <w:tabs>
          <w:tab w:leader="none" w:pos="26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generally is unable to pay its debts as the same become due; or</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or decree under any Bankruptcy Law that:</w:t>
      </w:r>
    </w:p>
    <w:p>
      <w:pPr>
        <w:spacing w:after="0" w:line="225" w:lineRule="exact"/>
        <w:rPr>
          <w:rFonts w:ascii="Arial" w:cs="Arial" w:eastAsia="Arial" w:hAnsi="Arial"/>
          <w:sz w:val="18"/>
          <w:szCs w:val="18"/>
          <w:color w:val="auto"/>
        </w:rPr>
      </w:pPr>
    </w:p>
    <w:p>
      <w:pPr>
        <w:ind w:left="2620" w:hanging="343"/>
        <w:spacing w:after="0"/>
        <w:tabs>
          <w:tab w:leader="none" w:pos="26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is for relief against the Company in an involuntary case,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640" w:hanging="363"/>
        <w:spacing w:after="0"/>
        <w:tabs>
          <w:tab w:leader="none" w:pos="2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appoints a Custodian of the Company or for all or substantially all of its property, or</w:t>
      </w:r>
    </w:p>
    <w:p>
      <w:pPr>
        <w:spacing w:after="0" w:line="225" w:lineRule="exact"/>
        <w:rPr>
          <w:rFonts w:ascii="Arial" w:cs="Arial" w:eastAsia="Arial" w:hAnsi="Arial"/>
          <w:sz w:val="18"/>
          <w:szCs w:val="18"/>
          <w:color w:val="auto"/>
        </w:rPr>
      </w:pPr>
    </w:p>
    <w:p>
      <w:pPr>
        <w:ind w:left="2640" w:hanging="363"/>
        <w:spacing w:after="0"/>
        <w:tabs>
          <w:tab w:leader="none" w:pos="2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orders the liquidation of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and the order or decree remains unstayed and in effect for 60 days; or</w:t>
      </w:r>
    </w:p>
    <w:p>
      <w:pPr>
        <w:spacing w:after="0" w:line="225" w:lineRule="exact"/>
        <w:rPr>
          <w:sz w:val="20"/>
          <w:szCs w:val="20"/>
          <w:color w:val="auto"/>
        </w:rPr>
      </w:pPr>
    </w:p>
    <w:p>
      <w:pPr>
        <w:ind w:right="800" w:firstLine="1305"/>
        <w:spacing w:after="0" w:line="277" w:lineRule="auto"/>
        <w:tabs>
          <w:tab w:leader="none" w:pos="1949"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Securities of that Series, which is specified in a Board Resolution, a supplemental indenture hereto or an Officer’s Certificate, in accordance with Section 2.2.18.</w:t>
      </w:r>
    </w:p>
    <w:p>
      <w:pPr>
        <w:spacing w:after="0" w:line="170" w:lineRule="exact"/>
        <w:rPr>
          <w:sz w:val="20"/>
          <w:szCs w:val="20"/>
          <w:color w:val="auto"/>
        </w:rPr>
      </w:pPr>
    </w:p>
    <w:p>
      <w:pPr>
        <w:ind w:right="240" w:firstLine="881"/>
        <w:spacing w:after="0" w:line="277"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i w:val="1"/>
          <w:iCs w:val="1"/>
          <w:color w:val="auto"/>
        </w:rPr>
        <w:t>Bankruptcy Law</w:t>
      </w:r>
      <w:r>
        <w:rPr>
          <w:rFonts w:ascii="Arial" w:cs="Arial" w:eastAsia="Arial" w:hAnsi="Arial"/>
          <w:sz w:val="18"/>
          <w:szCs w:val="18"/>
          <w:color w:val="auto"/>
        </w:rPr>
        <w:t>” means title 11, U.S. Code or any similar U.S. Federal or State law for the relief of debtors. The term “</w:t>
      </w:r>
      <w:r>
        <w:rPr>
          <w:rFonts w:ascii="Arial" w:cs="Arial" w:eastAsia="Arial" w:hAnsi="Arial"/>
          <w:sz w:val="18"/>
          <w:szCs w:val="18"/>
          <w:i w:val="1"/>
          <w:iCs w:val="1"/>
          <w:color w:val="auto"/>
        </w:rPr>
        <w:t>Custodian</w:t>
      </w:r>
      <w:r>
        <w:rPr>
          <w:rFonts w:ascii="Arial" w:cs="Arial" w:eastAsia="Arial" w:hAnsi="Arial"/>
          <w:sz w:val="18"/>
          <w:szCs w:val="18"/>
          <w:color w:val="auto"/>
        </w:rPr>
        <w:t>” means any receiver, trustee, assignee, liquidator or similar official under any Bankruptcy Law.</w:t>
      </w:r>
    </w:p>
    <w:p>
      <w:pPr>
        <w:spacing w:after="0" w:line="170" w:lineRule="exact"/>
        <w:rPr>
          <w:sz w:val="20"/>
          <w:szCs w:val="20"/>
          <w:color w:val="auto"/>
        </w:rPr>
      </w:pPr>
    </w:p>
    <w:p>
      <w:pPr>
        <w:jc w:val="both"/>
        <w:ind w:right="100" w:firstLine="881"/>
        <w:spacing w:after="0" w:line="264" w:lineRule="auto"/>
        <w:rPr>
          <w:sz w:val="20"/>
          <w:szCs w:val="20"/>
          <w:color w:val="auto"/>
        </w:rPr>
      </w:pPr>
      <w:r>
        <w:rPr>
          <w:rFonts w:ascii="Arial" w:cs="Arial" w:eastAsia="Arial" w:hAnsi="Arial"/>
          <w:sz w:val="18"/>
          <w:szCs w:val="18"/>
          <w:color w:val="auto"/>
        </w:rPr>
        <w:t>The Company will provide the Trustee written notice of any Default or Event of Default within 30 days of becoming aware of the occurrence of such Default or Event of Default, which notice will describe in reasonable detail the status of such Default or Event of Default and what action the Company is taking or proposes to take in respect thereof.</w:t>
      </w:r>
    </w:p>
    <w:p>
      <w:pPr>
        <w:spacing w:after="0" w:line="18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6.2</w:t>
      </w:r>
      <w:r>
        <w:rPr>
          <w:sz w:val="20"/>
          <w:szCs w:val="20"/>
          <w:color w:val="auto"/>
        </w:rPr>
        <w:tab/>
      </w:r>
      <w:r>
        <w:rPr>
          <w:rFonts w:ascii="Arial" w:cs="Arial" w:eastAsia="Arial" w:hAnsi="Arial"/>
          <w:sz w:val="16"/>
          <w:szCs w:val="16"/>
          <w:u w:val="single" w:color="auto"/>
          <w:color w:val="auto"/>
        </w:rPr>
        <w:t>Acceleration of Maturity; Rescission and Annulment</w:t>
      </w:r>
      <w:r>
        <w:rPr>
          <w:rFonts w:ascii="Arial" w:cs="Arial" w:eastAsia="Arial" w:hAnsi="Arial"/>
          <w:sz w:val="16"/>
          <w:szCs w:val="16"/>
          <w:color w:val="auto"/>
        </w:rPr>
        <w:t>.</w:t>
      </w:r>
    </w:p>
    <w:p>
      <w:pPr>
        <w:spacing w:after="0" w:line="225" w:lineRule="exact"/>
        <w:rPr>
          <w:sz w:val="20"/>
          <w:szCs w:val="20"/>
          <w:color w:val="auto"/>
        </w:rPr>
      </w:pPr>
    </w:p>
    <w:p>
      <w:pPr>
        <w:ind w:firstLine="881"/>
        <w:spacing w:after="0" w:line="271" w:lineRule="auto"/>
        <w:rPr>
          <w:sz w:val="20"/>
          <w:szCs w:val="20"/>
          <w:color w:val="auto"/>
        </w:rPr>
      </w:pPr>
      <w:r>
        <w:rPr>
          <w:rFonts w:ascii="Arial" w:cs="Arial" w:eastAsia="Arial" w:hAnsi="Arial"/>
          <w:sz w:val="17"/>
          <w:szCs w:val="17"/>
          <w:color w:val="auto"/>
        </w:rPr>
        <w:t xml:space="preserve">If an Event of Default with respect to Securities of any Series at the time outstanding occurs and is continuing (other than an Event of Default referred to in Section 6.1(d) or (e)) then in every such case the Trustee or the Holders of not less than 25% in principal amount of the outstanding Securities of that Series may declare the principal amount (or, if any Securities of that Series are Discount Securities, such portion of the principal amount as may be specified in the terms of such Securities) of and accrued and unpaid interest, if any, on all of the Securities of that Series to be due and payable immediately, by a notice in writing to the Company (and to the Trustee if given by Holders), and upon any such declaration such principal amount (or specified amount) and accrued and unpaid interest, if any, shall become immediately due and payable. If an Event of Default specified in Section 6.1(d) or (e) shall occur, the principal amount (or specified amount) of and accrued and unpaid interest, if any, on all outstanding Securities shall </w:t>
      </w:r>
      <w:r>
        <w:rPr>
          <w:rFonts w:ascii="Arial" w:cs="Arial" w:eastAsia="Arial" w:hAnsi="Arial"/>
          <w:sz w:val="17"/>
          <w:szCs w:val="17"/>
          <w:i w:val="1"/>
          <w:iCs w:val="1"/>
          <w:color w:val="auto"/>
        </w:rPr>
        <w:t>ipso facto</w:t>
      </w:r>
      <w:r>
        <w:rPr>
          <w:rFonts w:ascii="Arial" w:cs="Arial" w:eastAsia="Arial" w:hAnsi="Arial"/>
          <w:sz w:val="17"/>
          <w:szCs w:val="17"/>
          <w:color w:val="auto"/>
        </w:rPr>
        <w:t xml:space="preserve"> become and be immediately due and payable without any declaration or other act on the part of the Trustee or any Holder.</w:t>
      </w:r>
    </w:p>
    <w:p>
      <w:pPr>
        <w:spacing w:after="0" w:line="179" w:lineRule="exact"/>
        <w:rPr>
          <w:sz w:val="20"/>
          <w:szCs w:val="20"/>
          <w:color w:val="auto"/>
        </w:rPr>
      </w:pPr>
    </w:p>
    <w:p>
      <w:pPr>
        <w:ind w:firstLine="881"/>
        <w:spacing w:after="0" w:line="276" w:lineRule="auto"/>
        <w:rPr>
          <w:sz w:val="20"/>
          <w:szCs w:val="20"/>
          <w:color w:val="auto"/>
        </w:rPr>
      </w:pPr>
      <w:r>
        <w:rPr>
          <w:rFonts w:ascii="Arial" w:cs="Arial" w:eastAsia="Arial" w:hAnsi="Arial"/>
          <w:sz w:val="17"/>
          <w:szCs w:val="17"/>
          <w:color w:val="auto"/>
        </w:rPr>
        <w:t>At any time after such a declaration of acceleration with respect to any Series has been made and before a judgment or decree for payment of the money due has been obtained by the Trustee as hereinafter in this Article provided, the Holders of a majority in principal amount of the outstanding Securities of that Series, by written notice to the Company and the Trustee, may rescind and annul such declaration and its consequences if all Events of Default with respect to Securities of that Series, other than the non-payment of the principal and interest, if any, of Securities of that Series which have become due solely by such declaration of acceleration, have been cured or waived as provided in Section 6.13.</w:t>
      </w:r>
    </w:p>
    <w:p>
      <w:pPr>
        <w:spacing w:after="0" w:line="17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 such rescission shall affect any subsequent Default or impair any right consequent thereon.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316" w:gutter="0" w:footer="0" w:header="0"/>
        </w:sectPr>
      </w:pPr>
    </w:p>
    <w:bookmarkStart w:id="36" w:name="page37"/>
    <w:bookmarkEnd w:id="36"/>
    <w:p>
      <w:pPr>
        <w:ind w:left="660"/>
        <w:spacing w:after="0"/>
        <w:tabs>
          <w:tab w:leader="none" w:pos="1940" w:val="left"/>
        </w:tabs>
        <w:rPr>
          <w:sz w:val="20"/>
          <w:szCs w:val="20"/>
          <w:color w:val="auto"/>
        </w:rPr>
      </w:pPr>
      <w:r>
        <w:rPr>
          <w:rFonts w:ascii="Arial" w:cs="Arial" w:eastAsia="Arial" w:hAnsi="Arial"/>
          <w:sz w:val="18"/>
          <w:szCs w:val="18"/>
          <w:color w:val="auto"/>
        </w:rPr>
        <w:t>Section 6.3</w:t>
      </w:r>
      <w:r>
        <w:rPr>
          <w:sz w:val="20"/>
          <w:szCs w:val="20"/>
          <w:color w:val="auto"/>
        </w:rPr>
        <w:tab/>
      </w:r>
      <w:r>
        <w:rPr>
          <w:rFonts w:ascii="Arial" w:cs="Arial" w:eastAsia="Arial" w:hAnsi="Arial"/>
          <w:sz w:val="16"/>
          <w:szCs w:val="16"/>
          <w:u w:val="single" w:color="auto"/>
          <w:color w:val="auto"/>
        </w:rPr>
        <w:t>Collection of Indebtedness and Suits for Enforcement by Trustee</w:t>
      </w:r>
      <w:r>
        <w:rPr>
          <w:rFonts w:ascii="Arial" w:cs="Arial" w:eastAsia="Arial" w:hAnsi="Arial"/>
          <w:sz w:val="16"/>
          <w:szCs w:val="16"/>
          <w:color w:val="auto"/>
        </w:rPr>
        <w: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Company covenants that if</w:t>
      </w:r>
    </w:p>
    <w:p>
      <w:pPr>
        <w:spacing w:after="0" w:line="225" w:lineRule="exact"/>
        <w:rPr>
          <w:sz w:val="20"/>
          <w:szCs w:val="20"/>
          <w:color w:val="auto"/>
        </w:rPr>
      </w:pPr>
    </w:p>
    <w:p>
      <w:pPr>
        <w:ind w:right="500" w:firstLine="1305"/>
        <w:spacing w:after="0" w:line="277" w:lineRule="auto"/>
        <w:tabs>
          <w:tab w:leader="none" w:pos="1942"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default is made in the payment of any interest on any Security when such interest becomes due and payable and such default continues for a period of 30 days, or</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default is made in the payment of principal of any Security at the Maturity thereof, or</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default is made in the deposit of any sinking fund payment, if any, when and as due by the terms of a Security,</w:t>
      </w:r>
    </w:p>
    <w:p>
      <w:pPr>
        <w:spacing w:after="0" w:line="22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i w:val="1"/>
          <w:iCs w:val="1"/>
          <w:color w:val="auto"/>
        </w:rPr>
        <w:t>then</w:t>
      </w:r>
      <w:r>
        <w:rPr>
          <w:rFonts w:ascii="Arial" w:cs="Arial" w:eastAsia="Arial" w:hAnsi="Arial"/>
          <w:sz w:val="16"/>
          <w:szCs w:val="16"/>
          <w:color w:val="auto"/>
        </w:rPr>
        <w:t>, the Company will, upon demand of the Trustee, pay to it, for the benefit of the Holders of such Securities, the whole amount then due and payable on</w:t>
      </w:r>
      <w:r>
        <w:rPr>
          <w:rFonts w:ascii="Arial" w:cs="Arial" w:eastAsia="Arial" w:hAnsi="Arial"/>
          <w:sz w:val="16"/>
          <w:szCs w:val="16"/>
          <w:i w:val="1"/>
          <w:iCs w:val="1"/>
          <w:color w:val="auto"/>
        </w:rPr>
        <w:t xml:space="preserve"> </w:t>
      </w:r>
      <w:r>
        <w:rPr>
          <w:rFonts w:ascii="Arial" w:cs="Arial" w:eastAsia="Arial" w:hAnsi="Arial"/>
          <w:sz w:val="16"/>
          <w:szCs w:val="16"/>
          <w:color w:val="auto"/>
        </w:rPr>
        <w:t>such Securities for principal and interest and, to the extent that payment of such interest shall be legally enforceable, interest on any overdue principal and any overdue interest at the rate or rates prescribed therefor in such Securities, and, in addition thereto, such further amount as shall be sufficient to cover the costs and expenses of collection, including the compensation, reasonable expenses, disbursements and advances of the Trustee, its agents and counsel.</w:t>
      </w:r>
    </w:p>
    <w:p>
      <w:pPr>
        <w:spacing w:after="0" w:line="154" w:lineRule="exact"/>
        <w:rPr>
          <w:sz w:val="20"/>
          <w:szCs w:val="20"/>
          <w:color w:val="auto"/>
        </w:rPr>
      </w:pPr>
    </w:p>
    <w:p>
      <w:pPr>
        <w:ind w:right="40" w:firstLine="881"/>
        <w:spacing w:after="0" w:line="279" w:lineRule="auto"/>
        <w:rPr>
          <w:sz w:val="20"/>
          <w:szCs w:val="20"/>
          <w:color w:val="auto"/>
        </w:rPr>
      </w:pPr>
      <w:r>
        <w:rPr>
          <w:rFonts w:ascii="Arial" w:cs="Arial" w:eastAsia="Arial" w:hAnsi="Arial"/>
          <w:sz w:val="17"/>
          <w:szCs w:val="17"/>
          <w:color w:val="auto"/>
        </w:rPr>
        <w:t>If the Company fails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such Securities and collect the moneys adjudged or deemed to be payable in the manner provided by law out of the property of the Company or any other obligor upon such Securities, wherever situated.</w:t>
      </w:r>
    </w:p>
    <w:p>
      <w:pPr>
        <w:spacing w:after="0" w:line="171" w:lineRule="exact"/>
        <w:rPr>
          <w:sz w:val="20"/>
          <w:szCs w:val="20"/>
          <w:color w:val="auto"/>
        </w:rPr>
      </w:pPr>
    </w:p>
    <w:p>
      <w:pPr>
        <w:ind w:right="140" w:firstLine="881"/>
        <w:spacing w:after="0" w:line="259" w:lineRule="auto"/>
        <w:rPr>
          <w:sz w:val="20"/>
          <w:szCs w:val="20"/>
          <w:color w:val="auto"/>
        </w:rPr>
      </w:pPr>
      <w:r>
        <w:rPr>
          <w:rFonts w:ascii="Arial" w:cs="Arial" w:eastAsia="Arial" w:hAnsi="Arial"/>
          <w:sz w:val="18"/>
          <w:szCs w:val="18"/>
          <w:color w:val="auto"/>
        </w:rPr>
        <w:t>If an Event of Default with respect to any Securities of any Series occurs and is continuing, the Trustee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18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6.4</w:t>
      </w:r>
      <w:r>
        <w:rPr>
          <w:sz w:val="20"/>
          <w:szCs w:val="20"/>
          <w:color w:val="auto"/>
        </w:rPr>
        <w:tab/>
      </w:r>
      <w:r>
        <w:rPr>
          <w:rFonts w:ascii="Arial" w:cs="Arial" w:eastAsia="Arial" w:hAnsi="Arial"/>
          <w:sz w:val="16"/>
          <w:szCs w:val="16"/>
          <w:u w:val="single" w:color="auto"/>
          <w:color w:val="auto"/>
        </w:rPr>
        <w:t>Trustee May File Proofs of Claim</w:t>
      </w:r>
      <w:r>
        <w:rPr>
          <w:rFonts w:ascii="Arial" w:cs="Arial" w:eastAsia="Arial" w:hAnsi="Arial"/>
          <w:sz w:val="16"/>
          <w:szCs w:val="16"/>
          <w:color w:val="auto"/>
        </w:rPr>
        <w:t>.</w:t>
      </w:r>
    </w:p>
    <w:p>
      <w:pPr>
        <w:spacing w:after="0" w:line="225" w:lineRule="exact"/>
        <w:rPr>
          <w:sz w:val="20"/>
          <w:szCs w:val="20"/>
          <w:color w:val="auto"/>
        </w:rPr>
      </w:pPr>
    </w:p>
    <w:p>
      <w:pPr>
        <w:ind w:right="100" w:firstLine="881"/>
        <w:spacing w:after="0" w:line="257" w:lineRule="auto"/>
        <w:rPr>
          <w:sz w:val="20"/>
          <w:szCs w:val="20"/>
          <w:color w:val="auto"/>
        </w:rPr>
      </w:pPr>
      <w:r>
        <w:rPr>
          <w:rFonts w:ascii="Arial" w:cs="Arial" w:eastAsia="Arial" w:hAnsi="Arial"/>
          <w:sz w:val="18"/>
          <w:szCs w:val="18"/>
          <w:color w:val="auto"/>
        </w:rPr>
        <w:t>In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their creditors, the Trustee (irrespective of whether the principal of the Securities shall then be due and payable as therein expressed or by declaration or otherwise and irrespective of whether the Trustee shall have made any demand on the Company for the payment of overdue principal or interest) shall be entitled and empowered, by intervention in such proceeding or otherwise,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00" w:firstLine="1305"/>
        <w:spacing w:after="0" w:line="312" w:lineRule="auto"/>
        <w:tabs>
          <w:tab w:leader="none" w:pos="1942" w:val="left"/>
        </w:tabs>
        <w:numPr>
          <w:ilvl w:val="0"/>
          <w:numId w:val="29"/>
        </w:numPr>
        <w:rPr>
          <w:rFonts w:ascii="Arial" w:cs="Arial" w:eastAsia="Arial" w:hAnsi="Arial"/>
          <w:sz w:val="16"/>
          <w:szCs w:val="16"/>
          <w:color w:val="auto"/>
        </w:rPr>
      </w:pPr>
      <w:r>
        <w:rPr>
          <w:rFonts w:ascii="Arial" w:cs="Arial" w:eastAsia="Arial" w:hAnsi="Arial"/>
          <w:sz w:val="16"/>
          <w:szCs w:val="16"/>
          <w:color w:val="auto"/>
        </w:rPr>
        <w:t>to file and prove a claim for the whole amount of principal and interest owing and unpaid in respect of the Securities and to file such other papers or documents as may be necessary or advisable in order to have the claims of the Trustee (including any claim for the compensation, reasonable expenses, disbursements and advances of the Trustee, its agents and counsel) and of the Holders allowed in such judicial proceeding, and</w:t>
      </w:r>
    </w:p>
    <w:p>
      <w:pPr>
        <w:spacing w:after="0" w:line="146" w:lineRule="exact"/>
        <w:rPr>
          <w:rFonts w:ascii="Arial" w:cs="Arial" w:eastAsia="Arial" w:hAnsi="Arial"/>
          <w:sz w:val="16"/>
          <w:szCs w:val="16"/>
          <w:color w:val="auto"/>
        </w:rPr>
      </w:pPr>
    </w:p>
    <w:p>
      <w:pPr>
        <w:ind w:right="140" w:firstLine="1305"/>
        <w:spacing w:after="0" w:line="257" w:lineRule="auto"/>
        <w:tabs>
          <w:tab w:leader="none" w:pos="1952"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collect and receive any moneys or other property payable or deliverable on any such claims and to distribute the same, 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compensation, reasonable expenses, disbursements and advances of the Trustee, its agents and counsel, and any other amounts due the Trustee under Section 7.7.</w:t>
      </w:r>
    </w:p>
    <w:p>
      <w:pPr>
        <w:spacing w:after="0" w:line="188" w:lineRule="exact"/>
        <w:rPr>
          <w:sz w:val="20"/>
          <w:szCs w:val="20"/>
          <w:color w:val="auto"/>
        </w:rPr>
      </w:pPr>
    </w:p>
    <w:p>
      <w:pPr>
        <w:ind w:right="120" w:firstLine="881"/>
        <w:spacing w:after="0" w:line="264" w:lineRule="auto"/>
        <w:rPr>
          <w:sz w:val="20"/>
          <w:szCs w:val="20"/>
          <w:color w:val="auto"/>
        </w:rPr>
      </w:pPr>
      <w:r>
        <w:rPr>
          <w:rFonts w:ascii="Arial" w:cs="Arial" w:eastAsia="Arial" w:hAnsi="Arial"/>
          <w:sz w:val="18"/>
          <w:szCs w:val="18"/>
          <w:color w:val="auto"/>
        </w:rPr>
        <w:t>Nothing herein contained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w:t>
      </w:r>
    </w:p>
    <w:p>
      <w:pPr>
        <w:spacing w:after="0" w:line="18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6.5</w:t>
      </w:r>
      <w:r>
        <w:rPr>
          <w:sz w:val="20"/>
          <w:szCs w:val="20"/>
          <w:color w:val="auto"/>
        </w:rPr>
        <w:tab/>
      </w:r>
      <w:r>
        <w:rPr>
          <w:rFonts w:ascii="Arial" w:cs="Arial" w:eastAsia="Arial" w:hAnsi="Arial"/>
          <w:sz w:val="16"/>
          <w:szCs w:val="16"/>
          <w:u w:val="single" w:color="auto"/>
          <w:color w:val="auto"/>
        </w:rPr>
        <w:t>Trustee May Enforce Claims Without Possession of Securities</w:t>
      </w:r>
      <w:r>
        <w:rPr>
          <w:rFonts w:ascii="Arial" w:cs="Arial" w:eastAsia="Arial" w:hAnsi="Arial"/>
          <w:sz w:val="16"/>
          <w:szCs w:val="16"/>
          <w:color w:val="auto"/>
        </w:rPr>
        <w:t>.</w:t>
      </w:r>
    </w:p>
    <w:p>
      <w:pPr>
        <w:spacing w:after="0" w:line="225" w:lineRule="exact"/>
        <w:rPr>
          <w:sz w:val="20"/>
          <w:szCs w:val="20"/>
          <w:color w:val="auto"/>
        </w:rPr>
      </w:pPr>
    </w:p>
    <w:p>
      <w:pPr>
        <w:ind w:firstLine="881"/>
        <w:spacing w:after="0" w:line="257" w:lineRule="auto"/>
        <w:rPr>
          <w:sz w:val="20"/>
          <w:szCs w:val="20"/>
          <w:color w:val="auto"/>
        </w:rPr>
      </w:pPr>
      <w:r>
        <w:rPr>
          <w:rFonts w:ascii="Arial" w:cs="Arial" w:eastAsia="Arial" w:hAnsi="Arial"/>
          <w:sz w:val="18"/>
          <w:szCs w:val="18"/>
          <w:color w:val="auto"/>
        </w:rPr>
        <w:t>All rights of action and claims under this Indenture or the 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compensation, reasonable expenses, disbursements and advances of the Trustee, its agents and counsel, be for the ratable benefit of the Holders of the Securities in respect of which such judgment has been recovered.</w:t>
      </w:r>
    </w:p>
    <w:p>
      <w:pPr>
        <w:spacing w:after="0" w:line="18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6.6</w:t>
      </w:r>
      <w:r>
        <w:rPr>
          <w:sz w:val="20"/>
          <w:szCs w:val="20"/>
          <w:color w:val="auto"/>
        </w:rPr>
        <w:tab/>
      </w:r>
      <w:r>
        <w:rPr>
          <w:rFonts w:ascii="Arial" w:cs="Arial" w:eastAsia="Arial" w:hAnsi="Arial"/>
          <w:sz w:val="16"/>
          <w:szCs w:val="16"/>
          <w:u w:val="single" w:color="auto"/>
          <w:color w:val="auto"/>
        </w:rPr>
        <w:t>Application of Money Collected</w:t>
      </w:r>
      <w:r>
        <w:rPr>
          <w:rFonts w:ascii="Arial" w:cs="Arial" w:eastAsia="Arial" w:hAnsi="Arial"/>
          <w:sz w:val="16"/>
          <w:szCs w:val="16"/>
          <w:color w:val="auto"/>
        </w:rPr>
        <w:t>.</w:t>
      </w:r>
    </w:p>
    <w:p>
      <w:pPr>
        <w:spacing w:after="0" w:line="225" w:lineRule="exact"/>
        <w:rPr>
          <w:sz w:val="20"/>
          <w:szCs w:val="20"/>
          <w:color w:val="auto"/>
        </w:rPr>
      </w:pPr>
    </w:p>
    <w:p>
      <w:pPr>
        <w:ind w:right="240" w:firstLine="881"/>
        <w:spacing w:after="0" w:line="264" w:lineRule="auto"/>
        <w:rPr>
          <w:sz w:val="20"/>
          <w:szCs w:val="20"/>
          <w:color w:val="auto"/>
        </w:rPr>
      </w:pPr>
      <w:r>
        <w:rPr>
          <w:rFonts w:ascii="Arial" w:cs="Arial" w:eastAsia="Arial" w:hAnsi="Arial"/>
          <w:sz w:val="18"/>
          <w:szCs w:val="18"/>
          <w:color w:val="auto"/>
        </w:rPr>
        <w:t>Any money or property collected by the Trustee pursuant to this Article shall be applied in the following order, at the date or dates fixed by the Trustee and, in case of the distribution of such money or property on account of principal or interest, upon presentation of the Securities and the notation thereon of the payment if only partially paid and upon surrender thereof if fully paid:</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First: To the payment of all amounts due the Trustee under Section 7.7; and</w:t>
      </w:r>
    </w:p>
    <w:p>
      <w:pPr>
        <w:spacing w:after="0" w:line="225" w:lineRule="exact"/>
        <w:rPr>
          <w:sz w:val="20"/>
          <w:szCs w:val="20"/>
          <w:color w:val="auto"/>
        </w:rPr>
      </w:pPr>
    </w:p>
    <w:p>
      <w:pPr>
        <w:ind w:right="40" w:firstLine="881"/>
        <w:spacing w:after="0" w:line="264" w:lineRule="auto"/>
        <w:rPr>
          <w:sz w:val="20"/>
          <w:szCs w:val="20"/>
          <w:color w:val="auto"/>
        </w:rPr>
      </w:pPr>
      <w:r>
        <w:rPr>
          <w:rFonts w:ascii="Arial" w:cs="Arial" w:eastAsia="Arial" w:hAnsi="Arial"/>
          <w:sz w:val="18"/>
          <w:szCs w:val="18"/>
          <w:color w:val="auto"/>
        </w:rPr>
        <w:t>Second: To the payment of the amounts then due and unpaid for principal of and interest on the Securities in respect of which or for the benefit of which such money has been collected, ratably, without preference or priority of any kind, according to the amounts due and payable on such Securities for principal and interest, respectively; and</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Third: To the Company.</w:t>
      </w:r>
    </w:p>
    <w:p>
      <w:pPr>
        <w:sectPr>
          <w:pgSz w:w="11900" w:h="16838" w:orient="portrait"/>
          <w:cols w:equalWidth="0" w:num="1">
            <w:col w:w="11420"/>
          </w:cols>
          <w:pgMar w:left="240" w:top="125" w:right="239" w:bottom="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37" w:name="page38"/>
    <w:bookmarkEnd w:id="37"/>
    <w:p>
      <w:pPr>
        <w:ind w:left="660"/>
        <w:spacing w:after="0"/>
        <w:tabs>
          <w:tab w:leader="none" w:pos="1940" w:val="left"/>
        </w:tabs>
        <w:rPr>
          <w:sz w:val="20"/>
          <w:szCs w:val="20"/>
          <w:color w:val="auto"/>
        </w:rPr>
      </w:pPr>
      <w:r>
        <w:rPr>
          <w:rFonts w:ascii="Arial" w:cs="Arial" w:eastAsia="Arial" w:hAnsi="Arial"/>
          <w:sz w:val="18"/>
          <w:szCs w:val="18"/>
          <w:color w:val="auto"/>
        </w:rPr>
        <w:t>Section 6.7</w:t>
      </w:r>
      <w:r>
        <w:rPr>
          <w:sz w:val="20"/>
          <w:szCs w:val="20"/>
          <w:color w:val="auto"/>
        </w:rPr>
        <w:tab/>
      </w:r>
      <w:r>
        <w:rPr>
          <w:rFonts w:ascii="Arial" w:cs="Arial" w:eastAsia="Arial" w:hAnsi="Arial"/>
          <w:sz w:val="16"/>
          <w:szCs w:val="16"/>
          <w:u w:val="single" w:color="auto"/>
          <w:color w:val="auto"/>
        </w:rPr>
        <w:t>Limitation on Suits</w:t>
      </w:r>
      <w:r>
        <w:rPr>
          <w:rFonts w:ascii="Arial" w:cs="Arial" w:eastAsia="Arial" w:hAnsi="Arial"/>
          <w:sz w:val="16"/>
          <w:szCs w:val="16"/>
          <w:color w:val="auto"/>
        </w:rPr>
        <w:t>.</w:t>
      </w:r>
    </w:p>
    <w:p>
      <w:pPr>
        <w:spacing w:after="0" w:line="225" w:lineRule="exact"/>
        <w:rPr>
          <w:sz w:val="20"/>
          <w:szCs w:val="20"/>
          <w:color w:val="auto"/>
        </w:rPr>
      </w:pPr>
    </w:p>
    <w:p>
      <w:pPr>
        <w:ind w:right="180" w:firstLine="881"/>
        <w:spacing w:after="0" w:line="277" w:lineRule="auto"/>
        <w:rPr>
          <w:sz w:val="20"/>
          <w:szCs w:val="20"/>
          <w:color w:val="auto"/>
        </w:rPr>
      </w:pPr>
      <w:r>
        <w:rPr>
          <w:rFonts w:ascii="Arial" w:cs="Arial" w:eastAsia="Arial" w:hAnsi="Arial"/>
          <w:sz w:val="18"/>
          <w:szCs w:val="18"/>
          <w:color w:val="auto"/>
        </w:rPr>
        <w:t>No Holder of any Security of any Series shall have any right to institute any proceeding, judicial or otherwise, with respect to this Indenture, or for the appointment of a receiver or trustee, or for any other remedy hereunder, unless</w:t>
      </w:r>
    </w:p>
    <w:p>
      <w:pPr>
        <w:spacing w:after="0" w:line="170" w:lineRule="exact"/>
        <w:rPr>
          <w:sz w:val="20"/>
          <w:szCs w:val="20"/>
          <w:color w:val="auto"/>
        </w:rPr>
      </w:pPr>
    </w:p>
    <w:p>
      <w:pPr>
        <w:ind w:left="1940" w:hanging="635"/>
        <w:spacing w:after="0"/>
        <w:tabs>
          <w:tab w:leader="none" w:pos="19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such Holder has previously given written notice to the Trustee of a continuing Event of Default with respect to the Securities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that Series;</w:t>
      </w:r>
    </w:p>
    <w:p>
      <w:pPr>
        <w:spacing w:after="0" w:line="211" w:lineRule="exact"/>
        <w:rPr>
          <w:sz w:val="20"/>
          <w:szCs w:val="20"/>
          <w:color w:val="auto"/>
        </w:rPr>
      </w:pPr>
    </w:p>
    <w:p>
      <w:pPr>
        <w:ind w:right="20" w:firstLine="1305"/>
        <w:spacing w:after="0" w:line="277" w:lineRule="auto"/>
        <w:tabs>
          <w:tab w:leader="none" w:pos="1952"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Holders of not less than 25% in principal amount of the outstanding Securities of that Series shall have made written request to the Trustee to institute proceedings in respect of such Event of Default in its own name as Trustee hereunder;</w:t>
      </w:r>
    </w:p>
    <w:p>
      <w:pPr>
        <w:spacing w:after="0" w:line="170" w:lineRule="exact"/>
        <w:rPr>
          <w:rFonts w:ascii="Arial" w:cs="Arial" w:eastAsia="Arial" w:hAnsi="Arial"/>
          <w:sz w:val="18"/>
          <w:szCs w:val="18"/>
          <w:color w:val="auto"/>
        </w:rPr>
      </w:pPr>
    </w:p>
    <w:p>
      <w:pPr>
        <w:ind w:firstLine="1305"/>
        <w:spacing w:after="0" w:line="277" w:lineRule="auto"/>
        <w:tabs>
          <w:tab w:leader="none" w:pos="19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such Holder or Holders have offered to the Trustee indemnity or security satisfactory to the Trustee against the costs, expenses and liabilities which might be incurred by the Trustee in compliance with such request;</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Trustee for 60 days after its receipt of such notice, request and offer of indemnity has failed to institute any such proceeding;</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210" w:lineRule="exact"/>
        <w:rPr>
          <w:rFonts w:ascii="Arial" w:cs="Arial" w:eastAsia="Arial" w:hAnsi="Arial"/>
          <w:sz w:val="16"/>
          <w:szCs w:val="16"/>
          <w:color w:val="auto"/>
        </w:rPr>
      </w:pPr>
    </w:p>
    <w:p>
      <w:pPr>
        <w:ind w:right="280" w:firstLine="1305"/>
        <w:spacing w:after="0" w:line="277" w:lineRule="auto"/>
        <w:tabs>
          <w:tab w:leader="none" w:pos="19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no direction inconsistent with such written request has been given to the Trustee during such 60-day period by the Holders of a majority in principal amount of the outstanding Securities of that Series;</w:t>
      </w:r>
    </w:p>
    <w:p>
      <w:pPr>
        <w:spacing w:after="0" w:line="170" w:lineRule="exact"/>
        <w:rPr>
          <w:sz w:val="20"/>
          <w:szCs w:val="20"/>
          <w:color w:val="auto"/>
        </w:rPr>
      </w:pPr>
    </w:p>
    <w:p>
      <w:pPr>
        <w:jc w:val="both"/>
        <w:ind w:right="40"/>
        <w:spacing w:after="0" w:line="279" w:lineRule="auto"/>
        <w:rPr>
          <w:sz w:val="20"/>
          <w:szCs w:val="20"/>
          <w:color w:val="auto"/>
        </w:rPr>
      </w:pPr>
      <w:r>
        <w:rPr>
          <w:rFonts w:ascii="Arial" w:cs="Arial" w:eastAsia="Arial" w:hAnsi="Arial"/>
          <w:sz w:val="17"/>
          <w:szCs w:val="17"/>
          <w:color w:val="auto"/>
        </w:rPr>
        <w:t>it being understood, intended and expressly covenanted by the Holder of every Security with every other Holder and the Trustee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such Holders of the applicable Series.</w:t>
      </w:r>
    </w:p>
    <w:p>
      <w:pPr>
        <w:spacing w:after="0" w:line="17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6.8</w:t>
      </w:r>
      <w:r>
        <w:rPr>
          <w:sz w:val="20"/>
          <w:szCs w:val="20"/>
          <w:color w:val="auto"/>
        </w:rPr>
        <w:tab/>
      </w:r>
      <w:r>
        <w:rPr>
          <w:rFonts w:ascii="Arial" w:cs="Arial" w:eastAsia="Arial" w:hAnsi="Arial"/>
          <w:sz w:val="16"/>
          <w:szCs w:val="16"/>
          <w:u w:val="single" w:color="auto"/>
          <w:color w:val="auto"/>
        </w:rPr>
        <w:t>Unconditional Right of Holders to Receive Principal and Interest</w:t>
      </w:r>
      <w:r>
        <w:rPr>
          <w:rFonts w:ascii="Arial" w:cs="Arial" w:eastAsia="Arial" w:hAnsi="Arial"/>
          <w:sz w:val="16"/>
          <w:szCs w:val="16"/>
          <w:color w:val="auto"/>
        </w:rPr>
        <w:t>.</w:t>
      </w:r>
    </w:p>
    <w:p>
      <w:pPr>
        <w:spacing w:after="0" w:line="225" w:lineRule="exact"/>
        <w:rPr>
          <w:sz w:val="20"/>
          <w:szCs w:val="20"/>
          <w:color w:val="auto"/>
        </w:rPr>
      </w:pPr>
    </w:p>
    <w:p>
      <w:pPr>
        <w:jc w:val="both"/>
        <w:ind w:right="300" w:firstLine="881"/>
        <w:spacing w:after="0" w:line="259" w:lineRule="auto"/>
        <w:rPr>
          <w:sz w:val="20"/>
          <w:szCs w:val="20"/>
          <w:color w:val="auto"/>
        </w:rPr>
      </w:pPr>
      <w:r>
        <w:rPr>
          <w:rFonts w:ascii="Arial" w:cs="Arial" w:eastAsia="Arial" w:hAnsi="Arial"/>
          <w:sz w:val="18"/>
          <w:szCs w:val="18"/>
          <w:color w:val="auto"/>
        </w:rPr>
        <w:t>Notwithstanding any other provision in this Indenture, the Holder of any Security shall have the right, which is absolute and unconditional, to receive payment of the principal of and interest, if any, on such Security on the Maturity of such Security, including the Stated Maturity expressed in such Security (or, in the case of redemption, on the redemption date) and to institute suit for the enforcement of any such payment, and such rights shall not be impaired without the consent of such Holder.</w:t>
      </w:r>
    </w:p>
    <w:p>
      <w:pPr>
        <w:spacing w:after="0" w:line="18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6.9</w:t>
      </w:r>
      <w:r>
        <w:rPr>
          <w:sz w:val="20"/>
          <w:szCs w:val="20"/>
          <w:color w:val="auto"/>
        </w:rPr>
        <w:tab/>
      </w:r>
      <w:r>
        <w:rPr>
          <w:rFonts w:ascii="Arial" w:cs="Arial" w:eastAsia="Arial" w:hAnsi="Arial"/>
          <w:sz w:val="16"/>
          <w:szCs w:val="16"/>
          <w:u w:val="single" w:color="auto"/>
          <w:color w:val="auto"/>
        </w:rPr>
        <w:t>Restoration of Rights and Remedies</w:t>
      </w:r>
      <w:r>
        <w:rPr>
          <w:rFonts w:ascii="Arial" w:cs="Arial" w:eastAsia="Arial" w:hAnsi="Arial"/>
          <w:sz w:val="16"/>
          <w:szCs w:val="16"/>
          <w:color w:val="auto"/>
        </w:rPr>
        <w:t>.</w:t>
      </w:r>
    </w:p>
    <w:p>
      <w:pPr>
        <w:spacing w:after="0" w:line="225" w:lineRule="exact"/>
        <w:rPr>
          <w:sz w:val="20"/>
          <w:szCs w:val="20"/>
          <w:color w:val="auto"/>
        </w:rPr>
      </w:pPr>
    </w:p>
    <w:p>
      <w:pPr>
        <w:jc w:val="both"/>
        <w:ind w:right="380" w:firstLine="881"/>
        <w:spacing w:after="0" w:line="264" w:lineRule="auto"/>
        <w:rPr>
          <w:sz w:val="20"/>
          <w:szCs w:val="20"/>
          <w:color w:val="auto"/>
        </w:rPr>
      </w:pPr>
      <w:r>
        <w:rPr>
          <w:rFonts w:ascii="Arial" w:cs="Arial" w:eastAsia="Arial" w:hAnsi="Arial"/>
          <w:sz w:val="18"/>
          <w:szCs w:val="18"/>
          <w:color w:val="auto"/>
        </w:rPr>
        <w:t>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severally and respectively to their former positions hereunder and thereafter all rights and remedies of the Trustee and the Holders shall continue as though no such proceeding had been instituted.</w:t>
      </w:r>
    </w:p>
    <w:p>
      <w:pPr>
        <w:spacing w:after="0" w:line="170"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6.10</w:t>
      </w:r>
      <w:r>
        <w:rPr>
          <w:sz w:val="20"/>
          <w:szCs w:val="20"/>
          <w:color w:val="auto"/>
        </w:rPr>
        <w:tab/>
      </w:r>
      <w:r>
        <w:rPr>
          <w:rFonts w:ascii="Arial" w:cs="Arial" w:eastAsia="Arial" w:hAnsi="Arial"/>
          <w:sz w:val="16"/>
          <w:szCs w:val="16"/>
          <w:u w:val="single" w:color="auto"/>
          <w:color w:val="auto"/>
        </w:rPr>
        <w:t>Rights and Remedies Cumulative</w:t>
      </w:r>
      <w:r>
        <w:rPr>
          <w:rFonts w:ascii="Arial" w:cs="Arial" w:eastAsia="Arial" w:hAnsi="Arial"/>
          <w:sz w:val="16"/>
          <w:szCs w:val="16"/>
          <w:color w:val="auto"/>
        </w:rPr>
        <w:t>.</w:t>
      </w:r>
    </w:p>
    <w:p>
      <w:pPr>
        <w:spacing w:after="0" w:line="225" w:lineRule="exact"/>
        <w:rPr>
          <w:sz w:val="20"/>
          <w:szCs w:val="20"/>
          <w:color w:val="auto"/>
        </w:rPr>
      </w:pPr>
    </w:p>
    <w:p>
      <w:pPr>
        <w:ind w:right="40" w:firstLine="881"/>
        <w:spacing w:after="0" w:line="276" w:lineRule="auto"/>
        <w:rPr>
          <w:sz w:val="20"/>
          <w:szCs w:val="20"/>
          <w:color w:val="auto"/>
        </w:rPr>
      </w:pPr>
      <w:r>
        <w:rPr>
          <w:rFonts w:ascii="Arial" w:cs="Arial" w:eastAsia="Arial" w:hAnsi="Arial"/>
          <w:sz w:val="17"/>
          <w:szCs w:val="17"/>
          <w:color w:val="auto"/>
        </w:rPr>
        <w:t>Except as otherwise provided with respect to the replacement or payment of mutilated, destroyed, lost or stolen Securities in Section 2.8,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to the extent permitted by law, prevent the concurrent assertion or employment of any other appropriate right or remedy.</w:t>
      </w:r>
    </w:p>
    <w:p>
      <w:pPr>
        <w:spacing w:after="0" w:line="17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6.11</w:t>
      </w:r>
      <w:r>
        <w:rPr>
          <w:sz w:val="20"/>
          <w:szCs w:val="20"/>
          <w:color w:val="auto"/>
        </w:rPr>
        <w:tab/>
      </w:r>
      <w:r>
        <w:rPr>
          <w:rFonts w:ascii="Arial" w:cs="Arial" w:eastAsia="Arial" w:hAnsi="Arial"/>
          <w:sz w:val="16"/>
          <w:szCs w:val="16"/>
          <w:u w:val="single" w:color="auto"/>
          <w:color w:val="auto"/>
        </w:rPr>
        <w:t>Delay or Omission Not Waiver</w:t>
      </w:r>
      <w:r>
        <w:rPr>
          <w:rFonts w:ascii="Arial" w:cs="Arial" w:eastAsia="Arial" w:hAnsi="Arial"/>
          <w:sz w:val="16"/>
          <w:szCs w:val="16"/>
          <w:color w:val="auto"/>
        </w:rPr>
        <w:t>.</w:t>
      </w:r>
    </w:p>
    <w:p>
      <w:pPr>
        <w:spacing w:after="0" w:line="225" w:lineRule="exact"/>
        <w:rPr>
          <w:sz w:val="20"/>
          <w:szCs w:val="20"/>
          <w:color w:val="auto"/>
        </w:rPr>
      </w:pPr>
    </w:p>
    <w:p>
      <w:pPr>
        <w:ind w:right="120" w:firstLine="881"/>
        <w:spacing w:after="0" w:line="259" w:lineRule="auto"/>
        <w:rPr>
          <w:sz w:val="20"/>
          <w:szCs w:val="20"/>
          <w:color w:val="auto"/>
        </w:rPr>
      </w:pPr>
      <w:r>
        <w:rPr>
          <w:rFonts w:ascii="Arial" w:cs="Arial" w:eastAsia="Arial" w:hAnsi="Arial"/>
          <w:sz w:val="18"/>
          <w:szCs w:val="18"/>
          <w:color w:val="auto"/>
        </w:rPr>
        <w:t>No delay or omission of the Trustee or of any Holder of any Securities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spacing w:after="0" w:line="187"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6.12</w:t>
      </w:r>
      <w:r>
        <w:rPr>
          <w:sz w:val="20"/>
          <w:szCs w:val="20"/>
          <w:color w:val="auto"/>
        </w:rPr>
        <w:tab/>
      </w:r>
      <w:r>
        <w:rPr>
          <w:rFonts w:ascii="Arial" w:cs="Arial" w:eastAsia="Arial" w:hAnsi="Arial"/>
          <w:sz w:val="16"/>
          <w:szCs w:val="16"/>
          <w:u w:val="single" w:color="auto"/>
          <w:color w:val="auto"/>
        </w:rPr>
        <w:t>Control by Holders</w:t>
      </w:r>
      <w:r>
        <w:rPr>
          <w:rFonts w:ascii="Arial" w:cs="Arial" w:eastAsia="Arial" w:hAnsi="Arial"/>
          <w:sz w:val="16"/>
          <w:szCs w:val="16"/>
          <w:color w:val="auto"/>
        </w:rPr>
        <w:t>.</w:t>
      </w:r>
    </w:p>
    <w:p>
      <w:pPr>
        <w:spacing w:after="0" w:line="225" w:lineRule="exact"/>
        <w:rPr>
          <w:sz w:val="20"/>
          <w:szCs w:val="20"/>
          <w:color w:val="auto"/>
        </w:rPr>
      </w:pPr>
    </w:p>
    <w:p>
      <w:pPr>
        <w:jc w:val="both"/>
        <w:ind w:firstLine="881"/>
        <w:spacing w:after="0" w:line="264" w:lineRule="auto"/>
        <w:rPr>
          <w:sz w:val="20"/>
          <w:szCs w:val="20"/>
          <w:color w:val="auto"/>
        </w:rPr>
      </w:pPr>
      <w:r>
        <w:rPr>
          <w:rFonts w:ascii="Arial" w:cs="Arial" w:eastAsia="Arial" w:hAnsi="Arial"/>
          <w:sz w:val="18"/>
          <w:szCs w:val="18"/>
          <w:color w:val="auto"/>
        </w:rPr>
        <w:t>The Holders of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provided that</w:t>
      </w:r>
    </w:p>
    <w:p>
      <w:pPr>
        <w:spacing w:after="0" w:line="181" w:lineRule="exact"/>
        <w:rPr>
          <w:sz w:val="20"/>
          <w:szCs w:val="20"/>
          <w:color w:val="auto"/>
        </w:rPr>
      </w:pPr>
    </w:p>
    <w:p>
      <w:pPr>
        <w:ind w:left="1940" w:hanging="635"/>
        <w:spacing w:after="0"/>
        <w:tabs>
          <w:tab w:leader="none" w:pos="19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such direction shall not be in conflict with any rule of law or with this Indenture,</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Trustee may take any other action deemed proper by the Trustee which is not inconsistent with such direction,</w:t>
      </w:r>
    </w:p>
    <w:p>
      <w:pPr>
        <w:spacing w:after="0" w:line="225" w:lineRule="exact"/>
        <w:rPr>
          <w:rFonts w:ascii="Arial" w:cs="Arial" w:eastAsia="Arial" w:hAnsi="Arial"/>
          <w:sz w:val="18"/>
          <w:szCs w:val="18"/>
          <w:color w:val="auto"/>
        </w:rPr>
      </w:pPr>
    </w:p>
    <w:p>
      <w:pPr>
        <w:ind w:right="300" w:firstLine="1305"/>
        <w:spacing w:after="0" w:line="342" w:lineRule="auto"/>
        <w:tabs>
          <w:tab w:leader="none" w:pos="1955" w:val="left"/>
        </w:tabs>
        <w:numPr>
          <w:ilvl w:val="0"/>
          <w:numId w:val="32"/>
        </w:numPr>
        <w:rPr>
          <w:rFonts w:ascii="Arial" w:cs="Arial" w:eastAsia="Arial" w:hAnsi="Arial"/>
          <w:sz w:val="16"/>
          <w:szCs w:val="16"/>
          <w:color w:val="auto"/>
        </w:rPr>
      </w:pPr>
      <w:r>
        <w:rPr>
          <w:rFonts w:ascii="Arial" w:cs="Arial" w:eastAsia="Arial" w:hAnsi="Arial"/>
          <w:sz w:val="16"/>
          <w:szCs w:val="16"/>
          <w:color w:val="auto"/>
        </w:rPr>
        <w:t>subject to the provisions of Section 7.1, the Trustee shall have the right to decline to follow any such direction if the Trustee in good faith shall, by a Responsible Officer of the Trustee, determine that the proceeding so directed would involve the Trustee in personal liability, and</w:t>
      </w:r>
    </w:p>
    <w:p>
      <w:pPr>
        <w:sectPr>
          <w:pgSz w:w="11900" w:h="16838" w:orient="portrait"/>
          <w:cols w:equalWidth="0" w:num="1">
            <w:col w:w="11380"/>
          </w:cols>
          <w:pgMar w:left="240" w:top="584" w:right="279" w:bottom="0" w:gutter="0" w:footer="0" w:header="0"/>
        </w:sectPr>
      </w:pPr>
    </w:p>
    <w:bookmarkStart w:id="38" w:name="page39"/>
    <w:bookmarkEnd w:id="38"/>
    <w:p>
      <w:pPr>
        <w:ind w:right="40" w:firstLine="1305"/>
        <w:spacing w:after="0" w:line="277" w:lineRule="auto"/>
        <w:tabs>
          <w:tab w:leader="none" w:pos="1952"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prior to taking any action as directed under this Section 6.12, the Trustee shall be entitled to indemnity satisfactory to it against the losses, costs, expenses and liabilities which might be incurred by it in compliance with such request or direction.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6.13</w:t>
      </w:r>
      <w:r>
        <w:rPr>
          <w:sz w:val="20"/>
          <w:szCs w:val="20"/>
          <w:color w:val="auto"/>
        </w:rPr>
        <w:tab/>
      </w:r>
      <w:r>
        <w:rPr>
          <w:rFonts w:ascii="Arial" w:cs="Arial" w:eastAsia="Arial" w:hAnsi="Arial"/>
          <w:sz w:val="16"/>
          <w:szCs w:val="16"/>
          <w:u w:val="single" w:color="auto"/>
          <w:color w:val="auto"/>
        </w:rPr>
        <w:t>Waiver of Past Defaults</w:t>
      </w:r>
      <w:r>
        <w:rPr>
          <w:rFonts w:ascii="Arial" w:cs="Arial" w:eastAsia="Arial" w:hAnsi="Arial"/>
          <w:sz w:val="16"/>
          <w:szCs w:val="16"/>
          <w:color w:val="auto"/>
        </w:rPr>
        <w:t>.</w:t>
      </w:r>
    </w:p>
    <w:p>
      <w:pPr>
        <w:spacing w:after="0" w:line="225" w:lineRule="exact"/>
        <w:rPr>
          <w:sz w:val="20"/>
          <w:szCs w:val="20"/>
          <w:color w:val="auto"/>
        </w:rPr>
      </w:pPr>
    </w:p>
    <w:p>
      <w:pPr>
        <w:ind w:right="20" w:firstLine="881"/>
        <w:spacing w:after="0" w:line="255" w:lineRule="auto"/>
        <w:rPr>
          <w:sz w:val="20"/>
          <w:szCs w:val="20"/>
          <w:color w:val="auto"/>
        </w:rPr>
      </w:pPr>
      <w:r>
        <w:rPr>
          <w:rFonts w:ascii="Arial" w:cs="Arial" w:eastAsia="Arial" w:hAnsi="Arial"/>
          <w:sz w:val="18"/>
          <w:szCs w:val="18"/>
          <w:color w:val="auto"/>
        </w:rPr>
        <w:t>The Holders of not less than a majority in principal amount of the outstanding Securities of any Series may on behalf of the Holders of all the Securities of such Series, by written notice to the Trustee and the Company, waive any past Default hereunder with respect to such Series and its consequences, except a Default in the payment of the principal of or interest on any Security of such Series (provided, however, that the Holders of a majority in principal amount of the outstanding Securities of any Series may rescind an acceleration and its 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89"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6.14</w:t>
      </w:r>
      <w:r>
        <w:rPr>
          <w:sz w:val="20"/>
          <w:szCs w:val="20"/>
          <w:color w:val="auto"/>
        </w:rPr>
        <w:tab/>
      </w:r>
      <w:r>
        <w:rPr>
          <w:rFonts w:ascii="Arial" w:cs="Arial" w:eastAsia="Arial" w:hAnsi="Arial"/>
          <w:sz w:val="16"/>
          <w:szCs w:val="16"/>
          <w:u w:val="single" w:color="auto"/>
          <w:color w:val="auto"/>
        </w:rPr>
        <w:t>Undertaking for Costs</w:t>
      </w:r>
      <w:r>
        <w:rPr>
          <w:rFonts w:ascii="Arial" w:cs="Arial" w:eastAsia="Arial" w:hAnsi="Arial"/>
          <w:sz w:val="16"/>
          <w:szCs w:val="16"/>
          <w:color w:val="auto"/>
        </w:rPr>
        <w:t>.</w:t>
      </w:r>
    </w:p>
    <w:p>
      <w:pPr>
        <w:spacing w:after="0" w:line="225" w:lineRule="exact"/>
        <w:rPr>
          <w:sz w:val="20"/>
          <w:szCs w:val="20"/>
          <w:color w:val="auto"/>
        </w:rPr>
      </w:pPr>
    </w:p>
    <w:p>
      <w:pPr>
        <w:ind w:right="80" w:firstLine="881"/>
        <w:spacing w:after="0" w:line="290" w:lineRule="auto"/>
        <w:rPr>
          <w:sz w:val="20"/>
          <w:szCs w:val="20"/>
          <w:color w:val="auto"/>
        </w:rPr>
      </w:pPr>
      <w:r>
        <w:rPr>
          <w:rFonts w:ascii="Arial" w:cs="Arial" w:eastAsia="Arial" w:hAnsi="Arial"/>
          <w:sz w:val="16"/>
          <w:szCs w:val="16"/>
          <w:color w:val="auto"/>
        </w:rPr>
        <w:t>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Company, to any suit instituted by the Trustee, to any suit instituted by any Holder, or group of Holders, holding in the aggregate more than 10% in principal amount of the outstanding Securities of any Series, or to any suit instituted by any Holder for the enforcement of the payment of the principal of or interest on any Security on or after the Maturity of such Security, including the Stated Maturity expressed in such Security (or, in the case of redemption, on the redemption date).</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TRUSTEE</w:t>
      </w:r>
    </w:p>
    <w:p>
      <w:pPr>
        <w:spacing w:after="0" w:line="21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7.1</w:t>
      </w:r>
      <w:r>
        <w:rPr>
          <w:sz w:val="20"/>
          <w:szCs w:val="20"/>
          <w:color w:val="auto"/>
        </w:rPr>
        <w:tab/>
      </w:r>
      <w:r>
        <w:rPr>
          <w:rFonts w:ascii="Arial" w:cs="Arial" w:eastAsia="Arial" w:hAnsi="Arial"/>
          <w:sz w:val="16"/>
          <w:szCs w:val="16"/>
          <w:u w:val="single" w:color="auto"/>
          <w:color w:val="auto"/>
        </w:rPr>
        <w:t>Duties of Trustee</w:t>
      </w:r>
      <w:r>
        <w:rPr>
          <w:rFonts w:ascii="Arial" w:cs="Arial" w:eastAsia="Arial" w:hAnsi="Arial"/>
          <w:sz w:val="16"/>
          <w:szCs w:val="16"/>
          <w:color w:val="auto"/>
        </w:rPr>
        <w:t>.</w:t>
      </w:r>
    </w:p>
    <w:p>
      <w:pPr>
        <w:spacing w:after="0" w:line="225" w:lineRule="exact"/>
        <w:rPr>
          <w:sz w:val="20"/>
          <w:szCs w:val="20"/>
          <w:color w:val="auto"/>
        </w:rPr>
      </w:pPr>
    </w:p>
    <w:p>
      <w:pPr>
        <w:ind w:right="20" w:firstLine="1305"/>
        <w:spacing w:after="0" w:line="264" w:lineRule="auto"/>
        <w:tabs>
          <w:tab w:leader="none" w:pos="1942"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an Event of Default has occurred and is continuing, the Trustee shall exercise the rights and powers vested in it by this Indenture and use the same degree of care and skill in their exercise as a prudent person would exercise or use under the circumstances in the conduct of such person’s own affairs.</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Except during the continuance of an Event of Default:</w:t>
      </w:r>
    </w:p>
    <w:p>
      <w:pPr>
        <w:spacing w:after="0" w:line="225" w:lineRule="exact"/>
        <w:rPr>
          <w:rFonts w:ascii="Arial" w:cs="Arial" w:eastAsia="Arial" w:hAnsi="Arial"/>
          <w:sz w:val="18"/>
          <w:szCs w:val="18"/>
          <w:color w:val="auto"/>
        </w:rPr>
      </w:pPr>
    </w:p>
    <w:p>
      <w:pPr>
        <w:ind w:left="2620" w:hanging="343"/>
        <w:spacing w:after="0"/>
        <w:tabs>
          <w:tab w:leader="none" w:pos="26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Trustee need perform only those duties that are specifically set forth in this Indenture and no others.</w:t>
      </w:r>
    </w:p>
    <w:p>
      <w:pPr>
        <w:spacing w:after="0" w:line="225" w:lineRule="exact"/>
        <w:rPr>
          <w:rFonts w:ascii="Arial" w:cs="Arial" w:eastAsia="Arial" w:hAnsi="Arial"/>
          <w:sz w:val="18"/>
          <w:szCs w:val="18"/>
          <w:color w:val="auto"/>
        </w:rPr>
      </w:pPr>
    </w:p>
    <w:p>
      <w:pPr>
        <w:ind w:right="680" w:firstLine="2277"/>
        <w:spacing w:after="0" w:line="342" w:lineRule="auto"/>
        <w:tabs>
          <w:tab w:leader="none" w:pos="2624" w:val="left"/>
        </w:tabs>
        <w:numPr>
          <w:ilvl w:val="1"/>
          <w:numId w:val="34"/>
        </w:numPr>
        <w:rPr>
          <w:rFonts w:ascii="Arial" w:cs="Arial" w:eastAsia="Arial" w:hAnsi="Arial"/>
          <w:sz w:val="16"/>
          <w:szCs w:val="16"/>
          <w:color w:val="auto"/>
        </w:rPr>
      </w:pPr>
      <w:r>
        <w:rPr>
          <w:rFonts w:ascii="Arial" w:cs="Arial" w:eastAsia="Arial" w:hAnsi="Arial"/>
          <w:sz w:val="16"/>
          <w:szCs w:val="16"/>
          <w:color w:val="auto"/>
        </w:rPr>
        <w:t>In the absence of bad faith on its part, the Trustee may conclusively rely, as to the truth of the statements and the correctness of the opinions expressed therein, upon Officer’s Certificates or Opinions of Counsel furnished to the Trustee and conforming to the</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requirements of this Indenture; </w:t>
      </w:r>
      <w:r>
        <w:rPr>
          <w:rFonts w:ascii="Arial" w:cs="Arial" w:eastAsia="Arial" w:hAnsi="Arial"/>
          <w:sz w:val="18"/>
          <w:szCs w:val="18"/>
          <w:u w:val="single" w:color="auto"/>
          <w:color w:val="auto"/>
        </w:rPr>
        <w:t>however</w:t>
      </w:r>
      <w:r>
        <w:rPr>
          <w:rFonts w:ascii="Arial" w:cs="Arial" w:eastAsia="Arial" w:hAnsi="Arial"/>
          <w:sz w:val="18"/>
          <w:szCs w:val="18"/>
          <w:color w:val="auto"/>
        </w:rPr>
        <w:t>, in the case of any such Officer’s Certificates or Opinions of Counsel which by any provisions hereof are specifically required to be furnished to the Trustee, the Trustee shall examine such Officer’s Certificates and Opinions of Counsel to determine whether or not they conform to the form requirements of this Indenture (but need not confirm or investigate the accuracy of mathematical calculations or other facts stated therein).</w:t>
      </w:r>
    </w:p>
    <w:p>
      <w:pPr>
        <w:spacing w:after="0" w:line="187" w:lineRule="exact"/>
        <w:rPr>
          <w:sz w:val="20"/>
          <w:szCs w:val="20"/>
          <w:color w:val="auto"/>
        </w:rPr>
      </w:pPr>
    </w:p>
    <w:p>
      <w:pPr>
        <w:ind w:left="1960" w:hanging="655"/>
        <w:spacing w:after="0"/>
        <w:tabs>
          <w:tab w:leader="none" w:pos="19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Trustee may not be relieved from liability for its own negligent action, its own negligent failure to act or its own willful</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misconduct, except that:</w:t>
      </w:r>
    </w:p>
    <w:p>
      <w:pPr>
        <w:spacing w:after="0" w:line="210" w:lineRule="exact"/>
        <w:rPr>
          <w:rFonts w:ascii="Arial" w:cs="Arial" w:eastAsia="Arial" w:hAnsi="Arial"/>
          <w:sz w:val="17"/>
          <w:szCs w:val="17"/>
          <w:color w:val="auto"/>
        </w:rPr>
      </w:pPr>
    </w:p>
    <w:p>
      <w:pPr>
        <w:ind w:left="2620" w:hanging="343"/>
        <w:spacing w:after="0"/>
        <w:tabs>
          <w:tab w:leader="none" w:pos="26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This paragraph does not limit the effect of paragraph (b) of this Section.</w:t>
      </w:r>
    </w:p>
    <w:p>
      <w:pPr>
        <w:spacing w:after="0" w:line="225" w:lineRule="exact"/>
        <w:rPr>
          <w:rFonts w:ascii="Arial" w:cs="Arial" w:eastAsia="Arial" w:hAnsi="Arial"/>
          <w:sz w:val="18"/>
          <w:szCs w:val="18"/>
          <w:color w:val="auto"/>
        </w:rPr>
      </w:pPr>
    </w:p>
    <w:p>
      <w:pPr>
        <w:ind w:right="100" w:firstLine="2277"/>
        <w:spacing w:after="0" w:line="277" w:lineRule="auto"/>
        <w:tabs>
          <w:tab w:leader="none" w:pos="2624"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Trustee shall not be liable for any error of judgment made in good faith by a Responsible Officer, unless it is proved that the Trustee was negligent in ascertaining the pertinent facts.</w:t>
      </w:r>
    </w:p>
    <w:p>
      <w:pPr>
        <w:spacing w:after="0" w:line="170" w:lineRule="exact"/>
        <w:rPr>
          <w:rFonts w:ascii="Arial" w:cs="Arial" w:eastAsia="Arial" w:hAnsi="Arial"/>
          <w:sz w:val="18"/>
          <w:szCs w:val="18"/>
          <w:color w:val="auto"/>
        </w:rPr>
      </w:pPr>
    </w:p>
    <w:p>
      <w:pPr>
        <w:ind w:firstLine="2277"/>
        <w:spacing w:after="0" w:line="279" w:lineRule="auto"/>
        <w:tabs>
          <w:tab w:leader="none" w:pos="2633" w:val="left"/>
        </w:tabs>
        <w:numPr>
          <w:ilvl w:val="1"/>
          <w:numId w:val="35"/>
        </w:numPr>
        <w:rPr>
          <w:rFonts w:ascii="Arial" w:cs="Arial" w:eastAsia="Arial" w:hAnsi="Arial"/>
          <w:sz w:val="17"/>
          <w:szCs w:val="17"/>
          <w:color w:val="auto"/>
        </w:rPr>
      </w:pPr>
      <w:r>
        <w:rPr>
          <w:rFonts w:ascii="Arial" w:cs="Arial" w:eastAsia="Arial" w:hAnsi="Arial"/>
          <w:sz w:val="17"/>
          <w:szCs w:val="17"/>
          <w:color w:val="auto"/>
        </w:rPr>
        <w:t>The Trustee shall not be liable with respect to any action taken, suffered or omitted to be taken by it with respect to Securities of any Series in good faith in accordance with the direction of the Holders of a majority in principal amount of the outstanding Securities of such Series relating to the time, method and place of conducting any proceeding for any remedy available to the Trustee, or exercising any trust or power conferred upon the Trustee, under this Indenture with respect to the Securities of such Series in accordance with Section 6.12.</w:t>
      </w:r>
    </w:p>
    <w:p>
      <w:pPr>
        <w:spacing w:after="0" w:line="171" w:lineRule="exact"/>
        <w:rPr>
          <w:rFonts w:ascii="Arial" w:cs="Arial" w:eastAsia="Arial" w:hAnsi="Arial"/>
          <w:sz w:val="17"/>
          <w:szCs w:val="17"/>
          <w:color w:val="auto"/>
        </w:rPr>
      </w:pPr>
    </w:p>
    <w:p>
      <w:pPr>
        <w:ind w:left="1960" w:hanging="655"/>
        <w:spacing w:after="0"/>
        <w:tabs>
          <w:tab w:leader="none" w:pos="19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Every provision of this Indenture that in any way relates to the Trustee is subject to paragraph (a), (b) and (c) of this Section.</w:t>
      </w:r>
    </w:p>
    <w:p>
      <w:pPr>
        <w:spacing w:after="0" w:line="236" w:lineRule="exact"/>
        <w:rPr>
          <w:rFonts w:ascii="Arial" w:cs="Arial" w:eastAsia="Arial" w:hAnsi="Arial"/>
          <w:sz w:val="17"/>
          <w:szCs w:val="17"/>
          <w:color w:val="auto"/>
        </w:rPr>
      </w:pPr>
    </w:p>
    <w:p>
      <w:pPr>
        <w:ind w:right="240" w:firstLine="1305"/>
        <w:spacing w:after="0" w:line="308" w:lineRule="auto"/>
        <w:tabs>
          <w:tab w:leader="none" w:pos="1955"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Trustee may refuse to perform any duty or exercise any right or power unless it receives indemnity satisfactory to it against the losses, costs, expenses and liabilities which might be incurred by it in performing such duty or exercising such right or power.</w:t>
      </w:r>
    </w:p>
    <w:p>
      <w:pPr>
        <w:spacing w:after="0" w:line="146" w:lineRule="exact"/>
        <w:rPr>
          <w:rFonts w:ascii="Arial" w:cs="Arial" w:eastAsia="Arial" w:hAnsi="Arial"/>
          <w:sz w:val="17"/>
          <w:szCs w:val="17"/>
          <w:color w:val="auto"/>
        </w:rPr>
      </w:pPr>
    </w:p>
    <w:p>
      <w:pPr>
        <w:ind w:right="220" w:firstLine="1305"/>
        <w:spacing w:after="0" w:line="308" w:lineRule="auto"/>
        <w:tabs>
          <w:tab w:leader="none" w:pos="1949"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Trustee shall not be liable for interest or investment on any money received by it except as the Trustee may agree in writing with the Company. Money held in trust by the Trustee need not be segregated from other funds except to the extent required by law.</w:t>
      </w:r>
    </w:p>
    <w:p>
      <w:pPr>
        <w:spacing w:after="0" w:line="146" w:lineRule="exact"/>
        <w:rPr>
          <w:rFonts w:ascii="Arial" w:cs="Arial" w:eastAsia="Arial" w:hAnsi="Arial"/>
          <w:sz w:val="17"/>
          <w:szCs w:val="17"/>
          <w:color w:val="auto"/>
        </w:rPr>
      </w:pPr>
    </w:p>
    <w:p>
      <w:pPr>
        <w:ind w:right="60" w:firstLine="1305"/>
        <w:spacing w:after="0" w:line="277" w:lineRule="auto"/>
        <w:tabs>
          <w:tab w:leader="none" w:pos="1965" w:val="left"/>
        </w:tabs>
        <w:numPr>
          <w:ilvl w:val="0"/>
          <w:numId w:val="35"/>
        </w:numPr>
        <w:rPr>
          <w:rFonts w:ascii="Arial" w:cs="Arial" w:eastAsia="Arial" w:hAnsi="Arial"/>
          <w:sz w:val="18"/>
          <w:szCs w:val="18"/>
          <w:color w:val="auto"/>
        </w:rPr>
      </w:pPr>
      <w:r>
        <w:rPr>
          <w:rFonts w:ascii="Arial" w:cs="Arial" w:eastAsia="Arial" w:hAnsi="Arial"/>
          <w:sz w:val="18"/>
          <w:szCs w:val="18"/>
          <w:color w:val="auto"/>
        </w:rPr>
        <w:t>No provision of this Indenture shall require the Trustee to expend or risk its own funds or otherwise incur any financial liability in the performance of any of its duties, or in the exercise of any of its rights or powers.</w:t>
      </w:r>
    </w:p>
    <w:p>
      <w:pPr>
        <w:sectPr>
          <w:pgSz w:w="11900" w:h="16838" w:orient="portrait"/>
          <w:cols w:equalWidth="0" w:num="1">
            <w:col w:w="11400"/>
          </w:cols>
          <w:pgMar w:left="240" w:top="125" w:right="259" w:bottom="0" w:gutter="0" w:footer="0" w:header="0"/>
        </w:sectPr>
      </w:pPr>
    </w:p>
    <w:bookmarkStart w:id="39" w:name="page40"/>
    <w:bookmarkEnd w:id="39"/>
    <w:p>
      <w:pPr>
        <w:spacing w:after="0" w:line="74" w:lineRule="exact"/>
        <w:rPr>
          <w:sz w:val="20"/>
          <w:szCs w:val="20"/>
          <w:color w:val="auto"/>
        </w:rPr>
      </w:pPr>
    </w:p>
    <w:p>
      <w:pPr>
        <w:ind w:right="60" w:firstLine="1305"/>
        <w:spacing w:after="0" w:line="277" w:lineRule="auto"/>
        <w:tabs>
          <w:tab w:leader="none" w:pos="1952"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Paying Agent, the Registrar and any authenticating agent shall be entitled to the protections and immunities as are set forth in paragraphs (e), (f) and (g) of this Section and in Section 7.2, each with respect to the Trustee.</w:t>
      </w:r>
    </w:p>
    <w:p>
      <w:pPr>
        <w:spacing w:after="0" w:line="17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7.2</w:t>
      </w:r>
      <w:r>
        <w:rPr>
          <w:sz w:val="20"/>
          <w:szCs w:val="20"/>
          <w:color w:val="auto"/>
        </w:rPr>
        <w:tab/>
      </w:r>
      <w:r>
        <w:rPr>
          <w:rFonts w:ascii="Arial" w:cs="Arial" w:eastAsia="Arial" w:hAnsi="Arial"/>
          <w:sz w:val="16"/>
          <w:szCs w:val="16"/>
          <w:u w:val="single" w:color="auto"/>
          <w:color w:val="auto"/>
        </w:rPr>
        <w:t>Rights of Trustee</w:t>
      </w:r>
      <w:r>
        <w:rPr>
          <w:rFonts w:ascii="Arial" w:cs="Arial" w:eastAsia="Arial" w:hAnsi="Arial"/>
          <w:sz w:val="16"/>
          <w:szCs w:val="16"/>
          <w:color w:val="auto"/>
        </w:rPr>
        <w:t>.</w:t>
      </w:r>
    </w:p>
    <w:p>
      <w:pPr>
        <w:spacing w:after="0" w:line="225" w:lineRule="exact"/>
        <w:rPr>
          <w:sz w:val="20"/>
          <w:szCs w:val="20"/>
          <w:color w:val="auto"/>
        </w:rPr>
      </w:pPr>
    </w:p>
    <w:p>
      <w:pPr>
        <w:ind w:right="40" w:firstLine="1305"/>
        <w:spacing w:after="0" w:line="277" w:lineRule="auto"/>
        <w:tabs>
          <w:tab w:leader="none" w:pos="1942"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Trustee may conclusively rely on and shall be protected in acting or refraining from acting upon any document (whether in its original or facsimile form) believed by it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to be genuine and to have been signed or presented by the proper person. The Trustee need not investigate any fact or matter stated in the document.</w:t>
      </w:r>
    </w:p>
    <w:p>
      <w:pPr>
        <w:spacing w:after="0" w:line="237" w:lineRule="exact"/>
        <w:rPr>
          <w:sz w:val="20"/>
          <w:szCs w:val="20"/>
          <w:color w:val="auto"/>
        </w:rPr>
      </w:pPr>
    </w:p>
    <w:p>
      <w:pPr>
        <w:ind w:right="440" w:firstLine="1305"/>
        <w:spacing w:after="0" w:line="308" w:lineRule="auto"/>
        <w:tabs>
          <w:tab w:leader="none" w:pos="1952" w:val="left"/>
        </w:tabs>
        <w:numPr>
          <w:ilvl w:val="0"/>
          <w:numId w:val="38"/>
        </w:numPr>
        <w:rPr>
          <w:rFonts w:ascii="Arial" w:cs="Arial" w:eastAsia="Arial" w:hAnsi="Arial"/>
          <w:sz w:val="17"/>
          <w:szCs w:val="17"/>
          <w:color w:val="auto"/>
        </w:rPr>
      </w:pPr>
      <w:r>
        <w:rPr>
          <w:rFonts w:ascii="Arial" w:cs="Arial" w:eastAsia="Arial" w:hAnsi="Arial"/>
          <w:sz w:val="17"/>
          <w:szCs w:val="17"/>
          <w:color w:val="auto"/>
        </w:rPr>
        <w:t>Before the Trustee acts or refrains from acting, it may require an Officer’s Certificate or an Opinion of Counsel or both. The Trustee shall not be liable for any action it takes or omits to take in good faith in reliance on such Officer’s Certificate or Opinion of Counsel.</w:t>
      </w:r>
    </w:p>
    <w:p>
      <w:pPr>
        <w:spacing w:after="0" w:line="146" w:lineRule="exact"/>
        <w:rPr>
          <w:rFonts w:ascii="Arial" w:cs="Arial" w:eastAsia="Arial" w:hAnsi="Arial"/>
          <w:sz w:val="17"/>
          <w:szCs w:val="17"/>
          <w:color w:val="auto"/>
        </w:rPr>
      </w:pPr>
    </w:p>
    <w:p>
      <w:pPr>
        <w:ind w:right="20" w:firstLine="1305"/>
        <w:spacing w:after="0" w:line="342" w:lineRule="auto"/>
        <w:tabs>
          <w:tab w:leader="none" w:pos="1955"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Trustee may act through agents and shall not be responsible for the misconduct or negligence of any agent appointed with due care. No Depositary shall be deemed an agent of the Trustee and the Trustee shall not be responsible for any act or omission by any Depositary.</w:t>
      </w:r>
    </w:p>
    <w:p>
      <w:pPr>
        <w:spacing w:after="0" w:line="123" w:lineRule="exact"/>
        <w:rPr>
          <w:rFonts w:ascii="Arial" w:cs="Arial" w:eastAsia="Arial" w:hAnsi="Arial"/>
          <w:sz w:val="16"/>
          <w:szCs w:val="16"/>
          <w:color w:val="auto"/>
        </w:rPr>
      </w:pPr>
    </w:p>
    <w:p>
      <w:pPr>
        <w:ind w:right="120" w:firstLine="1305"/>
        <w:spacing w:after="0" w:line="277" w:lineRule="auto"/>
        <w:tabs>
          <w:tab w:leader="none" w:pos="1952"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Trustee shall not be liable for any action it takes or omits to take in good faith which it believes to be authorized or within its rights or powers, provided that the Trustee’s conduct does not constitute willful misconduct or negligence.</w:t>
      </w:r>
    </w:p>
    <w:p>
      <w:pPr>
        <w:spacing w:after="0" w:line="170" w:lineRule="exact"/>
        <w:rPr>
          <w:rFonts w:ascii="Arial" w:cs="Arial" w:eastAsia="Arial" w:hAnsi="Arial"/>
          <w:sz w:val="18"/>
          <w:szCs w:val="18"/>
          <w:color w:val="auto"/>
        </w:rPr>
      </w:pPr>
    </w:p>
    <w:p>
      <w:pPr>
        <w:ind w:right="420" w:firstLine="1305"/>
        <w:spacing w:after="0" w:line="264" w:lineRule="auto"/>
        <w:tabs>
          <w:tab w:leader="none" w:pos="19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Trustee may consult with counsel and the advice of such counsel or any Opinion of Counsel shall be full and complete authorization and protection in respect of any action taken, suffered or omitted by it hereunder without willful misconduct or negligence, and in reliance thereon.</w:t>
      </w:r>
    </w:p>
    <w:p>
      <w:pPr>
        <w:spacing w:after="0" w:line="181" w:lineRule="exact"/>
        <w:rPr>
          <w:rFonts w:ascii="Arial" w:cs="Arial" w:eastAsia="Arial" w:hAnsi="Arial"/>
          <w:sz w:val="18"/>
          <w:szCs w:val="18"/>
          <w:color w:val="auto"/>
        </w:rPr>
      </w:pPr>
    </w:p>
    <w:p>
      <w:pPr>
        <w:ind w:right="240" w:firstLine="1305"/>
        <w:spacing w:after="0" w:line="264" w:lineRule="auto"/>
        <w:tabs>
          <w:tab w:leader="none" w:pos="1949"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Trustee shall be under no obligation to exercise any of the rights or powers vested in it by this Indenture at the request or direction of any of the Holders of Securities unless such Holders shall have offered to the Trustee security or indemnity satisfactory to it against the losses, costs, expenses and liabilities which might be incurred by it in compliance with such request or direction.</w:t>
      </w:r>
    </w:p>
    <w:p>
      <w:pPr>
        <w:spacing w:after="0" w:line="181" w:lineRule="exact"/>
        <w:rPr>
          <w:rFonts w:ascii="Arial" w:cs="Arial" w:eastAsia="Arial" w:hAnsi="Arial"/>
          <w:sz w:val="18"/>
          <w:szCs w:val="18"/>
          <w:color w:val="auto"/>
        </w:rPr>
      </w:pPr>
    </w:p>
    <w:p>
      <w:pPr>
        <w:jc w:val="both"/>
        <w:ind w:right="180" w:firstLine="1305"/>
        <w:spacing w:after="0" w:line="286" w:lineRule="auto"/>
        <w:tabs>
          <w:tab w:leader="none" w:pos="1965"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w:t>
      </w:r>
    </w:p>
    <w:p>
      <w:pPr>
        <w:spacing w:after="0" w:line="165" w:lineRule="exact"/>
        <w:rPr>
          <w:rFonts w:ascii="Arial" w:cs="Arial" w:eastAsia="Arial" w:hAnsi="Arial"/>
          <w:sz w:val="17"/>
          <w:szCs w:val="17"/>
          <w:color w:val="auto"/>
        </w:rPr>
      </w:pPr>
    </w:p>
    <w:p>
      <w:pPr>
        <w:ind w:right="80" w:firstLine="1305"/>
        <w:spacing w:after="0" w:line="286" w:lineRule="auto"/>
        <w:tabs>
          <w:tab w:leader="none" w:pos="1952"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Trustee shall not be deemed to have notice of any Default or Event of Default unless a Responsible Officer of the Trustee has actual knowledge thereof or unless written notice of any event which is in fact such a default is received by the Trustee at the Corporate Trust Office of the Trustee, and such notice references the Securities generally or the Securities of a particular Series and this Indenture.</w:t>
      </w:r>
    </w:p>
    <w:p>
      <w:pPr>
        <w:spacing w:after="0" w:line="165" w:lineRule="exact"/>
        <w:rPr>
          <w:rFonts w:ascii="Arial" w:cs="Arial" w:eastAsia="Arial" w:hAnsi="Arial"/>
          <w:sz w:val="17"/>
          <w:szCs w:val="17"/>
          <w:color w:val="auto"/>
        </w:rPr>
      </w:pPr>
    </w:p>
    <w:p>
      <w:pPr>
        <w:ind w:right="40" w:firstLine="1305"/>
        <w:spacing w:after="0" w:line="264" w:lineRule="auto"/>
        <w:tabs>
          <w:tab w:leader="none" w:pos="1966"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 no event shall the Trustee be liable to any person for special, punitive, indirect, consequential or incidental loss or damage of any kind whatsoever (including but not limited to lost profits), even if the Trustee has been advised of the likelihood of such loss or damage and regardless of the form of action.</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permissive right of the Trustee to take the actions permitted by this Indenture shall not be construed as an obligation or duty to</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do so.</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hanging="655"/>
        <w:spacing w:after="0"/>
        <w:tabs>
          <w:tab w:leader="none" w:pos="1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No bond or surety shall be required with respect to performance of Trustee’s duties and powers.</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Under no circumstances shall the Trustee be liable in its individual capacity for the obligations evidenced by the Notes.</w:t>
      </w:r>
    </w:p>
    <w:p>
      <w:pPr>
        <w:spacing w:after="0" w:line="236" w:lineRule="exact"/>
        <w:rPr>
          <w:rFonts w:ascii="Arial" w:cs="Arial" w:eastAsia="Arial" w:hAnsi="Arial"/>
          <w:sz w:val="17"/>
          <w:szCs w:val="17"/>
          <w:color w:val="auto"/>
        </w:rPr>
      </w:pPr>
    </w:p>
    <w:p>
      <w:pPr>
        <w:ind w:firstLine="1305"/>
        <w:spacing w:after="0" w:line="277" w:lineRule="auto"/>
        <w:tabs>
          <w:tab w:leader="none" w:pos="1948"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request or direction of the Company mentioned herein shall be sufficiently evidenced by a Company Order and any resolution of the Board of Directors may be sufficiently evidenced by a Board Resolution.</w:t>
      </w:r>
    </w:p>
    <w:p>
      <w:pPr>
        <w:spacing w:after="0" w:line="170" w:lineRule="exact"/>
        <w:rPr>
          <w:rFonts w:ascii="Arial" w:cs="Arial" w:eastAsia="Arial" w:hAnsi="Arial"/>
          <w:sz w:val="18"/>
          <w:szCs w:val="18"/>
          <w:color w:val="auto"/>
        </w:rPr>
      </w:pPr>
    </w:p>
    <w:p>
      <w:pPr>
        <w:ind w:right="460" w:firstLine="1305"/>
        <w:spacing w:after="0" w:line="277" w:lineRule="auto"/>
        <w:tabs>
          <w:tab w:leader="none" w:pos="1952"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Trustee may request that the Company deliver a certificate setting forth the names of individuals and/or titles of officers authorized at such time to take specified actions pursuant to this Indenture.</w:t>
      </w:r>
    </w:p>
    <w:p>
      <w:pPr>
        <w:spacing w:after="0" w:line="170" w:lineRule="exact"/>
        <w:rPr>
          <w:rFonts w:ascii="Arial" w:cs="Arial" w:eastAsia="Arial" w:hAnsi="Arial"/>
          <w:sz w:val="18"/>
          <w:szCs w:val="18"/>
          <w:color w:val="auto"/>
        </w:rPr>
      </w:pPr>
    </w:p>
    <w:p>
      <w:pPr>
        <w:ind w:right="500" w:firstLine="1305"/>
        <w:spacing w:after="0" w:line="264" w:lineRule="auto"/>
        <w:tabs>
          <w:tab w:leader="none" w:pos="1952"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rights, privileges, protections, immunities and benefits given to the Trustee, including, without limitation, its right to be indemnified, are extended to, and shall be enforceable by, the Trustee in each of its capacities hereunder, and each agent, custodian and other Person employed to act hereunder.</w:t>
      </w:r>
    </w:p>
    <w:p>
      <w:pPr>
        <w:spacing w:after="0" w:line="18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7.3</w:t>
      </w:r>
      <w:r>
        <w:rPr>
          <w:sz w:val="20"/>
          <w:szCs w:val="20"/>
          <w:color w:val="auto"/>
        </w:rPr>
        <w:tab/>
      </w:r>
      <w:r>
        <w:rPr>
          <w:rFonts w:ascii="Arial" w:cs="Arial" w:eastAsia="Arial" w:hAnsi="Arial"/>
          <w:sz w:val="16"/>
          <w:szCs w:val="16"/>
          <w:u w:val="single" w:color="auto"/>
          <w:color w:val="auto"/>
        </w:rPr>
        <w:t>Individual Rights of Trustee</w:t>
      </w:r>
      <w:r>
        <w:rPr>
          <w:rFonts w:ascii="Arial" w:cs="Arial" w:eastAsia="Arial" w:hAnsi="Arial"/>
          <w:sz w:val="16"/>
          <w:szCs w:val="16"/>
          <w:color w:val="auto"/>
        </w:rPr>
        <w:t>.</w:t>
      </w:r>
    </w:p>
    <w:p>
      <w:pPr>
        <w:spacing w:after="0" w:line="225" w:lineRule="exact"/>
        <w:rPr>
          <w:sz w:val="20"/>
          <w:szCs w:val="20"/>
          <w:color w:val="auto"/>
        </w:rPr>
      </w:pPr>
    </w:p>
    <w:p>
      <w:pPr>
        <w:ind w:right="120" w:firstLine="881"/>
        <w:spacing w:after="0" w:line="264" w:lineRule="auto"/>
        <w:rPr>
          <w:sz w:val="20"/>
          <w:szCs w:val="20"/>
          <w:color w:val="auto"/>
        </w:rPr>
      </w:pPr>
      <w:r>
        <w:rPr>
          <w:rFonts w:ascii="Arial" w:cs="Arial" w:eastAsia="Arial" w:hAnsi="Arial"/>
          <w:sz w:val="18"/>
          <w:szCs w:val="18"/>
          <w:color w:val="auto"/>
        </w:rPr>
        <w:t>The Trustee in its individual or any other capacity may become the owner or pledgee of Securities and may otherwise deal with the Company or an Affiliate of the Company with the same rights it would have if it were not Trustee. Any Agent may do the same with like rights. The Trustee is also subject to Sections 7.10 and 7.11.</w:t>
      </w:r>
    </w:p>
    <w:p>
      <w:pPr>
        <w:spacing w:after="0" w:line="18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7.4</w:t>
      </w:r>
      <w:r>
        <w:rPr>
          <w:sz w:val="20"/>
          <w:szCs w:val="20"/>
          <w:color w:val="auto"/>
        </w:rPr>
        <w:tab/>
      </w:r>
      <w:r>
        <w:rPr>
          <w:rFonts w:ascii="Arial" w:cs="Arial" w:eastAsia="Arial" w:hAnsi="Arial"/>
          <w:sz w:val="16"/>
          <w:szCs w:val="16"/>
          <w:u w:val="single" w:color="auto"/>
          <w:color w:val="auto"/>
        </w:rPr>
        <w:t>Trustee’s Disclaimer</w:t>
      </w:r>
      <w:r>
        <w:rPr>
          <w:rFonts w:ascii="Arial" w:cs="Arial" w:eastAsia="Arial" w:hAnsi="Arial"/>
          <w:sz w:val="16"/>
          <w:szCs w:val="16"/>
          <w:color w:val="auto"/>
        </w:rPr>
        <w:t>.</w:t>
      </w:r>
    </w:p>
    <w:p>
      <w:pPr>
        <w:spacing w:after="0" w:line="225" w:lineRule="exact"/>
        <w:rPr>
          <w:sz w:val="20"/>
          <w:szCs w:val="20"/>
          <w:color w:val="auto"/>
        </w:rPr>
      </w:pPr>
    </w:p>
    <w:p>
      <w:pPr>
        <w:ind w:right="340" w:firstLine="881"/>
        <w:spacing w:after="0" w:line="259" w:lineRule="auto"/>
        <w:rPr>
          <w:sz w:val="20"/>
          <w:szCs w:val="20"/>
          <w:color w:val="auto"/>
        </w:rPr>
      </w:pPr>
      <w:r>
        <w:rPr>
          <w:rFonts w:ascii="Arial" w:cs="Arial" w:eastAsia="Arial" w:hAnsi="Arial"/>
          <w:sz w:val="18"/>
          <w:szCs w:val="18"/>
          <w:color w:val="auto"/>
        </w:rPr>
        <w:t>The Trustee makes no representation as to the validity or adequacy of this Indenture or the Securities, it shall not be accountable for the Company’s use of the proceeds from the Securities, and it shall not be responsible for any statement in the Securities other than its authentication. The recitals contained herein and in the Securities, except the Trustee’s certificates of authentication, shall be taken as the statements of the Company, and the Trustee or any Authenticating Agent assumes no responsibility for their correctness.</w:t>
      </w:r>
    </w:p>
    <w:p>
      <w:pPr>
        <w:sectPr>
          <w:pgSz w:w="11900" w:h="16912" w:orient="portrait"/>
          <w:cols w:equalWidth="0" w:num="1">
            <w:col w:w="11380"/>
          </w:cols>
          <w:pgMar w:left="240" w:top="125" w:right="279" w:bottom="0" w:gutter="0" w:footer="0" w:header="0"/>
        </w:sectPr>
      </w:pPr>
    </w:p>
    <w:bookmarkStart w:id="40" w:name="page41"/>
    <w:bookmarkEnd w:id="40"/>
    <w:p>
      <w:pPr>
        <w:ind w:left="660"/>
        <w:spacing w:after="0"/>
        <w:tabs>
          <w:tab w:leader="none" w:pos="1940" w:val="left"/>
        </w:tabs>
        <w:rPr>
          <w:sz w:val="20"/>
          <w:szCs w:val="20"/>
          <w:color w:val="auto"/>
        </w:rPr>
      </w:pPr>
      <w:r>
        <w:rPr>
          <w:rFonts w:ascii="Arial" w:cs="Arial" w:eastAsia="Arial" w:hAnsi="Arial"/>
          <w:sz w:val="18"/>
          <w:szCs w:val="18"/>
          <w:color w:val="auto"/>
        </w:rPr>
        <w:t>Section 7.5</w:t>
      </w:r>
      <w:r>
        <w:rPr>
          <w:sz w:val="20"/>
          <w:szCs w:val="20"/>
          <w:color w:val="auto"/>
        </w:rPr>
        <w:tab/>
      </w:r>
      <w:r>
        <w:rPr>
          <w:rFonts w:ascii="Arial" w:cs="Arial" w:eastAsia="Arial" w:hAnsi="Arial"/>
          <w:sz w:val="16"/>
          <w:szCs w:val="16"/>
          <w:u w:val="single" w:color="auto"/>
          <w:color w:val="auto"/>
        </w:rPr>
        <w:t>Notice of Defaults</w:t>
      </w:r>
      <w:r>
        <w:rPr>
          <w:rFonts w:ascii="Arial" w:cs="Arial" w:eastAsia="Arial" w:hAnsi="Arial"/>
          <w:sz w:val="16"/>
          <w:szCs w:val="16"/>
          <w:color w:val="auto"/>
        </w:rPr>
        <w:t>.</w:t>
      </w:r>
    </w:p>
    <w:p>
      <w:pPr>
        <w:spacing w:after="0" w:line="225" w:lineRule="exact"/>
        <w:rPr>
          <w:sz w:val="20"/>
          <w:szCs w:val="20"/>
          <w:color w:val="auto"/>
        </w:rPr>
      </w:pPr>
    </w:p>
    <w:p>
      <w:pPr>
        <w:ind w:firstLine="881"/>
        <w:spacing w:after="0" w:line="257" w:lineRule="auto"/>
        <w:rPr>
          <w:sz w:val="20"/>
          <w:szCs w:val="20"/>
          <w:color w:val="auto"/>
        </w:rPr>
      </w:pPr>
      <w:r>
        <w:rPr>
          <w:rFonts w:ascii="Arial" w:cs="Arial" w:eastAsia="Arial" w:hAnsi="Arial"/>
          <w:sz w:val="18"/>
          <w:szCs w:val="18"/>
          <w:color w:val="auto"/>
        </w:rPr>
        <w:t>If a Default or Event of Default occurs and is continuing with respect to the Securities of any Series and if it is actually known to a Responsible Officer of the Trustee, the Trustee shall send to each Securityholder of the Securities of that Series notice of a Default or Event of Default within 90 days after it occurs or, if later, after a Responsible Officer of the Trustee has knowledge of such Default or Event of Default. Except in the case of a Default or Event of Default in payment of principal of or interest on any Security of any Series, the Trustee may withhold the notice if and so long as it in good faith determines that withholding the notice is in the interests of Securityholders of that Series.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7.6</w:t>
      </w:r>
      <w:r>
        <w:rPr>
          <w:sz w:val="20"/>
          <w:szCs w:val="20"/>
          <w:color w:val="auto"/>
        </w:rPr>
        <w:tab/>
      </w:r>
      <w:r>
        <w:rPr>
          <w:rFonts w:ascii="Arial" w:cs="Arial" w:eastAsia="Arial" w:hAnsi="Arial"/>
          <w:sz w:val="16"/>
          <w:szCs w:val="16"/>
          <w:u w:val="single" w:color="auto"/>
          <w:color w:val="auto"/>
        </w:rPr>
        <w:t>Reports by Trustee to Holders</w:t>
      </w:r>
      <w:r>
        <w:rPr>
          <w:rFonts w:ascii="Arial" w:cs="Arial" w:eastAsia="Arial" w:hAnsi="Arial"/>
          <w:sz w:val="16"/>
          <w:szCs w:val="16"/>
          <w:color w:val="auto"/>
        </w:rPr>
        <w:t>.</w:t>
      </w:r>
    </w:p>
    <w:p>
      <w:pPr>
        <w:spacing w:after="0" w:line="225" w:lineRule="exact"/>
        <w:rPr>
          <w:sz w:val="20"/>
          <w:szCs w:val="20"/>
          <w:color w:val="auto"/>
        </w:rPr>
      </w:pPr>
    </w:p>
    <w:p>
      <w:pPr>
        <w:ind w:right="160" w:firstLine="881"/>
        <w:spacing w:after="0" w:line="342" w:lineRule="auto"/>
        <w:rPr>
          <w:sz w:val="20"/>
          <w:szCs w:val="20"/>
          <w:color w:val="auto"/>
        </w:rPr>
      </w:pPr>
      <w:r>
        <w:rPr>
          <w:rFonts w:ascii="Arial" w:cs="Arial" w:eastAsia="Arial" w:hAnsi="Arial"/>
          <w:sz w:val="16"/>
          <w:szCs w:val="16"/>
          <w:color w:val="auto"/>
        </w:rPr>
        <w:t>Within 60 days after each June 1, commencing [·], the Trustee shall transmit by mail to all Securityholders, as their names and addresses appear on the register kept by the Registrar, a brief report dated as of such anniversary date, in accordance with, and to the extent required under, TIA § 313.</w:t>
      </w:r>
    </w:p>
    <w:p>
      <w:pPr>
        <w:spacing w:after="0" w:line="124" w:lineRule="exact"/>
        <w:rPr>
          <w:sz w:val="20"/>
          <w:szCs w:val="20"/>
          <w:color w:val="auto"/>
        </w:rPr>
      </w:pPr>
    </w:p>
    <w:p>
      <w:pPr>
        <w:ind w:right="60" w:firstLine="881"/>
        <w:spacing w:after="0" w:line="264" w:lineRule="auto"/>
        <w:rPr>
          <w:sz w:val="20"/>
          <w:szCs w:val="20"/>
          <w:color w:val="auto"/>
        </w:rPr>
      </w:pPr>
      <w:r>
        <w:rPr>
          <w:rFonts w:ascii="Arial" w:cs="Arial" w:eastAsia="Arial" w:hAnsi="Arial"/>
          <w:sz w:val="18"/>
          <w:szCs w:val="18"/>
          <w:color w:val="auto"/>
        </w:rPr>
        <w:t>A copy of each report at the time of its mailing to Securityholders of any Series shall be filed with the SEC and each national securities exchange on which the Securities of that Series are listed. The Company shall promptly notify the Trustee in writing when Securities of any Series are listed on any national securities exchange or delisted from any national securities exchange.</w:t>
      </w:r>
    </w:p>
    <w:p>
      <w:pPr>
        <w:spacing w:after="0" w:line="18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7.7</w:t>
      </w:r>
      <w:r>
        <w:rPr>
          <w:sz w:val="20"/>
          <w:szCs w:val="20"/>
          <w:color w:val="auto"/>
        </w:rPr>
        <w:tab/>
      </w:r>
      <w:r>
        <w:rPr>
          <w:rFonts w:ascii="Arial" w:cs="Arial" w:eastAsia="Arial" w:hAnsi="Arial"/>
          <w:sz w:val="16"/>
          <w:szCs w:val="16"/>
          <w:u w:val="single" w:color="auto"/>
          <w:color w:val="auto"/>
        </w:rPr>
        <w:t>Compensation and Indemnity</w:t>
      </w:r>
      <w:r>
        <w:rPr>
          <w:rFonts w:ascii="Arial" w:cs="Arial" w:eastAsia="Arial" w:hAnsi="Arial"/>
          <w:sz w:val="16"/>
          <w:szCs w:val="16"/>
          <w:color w:val="auto"/>
        </w:rPr>
        <w:t>.</w:t>
      </w:r>
    </w:p>
    <w:p>
      <w:pPr>
        <w:spacing w:after="0" w:line="225" w:lineRule="exact"/>
        <w:rPr>
          <w:sz w:val="20"/>
          <w:szCs w:val="20"/>
          <w:color w:val="auto"/>
        </w:rPr>
      </w:pPr>
    </w:p>
    <w:p>
      <w:pPr>
        <w:ind w:right="280" w:firstLine="881"/>
        <w:spacing w:after="0" w:line="259" w:lineRule="auto"/>
        <w:rPr>
          <w:sz w:val="20"/>
          <w:szCs w:val="20"/>
          <w:color w:val="auto"/>
        </w:rPr>
      </w:pPr>
      <w:r>
        <w:rPr>
          <w:rFonts w:ascii="Arial" w:cs="Arial" w:eastAsia="Arial" w:hAnsi="Arial"/>
          <w:sz w:val="18"/>
          <w:szCs w:val="18"/>
          <w:color w:val="auto"/>
        </w:rPr>
        <w:t>The Company shall pay to the Trustee from time to time compensation for its services as the Company and the Trustee shall from time to time agree upon in writing. The Trustee’s compensation shall not be limited by any law on compensation of a trustee of an express trust. The Company shall reimburse the Trustee upon request for all reasonable out of pocket expenses incurred by it. Such expenses shall include the reasonable compensation and expenses of the Trustee’s agents and counsel.</w:t>
      </w:r>
    </w:p>
    <w:p>
      <w:pPr>
        <w:spacing w:after="0" w:line="187" w:lineRule="exact"/>
        <w:rPr>
          <w:sz w:val="20"/>
          <w:szCs w:val="20"/>
          <w:color w:val="auto"/>
        </w:rPr>
      </w:pPr>
    </w:p>
    <w:p>
      <w:pPr>
        <w:ind w:right="40" w:firstLine="881"/>
        <w:spacing w:after="0" w:line="271" w:lineRule="auto"/>
        <w:rPr>
          <w:sz w:val="20"/>
          <w:szCs w:val="20"/>
          <w:color w:val="auto"/>
        </w:rPr>
      </w:pPr>
      <w:r>
        <w:rPr>
          <w:rFonts w:ascii="Arial" w:cs="Arial" w:eastAsia="Arial" w:hAnsi="Arial"/>
          <w:sz w:val="17"/>
          <w:szCs w:val="17"/>
          <w:color w:val="auto"/>
        </w:rPr>
        <w:t>The Company shall indemnify each of the Trustee and any predecessor Trustee (including for the cost of defending itself) against any cost, damages, losses, expense or liability, including taxes (other than taxes based upon, measured by or determined by the income of the Trustee) incurred by it except as set forth in the next paragraph in the performance of its duties under this Indenture or in connection with its acceptance of its obligations hereunder, as Trustee or Agent. The Trustee shall notify the Company promptly of any claim for which it may seek indemnity. Failure by the Trustee to so notify the Company shall not relieve the Company of its obligations hereunder, unless and to the extent that the Company is materially prejudiced thereby. The Company shall defend the claim and the Trustee shall cooperate in the defense. The Trustee may have one separate counsel and the Company shall pay the reasonable fees and expenses of such counsel. The Company need not pay for any settlement made without its consent, which consent will not be unreasonably withheld. This indemnification shall apply to officers, directors, employees, shareholders and agents of the Trustee.</w:t>
      </w:r>
    </w:p>
    <w:p>
      <w:pPr>
        <w:spacing w:after="0" w:line="179" w:lineRule="exact"/>
        <w:rPr>
          <w:sz w:val="20"/>
          <w:szCs w:val="20"/>
          <w:color w:val="auto"/>
        </w:rPr>
      </w:pPr>
    </w:p>
    <w:p>
      <w:pPr>
        <w:ind w:right="520" w:firstLine="881"/>
        <w:spacing w:after="0" w:line="342" w:lineRule="auto"/>
        <w:rPr>
          <w:sz w:val="20"/>
          <w:szCs w:val="20"/>
          <w:color w:val="auto"/>
        </w:rPr>
      </w:pPr>
      <w:r>
        <w:rPr>
          <w:rFonts w:ascii="Arial" w:cs="Arial" w:eastAsia="Arial" w:hAnsi="Arial"/>
          <w:sz w:val="16"/>
          <w:szCs w:val="16"/>
          <w:color w:val="auto"/>
        </w:rPr>
        <w:t>The Company need not reimburse any expense or indemnify against any loss or liability incurred by the Trustee or by any officer, director, employee, shareholder or agent of the Trustee through willful misconduct or negligence, as finally adjudicated by a court of competent jurisdiction.</w:t>
      </w:r>
    </w:p>
    <w:p>
      <w:pPr>
        <w:spacing w:after="0" w:line="124" w:lineRule="exact"/>
        <w:rPr>
          <w:sz w:val="20"/>
          <w:szCs w:val="20"/>
          <w:color w:val="auto"/>
        </w:rPr>
      </w:pPr>
    </w:p>
    <w:p>
      <w:pPr>
        <w:ind w:right="120" w:firstLine="881"/>
        <w:spacing w:after="0" w:line="308" w:lineRule="auto"/>
        <w:rPr>
          <w:sz w:val="20"/>
          <w:szCs w:val="20"/>
          <w:color w:val="auto"/>
        </w:rPr>
      </w:pPr>
      <w:r>
        <w:rPr>
          <w:rFonts w:ascii="Arial" w:cs="Arial" w:eastAsia="Arial" w:hAnsi="Arial"/>
          <w:sz w:val="17"/>
          <w:szCs w:val="17"/>
          <w:color w:val="auto"/>
        </w:rPr>
        <w:t>To secure the Company’s payment obligations in this Section, the Trustee shall have a claim prior to the Securities of any Series on all money or property held or collected by the Trustee, except that held in trust to pay principal of and interest on particular Securities of that Series.</w:t>
      </w:r>
    </w:p>
    <w:p>
      <w:pPr>
        <w:spacing w:after="0" w:line="147" w:lineRule="exact"/>
        <w:rPr>
          <w:sz w:val="20"/>
          <w:szCs w:val="20"/>
          <w:color w:val="auto"/>
        </w:rPr>
      </w:pPr>
    </w:p>
    <w:p>
      <w:pPr>
        <w:ind w:right="360" w:firstLine="881"/>
        <w:spacing w:after="0" w:line="277" w:lineRule="auto"/>
        <w:rPr>
          <w:sz w:val="20"/>
          <w:szCs w:val="20"/>
          <w:color w:val="auto"/>
        </w:rPr>
      </w:pPr>
      <w:r>
        <w:rPr>
          <w:rFonts w:ascii="Arial" w:cs="Arial" w:eastAsia="Arial" w:hAnsi="Arial"/>
          <w:sz w:val="18"/>
          <w:szCs w:val="18"/>
          <w:color w:val="auto"/>
        </w:rPr>
        <w:t>When the Trustee incurs expenses or renders services after an Event of Default specified in Section 6.1(d) or (e) occurs, the expenses and the compensation for the services are intended to constitute expenses of administration under any Bankruptcy Law.</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provisions of this Section shall survive the termination of this Indenture or the resignation or removal of the Trustee.</w:t>
      </w:r>
    </w:p>
    <w:p>
      <w:pPr>
        <w:spacing w:after="0" w:line="22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7.8</w:t>
      </w:r>
      <w:r>
        <w:rPr>
          <w:sz w:val="20"/>
          <w:szCs w:val="20"/>
          <w:color w:val="auto"/>
        </w:rPr>
        <w:tab/>
      </w:r>
      <w:r>
        <w:rPr>
          <w:rFonts w:ascii="Arial" w:cs="Arial" w:eastAsia="Arial" w:hAnsi="Arial"/>
          <w:sz w:val="16"/>
          <w:szCs w:val="16"/>
          <w:u w:val="single" w:color="auto"/>
          <w:color w:val="auto"/>
        </w:rPr>
        <w:t>Replacement of Trustee</w:t>
      </w:r>
      <w:r>
        <w:rPr>
          <w:rFonts w:ascii="Arial" w:cs="Arial" w:eastAsia="Arial" w:hAnsi="Arial"/>
          <w:sz w:val="16"/>
          <w:szCs w:val="16"/>
          <w:color w:val="auto"/>
        </w:rPr>
        <w:t>.</w:t>
      </w:r>
    </w:p>
    <w:p>
      <w:pPr>
        <w:spacing w:after="0" w:line="225" w:lineRule="exact"/>
        <w:rPr>
          <w:sz w:val="20"/>
          <w:szCs w:val="20"/>
          <w:color w:val="auto"/>
        </w:rPr>
      </w:pPr>
    </w:p>
    <w:p>
      <w:pPr>
        <w:ind w:right="660" w:firstLine="881"/>
        <w:spacing w:after="0" w:line="277" w:lineRule="auto"/>
        <w:rPr>
          <w:sz w:val="20"/>
          <w:szCs w:val="20"/>
          <w:color w:val="auto"/>
        </w:rPr>
      </w:pPr>
      <w:r>
        <w:rPr>
          <w:rFonts w:ascii="Arial" w:cs="Arial" w:eastAsia="Arial" w:hAnsi="Arial"/>
          <w:sz w:val="18"/>
          <w:szCs w:val="18"/>
          <w:color w:val="auto"/>
        </w:rPr>
        <w:t>A resignation or removal of the Trustee and appointment of a successor Trustee shall become effective only upon the successor Trustee’s acceptance of appointment as provided in this Section.</w:t>
      </w:r>
    </w:p>
    <w:p>
      <w:pPr>
        <w:spacing w:after="0" w:line="170" w:lineRule="exact"/>
        <w:rPr>
          <w:sz w:val="20"/>
          <w:szCs w:val="20"/>
          <w:color w:val="auto"/>
        </w:rPr>
      </w:pPr>
    </w:p>
    <w:p>
      <w:pPr>
        <w:jc w:val="both"/>
        <w:ind w:right="80" w:firstLine="881"/>
        <w:spacing w:after="0" w:line="259" w:lineRule="auto"/>
        <w:rPr>
          <w:sz w:val="20"/>
          <w:szCs w:val="20"/>
          <w:color w:val="auto"/>
        </w:rPr>
      </w:pPr>
      <w:r>
        <w:rPr>
          <w:rFonts w:ascii="Arial" w:cs="Arial" w:eastAsia="Arial" w:hAnsi="Arial"/>
          <w:sz w:val="18"/>
          <w:szCs w:val="18"/>
          <w:color w:val="auto"/>
        </w:rPr>
        <w:t>The Trustee may resign with respect to the Securities of one or more Series by so notifying the Company at least 30 days prior to the date of the proposed resignation. The Holders of a majority in principal amount of the Securities of any Series may remove the Trustee with respect to that Series by so notifying the Trustee and the Company in writing at least 30 days prior to such removal. The Company may remove the Trustee with respect to Securities of one or more Series with at least 30 days written notice if:</w:t>
      </w:r>
    </w:p>
    <w:p>
      <w:pPr>
        <w:spacing w:after="0" w:line="187" w:lineRule="exact"/>
        <w:rPr>
          <w:sz w:val="20"/>
          <w:szCs w:val="20"/>
          <w:color w:val="auto"/>
        </w:rPr>
      </w:pPr>
    </w:p>
    <w:p>
      <w:pPr>
        <w:ind w:left="1940" w:hanging="635"/>
        <w:spacing w:after="0"/>
        <w:tabs>
          <w:tab w:leader="none" w:pos="19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Trustee fails to comply with Section 7.10;</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Trustee is adjudged a bankrupt or an insolvent or an order for relief is entered with respect to the Trustee under any Bankruptcy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Law;</w:t>
      </w:r>
    </w:p>
    <w:p>
      <w:pPr>
        <w:spacing w:after="0" w:line="211" w:lineRule="exact"/>
        <w:rPr>
          <w:sz w:val="20"/>
          <w:szCs w:val="20"/>
          <w:color w:val="auto"/>
        </w:rPr>
      </w:pPr>
    </w:p>
    <w:p>
      <w:pPr>
        <w:ind w:left="1960" w:hanging="655"/>
        <w:spacing w:after="0"/>
        <w:tabs>
          <w:tab w:leader="none" w:pos="1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Custodian or public officer takes charge of the Trustee or its property; or</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Trustee becomes incapable of acting.</w:t>
      </w:r>
    </w:p>
    <w:p>
      <w:pPr>
        <w:spacing w:after="0" w:line="225" w:lineRule="exact"/>
        <w:rPr>
          <w:sz w:val="20"/>
          <w:szCs w:val="20"/>
          <w:color w:val="auto"/>
        </w:rPr>
      </w:pPr>
    </w:p>
    <w:p>
      <w:pPr>
        <w:ind w:right="40" w:firstLine="881"/>
        <w:spacing w:after="0" w:line="264" w:lineRule="auto"/>
        <w:rPr>
          <w:sz w:val="20"/>
          <w:szCs w:val="20"/>
          <w:color w:val="auto"/>
        </w:rPr>
      </w:pPr>
      <w:r>
        <w:rPr>
          <w:rFonts w:ascii="Arial" w:cs="Arial" w:eastAsia="Arial" w:hAnsi="Arial"/>
          <w:sz w:val="18"/>
          <w:szCs w:val="18"/>
          <w:color w:val="auto"/>
        </w:rPr>
        <w:t>If the Trustee resigns or is removed or if a vacancy exists in the office of Trustee for any reason, the Company shall promptly appoint a successor Trustee. Within one year after the successor Trustee takes office, the Holders of a majority in principal amount of the then-outstanding Securities may appoint a successor Trustee to replace the successor Trustee appointed by the Company.</w:t>
      </w:r>
    </w:p>
    <w:p>
      <w:pPr>
        <w:sectPr>
          <w:pgSz w:w="11900" w:h="16838" w:orient="portrait"/>
          <w:cols w:equalWidth="0" w:num="1">
            <w:col w:w="11400"/>
          </w:cols>
          <w:pgMar w:left="240" w:top="341" w:right="259" w:bottom="0" w:gutter="0" w:footer="0" w:header="0"/>
        </w:sectPr>
      </w:pPr>
    </w:p>
    <w:bookmarkStart w:id="41" w:name="page42"/>
    <w:bookmarkEnd w:id="41"/>
    <w:p>
      <w:pPr>
        <w:ind w:right="40" w:firstLine="881"/>
        <w:spacing w:after="0" w:line="264" w:lineRule="auto"/>
        <w:rPr>
          <w:sz w:val="20"/>
          <w:szCs w:val="20"/>
          <w:color w:val="auto"/>
        </w:rPr>
      </w:pPr>
      <w:r>
        <w:rPr>
          <w:rFonts w:ascii="Arial" w:cs="Arial" w:eastAsia="Arial" w:hAnsi="Arial"/>
          <w:sz w:val="18"/>
          <w:szCs w:val="18"/>
          <w:color w:val="auto"/>
        </w:rPr>
        <w:t>If a successor Trustee with respect to the Securities of any one or more Series does not take office within 60 days after the retiring Trustee resigns or is removed, the retiring Trustee, the Company or the Holders of at least a majority in principal amount of the Securities of the applicable Series may petition any court of competent jurisdiction for the appointment of a successor Trustee.</w:t>
      </w:r>
    </w:p>
    <w:p>
      <w:pPr>
        <w:spacing w:after="0" w:line="181" w:lineRule="exact"/>
        <w:rPr>
          <w:sz w:val="20"/>
          <w:szCs w:val="20"/>
          <w:color w:val="auto"/>
        </w:rPr>
      </w:pPr>
    </w:p>
    <w:p>
      <w:pPr>
        <w:ind w:firstLine="881"/>
        <w:spacing w:after="0" w:line="272" w:lineRule="auto"/>
        <w:rPr>
          <w:sz w:val="20"/>
          <w:szCs w:val="20"/>
          <w:color w:val="auto"/>
        </w:rPr>
      </w:pPr>
      <w:r>
        <w:rPr>
          <w:rFonts w:ascii="Arial" w:cs="Arial" w:eastAsia="Arial" w:hAnsi="Arial"/>
          <w:sz w:val="17"/>
          <w:szCs w:val="17"/>
          <w:color w:val="auto"/>
        </w:rPr>
        <w:t>A successor Trustee shall deliver a written acceptance of its appointment to the retiring Trustee and to the Company. Promptly after that, the retiring Trustee shall transfer all property held by it as Trustee to the successor Trustee subject to the claim provided for in Section 7.7, the resignation or removal of the retiring Trustee shall become effective, and the successor Trustee shall have all the rights, powers and duties of the Trustee with respect to each Series of Securities for which it is acting as Trustee under this Indenture. A successor Trustee shall mail a notice of its succession to each Securityholder of each such Series. Notwithstanding replacement of the Trustee pursuant to this Section 7.8, the Company’s obligations under Section 7.7 hereof shall continue for the benefit of the retiring Trustee with respect to expenses and liabilities incurred by it for actions taken or omitted to be taken in accordance with its rights, powers and duties under this Indenture prior to such replacement.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7.9</w:t>
      </w:r>
      <w:r>
        <w:rPr>
          <w:sz w:val="20"/>
          <w:szCs w:val="20"/>
          <w:color w:val="auto"/>
        </w:rPr>
        <w:tab/>
      </w:r>
      <w:r>
        <w:rPr>
          <w:rFonts w:ascii="Arial" w:cs="Arial" w:eastAsia="Arial" w:hAnsi="Arial"/>
          <w:sz w:val="15"/>
          <w:szCs w:val="15"/>
          <w:u w:val="single" w:color="auto"/>
          <w:color w:val="auto"/>
        </w:rPr>
        <w:t>Successor Trustee by Merger, Etc</w:t>
      </w:r>
      <w:r>
        <w:rPr>
          <w:rFonts w:ascii="Arial" w:cs="Arial" w:eastAsia="Arial" w:hAnsi="Arial"/>
          <w:sz w:val="15"/>
          <w:szCs w:val="15"/>
          <w:color w:val="auto"/>
        </w:rPr>
        <w:t>.</w:t>
      </w:r>
    </w:p>
    <w:p>
      <w:pPr>
        <w:spacing w:after="0" w:line="225" w:lineRule="exact"/>
        <w:rPr>
          <w:sz w:val="20"/>
          <w:szCs w:val="20"/>
          <w:color w:val="auto"/>
        </w:rPr>
      </w:pPr>
    </w:p>
    <w:p>
      <w:pPr>
        <w:ind w:right="100" w:firstLine="881"/>
        <w:spacing w:after="0" w:line="277" w:lineRule="auto"/>
        <w:rPr>
          <w:sz w:val="20"/>
          <w:szCs w:val="20"/>
          <w:color w:val="auto"/>
        </w:rPr>
      </w:pPr>
      <w:r>
        <w:rPr>
          <w:rFonts w:ascii="Arial" w:cs="Arial" w:eastAsia="Arial" w:hAnsi="Arial"/>
          <w:sz w:val="18"/>
          <w:szCs w:val="18"/>
          <w:color w:val="auto"/>
        </w:rPr>
        <w:t>If the Trustee consolidates with, merges or converts into, or transfers all or substantially all of its corporate trust business to, another corporation, the successor corporation without any further act shall be the successor Trustee, subject to Section 7.10.</w:t>
      </w:r>
    </w:p>
    <w:p>
      <w:pPr>
        <w:spacing w:after="0" w:line="170"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7.10</w:t>
      </w:r>
      <w:r>
        <w:rPr>
          <w:sz w:val="20"/>
          <w:szCs w:val="20"/>
          <w:color w:val="auto"/>
        </w:rPr>
        <w:tab/>
      </w:r>
      <w:r>
        <w:rPr>
          <w:rFonts w:ascii="Arial" w:cs="Arial" w:eastAsia="Arial" w:hAnsi="Arial"/>
          <w:sz w:val="17"/>
          <w:szCs w:val="17"/>
          <w:u w:val="single" w:color="auto"/>
          <w:color w:val="auto"/>
        </w:rPr>
        <w:t>Eligibility; Disqualification</w:t>
      </w:r>
      <w:r>
        <w:rPr>
          <w:rFonts w:ascii="Arial" w:cs="Arial" w:eastAsia="Arial" w:hAnsi="Arial"/>
          <w:sz w:val="17"/>
          <w:szCs w:val="17"/>
          <w:color w:val="auto"/>
        </w:rPr>
        <w:t>.</w:t>
      </w:r>
    </w:p>
    <w:p>
      <w:pPr>
        <w:spacing w:after="0" w:line="225" w:lineRule="exact"/>
        <w:rPr>
          <w:sz w:val="20"/>
          <w:szCs w:val="20"/>
          <w:color w:val="auto"/>
        </w:rPr>
      </w:pPr>
    </w:p>
    <w:p>
      <w:pPr>
        <w:ind w:right="40" w:firstLine="881"/>
        <w:spacing w:after="0" w:line="264" w:lineRule="auto"/>
        <w:rPr>
          <w:sz w:val="20"/>
          <w:szCs w:val="20"/>
          <w:color w:val="auto"/>
        </w:rPr>
      </w:pPr>
      <w:r>
        <w:rPr>
          <w:rFonts w:ascii="Arial" w:cs="Arial" w:eastAsia="Arial" w:hAnsi="Arial"/>
          <w:sz w:val="18"/>
          <w:szCs w:val="18"/>
          <w:color w:val="auto"/>
        </w:rPr>
        <w:t>This Indenture shall always have a Trustee who satisfies the requirements of TIA § 310(a)(1), (2) and (5). The Trustee shall always have a combined capital and surplus of at least $25,000,000 as set forth in its most recent published annual report of condition. The Trustee shall comply with TIA § 310(b).</w:t>
      </w:r>
    </w:p>
    <w:p>
      <w:pPr>
        <w:spacing w:after="0" w:line="181"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7.11</w:t>
      </w:r>
      <w:r>
        <w:rPr>
          <w:sz w:val="20"/>
          <w:szCs w:val="20"/>
          <w:color w:val="auto"/>
        </w:rPr>
        <w:tab/>
      </w:r>
      <w:r>
        <w:rPr>
          <w:rFonts w:ascii="Arial" w:cs="Arial" w:eastAsia="Arial" w:hAnsi="Arial"/>
          <w:sz w:val="16"/>
          <w:szCs w:val="16"/>
          <w:u w:val="single" w:color="auto"/>
          <w:color w:val="auto"/>
        </w:rPr>
        <w:t>Preferential Collection of Claims Against Company</w:t>
      </w:r>
      <w:r>
        <w:rPr>
          <w:rFonts w:ascii="Arial" w:cs="Arial" w:eastAsia="Arial" w:hAnsi="Arial"/>
          <w:sz w:val="16"/>
          <w:szCs w:val="16"/>
          <w:color w:val="auto"/>
        </w:rPr>
        <w:t>.</w:t>
      </w:r>
    </w:p>
    <w:p>
      <w:pPr>
        <w:spacing w:after="0" w:line="225" w:lineRule="exact"/>
        <w:rPr>
          <w:sz w:val="20"/>
          <w:szCs w:val="20"/>
          <w:color w:val="auto"/>
        </w:rPr>
      </w:pPr>
    </w:p>
    <w:p>
      <w:pPr>
        <w:ind w:right="160" w:firstLine="881"/>
        <w:spacing w:after="0" w:line="277" w:lineRule="auto"/>
        <w:rPr>
          <w:sz w:val="20"/>
          <w:szCs w:val="20"/>
          <w:color w:val="auto"/>
        </w:rPr>
      </w:pPr>
      <w:r>
        <w:rPr>
          <w:rFonts w:ascii="Arial" w:cs="Arial" w:eastAsia="Arial" w:hAnsi="Arial"/>
          <w:sz w:val="18"/>
          <w:szCs w:val="18"/>
          <w:color w:val="auto"/>
        </w:rPr>
        <w:t>The Trustee is subject to TIA § 311(a), excluding any creditor relationship listed in TIA § 311(b). A Trustee who has resigned or been removed shall be subject to TIA § 311(a) to the extent indicated.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SATISFACTION AND DISCHARGE; DEFEASANCE</w:t>
      </w:r>
    </w:p>
    <w:p>
      <w:pPr>
        <w:spacing w:after="0" w:line="21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8.1</w:t>
      </w:r>
      <w:r>
        <w:rPr>
          <w:sz w:val="20"/>
          <w:szCs w:val="20"/>
          <w:color w:val="auto"/>
        </w:rPr>
        <w:tab/>
      </w:r>
      <w:r>
        <w:rPr>
          <w:rFonts w:ascii="Arial" w:cs="Arial" w:eastAsia="Arial" w:hAnsi="Arial"/>
          <w:sz w:val="16"/>
          <w:szCs w:val="16"/>
          <w:u w:val="single" w:color="auto"/>
          <w:color w:val="auto"/>
        </w:rPr>
        <w:t>Satisfaction and Discharge of Indenture</w:t>
      </w:r>
      <w:r>
        <w:rPr>
          <w:rFonts w:ascii="Arial" w:cs="Arial" w:eastAsia="Arial" w:hAnsi="Arial"/>
          <w:sz w:val="16"/>
          <w:szCs w:val="16"/>
          <w:color w:val="auto"/>
        </w:rPr>
        <w:t>.</w:t>
      </w:r>
    </w:p>
    <w:p>
      <w:pPr>
        <w:spacing w:after="0" w:line="225" w:lineRule="exact"/>
        <w:rPr>
          <w:sz w:val="20"/>
          <w:szCs w:val="20"/>
          <w:color w:val="auto"/>
        </w:rPr>
      </w:pPr>
    </w:p>
    <w:p>
      <w:pPr>
        <w:ind w:right="400" w:firstLine="881"/>
        <w:spacing w:after="0" w:line="264" w:lineRule="auto"/>
        <w:rPr>
          <w:sz w:val="20"/>
          <w:szCs w:val="20"/>
          <w:color w:val="auto"/>
        </w:rPr>
      </w:pPr>
      <w:r>
        <w:rPr>
          <w:rFonts w:ascii="Arial" w:cs="Arial" w:eastAsia="Arial" w:hAnsi="Arial"/>
          <w:sz w:val="18"/>
          <w:szCs w:val="18"/>
          <w:color w:val="auto"/>
        </w:rPr>
        <w:t>This Indenture shall upon Company Order be discharged with respect to the Securities of any Series and cease to be of further effect as to all Securities of such Series (except as hereinafter provided in this Section 8.1), and the Trustee, at the expense of the Company, shall execute instruments acknowledging satisfaction and discharge of this Indenture, when</w:t>
      </w:r>
    </w:p>
    <w:p>
      <w:pPr>
        <w:spacing w:after="0" w:line="181" w:lineRule="exact"/>
        <w:rPr>
          <w:sz w:val="20"/>
          <w:szCs w:val="20"/>
          <w:color w:val="auto"/>
        </w:rPr>
      </w:pPr>
    </w:p>
    <w:p>
      <w:pPr>
        <w:ind w:left="1940" w:hanging="635"/>
        <w:spacing w:after="0"/>
        <w:tabs>
          <w:tab w:leader="none" w:pos="19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either</w:t>
      </w:r>
    </w:p>
    <w:p>
      <w:pPr>
        <w:spacing w:after="0" w:line="225" w:lineRule="exact"/>
        <w:rPr>
          <w:rFonts w:ascii="Arial" w:cs="Arial" w:eastAsia="Arial" w:hAnsi="Arial"/>
          <w:sz w:val="18"/>
          <w:szCs w:val="18"/>
          <w:color w:val="auto"/>
        </w:rPr>
      </w:pPr>
    </w:p>
    <w:p>
      <w:pPr>
        <w:ind w:right="180" w:firstLine="1953"/>
        <w:spacing w:after="0" w:line="277" w:lineRule="auto"/>
        <w:tabs>
          <w:tab w:leader="none" w:pos="2614" w:val="left"/>
        </w:tabs>
        <w:numPr>
          <w:ilvl w:val="1"/>
          <w:numId w:val="42"/>
        </w:numPr>
        <w:rPr>
          <w:rFonts w:ascii="Arial" w:cs="Arial" w:eastAsia="Arial" w:hAnsi="Arial"/>
          <w:sz w:val="18"/>
          <w:szCs w:val="18"/>
          <w:color w:val="auto"/>
        </w:rPr>
      </w:pPr>
      <w:r>
        <w:rPr>
          <w:rFonts w:ascii="Arial" w:cs="Arial" w:eastAsia="Arial" w:hAnsi="Arial"/>
          <w:sz w:val="18"/>
          <w:szCs w:val="18"/>
          <w:color w:val="auto"/>
        </w:rPr>
        <w:t>all Securities of such Series theretofore authenticated and delivered (other than Securities that have been destroyed, lost or stolen and that have been replaced or paid) have been delivered to the Trustee for cancellation; or</w:t>
      </w:r>
    </w:p>
    <w:p>
      <w:pPr>
        <w:spacing w:after="0" w:line="170" w:lineRule="exact"/>
        <w:rPr>
          <w:rFonts w:ascii="Arial" w:cs="Arial" w:eastAsia="Arial" w:hAnsi="Arial"/>
          <w:sz w:val="18"/>
          <w:szCs w:val="18"/>
          <w:color w:val="auto"/>
        </w:rPr>
      </w:pPr>
    </w:p>
    <w:p>
      <w:pPr>
        <w:ind w:left="2640" w:hanging="687"/>
        <w:spacing w:after="0"/>
        <w:tabs>
          <w:tab w:leader="none" w:pos="264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all such Securities of such Series not theretofore delivered to the Trustee for cancellation</w:t>
      </w:r>
    </w:p>
    <w:p>
      <w:pPr>
        <w:spacing w:after="0" w:line="225" w:lineRule="exact"/>
        <w:rPr>
          <w:rFonts w:ascii="Arial" w:cs="Arial" w:eastAsia="Arial" w:hAnsi="Arial"/>
          <w:sz w:val="18"/>
          <w:szCs w:val="18"/>
          <w:color w:val="auto"/>
        </w:rPr>
      </w:pPr>
    </w:p>
    <w:p>
      <w:pPr>
        <w:ind w:left="3260" w:hanging="659"/>
        <w:spacing w:after="0"/>
        <w:tabs>
          <w:tab w:leader="none" w:pos="3260" w:val="left"/>
        </w:tabs>
        <w:numPr>
          <w:ilvl w:val="2"/>
          <w:numId w:val="42"/>
        </w:numPr>
        <w:rPr>
          <w:rFonts w:ascii="Arial" w:cs="Arial" w:eastAsia="Arial" w:hAnsi="Arial"/>
          <w:sz w:val="18"/>
          <w:szCs w:val="18"/>
          <w:color w:val="auto"/>
        </w:rPr>
      </w:pPr>
      <w:r>
        <w:rPr>
          <w:rFonts w:ascii="Arial" w:cs="Arial" w:eastAsia="Arial" w:hAnsi="Arial"/>
          <w:sz w:val="18"/>
          <w:szCs w:val="18"/>
          <w:color w:val="auto"/>
        </w:rPr>
        <w:t>have become due and payable by reason of sending a notice of redemption or otherwise, or</w:t>
      </w:r>
    </w:p>
    <w:p>
      <w:pPr>
        <w:spacing w:after="0" w:line="225" w:lineRule="exact"/>
        <w:rPr>
          <w:rFonts w:ascii="Arial" w:cs="Arial" w:eastAsia="Arial" w:hAnsi="Arial"/>
          <w:sz w:val="18"/>
          <w:szCs w:val="18"/>
          <w:color w:val="auto"/>
        </w:rPr>
      </w:pPr>
    </w:p>
    <w:p>
      <w:pPr>
        <w:ind w:left="3260" w:hanging="659"/>
        <w:spacing w:after="0"/>
        <w:tabs>
          <w:tab w:leader="none" w:pos="3260" w:val="left"/>
        </w:tabs>
        <w:numPr>
          <w:ilvl w:val="2"/>
          <w:numId w:val="42"/>
        </w:numPr>
        <w:rPr>
          <w:rFonts w:ascii="Arial" w:cs="Arial" w:eastAsia="Arial" w:hAnsi="Arial"/>
          <w:sz w:val="18"/>
          <w:szCs w:val="18"/>
          <w:color w:val="auto"/>
        </w:rPr>
      </w:pPr>
      <w:r>
        <w:rPr>
          <w:rFonts w:ascii="Arial" w:cs="Arial" w:eastAsia="Arial" w:hAnsi="Arial"/>
          <w:sz w:val="18"/>
          <w:szCs w:val="18"/>
          <w:color w:val="auto"/>
        </w:rPr>
        <w:t>will become due and payable at their Stated Maturity within one year, or</w:t>
      </w:r>
    </w:p>
    <w:p>
      <w:pPr>
        <w:spacing w:after="0" w:line="225" w:lineRule="exact"/>
        <w:rPr>
          <w:rFonts w:ascii="Arial" w:cs="Arial" w:eastAsia="Arial" w:hAnsi="Arial"/>
          <w:sz w:val="18"/>
          <w:szCs w:val="18"/>
          <w:color w:val="auto"/>
        </w:rPr>
      </w:pPr>
    </w:p>
    <w:p>
      <w:pPr>
        <w:ind w:right="760" w:firstLine="2601"/>
        <w:spacing w:after="0" w:line="342" w:lineRule="auto"/>
        <w:tabs>
          <w:tab w:leader="none" w:pos="3248" w:val="left"/>
        </w:tabs>
        <w:numPr>
          <w:ilvl w:val="2"/>
          <w:numId w:val="42"/>
        </w:numPr>
        <w:rPr>
          <w:rFonts w:ascii="Arial" w:cs="Arial" w:eastAsia="Arial" w:hAnsi="Arial"/>
          <w:sz w:val="16"/>
          <w:szCs w:val="16"/>
          <w:color w:val="auto"/>
        </w:rPr>
      </w:pPr>
      <w:r>
        <w:rPr>
          <w:rFonts w:ascii="Arial" w:cs="Arial" w:eastAsia="Arial" w:hAnsi="Arial"/>
          <w:sz w:val="16"/>
          <w:szCs w:val="16"/>
          <w:color w:val="auto"/>
        </w:rPr>
        <w:t>have been called for redemption or are to be called for redemption within one year under arrangements satisfactory to the Trustee for the giving of notice of redemption by the Trustee in the name, and at the expense, of the Company, or</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260" w:hanging="659"/>
        <w:spacing w:after="0"/>
        <w:tabs>
          <w:tab w:leader="none" w:pos="32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are deemed paid and discharged pursuant to Section 8.3, as applicable;</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and the Company, in the case of (1), (2) or (3) above, shall have irrevocably deposited or caused to be deposited with the Trustee as trust funds in trust an amount of money or U.S. Government Obligations, which amount shall be sufficient (as determined by the Company) for the purpose of paying and discharging each installment of principal (including mandatory sinking fund or analogous payments) of and interest on all the Securities of such Series on the dates such installments of principal or interest are due;</w:t>
      </w:r>
    </w:p>
    <w:p>
      <w:pPr>
        <w:spacing w:after="0" w:line="187" w:lineRule="exact"/>
        <w:rPr>
          <w:sz w:val="20"/>
          <w:szCs w:val="20"/>
          <w:color w:val="auto"/>
        </w:rPr>
      </w:pPr>
    </w:p>
    <w:p>
      <w:pPr>
        <w:ind w:left="1960" w:hanging="655"/>
        <w:spacing w:after="0"/>
        <w:tabs>
          <w:tab w:leader="none" w:pos="1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Company has paid or caused to be paid all other sums payable hereunder by the Company; and</w:t>
      </w:r>
    </w:p>
    <w:p>
      <w:pPr>
        <w:spacing w:after="0" w:line="225" w:lineRule="exact"/>
        <w:rPr>
          <w:rFonts w:ascii="Arial" w:cs="Arial" w:eastAsia="Arial" w:hAnsi="Arial"/>
          <w:sz w:val="18"/>
          <w:szCs w:val="18"/>
          <w:color w:val="auto"/>
        </w:rPr>
      </w:pPr>
    </w:p>
    <w:p>
      <w:pPr>
        <w:ind w:firstLine="1305"/>
        <w:spacing w:after="0" w:line="277" w:lineRule="auto"/>
        <w:tabs>
          <w:tab w:leader="none" w:pos="19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and an Opinion of Counsel, each stating that all conditions precedent provided for relating to the satisfaction and discharge contemplated by this Section have been complied with.</w:t>
      </w:r>
    </w:p>
    <w:p>
      <w:pPr>
        <w:spacing w:after="0" w:line="170" w:lineRule="exact"/>
        <w:rPr>
          <w:sz w:val="20"/>
          <w:szCs w:val="20"/>
          <w:color w:val="auto"/>
        </w:rPr>
      </w:pPr>
    </w:p>
    <w:p>
      <w:pPr>
        <w:ind w:right="140" w:firstLine="881"/>
        <w:spacing w:after="0" w:line="342" w:lineRule="auto"/>
        <w:rPr>
          <w:sz w:val="20"/>
          <w:szCs w:val="20"/>
          <w:color w:val="auto"/>
        </w:rPr>
      </w:pPr>
      <w:r>
        <w:rPr>
          <w:rFonts w:ascii="Arial" w:cs="Arial" w:eastAsia="Arial" w:hAnsi="Arial"/>
          <w:sz w:val="16"/>
          <w:szCs w:val="16"/>
          <w:color w:val="auto"/>
        </w:rPr>
        <w:t>Notwithstanding the satisfaction and discharge of this Indenture, the obligations of the Company to the Trustee under Section 7.7, and, if money shall have been deposited with the Trustee pursuant to clause (a) of this Section, the provisions of Sections 2.4, 2.7, 2.8, 8.2 and 8.5 shall survive.</w:t>
      </w:r>
    </w:p>
    <w:p>
      <w:pPr>
        <w:spacing w:after="0" w:line="12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8.2</w:t>
      </w:r>
      <w:r>
        <w:rPr>
          <w:sz w:val="20"/>
          <w:szCs w:val="20"/>
          <w:color w:val="auto"/>
        </w:rPr>
        <w:tab/>
      </w:r>
      <w:r>
        <w:rPr>
          <w:rFonts w:ascii="Arial" w:cs="Arial" w:eastAsia="Arial" w:hAnsi="Arial"/>
          <w:sz w:val="16"/>
          <w:szCs w:val="16"/>
          <w:u w:val="single" w:color="auto"/>
          <w:color w:val="auto"/>
        </w:rPr>
        <w:t>Application of Trust Funds; Indemnification</w:t>
      </w:r>
      <w:r>
        <w:rPr>
          <w:rFonts w:ascii="Arial" w:cs="Arial" w:eastAsia="Arial" w:hAnsi="Arial"/>
          <w:sz w:val="16"/>
          <w:szCs w:val="16"/>
          <w:color w:val="auto"/>
        </w:rPr>
        <w:t>.</w:t>
      </w:r>
    </w:p>
    <w:p>
      <w:pPr>
        <w:sectPr>
          <w:pgSz w:w="11900" w:h="16838" w:orient="portrait"/>
          <w:cols w:equalWidth="0" w:num="1">
            <w:col w:w="11420"/>
          </w:cols>
          <w:pgMar w:left="240" w:top="125" w:right="239" w:bottom="0" w:gutter="0" w:footer="0" w:header="0"/>
        </w:sectPr>
      </w:pPr>
    </w:p>
    <w:bookmarkStart w:id="42" w:name="page43"/>
    <w:bookmarkEnd w:id="42"/>
    <w:p>
      <w:pPr>
        <w:ind w:right="120" w:firstLine="1305"/>
        <w:spacing w:after="0" w:line="293" w:lineRule="auto"/>
        <w:tabs>
          <w:tab w:leader="none" w:pos="1942" w:val="left"/>
        </w:tabs>
        <w:numPr>
          <w:ilvl w:val="0"/>
          <w:numId w:val="45"/>
        </w:numPr>
        <w:rPr>
          <w:rFonts w:ascii="Arial" w:cs="Arial" w:eastAsia="Arial" w:hAnsi="Arial"/>
          <w:sz w:val="16"/>
          <w:szCs w:val="16"/>
          <w:color w:val="auto"/>
        </w:rPr>
      </w:pPr>
      <w:r>
        <w:rPr>
          <w:rFonts w:ascii="Arial" w:cs="Arial" w:eastAsia="Arial" w:hAnsi="Arial"/>
          <w:sz w:val="16"/>
          <w:szCs w:val="16"/>
          <w:color w:val="auto"/>
        </w:rPr>
        <w:t>Subject to the provisions of Section 8.5, all money and U.S. Government Obligations or Foreign Government Obligations deposited with the Trustee pursuant to Section 8.1, 8.3 or 8.4 and all money received by the Trustee in respect of U.S. Government Obligations or Foreign Government Obligations deposited with the Trustee pursuant to Section 8.1, 8.3 or 8.4, shall be held in trust and applied by it, in accordance with the provisions of the Securities and this Indenture, to the payment, either directly or through any Paying Agent (including the Company acting as its own Paying Agent) as the Trustee may determine, to the persons entitled thereto, of the principal and interest for whose payment such money has been deposited with or received by the Trustee or to make mandatory sinking fund payments or analogous payments as contemplated by Sections 8.1, 8.3 or 8.4.</w:t>
      </w:r>
    </w:p>
    <w:p>
      <w:pPr>
        <w:spacing w:after="0" w:line="164" w:lineRule="exact"/>
        <w:rPr>
          <w:rFonts w:ascii="Arial" w:cs="Arial" w:eastAsia="Arial" w:hAnsi="Arial"/>
          <w:sz w:val="16"/>
          <w:szCs w:val="16"/>
          <w:color w:val="auto"/>
        </w:rPr>
      </w:pPr>
    </w:p>
    <w:p>
      <w:pPr>
        <w:ind w:right="100" w:firstLine="1305"/>
        <w:spacing w:after="0" w:line="264" w:lineRule="auto"/>
        <w:tabs>
          <w:tab w:leader="none" w:pos="1952"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Company shall pay and shall indemnify the Trustee against any tax, fee or other charge imposed on or assessed against U.S. Government Obligations or Foreign Government Obligations deposited pursuant to Sections 8.1, 8.3 or 8.4 or the interest and principal received in respect of such obligations other than any payable by or on behalf of Holders.</w:t>
      </w:r>
    </w:p>
    <w:p>
      <w:pPr>
        <w:spacing w:after="0" w:line="181" w:lineRule="exact"/>
        <w:rPr>
          <w:rFonts w:ascii="Arial" w:cs="Arial" w:eastAsia="Arial" w:hAnsi="Arial"/>
          <w:sz w:val="18"/>
          <w:szCs w:val="18"/>
          <w:color w:val="auto"/>
        </w:rPr>
      </w:pPr>
    </w:p>
    <w:p>
      <w:pPr>
        <w:ind w:right="140" w:firstLine="1305"/>
        <w:spacing w:after="0" w:line="279" w:lineRule="auto"/>
        <w:tabs>
          <w:tab w:leader="none" w:pos="1955"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Trustee shall deliver or pay to the Company from time to time upon Company Order any U.S. Government Obligations or Foreign Government Obligations or money held by it as provided in Sections 8.3 or 8.4 which, in the opinion of a nationally recognized firm of independent certified public accountants or investment bank expressed in a written certification thereof delivered to the Trustee, are then in excess of the amount thereof which then would have been required to be deposited for the purpose for which such U.S. Government Obligations or</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Foreign Government Obligations or money were deposited or received. This provision shall not authorize the sale by the Trustee of any U.S. Government Obligations or Foreign Government Obligations held under this Indenture.</w:t>
      </w:r>
    </w:p>
    <w:p>
      <w:pPr>
        <w:spacing w:after="0" w:line="17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8.3</w:t>
      </w:r>
      <w:r>
        <w:rPr>
          <w:sz w:val="20"/>
          <w:szCs w:val="20"/>
          <w:color w:val="auto"/>
        </w:rPr>
        <w:tab/>
      </w:r>
      <w:r>
        <w:rPr>
          <w:rFonts w:ascii="Arial" w:cs="Arial" w:eastAsia="Arial" w:hAnsi="Arial"/>
          <w:sz w:val="16"/>
          <w:szCs w:val="16"/>
          <w:u w:val="single" w:color="auto"/>
          <w:color w:val="auto"/>
        </w:rPr>
        <w:t>Legal Defeasance of Securities of any Series</w:t>
      </w:r>
      <w:r>
        <w:rPr>
          <w:rFonts w:ascii="Arial" w:cs="Arial" w:eastAsia="Arial" w:hAnsi="Arial"/>
          <w:sz w:val="16"/>
          <w:szCs w:val="16"/>
          <w:color w:val="auto"/>
        </w:rPr>
        <w:t>.</w:t>
      </w:r>
    </w:p>
    <w:p>
      <w:pPr>
        <w:spacing w:after="0" w:line="225" w:lineRule="exact"/>
        <w:rPr>
          <w:sz w:val="20"/>
          <w:szCs w:val="20"/>
          <w:color w:val="auto"/>
        </w:rPr>
      </w:pPr>
    </w:p>
    <w:p>
      <w:pPr>
        <w:ind w:firstLine="881"/>
        <w:spacing w:after="0" w:line="302" w:lineRule="auto"/>
        <w:rPr>
          <w:sz w:val="20"/>
          <w:szCs w:val="20"/>
          <w:color w:val="auto"/>
        </w:rPr>
      </w:pPr>
      <w:r>
        <w:rPr>
          <w:rFonts w:ascii="Arial" w:cs="Arial" w:eastAsia="Arial" w:hAnsi="Arial"/>
          <w:sz w:val="16"/>
          <w:szCs w:val="16"/>
          <w:color w:val="auto"/>
        </w:rPr>
        <w:t>Unless this Section 8.3 is otherwise specified, pursuant to Section 2.2, to be inapplicable to Securities of any Series, the Company shall be deemed to have paid and discharged the entire indebtedness on all the outstanding Securities of any Series on the 91st day after the date of the deposit referred to in subparagraph (d) hereof, and the provisions of this Indenture, as it relates to such outstanding Securities of such Series, shall no longer be in effect (and the Trustee, at the expense of the Company, shall, upon receipt of a Company Order, execute instruments acknowledging the same), except as to:</w:t>
      </w:r>
    </w:p>
    <w:p>
      <w:pPr>
        <w:spacing w:after="0" w:line="154" w:lineRule="exact"/>
        <w:rPr>
          <w:sz w:val="20"/>
          <w:szCs w:val="20"/>
          <w:color w:val="auto"/>
        </w:rPr>
      </w:pPr>
    </w:p>
    <w:p>
      <w:pPr>
        <w:ind w:right="40" w:firstLine="1305"/>
        <w:spacing w:after="0" w:line="279" w:lineRule="auto"/>
        <w:tabs>
          <w:tab w:leader="none" w:pos="1942"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rights of Holders of Securities of such Series to receive, from the trust funds described in subparagraph (d) hereof, (i) payment of the principal of and each installment of principal of and interest on the outstanding Securities of such Series on the Maturity of such principal or installment of principal or interest and (ii) the benefit of any mandatory sinking fund payments applicable to the Securities of such Series on the day on which such payments are due and payable in accordance with the terms of this Indenture and the Securities of such Series;</w:t>
      </w:r>
    </w:p>
    <w:p>
      <w:pPr>
        <w:spacing w:after="0" w:line="171" w:lineRule="exact"/>
        <w:rPr>
          <w:rFonts w:ascii="Arial" w:cs="Arial" w:eastAsia="Arial" w:hAnsi="Arial"/>
          <w:sz w:val="17"/>
          <w:szCs w:val="17"/>
          <w:color w:val="auto"/>
        </w:rPr>
      </w:pPr>
    </w:p>
    <w:p>
      <w:pPr>
        <w:ind w:left="1960" w:hanging="655"/>
        <w:spacing w:after="0"/>
        <w:tabs>
          <w:tab w:leader="none" w:pos="1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provisions of Sections 2.4, 2.5, 2.7, 2.8, 7.7, 8.2, 8.3, 8.5 and 8.6; and</w:t>
      </w:r>
    </w:p>
    <w:p>
      <w:pPr>
        <w:spacing w:after="0" w:line="225" w:lineRule="exact"/>
        <w:rPr>
          <w:rFonts w:ascii="Arial" w:cs="Arial" w:eastAsia="Arial" w:hAnsi="Arial"/>
          <w:sz w:val="18"/>
          <w:szCs w:val="18"/>
          <w:color w:val="auto"/>
        </w:rPr>
      </w:pPr>
    </w:p>
    <w:p>
      <w:pPr>
        <w:ind w:right="660" w:firstLine="1305"/>
        <w:spacing w:after="0" w:line="501" w:lineRule="auto"/>
        <w:tabs>
          <w:tab w:leader="none" w:pos="19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rights, powers, trusts and immunities of the Trustee hereunder and the Company’s obligations in connection therewith; provided that, the following conditions shall have been satisfied:</w:t>
      </w:r>
    </w:p>
    <w:p>
      <w:pPr>
        <w:ind w:right="100" w:firstLine="1305"/>
        <w:spacing w:after="0" w:line="270" w:lineRule="auto"/>
        <w:tabs>
          <w:tab w:leader="none" w:pos="1952"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Company shall have irrevocably deposited or caused to be deposited (except as provided in Section 8.2(c)) with the Trustee as trust funds specifically pledged as security for and dedicated solely to the benefit of the Holders of such Securities (i) in the case of Securities of such Series denominated in Dollars, cash in Dollars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Trustee), not later than one day before the due date of any payment of money, an amount in cash, sufficient, in the opinion of a nationally recognized firm of independent public accountants or investment bank expressed in a written certification thereof delivered to the Trustee, to pay and discharge each installment of principal of and interest, on and any mandatory sinking fund payments in respect of all the Securities of such Series on the dates such installments of principal or interest and such sinking fund payments are due;</w:t>
      </w:r>
    </w:p>
    <w:p>
      <w:pPr>
        <w:spacing w:after="0" w:line="181" w:lineRule="exact"/>
        <w:rPr>
          <w:rFonts w:ascii="Arial" w:cs="Arial" w:eastAsia="Arial" w:hAnsi="Arial"/>
          <w:sz w:val="17"/>
          <w:szCs w:val="17"/>
          <w:color w:val="auto"/>
        </w:rPr>
      </w:pPr>
    </w:p>
    <w:p>
      <w:pPr>
        <w:ind w:right="520" w:firstLine="1305"/>
        <w:spacing w:after="0" w:line="277" w:lineRule="auto"/>
        <w:tabs>
          <w:tab w:leader="none" w:pos="19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such deposit will not result in a breach or violation of, or constitute a default under, this Indenture or any other agreement or instrument to which the Company is a party or by which it is bound;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280" w:firstLine="1305"/>
        <w:spacing w:after="0" w:line="277" w:lineRule="auto"/>
        <w:tabs>
          <w:tab w:leader="none" w:pos="1949" w:val="left"/>
        </w:tabs>
        <w:numPr>
          <w:ilvl w:val="0"/>
          <w:numId w:val="47"/>
        </w:numPr>
        <w:rPr>
          <w:rFonts w:ascii="Arial" w:cs="Arial" w:eastAsia="Arial" w:hAnsi="Arial"/>
          <w:sz w:val="18"/>
          <w:szCs w:val="18"/>
          <w:color w:val="auto"/>
        </w:rPr>
      </w:pPr>
      <w:r>
        <w:rPr>
          <w:rFonts w:ascii="Arial" w:cs="Arial" w:eastAsia="Arial" w:hAnsi="Arial"/>
          <w:sz w:val="18"/>
          <w:szCs w:val="18"/>
          <w:color w:val="auto"/>
        </w:rPr>
        <w:t>no Default or Event of Default with respect to the Securities of such Series shall have occurred and be continuing on the date of such deposit or during the period ending on the 91st day after such date;</w:t>
      </w:r>
    </w:p>
    <w:p>
      <w:pPr>
        <w:spacing w:after="0" w:line="170" w:lineRule="exact"/>
        <w:rPr>
          <w:rFonts w:ascii="Arial" w:cs="Arial" w:eastAsia="Arial" w:hAnsi="Arial"/>
          <w:sz w:val="18"/>
          <w:szCs w:val="18"/>
          <w:color w:val="auto"/>
        </w:rPr>
      </w:pPr>
    </w:p>
    <w:p>
      <w:pPr>
        <w:ind w:right="40" w:firstLine="1305"/>
        <w:spacing w:after="0" w:line="255" w:lineRule="auto"/>
        <w:tabs>
          <w:tab w:leader="none" w:pos="1965"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and an Opinion of Counsel to the effect that (i) the Company has received from, or there has been published by, the Internal Revenue Service a ruling, or (ii) since the date of execution of this Indenture, there has been a change in the applicable Federal income tax law, in either case to the effect that, and based thereon such Opinion of Counsel shall confirm that, the Holders of the Securities of such Series will not recognize income, gain or loss for Federal income tax purposes as a result of such deposit, defeasance and discharge and will be subject to Federal income tax on the same amount and in the same manner and at the same times as would have been the case if such deposit, defeasance and discharge had not occurred;</w:t>
      </w:r>
    </w:p>
    <w:p>
      <w:pPr>
        <w:spacing w:after="0" w:line="193" w:lineRule="exact"/>
        <w:rPr>
          <w:rFonts w:ascii="Arial" w:cs="Arial" w:eastAsia="Arial" w:hAnsi="Arial"/>
          <w:sz w:val="18"/>
          <w:szCs w:val="18"/>
          <w:color w:val="auto"/>
        </w:rPr>
      </w:pPr>
    </w:p>
    <w:p>
      <w:pPr>
        <w:ind w:right="340" w:firstLine="1305"/>
        <w:spacing w:after="0" w:line="277" w:lineRule="auto"/>
        <w:tabs>
          <w:tab w:leader="none" w:pos="1952"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stating that the deposit was not made by the Company with the intent of defeating, hindering, delaying or defrauding any other creditors of the Company; and</w:t>
      </w:r>
    </w:p>
    <w:p>
      <w:pPr>
        <w:spacing w:after="0" w:line="170" w:lineRule="exact"/>
        <w:rPr>
          <w:rFonts w:ascii="Arial" w:cs="Arial" w:eastAsia="Arial" w:hAnsi="Arial"/>
          <w:sz w:val="18"/>
          <w:szCs w:val="18"/>
          <w:color w:val="auto"/>
        </w:rPr>
      </w:pPr>
    </w:p>
    <w:p>
      <w:pPr>
        <w:ind w:right="800" w:firstLine="1305"/>
        <w:spacing w:after="0" w:line="277" w:lineRule="auto"/>
        <w:tabs>
          <w:tab w:leader="none" w:pos="1966"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and an Opinion of Counsel, each stating that all conditions precedent provided for relating to the defeasance contemplated by this Section have been complied with.</w:t>
      </w:r>
    </w:p>
    <w:p>
      <w:pPr>
        <w:spacing w:after="0" w:line="17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8.4</w:t>
      </w:r>
      <w:r>
        <w:rPr>
          <w:sz w:val="20"/>
          <w:szCs w:val="20"/>
          <w:color w:val="auto"/>
        </w:rPr>
        <w:tab/>
      </w:r>
      <w:r>
        <w:rPr>
          <w:rFonts w:ascii="Arial" w:cs="Arial" w:eastAsia="Arial" w:hAnsi="Arial"/>
          <w:sz w:val="15"/>
          <w:szCs w:val="15"/>
          <w:u w:val="single" w:color="auto"/>
          <w:color w:val="auto"/>
        </w:rPr>
        <w:t>Covenant Defeasance</w:t>
      </w:r>
      <w:r>
        <w:rPr>
          <w:rFonts w:ascii="Arial" w:cs="Arial" w:eastAsia="Arial" w:hAnsi="Arial"/>
          <w:sz w:val="15"/>
          <w:szCs w:val="15"/>
          <w:color w:val="auto"/>
        </w:rPr>
        <w:t>.</w:t>
      </w:r>
    </w:p>
    <w:p>
      <w:pPr>
        <w:sectPr>
          <w:pgSz w:w="11900" w:h="16838" w:orient="portrait"/>
          <w:cols w:equalWidth="0" w:num="1">
            <w:col w:w="11420"/>
          </w:cols>
          <w:pgMar w:left="240" w:top="125" w:right="239" w:bottom="59" w:gutter="0" w:footer="0" w:header="0"/>
        </w:sectPr>
      </w:pPr>
    </w:p>
    <w:bookmarkStart w:id="43" w:name="page44"/>
    <w:bookmarkEnd w:id="43"/>
    <w:p>
      <w:pPr>
        <w:spacing w:after="0" w:line="36" w:lineRule="exact"/>
        <w:rPr>
          <w:sz w:val="20"/>
          <w:szCs w:val="20"/>
          <w:color w:val="auto"/>
        </w:rPr>
      </w:pPr>
    </w:p>
    <w:p>
      <w:pPr>
        <w:ind w:firstLine="881"/>
        <w:spacing w:after="0" w:line="271" w:lineRule="auto"/>
        <w:rPr>
          <w:sz w:val="20"/>
          <w:szCs w:val="20"/>
          <w:color w:val="auto"/>
        </w:rPr>
      </w:pPr>
      <w:r>
        <w:rPr>
          <w:rFonts w:ascii="Arial" w:cs="Arial" w:eastAsia="Arial" w:hAnsi="Arial"/>
          <w:sz w:val="17"/>
          <w:szCs w:val="17"/>
          <w:color w:val="auto"/>
        </w:rPr>
        <w:t>Unless this Section 8.4 is otherwise specified pursuant to Section 2.2 to be inapplicable to Securities of any Series, the Company may omit to comply with respect to the Securities of any Series with any term, provision or condition set forth under Sections 4.2, 4.3, 4.4 and 5.1 and, unless otherwise specified therein, any additional covenants specified in a supplemental indenture for such Series of Securities or a Board Resolution or an Officer’s Certificate delivered pursuant to Section 2.2 (and the failure to comply with any such covenants shall not constitute a Default or Event of Default with respect to such Series under Section 6.1) and the occurrence of any event specified in a supplemental indenture for such Series of Securities or a Board Resolution or an Officer’s Certificate delivered pursuant to Section 2.2.18 and designated as an Event of Default shall not constitute a Default or Event of Default hereunder, with respect to the Securities of such Series, but, except as specified above, the remainder of this Indenture and such Securities will be unaffected thereby; provided that the following conditions shall have been satisfied:</w:t>
      </w:r>
    </w:p>
    <w:p>
      <w:pPr>
        <w:spacing w:after="0" w:line="179" w:lineRule="exact"/>
        <w:rPr>
          <w:sz w:val="20"/>
          <w:szCs w:val="20"/>
          <w:color w:val="auto"/>
        </w:rPr>
      </w:pPr>
    </w:p>
    <w:p>
      <w:pPr>
        <w:ind w:firstLine="1305"/>
        <w:spacing w:after="0" w:line="273" w:lineRule="auto"/>
        <w:tabs>
          <w:tab w:leader="none" w:pos="1942" w:val="left"/>
        </w:tabs>
        <w:numPr>
          <w:ilvl w:val="0"/>
          <w:numId w:val="48"/>
        </w:numPr>
        <w:rPr>
          <w:rFonts w:ascii="Arial" w:cs="Arial" w:eastAsia="Arial" w:hAnsi="Arial"/>
          <w:sz w:val="17"/>
          <w:szCs w:val="17"/>
          <w:color w:val="auto"/>
        </w:rPr>
      </w:pPr>
      <w:r>
        <w:rPr>
          <w:rFonts w:ascii="Arial" w:cs="Arial" w:eastAsia="Arial" w:hAnsi="Arial"/>
          <w:sz w:val="17"/>
          <w:szCs w:val="17"/>
          <w:color w:val="auto"/>
        </w:rPr>
        <w:t>with reference to this Section 8.4, the Company has irrevocably deposited or caused to be irrevocably deposited (except as provided in Section 8.2(c)) with the Trustee as trust funds in trust for the purpose of making the following payments specifically pledged as security for, and dedicated solely to, the benefit of the Holders of such Securities (i) in the case of Securities of such Series denominated in Dollars, cash in Dollars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Trustee), not later than one day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before the due date of any payment of money, an amount in cash, sufficient, in the opinion of a nationally recognized firm of independent certified public accountants or investment bank expressed in a written certification thereof delivered to the Trustee, to pay and discharge each installment of principal (including mandatory sinking fund or analogous payments) of and interest on all the Securities of such Series on the dates such installments of principal or interest are due;</w:t>
      </w:r>
    </w:p>
    <w:p>
      <w:pPr>
        <w:spacing w:after="0" w:line="187" w:lineRule="exact"/>
        <w:rPr>
          <w:sz w:val="20"/>
          <w:szCs w:val="20"/>
          <w:color w:val="auto"/>
        </w:rPr>
      </w:pPr>
    </w:p>
    <w:p>
      <w:pPr>
        <w:ind w:right="520" w:firstLine="1305"/>
        <w:spacing w:after="0" w:line="277" w:lineRule="auto"/>
        <w:tabs>
          <w:tab w:leader="none" w:pos="1952" w:val="left"/>
        </w:tabs>
        <w:numPr>
          <w:ilvl w:val="0"/>
          <w:numId w:val="49"/>
        </w:numPr>
        <w:rPr>
          <w:rFonts w:ascii="Arial" w:cs="Arial" w:eastAsia="Arial" w:hAnsi="Arial"/>
          <w:sz w:val="18"/>
          <w:szCs w:val="18"/>
          <w:color w:val="auto"/>
        </w:rPr>
      </w:pPr>
      <w:r>
        <w:rPr>
          <w:rFonts w:ascii="Arial" w:cs="Arial" w:eastAsia="Arial" w:hAnsi="Arial"/>
          <w:sz w:val="18"/>
          <w:szCs w:val="18"/>
          <w:color w:val="auto"/>
        </w:rPr>
        <w:t>such deposit will not result in a breach or violation of, or constitute a default under, this Indenture or any other agreement or instrument to which the Company is a party or by which it is bound;</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no Default or Event of Default with respect to the Securities of such Series shall have occurred and be continuing on the date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such deposit;</w:t>
      </w:r>
    </w:p>
    <w:p>
      <w:pPr>
        <w:spacing w:after="0" w:line="210" w:lineRule="exact"/>
        <w:rPr>
          <w:rFonts w:ascii="Arial" w:cs="Arial" w:eastAsia="Arial" w:hAnsi="Arial"/>
          <w:sz w:val="16"/>
          <w:szCs w:val="16"/>
          <w:color w:val="auto"/>
        </w:rPr>
      </w:pPr>
    </w:p>
    <w:p>
      <w:pPr>
        <w:ind w:firstLine="1305"/>
        <w:spacing w:after="0" w:line="273" w:lineRule="auto"/>
        <w:tabs>
          <w:tab w:leader="none" w:pos="1952"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Company shall have delivered to the Trustee an Officers’ Certificate and an Opinion of Counsel to the effect that (i) the company has received from, or there has been published by, the Internal Revenue Service a ruling, or (ii) since the date of execution of this Indenture, there has been a change in the applicable Federal income tax law, in either case to the effect that, and based thereon such Opinion of Counsel shall confirm, subject to customary exclusions, that the Holders of the Securities of such Series will not recognize income, gain or loss for Federal income tax purposes as a result of such deposit, covenant defeasance and discharge and will be subject to Federal income tax on the same amount and in the same manner and at the same times as would have been the case if such deposit, covenant defeasance and discharge had not occurred;</w:t>
      </w:r>
    </w:p>
    <w:p>
      <w:pPr>
        <w:spacing w:after="0" w:line="178" w:lineRule="exact"/>
        <w:rPr>
          <w:rFonts w:ascii="Arial" w:cs="Arial" w:eastAsia="Arial" w:hAnsi="Arial"/>
          <w:sz w:val="17"/>
          <w:szCs w:val="17"/>
          <w:color w:val="auto"/>
        </w:rPr>
      </w:pPr>
    </w:p>
    <w:p>
      <w:pPr>
        <w:ind w:right="220" w:firstLine="1305"/>
        <w:spacing w:after="0" w:line="277" w:lineRule="auto"/>
        <w:tabs>
          <w:tab w:leader="none" w:pos="19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stating the deposit was not made by the Company with the intent of defeating, hindering, delaying or defrauding any other creditors of the Company; and</w:t>
      </w:r>
    </w:p>
    <w:p>
      <w:pPr>
        <w:spacing w:after="0" w:line="170" w:lineRule="exact"/>
        <w:rPr>
          <w:rFonts w:ascii="Arial" w:cs="Arial" w:eastAsia="Arial" w:hAnsi="Arial"/>
          <w:sz w:val="18"/>
          <w:szCs w:val="18"/>
          <w:color w:val="auto"/>
        </w:rPr>
      </w:pPr>
    </w:p>
    <w:p>
      <w:pPr>
        <w:ind w:right="740" w:firstLine="1305"/>
        <w:spacing w:after="0" w:line="308" w:lineRule="auto"/>
        <w:tabs>
          <w:tab w:leader="none" w:pos="1949"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Company shall have delivered to the Trustee an Officer’s Certificate and an Opinion of Counsel, each stating that all conditions precedent herein provided for relating to the covenant defeasance contemplated by this Section have been complied with.</w:t>
      </w:r>
    </w:p>
    <w:p>
      <w:pPr>
        <w:spacing w:after="0" w:line="14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8.5</w:t>
      </w:r>
      <w:r>
        <w:rPr>
          <w:sz w:val="20"/>
          <w:szCs w:val="20"/>
          <w:color w:val="auto"/>
        </w:rPr>
        <w:tab/>
      </w:r>
      <w:r>
        <w:rPr>
          <w:rFonts w:ascii="Arial" w:cs="Arial" w:eastAsia="Arial" w:hAnsi="Arial"/>
          <w:sz w:val="16"/>
          <w:szCs w:val="16"/>
          <w:u w:val="single" w:color="auto"/>
          <w:color w:val="auto"/>
        </w:rPr>
        <w:t>Repayment to Company</w:t>
      </w:r>
      <w:r>
        <w:rPr>
          <w:rFonts w:ascii="Arial" w:cs="Arial" w:eastAsia="Arial" w:hAnsi="Arial"/>
          <w:sz w:val="16"/>
          <w:szCs w:val="16"/>
          <w:color w:val="auto"/>
        </w:rPr>
        <w:t>.</w:t>
      </w:r>
    </w:p>
    <w:p>
      <w:pPr>
        <w:spacing w:after="0" w:line="225" w:lineRule="exact"/>
        <w:rPr>
          <w:sz w:val="20"/>
          <w:szCs w:val="20"/>
          <w:color w:val="auto"/>
        </w:rPr>
      </w:pPr>
    </w:p>
    <w:p>
      <w:pPr>
        <w:ind w:right="80" w:firstLine="881"/>
        <w:spacing w:after="0" w:line="259" w:lineRule="auto"/>
        <w:rPr>
          <w:sz w:val="20"/>
          <w:szCs w:val="20"/>
          <w:color w:val="auto"/>
        </w:rPr>
      </w:pPr>
      <w:r>
        <w:rPr>
          <w:rFonts w:ascii="Arial" w:cs="Arial" w:eastAsia="Arial" w:hAnsi="Arial"/>
          <w:sz w:val="18"/>
          <w:szCs w:val="18"/>
          <w:color w:val="auto"/>
        </w:rPr>
        <w:t>Subject to applicable abandoned property law, the Trustee and the Paying Agent shall pay to the Company upon request any money held by them for the payment of principal and interest that remains unclaimed for two years. After that, Securityholders entitled to the money must look to the Company for payment as general creditors unless an applicable abandoned property law designates another person, and the Trustee shall have no further liability with respect to such money.</w:t>
      </w:r>
    </w:p>
    <w:p>
      <w:pPr>
        <w:spacing w:after="0" w:line="18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8.6</w:t>
      </w:r>
      <w:r>
        <w:rPr>
          <w:sz w:val="20"/>
          <w:szCs w:val="20"/>
          <w:color w:val="auto"/>
        </w:rPr>
        <w:tab/>
      </w:r>
      <w:r>
        <w:rPr>
          <w:rFonts w:ascii="Arial" w:cs="Arial" w:eastAsia="Arial" w:hAnsi="Arial"/>
          <w:sz w:val="15"/>
          <w:szCs w:val="15"/>
          <w:u w:val="single" w:color="auto"/>
          <w:color w:val="auto"/>
        </w:rPr>
        <w:t>Reinstatement</w:t>
      </w:r>
      <w:r>
        <w:rPr>
          <w:rFonts w:ascii="Arial" w:cs="Arial" w:eastAsia="Arial" w:hAnsi="Arial"/>
          <w:sz w:val="15"/>
          <w:szCs w:val="15"/>
          <w:color w:val="auto"/>
        </w:rPr>
        <w:t>.</w:t>
      </w:r>
    </w:p>
    <w:p>
      <w:pPr>
        <w:spacing w:after="0" w:line="225" w:lineRule="exact"/>
        <w:rPr>
          <w:sz w:val="20"/>
          <w:szCs w:val="20"/>
          <w:color w:val="auto"/>
        </w:rPr>
      </w:pPr>
    </w:p>
    <w:p>
      <w:pPr>
        <w:ind w:firstLine="881"/>
        <w:spacing w:after="0" w:line="259" w:lineRule="auto"/>
        <w:rPr>
          <w:sz w:val="20"/>
          <w:szCs w:val="20"/>
          <w:color w:val="auto"/>
        </w:rPr>
      </w:pPr>
      <w:r>
        <w:rPr>
          <w:rFonts w:ascii="Arial" w:cs="Arial" w:eastAsia="Arial" w:hAnsi="Arial"/>
          <w:sz w:val="18"/>
          <w:szCs w:val="18"/>
          <w:color w:val="auto"/>
        </w:rPr>
        <w:t>If the Trustee or the Paying Agent is unable to apply any money deposited with respect to Securities of any Series in accordance with Section 8.1 by reason of any legal proceeding or by reason of any order or judgment of any court or governmental authority enjoining, restraining or otherwise prohibiting such application, the obligations of the Company under this Indenture with respect to the Securities of such Series and under the Securities of such Series shall be revived and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 xml:space="preserve">reinstated as though no deposit had occurred pursuant to Section 8.1 until such time as the Trustee or the Paying Agent is permitted to apply all such money in accordance with Section 8.1;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Company has made any payment of principal of or interest on or any Additional Amounts with respect to any Securities because of the reinstatement of its obligations, the Company shall be subrogated to the rights of the Holders of such Securities to receive such payment from the money or U.S. Government Obligations held by the Trustee or Paying Agent after payment in full to the Holders.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AMENDMENTS AND WAIVERS</w:t>
      </w:r>
    </w:p>
    <w:p>
      <w:pPr>
        <w:spacing w:after="0" w:line="21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9.1</w:t>
      </w:r>
      <w:r>
        <w:rPr>
          <w:sz w:val="20"/>
          <w:szCs w:val="20"/>
          <w:color w:val="auto"/>
        </w:rPr>
        <w:tab/>
      </w:r>
      <w:r>
        <w:rPr>
          <w:rFonts w:ascii="Arial" w:cs="Arial" w:eastAsia="Arial" w:hAnsi="Arial"/>
          <w:sz w:val="16"/>
          <w:szCs w:val="16"/>
          <w:u w:val="single" w:color="auto"/>
          <w:color w:val="auto"/>
        </w:rPr>
        <w:t>Without Consent of Holders</w:t>
      </w:r>
      <w:r>
        <w:rPr>
          <w:rFonts w:ascii="Arial" w:cs="Arial" w:eastAsia="Arial" w:hAnsi="Arial"/>
          <w:sz w:val="16"/>
          <w:szCs w:val="16"/>
          <w:color w:val="auto"/>
        </w:rPr>
        <w: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Company and the Trustee may amend or supplement this Indenture or the Securities of one or more Series without the consent of any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Securityholder:</w:t>
      </w:r>
    </w:p>
    <w:p>
      <w:pPr>
        <w:spacing w:after="0" w:line="211" w:lineRule="exact"/>
        <w:rPr>
          <w:sz w:val="20"/>
          <w:szCs w:val="20"/>
          <w:color w:val="auto"/>
        </w:rPr>
      </w:pPr>
    </w:p>
    <w:p>
      <w:pPr>
        <w:ind w:left="1940" w:hanging="635"/>
        <w:spacing w:after="0"/>
        <w:tabs>
          <w:tab w:leader="none" w:pos="19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to cure any ambiguity, defect or inconsistency as evidenced by an Officer Certificate;</w:t>
      </w:r>
    </w:p>
    <w:p>
      <w:pPr>
        <w:sectPr>
          <w:pgSz w:w="11900" w:h="16874" w:orient="portrait"/>
          <w:cols w:equalWidth="0" w:num="1">
            <w:col w:w="11420"/>
          </w:cols>
          <w:pgMar w:left="240" w:top="125" w:right="239" w:bottom="0" w:gutter="0" w:footer="0" w:header="0"/>
        </w:sectPr>
      </w:pPr>
    </w:p>
    <w:bookmarkStart w:id="44" w:name="page45"/>
    <w:bookmarkEnd w:id="44"/>
    <w:p>
      <w:pPr>
        <w:ind w:left="1960" w:hanging="655"/>
        <w:spacing w:after="0"/>
        <w:tabs>
          <w:tab w:leader="none" w:pos="19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comply with Article V;</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provide for uncertificated Securities in addition to or in place of certificated Securities;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add guarantees with respect to Securities of any Series or secure Securities of any Series;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surrender any of the Company’s rights or powers under this Indenture;</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add covenants or events of default for the benefit of the holders of Securities of any Series;</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comply with the applicable procedures of the applicable depositary;</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Securityholder;</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to provide for the issuance of and establish the form and terms and conditions of Securities of any Series as permitted by this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Indenture;</w:t>
      </w:r>
    </w:p>
    <w:p>
      <w:pPr>
        <w:spacing w:after="0" w:line="211" w:lineRule="exact"/>
        <w:rPr>
          <w:sz w:val="20"/>
          <w:szCs w:val="20"/>
          <w:color w:val="auto"/>
        </w:rPr>
      </w:pPr>
    </w:p>
    <w:p>
      <w:pPr>
        <w:jc w:val="both"/>
        <w:ind w:right="120" w:firstLine="1305"/>
        <w:spacing w:after="0" w:line="264" w:lineRule="auto"/>
        <w:tabs>
          <w:tab w:leader="none" w:pos="1953"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or</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 comply with requirements of the SEC in order to effect or maintain the qualification of this Indenture under the TIA.</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9.2</w:t>
      </w:r>
      <w:r>
        <w:rPr>
          <w:sz w:val="20"/>
          <w:szCs w:val="20"/>
          <w:color w:val="auto"/>
        </w:rPr>
        <w:tab/>
      </w:r>
      <w:r>
        <w:rPr>
          <w:rFonts w:ascii="Arial" w:cs="Arial" w:eastAsia="Arial" w:hAnsi="Arial"/>
          <w:sz w:val="16"/>
          <w:szCs w:val="16"/>
          <w:u w:val="single" w:color="auto"/>
          <w:color w:val="auto"/>
        </w:rPr>
        <w:t>With Consent of Holders</w:t>
      </w:r>
      <w:r>
        <w:rPr>
          <w:rFonts w:ascii="Arial" w:cs="Arial" w:eastAsia="Arial" w:hAnsi="Arial"/>
          <w:sz w:val="16"/>
          <w:szCs w:val="16"/>
          <w:color w:val="auto"/>
        </w:rPr>
        <w:t>.</w:t>
      </w:r>
    </w:p>
    <w:p>
      <w:pPr>
        <w:spacing w:after="0" w:line="225" w:lineRule="exact"/>
        <w:rPr>
          <w:sz w:val="20"/>
          <w:szCs w:val="20"/>
          <w:color w:val="auto"/>
        </w:rPr>
      </w:pPr>
    </w:p>
    <w:p>
      <w:pPr>
        <w:ind w:right="20" w:firstLine="881"/>
        <w:spacing w:after="0" w:line="272" w:lineRule="auto"/>
        <w:rPr>
          <w:sz w:val="20"/>
          <w:szCs w:val="20"/>
          <w:color w:val="auto"/>
        </w:rPr>
      </w:pPr>
      <w:r>
        <w:rPr>
          <w:rFonts w:ascii="Arial" w:cs="Arial" w:eastAsia="Arial" w:hAnsi="Arial"/>
          <w:sz w:val="17"/>
          <w:szCs w:val="17"/>
          <w:color w:val="auto"/>
        </w:rPr>
        <w:t>The Company and the Trustee may enter into a supplemental indenture with the written consent of the Holders of at least a majority in principal amount of the outstanding Securities of each Series affected by such supplemental indenture (including consents obtained in connection with a tender offer or exchange offer for the Securities of such Series), for the purpose of adding any provisions to or changing in any manner or eliminating any of the provisions of this Indenture or of any supplemental indenture or of modifying in any manner the rights of the Securityholders of each such Series. Except as provided in Section 6.13, the Holders of at least a majority in principal amount of the outstanding Securities of any Series by notice to the Trustee (including consents obtained in connection with a tender offer or exchange offer for the Securities of such Series) may waive compliance by the Company with any provision of this Indenture or the Securities with respect to such Series.</w:t>
      </w:r>
    </w:p>
    <w:p>
      <w:pPr>
        <w:spacing w:after="0" w:line="178" w:lineRule="exact"/>
        <w:rPr>
          <w:sz w:val="20"/>
          <w:szCs w:val="20"/>
          <w:color w:val="auto"/>
        </w:rPr>
      </w:pPr>
    </w:p>
    <w:p>
      <w:pPr>
        <w:ind w:right="20" w:firstLine="881"/>
        <w:spacing w:after="0" w:line="257" w:lineRule="auto"/>
        <w:rPr>
          <w:sz w:val="20"/>
          <w:szCs w:val="20"/>
          <w:color w:val="auto"/>
        </w:rPr>
      </w:pPr>
      <w:r>
        <w:rPr>
          <w:rFonts w:ascii="Arial" w:cs="Arial" w:eastAsia="Arial" w:hAnsi="Arial"/>
          <w:sz w:val="18"/>
          <w:szCs w:val="18"/>
          <w:color w:val="auto"/>
        </w:rPr>
        <w:t>It shall not be necessary for the consent of the Holders of Securities under this Section 9.2 to approve the particular form of any proposed supplemental indenture or waiver, but it shall be sufficient if such consent approves the substance thereof. After a supplemental indenture or waiver under this section becomes effective, the Company shall send to the Holders of Securities affected thereby, a notice briefly describing the supplemental indenture or waiver. Any failure by the Company to send such notice, or any defect therein, shall not, however, in any way impair or affect the validity of any such supplemental indenture or waiver.</w:t>
      </w:r>
    </w:p>
    <w:p>
      <w:pPr>
        <w:spacing w:after="0" w:line="18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9.3</w:t>
      </w:r>
      <w:r>
        <w:rPr>
          <w:sz w:val="20"/>
          <w:szCs w:val="20"/>
          <w:color w:val="auto"/>
        </w:rPr>
        <w:tab/>
      </w:r>
      <w:r>
        <w:rPr>
          <w:rFonts w:ascii="Arial" w:cs="Arial" w:eastAsia="Arial" w:hAnsi="Arial"/>
          <w:sz w:val="17"/>
          <w:szCs w:val="17"/>
          <w:u w:val="single" w:color="auto"/>
          <w:color w:val="auto"/>
        </w:rPr>
        <w:t>Limitations</w:t>
      </w:r>
      <w:r>
        <w:rPr>
          <w:rFonts w:ascii="Arial" w:cs="Arial" w:eastAsia="Arial" w:hAnsi="Arial"/>
          <w:sz w:val="17"/>
          <w:szCs w:val="17"/>
          <w:color w:val="auto"/>
        </w:rPr>
        <w: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Without the consent of each Securityholder affected, an amendment or waiver may not:</w:t>
      </w:r>
    </w:p>
    <w:p>
      <w:pPr>
        <w:spacing w:after="0" w:line="225" w:lineRule="exact"/>
        <w:rPr>
          <w:sz w:val="20"/>
          <w:szCs w:val="20"/>
          <w:color w:val="auto"/>
        </w:rPr>
      </w:pPr>
    </w:p>
    <w:p>
      <w:pPr>
        <w:ind w:left="1940" w:hanging="635"/>
        <w:spacing w:after="0"/>
        <w:tabs>
          <w:tab w:leader="none" w:pos="19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reduce the principal amount of Securities whose Holders must consent to an amendment, supplement or waiver;</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reduce the rate of or extend the time for payment of interest (including default interest) on any Security;</w:t>
      </w:r>
    </w:p>
    <w:p>
      <w:pPr>
        <w:spacing w:after="0" w:line="225" w:lineRule="exact"/>
        <w:rPr>
          <w:rFonts w:ascii="Arial" w:cs="Arial" w:eastAsia="Arial" w:hAnsi="Arial"/>
          <w:sz w:val="18"/>
          <w:szCs w:val="18"/>
          <w:color w:val="auto"/>
        </w:rPr>
      </w:pPr>
    </w:p>
    <w:p>
      <w:pPr>
        <w:ind w:right="380" w:firstLine="1305"/>
        <w:spacing w:after="0" w:line="277" w:lineRule="auto"/>
        <w:tabs>
          <w:tab w:leader="none" w:pos="19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reduce the principal or change the Stated Maturity of any Security or reduce the amount of, or postpone the date fixed for, the payment of any sinking fund or analogous obligation;</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reduce the principal amount of Discount Securities payable upon acceleration of the maturity thereof;</w:t>
      </w:r>
    </w:p>
    <w:p>
      <w:pPr>
        <w:spacing w:after="0" w:line="225" w:lineRule="exact"/>
        <w:rPr>
          <w:rFonts w:ascii="Arial" w:cs="Arial" w:eastAsia="Arial" w:hAnsi="Arial"/>
          <w:sz w:val="18"/>
          <w:szCs w:val="18"/>
          <w:color w:val="auto"/>
        </w:rPr>
      </w:pPr>
    </w:p>
    <w:p>
      <w:pPr>
        <w:ind w:right="100" w:firstLine="1305"/>
        <w:spacing w:after="0" w:line="264" w:lineRule="auto"/>
        <w:tabs>
          <w:tab w:leader="none" w:pos="19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waive a Default or Event of Default in the payment of the principal of or interest, if any, on any Security (except a rescission of acceleration of the Securities of any Series by the Holders of at least a majority in principal amount of the outstanding Securities of such Series and a waiver of the payment default that resulted from such acceleration);</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make the principal of or interest, if any, on any Security payable in any currency other than that stated in the Security;</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80" w:hanging="675"/>
        <w:spacing w:after="0"/>
        <w:tabs>
          <w:tab w:leader="none" w:pos="1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make any change in Sections 6.8, 6.13 or 9.3 (this sentence); or</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waive a redemption payment with respect to any Security, provided that such redemption is made at the Company’s option.</w:t>
      </w:r>
    </w:p>
    <w:p>
      <w:pPr>
        <w:spacing w:after="0" w:line="236"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Section 9.4</w:t>
      </w:r>
      <w:r>
        <w:rPr>
          <w:rFonts w:ascii="Arial" w:cs="Arial" w:eastAsia="Arial" w:hAnsi="Arial"/>
          <w:sz w:val="16"/>
          <w:szCs w:val="16"/>
          <w:u w:val="single" w:color="auto"/>
          <w:color w:val="auto"/>
        </w:rPr>
        <w:t>Compliance with Trust Indenture Act</w:t>
      </w:r>
      <w:r>
        <w:rPr>
          <w:rFonts w:ascii="Arial" w:cs="Arial" w:eastAsia="Arial" w:hAnsi="Arial"/>
          <w:sz w:val="16"/>
          <w:szCs w:val="16"/>
          <w:color w:val="auto"/>
        </w:rPr>
        <w:t>.</w:t>
      </w:r>
    </w:p>
    <w:p>
      <w:pPr>
        <w:spacing w:after="0" w:line="225" w:lineRule="exact"/>
        <w:rPr>
          <w:sz w:val="20"/>
          <w:szCs w:val="20"/>
          <w:color w:val="auto"/>
        </w:rPr>
      </w:pPr>
    </w:p>
    <w:p>
      <w:pPr>
        <w:ind w:firstLine="881"/>
        <w:spacing w:after="0" w:line="277" w:lineRule="auto"/>
        <w:rPr>
          <w:sz w:val="20"/>
          <w:szCs w:val="20"/>
          <w:color w:val="auto"/>
        </w:rPr>
      </w:pPr>
      <w:r>
        <w:rPr>
          <w:rFonts w:ascii="Arial" w:cs="Arial" w:eastAsia="Arial" w:hAnsi="Arial"/>
          <w:sz w:val="18"/>
          <w:szCs w:val="18"/>
          <w:color w:val="auto"/>
        </w:rPr>
        <w:t>Every amendment to this Indenture or the Securities of one or more Series shall be set forth in a supplemental indenture hereto that complies with the TIA as then in effect.</w:t>
      </w:r>
    </w:p>
    <w:p>
      <w:pPr>
        <w:sectPr>
          <w:pgSz w:w="11900" w:h="16838" w:orient="portrait"/>
          <w:cols w:equalWidth="0" w:num="1">
            <w:col w:w="11380"/>
          </w:cols>
          <w:pgMar w:left="240" w:top="341" w:right="279" w:bottom="0" w:gutter="0" w:footer="0" w:header="0"/>
        </w:sectPr>
      </w:pPr>
    </w:p>
    <w:bookmarkStart w:id="45" w:name="page46"/>
    <w:bookmarkEnd w:id="45"/>
    <w:p>
      <w:pPr>
        <w:ind w:left="660"/>
        <w:spacing w:after="0"/>
        <w:tabs>
          <w:tab w:leader="none" w:pos="1940" w:val="left"/>
        </w:tabs>
        <w:rPr>
          <w:sz w:val="20"/>
          <w:szCs w:val="20"/>
          <w:color w:val="auto"/>
        </w:rPr>
      </w:pPr>
      <w:r>
        <w:rPr>
          <w:rFonts w:ascii="Arial" w:cs="Arial" w:eastAsia="Arial" w:hAnsi="Arial"/>
          <w:sz w:val="18"/>
          <w:szCs w:val="18"/>
          <w:color w:val="auto"/>
        </w:rPr>
        <w:t>Section 9.5</w:t>
      </w:r>
      <w:r>
        <w:rPr>
          <w:sz w:val="20"/>
          <w:szCs w:val="20"/>
          <w:color w:val="auto"/>
        </w:rPr>
        <w:tab/>
      </w:r>
      <w:r>
        <w:rPr>
          <w:rFonts w:ascii="Arial" w:cs="Arial" w:eastAsia="Arial" w:hAnsi="Arial"/>
          <w:sz w:val="16"/>
          <w:szCs w:val="16"/>
          <w:u w:val="single" w:color="auto"/>
          <w:color w:val="auto"/>
        </w:rPr>
        <w:t>Revocation and Effect of Consents</w:t>
      </w:r>
      <w:r>
        <w:rPr>
          <w:rFonts w:ascii="Arial" w:cs="Arial" w:eastAsia="Arial" w:hAnsi="Arial"/>
          <w:sz w:val="16"/>
          <w:szCs w:val="16"/>
          <w:color w:val="auto"/>
        </w:rPr>
        <w:t>.</w:t>
      </w:r>
    </w:p>
    <w:p>
      <w:pPr>
        <w:spacing w:after="0" w:line="225" w:lineRule="exact"/>
        <w:rPr>
          <w:sz w:val="20"/>
          <w:szCs w:val="20"/>
          <w:color w:val="auto"/>
        </w:rPr>
      </w:pPr>
    </w:p>
    <w:p>
      <w:pPr>
        <w:ind w:right="100" w:firstLine="881"/>
        <w:spacing w:after="0" w:line="257" w:lineRule="auto"/>
        <w:rPr>
          <w:sz w:val="20"/>
          <w:szCs w:val="20"/>
          <w:color w:val="auto"/>
        </w:rPr>
      </w:pPr>
      <w:r>
        <w:rPr>
          <w:rFonts w:ascii="Arial" w:cs="Arial" w:eastAsia="Arial" w:hAnsi="Arial"/>
          <w:sz w:val="18"/>
          <w:szCs w:val="18"/>
          <w:color w:val="auto"/>
        </w:rPr>
        <w:t>Until an amendment is set forth in a supplemental indenture or a waiver becomes effective, a consent to it by a Holder of a Security is a continuing consent by the Holder and every subsequent Holder of a Security or portion of a Security that evidences the same debt as the consenting Holder’s Security, even if notation of the consent is not made on any Security. However, any such Holder or subsequent Holder may revoke the consent as to his Security or portion of a Security if the Trustee receives the notice of revocation before the date of the supplemental indenture or the date the waiver becomes effective.</w:t>
      </w:r>
    </w:p>
    <w:p>
      <w:pPr>
        <w:spacing w:after="0" w:line="188" w:lineRule="exact"/>
        <w:rPr>
          <w:sz w:val="20"/>
          <w:szCs w:val="20"/>
          <w:color w:val="auto"/>
        </w:rPr>
      </w:pPr>
    </w:p>
    <w:p>
      <w:pPr>
        <w:jc w:val="both"/>
        <w:ind w:right="20" w:firstLine="881"/>
        <w:spacing w:after="0" w:line="312" w:lineRule="auto"/>
        <w:rPr>
          <w:sz w:val="20"/>
          <w:szCs w:val="20"/>
          <w:color w:val="auto"/>
        </w:rPr>
      </w:pPr>
      <w:r>
        <w:rPr>
          <w:rFonts w:ascii="Arial" w:cs="Arial" w:eastAsia="Arial" w:hAnsi="Arial"/>
          <w:sz w:val="16"/>
          <w:szCs w:val="16"/>
          <w:color w:val="auto"/>
        </w:rPr>
        <w:t>Any amendment or waiver once effective shall bind every Securityholder of each Series affected by such amendment or waiver unless it is of the type described in any of clauses (a) through (h) of Section 9.3. In that case, the amendment or waiver shall bind each Holder of a Security who has consented to it and every subsequent Holder of a Security or portion of a Security that evidences the same debt as the consenting Holder’s Security.</w:t>
      </w:r>
    </w:p>
    <w:p>
      <w:pPr>
        <w:spacing w:after="0" w:line="147" w:lineRule="exact"/>
        <w:rPr>
          <w:sz w:val="20"/>
          <w:szCs w:val="20"/>
          <w:color w:val="auto"/>
        </w:rPr>
      </w:pPr>
    </w:p>
    <w:p>
      <w:pPr>
        <w:ind w:right="20" w:firstLine="881"/>
        <w:spacing w:after="0" w:line="276" w:lineRule="auto"/>
        <w:rPr>
          <w:sz w:val="20"/>
          <w:szCs w:val="20"/>
          <w:color w:val="auto"/>
        </w:rPr>
      </w:pPr>
      <w:r>
        <w:rPr>
          <w:rFonts w:ascii="Arial" w:cs="Arial" w:eastAsia="Arial" w:hAnsi="Arial"/>
          <w:sz w:val="17"/>
          <w:szCs w:val="17"/>
          <w:color w:val="auto"/>
        </w:rPr>
        <w:t>The Company may, but shall not be obligated to, fix a record date for the purpose of determining the Holders entitled to give their consent or take any other action described above or required or permitted to be taken pursuant to this Indenture. If a record date is fixed, then notwithstanding the second immediately preceding paragraph, those Persons who were Holders at such record date (or their duly designated proxies), and only those persons, shall be entitled to give such consent or to revoke any consent previously given or take any such action, whether or not such Persons continue to be Holders after such record date. No such consent shall be valid or effective for more than 120 days after such record date.</w:t>
      </w:r>
    </w:p>
    <w:p>
      <w:pPr>
        <w:spacing w:after="0" w:line="173"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9.6</w:t>
      </w:r>
      <w:r>
        <w:rPr>
          <w:sz w:val="20"/>
          <w:szCs w:val="20"/>
          <w:color w:val="auto"/>
        </w:rPr>
        <w:tab/>
      </w:r>
      <w:r>
        <w:rPr>
          <w:rFonts w:ascii="Arial" w:cs="Arial" w:eastAsia="Arial" w:hAnsi="Arial"/>
          <w:sz w:val="16"/>
          <w:szCs w:val="16"/>
          <w:u w:val="single" w:color="auto"/>
          <w:color w:val="auto"/>
        </w:rPr>
        <w:t>Notation on or Exchange of Securities</w:t>
      </w:r>
      <w:r>
        <w:rPr>
          <w:rFonts w:ascii="Arial" w:cs="Arial" w:eastAsia="Arial" w:hAnsi="Arial"/>
          <w:sz w:val="16"/>
          <w:szCs w:val="16"/>
          <w:color w:val="auto"/>
        </w:rPr>
        <w:t>.</w:t>
      </w:r>
    </w:p>
    <w:p>
      <w:pPr>
        <w:spacing w:after="0" w:line="225" w:lineRule="exact"/>
        <w:rPr>
          <w:sz w:val="20"/>
          <w:szCs w:val="20"/>
          <w:color w:val="auto"/>
        </w:rPr>
      </w:pPr>
    </w:p>
    <w:p>
      <w:pPr>
        <w:ind w:right="500" w:firstLine="881"/>
        <w:spacing w:after="0" w:line="264" w:lineRule="auto"/>
        <w:rPr>
          <w:sz w:val="20"/>
          <w:szCs w:val="20"/>
          <w:color w:val="auto"/>
        </w:rPr>
      </w:pPr>
      <w:r>
        <w:rPr>
          <w:rFonts w:ascii="Arial" w:cs="Arial" w:eastAsia="Arial" w:hAnsi="Arial"/>
          <w:sz w:val="18"/>
          <w:szCs w:val="18"/>
          <w:color w:val="auto"/>
        </w:rPr>
        <w:t>The Company or the Trustee may place an appropriate notation about an amendment or waiver on any Security of any Series thereafter authenticated. The Company in exchange for Securities of that Series may issue and the Trustee shall authenticate upon receipt of a Company Order in accordance with Section 2.3 new Securities of that Series that reflect the amendment or waiver.</w:t>
      </w:r>
    </w:p>
    <w:p>
      <w:pPr>
        <w:spacing w:after="0" w:line="18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9.7</w:t>
      </w:r>
      <w:r>
        <w:rPr>
          <w:sz w:val="20"/>
          <w:szCs w:val="20"/>
          <w:color w:val="auto"/>
        </w:rPr>
        <w:tab/>
      </w:r>
      <w:r>
        <w:rPr>
          <w:rFonts w:ascii="Arial" w:cs="Arial" w:eastAsia="Arial" w:hAnsi="Arial"/>
          <w:sz w:val="15"/>
          <w:szCs w:val="15"/>
          <w:u w:val="single" w:color="auto"/>
          <w:color w:val="auto"/>
        </w:rPr>
        <w:t>Trustee Protected</w:t>
      </w:r>
      <w:r>
        <w:rPr>
          <w:rFonts w:ascii="Arial" w:cs="Arial" w:eastAsia="Arial" w:hAnsi="Arial"/>
          <w:sz w:val="15"/>
          <w:szCs w:val="15"/>
          <w:color w:val="auto"/>
        </w:rPr>
        <w:t>.</w:t>
      </w:r>
    </w:p>
    <w:p>
      <w:pPr>
        <w:spacing w:after="0" w:line="225" w:lineRule="exact"/>
        <w:rPr>
          <w:sz w:val="20"/>
          <w:szCs w:val="20"/>
          <w:color w:val="auto"/>
        </w:rPr>
      </w:pPr>
    </w:p>
    <w:p>
      <w:pPr>
        <w:ind w:right="240" w:firstLine="881"/>
        <w:spacing w:after="0" w:line="277" w:lineRule="auto"/>
        <w:rPr>
          <w:sz w:val="20"/>
          <w:szCs w:val="20"/>
          <w:color w:val="auto"/>
        </w:rPr>
      </w:pPr>
      <w:r>
        <w:rPr>
          <w:rFonts w:ascii="Arial" w:cs="Arial" w:eastAsia="Arial" w:hAnsi="Arial"/>
          <w:sz w:val="18"/>
          <w:szCs w:val="18"/>
          <w:color w:val="auto"/>
        </w:rPr>
        <w:t>In executing, or accepting the additional trusts created by, any supplemental indenture permitted by this Article or the modifications thereby of the trusts created by this Indenture,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Trustee shall be entitled to receive, and (subject to Section 7.1) shall be fully protected in relying upon, an Officer’s Certificate or an Opinion of Counsel or both complying with Section 10.4 and stating that the supplemental indenture is authorized or permitted by this Indenture and constitutes a legal valid and binding obligation of the Company, enforceable against it in accordance with its terms. The Trustee shall sign all supplemental indentures upon delivery of such an Officer’s Certificate or Opinion of Counsel or both, except that the Trustee need not sign any supplemental indenture that adversely affects its rights, duties, liabilities or immunities under this Indenture.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6"/>
          <w:szCs w:val="16"/>
          <w:u w:val="single" w:color="auto"/>
          <w:color w:val="auto"/>
        </w:rPr>
        <w:t>Trust Indenture Act Controls</w:t>
      </w:r>
      <w:r>
        <w:rPr>
          <w:rFonts w:ascii="Arial" w:cs="Arial" w:eastAsia="Arial" w:hAnsi="Arial"/>
          <w:sz w:val="16"/>
          <w:szCs w:val="16"/>
          <w:color w:val="auto"/>
        </w:rPr>
        <w:t>.</w:t>
      </w:r>
    </w:p>
    <w:p>
      <w:pPr>
        <w:spacing w:after="0" w:line="225" w:lineRule="exact"/>
        <w:rPr>
          <w:sz w:val="20"/>
          <w:szCs w:val="20"/>
          <w:color w:val="auto"/>
        </w:rPr>
      </w:pPr>
    </w:p>
    <w:p>
      <w:pPr>
        <w:ind w:firstLine="881"/>
        <w:spacing w:after="0" w:line="277" w:lineRule="auto"/>
        <w:rPr>
          <w:sz w:val="20"/>
          <w:szCs w:val="20"/>
          <w:color w:val="auto"/>
        </w:rPr>
      </w:pPr>
      <w:r>
        <w:rPr>
          <w:rFonts w:ascii="Arial" w:cs="Arial" w:eastAsia="Arial" w:hAnsi="Arial"/>
          <w:sz w:val="18"/>
          <w:szCs w:val="18"/>
          <w:color w:val="auto"/>
        </w:rPr>
        <w:t>If any provision of this Indenture limits, qualifies, or conflicts with another provision which is required or deemed to be included in this Indenture by the TIA, such required or deemed provision shall control.</w:t>
      </w:r>
    </w:p>
    <w:p>
      <w:pPr>
        <w:spacing w:after="0" w:line="170"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10.2</w:t>
      </w:r>
      <w:r>
        <w:rPr>
          <w:sz w:val="20"/>
          <w:szCs w:val="20"/>
          <w:color w:val="auto"/>
        </w:rPr>
        <w:tab/>
      </w:r>
      <w:r>
        <w:rPr>
          <w:rFonts w:ascii="Arial" w:cs="Arial" w:eastAsia="Arial" w:hAnsi="Arial"/>
          <w:sz w:val="16"/>
          <w:szCs w:val="16"/>
          <w:u w:val="single" w:color="auto"/>
          <w:color w:val="auto"/>
        </w:rPr>
        <w:t>Notices</w:t>
      </w:r>
      <w:r>
        <w:rPr>
          <w:rFonts w:ascii="Arial" w:cs="Arial" w:eastAsia="Arial" w:hAnsi="Arial"/>
          <w:sz w:val="16"/>
          <w:szCs w:val="16"/>
          <w:color w:val="auto"/>
        </w:rPr>
        <w:t>.</w:t>
      </w:r>
    </w:p>
    <w:p>
      <w:pPr>
        <w:spacing w:after="0" w:line="225" w:lineRule="exact"/>
        <w:rPr>
          <w:sz w:val="20"/>
          <w:szCs w:val="20"/>
          <w:color w:val="auto"/>
        </w:rPr>
      </w:pPr>
    </w:p>
    <w:p>
      <w:pPr>
        <w:ind w:right="220" w:firstLine="881"/>
        <w:spacing w:after="0" w:line="264" w:lineRule="auto"/>
        <w:rPr>
          <w:sz w:val="20"/>
          <w:szCs w:val="20"/>
          <w:color w:val="auto"/>
        </w:rPr>
      </w:pPr>
      <w:r>
        <w:rPr>
          <w:rFonts w:ascii="Arial" w:cs="Arial" w:eastAsia="Arial" w:hAnsi="Arial"/>
          <w:sz w:val="18"/>
          <w:szCs w:val="18"/>
          <w:color w:val="auto"/>
        </w:rPr>
        <w:t>Any notice or communication by the Company or the Trustee to the other, or by a Holder to the Company or the Trustee, is duly given if in writing and delivered in person or mailed by first-class mail (registered or certified, return receipt requested), facsimile transmission, email or overnight air courier guaranteeing next day delivery, to the others’ address: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if to the Company:</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Micron Technology,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8000 South Federal Way</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Boise, Idaho 83716-9632 100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Fax No.: (208)368-4540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General Counsel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Wilson Sonsini Goodrich &amp; Rosati, Professional Corporation</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650 Page Mill Road</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Palo Alto, California 94304-1050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Fax No.: (650)493-6811</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John A. Fore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if to the Trustee: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Telephone: [·]</w:t>
      </w:r>
    </w:p>
    <w:p>
      <w:pPr>
        <w:sectPr>
          <w:pgSz w:w="11900" w:h="16838" w:orient="portrait"/>
          <w:cols w:equalWidth="0" w:num="1">
            <w:col w:w="11400"/>
          </w:cols>
          <w:pgMar w:left="240" w:top="125" w:right="259" w:bottom="0" w:gutter="0" w:footer="0" w:header="0"/>
        </w:sectPr>
      </w:pPr>
    </w:p>
    <w:bookmarkStart w:id="46" w:name="page47"/>
    <w:bookmarkEnd w:id="46"/>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Company or the Trustee by notice to the other may designate additional or different addresses for subsequent notices or communications.</w:t>
      </w:r>
    </w:p>
    <w:p>
      <w:pPr>
        <w:spacing w:after="0" w:line="248" w:lineRule="exact"/>
        <w:rPr>
          <w:sz w:val="20"/>
          <w:szCs w:val="20"/>
          <w:color w:val="auto"/>
        </w:rPr>
      </w:pPr>
    </w:p>
    <w:p>
      <w:pPr>
        <w:jc w:val="both"/>
        <w:ind w:firstLine="881"/>
        <w:spacing w:after="0" w:line="264" w:lineRule="auto"/>
        <w:rPr>
          <w:sz w:val="20"/>
          <w:szCs w:val="20"/>
          <w:color w:val="auto"/>
        </w:rPr>
      </w:pPr>
      <w:r>
        <w:rPr>
          <w:rFonts w:ascii="Arial" w:cs="Arial" w:eastAsia="Arial" w:hAnsi="Arial"/>
          <w:sz w:val="18"/>
          <w:szCs w:val="18"/>
          <w:color w:val="auto"/>
        </w:rPr>
        <w:t>Any notice or communication to a Securityholder shall be sent electronically or by first-class mail to his address shown on the register kept by the Registrar, in accordance with the procedures of the Depositary. Failure to send a notice or communication to a Securityholder of any Series or any defect in it shall not affect its sufficiency with respect to other Securityholders of that or any other Series.</w:t>
      </w:r>
    </w:p>
    <w:p>
      <w:pPr>
        <w:spacing w:after="0" w:line="181" w:lineRule="exact"/>
        <w:rPr>
          <w:sz w:val="20"/>
          <w:szCs w:val="20"/>
          <w:color w:val="auto"/>
        </w:rPr>
      </w:pPr>
    </w:p>
    <w:p>
      <w:pPr>
        <w:ind w:right="240" w:firstLine="881"/>
        <w:spacing w:after="0" w:line="277" w:lineRule="auto"/>
        <w:rPr>
          <w:sz w:val="20"/>
          <w:szCs w:val="20"/>
          <w:color w:val="auto"/>
        </w:rPr>
      </w:pPr>
      <w:r>
        <w:rPr>
          <w:rFonts w:ascii="Arial" w:cs="Arial" w:eastAsia="Arial" w:hAnsi="Arial"/>
          <w:sz w:val="18"/>
          <w:szCs w:val="18"/>
          <w:color w:val="auto"/>
        </w:rPr>
        <w:t>If a notice or communication is sent or published in the manner provided above, within the time prescribed, it is duly given, whether or not the Securityholder receives it.</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7"/>
          <w:szCs w:val="17"/>
          <w:color w:val="auto"/>
        </w:rPr>
        <w:t>If the Company sends a notice or communication to Securityholders, it shall send a copy to the Trustee and each Agent at the same time.</w:t>
      </w:r>
    </w:p>
    <w:p>
      <w:pPr>
        <w:spacing w:after="0" w:line="237" w:lineRule="exact"/>
        <w:rPr>
          <w:sz w:val="20"/>
          <w:szCs w:val="20"/>
          <w:color w:val="auto"/>
        </w:rPr>
      </w:pPr>
    </w:p>
    <w:p>
      <w:pPr>
        <w:ind w:right="20" w:firstLine="881"/>
        <w:spacing w:after="0" w:line="264" w:lineRule="auto"/>
        <w:rPr>
          <w:sz w:val="20"/>
          <w:szCs w:val="20"/>
          <w:color w:val="auto"/>
        </w:rPr>
      </w:pPr>
      <w:r>
        <w:rPr>
          <w:rFonts w:ascii="Arial" w:cs="Arial" w:eastAsia="Arial" w:hAnsi="Arial"/>
          <w:sz w:val="18"/>
          <w:szCs w:val="18"/>
          <w:color w:val="auto"/>
        </w:rPr>
        <w:t>Notwithstanding any other provision of this Indenture or any Security, where this Indenture or any Security provides for notice of any event (including any notice of redemption) to a Holder of a Global Security (whether by mail or otherwise), such notice shall be sufficiently given to the Depositary for such Security (or its designee) pursuant to the customary procedures of such Depositary.</w:t>
      </w:r>
    </w:p>
    <w:p>
      <w:pPr>
        <w:spacing w:after="0" w:line="181"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10.3</w:t>
      </w:r>
      <w:r>
        <w:rPr>
          <w:sz w:val="20"/>
          <w:szCs w:val="20"/>
          <w:color w:val="auto"/>
        </w:rPr>
        <w:tab/>
      </w:r>
      <w:r>
        <w:rPr>
          <w:rFonts w:ascii="Arial" w:cs="Arial" w:eastAsia="Arial" w:hAnsi="Arial"/>
          <w:sz w:val="16"/>
          <w:szCs w:val="16"/>
          <w:u w:val="single" w:color="auto"/>
          <w:color w:val="auto"/>
        </w:rPr>
        <w:t>Communication by Holders with Other Holders</w:t>
      </w:r>
      <w:r>
        <w:rPr>
          <w:rFonts w:ascii="Arial" w:cs="Arial" w:eastAsia="Arial" w:hAnsi="Arial"/>
          <w:sz w:val="16"/>
          <w:szCs w:val="16"/>
          <w:color w:val="auto"/>
        </w:rPr>
        <w:t>.</w:t>
      </w:r>
    </w:p>
    <w:p>
      <w:pPr>
        <w:spacing w:after="0" w:line="225" w:lineRule="exact"/>
        <w:rPr>
          <w:sz w:val="20"/>
          <w:szCs w:val="20"/>
          <w:color w:val="auto"/>
        </w:rPr>
      </w:pPr>
    </w:p>
    <w:p>
      <w:pPr>
        <w:ind w:right="240" w:firstLine="881"/>
        <w:spacing w:after="0" w:line="264" w:lineRule="auto"/>
        <w:rPr>
          <w:sz w:val="20"/>
          <w:szCs w:val="20"/>
          <w:color w:val="auto"/>
        </w:rPr>
      </w:pPr>
      <w:r>
        <w:rPr>
          <w:rFonts w:ascii="Arial" w:cs="Arial" w:eastAsia="Arial" w:hAnsi="Arial"/>
          <w:sz w:val="18"/>
          <w:szCs w:val="18"/>
          <w:color w:val="auto"/>
        </w:rPr>
        <w:t>Securityholders of any Series may communicate pursuant to TIA § 312(b) with other Securityholders of that Series or any other Series with respect to their rights under this Indenture or the Securities of that Series or all Series. The Company, the Trustee, the Registrar and anyone else shall have the protection of TIA § 312(c).</w:t>
      </w:r>
    </w:p>
    <w:p>
      <w:pPr>
        <w:spacing w:after="0" w:line="181"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10.4</w:t>
      </w:r>
      <w:r>
        <w:rPr>
          <w:sz w:val="20"/>
          <w:szCs w:val="20"/>
          <w:color w:val="auto"/>
        </w:rPr>
        <w:tab/>
      </w:r>
      <w:r>
        <w:rPr>
          <w:rFonts w:ascii="Arial" w:cs="Arial" w:eastAsia="Arial" w:hAnsi="Arial"/>
          <w:sz w:val="16"/>
          <w:szCs w:val="16"/>
          <w:u w:val="single" w:color="auto"/>
          <w:color w:val="auto"/>
        </w:rPr>
        <w:t>Certificate and Opinion as to Conditions Precedent</w:t>
      </w:r>
      <w:r>
        <w:rPr>
          <w:rFonts w:ascii="Arial" w:cs="Arial" w:eastAsia="Arial" w:hAnsi="Arial"/>
          <w:sz w:val="16"/>
          <w:szCs w:val="16"/>
          <w:color w:val="auto"/>
        </w:rPr>
        <w: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Upon any request or application by the Company to the Trustee to take any action under this Indenture, the Company shall furnish to the Trustee:</w:t>
      </w:r>
    </w:p>
    <w:p>
      <w:pPr>
        <w:spacing w:after="0" w:line="248" w:lineRule="exact"/>
        <w:rPr>
          <w:sz w:val="20"/>
          <w:szCs w:val="20"/>
          <w:color w:val="auto"/>
        </w:rPr>
      </w:pPr>
    </w:p>
    <w:p>
      <w:pPr>
        <w:ind w:right="340" w:firstLine="1305"/>
        <w:spacing w:after="0" w:line="277" w:lineRule="auto"/>
        <w:tabs>
          <w:tab w:leader="none" w:pos="1942"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 Officer’s Certificate stating that, in the opinion of the signers, all conditions precedent, if any, provided for in this Indenture relating to the proposed action have been complied with; and</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an Opinion of Counsel stating that, in the opinion of such counsel, all such conditions precedent have been complied with.</w:t>
      </w:r>
    </w:p>
    <w:p>
      <w:pPr>
        <w:spacing w:after="0" w:line="236"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Section 10.5</w:t>
      </w:r>
      <w:r>
        <w:rPr>
          <w:rFonts w:ascii="Arial" w:cs="Arial" w:eastAsia="Arial" w:hAnsi="Arial"/>
          <w:sz w:val="16"/>
          <w:szCs w:val="16"/>
          <w:u w:val="single" w:color="auto"/>
          <w:color w:val="auto"/>
        </w:rPr>
        <w:t>Statements Required in Certificate or Opinion</w:t>
      </w:r>
      <w:r>
        <w:rPr>
          <w:rFonts w:ascii="Arial" w:cs="Arial" w:eastAsia="Arial" w:hAnsi="Arial"/>
          <w:sz w:val="16"/>
          <w:szCs w:val="16"/>
          <w:color w:val="auto"/>
        </w:rPr>
        <w:t>.</w:t>
      </w:r>
    </w:p>
    <w:p>
      <w:pPr>
        <w:spacing w:after="0" w:line="225" w:lineRule="exact"/>
        <w:rPr>
          <w:sz w:val="20"/>
          <w:szCs w:val="20"/>
          <w:color w:val="auto"/>
        </w:rPr>
      </w:pPr>
    </w:p>
    <w:p>
      <w:pPr>
        <w:ind w:right="620" w:firstLine="881"/>
        <w:spacing w:after="0" w:line="277" w:lineRule="auto"/>
        <w:rPr>
          <w:sz w:val="20"/>
          <w:szCs w:val="20"/>
          <w:color w:val="auto"/>
        </w:rPr>
      </w:pPr>
      <w:r>
        <w:rPr>
          <w:rFonts w:ascii="Arial" w:cs="Arial" w:eastAsia="Arial" w:hAnsi="Arial"/>
          <w:sz w:val="18"/>
          <w:szCs w:val="18"/>
          <w:color w:val="auto"/>
        </w:rPr>
        <w:t>Each certificate or opinion with respect to compliance with a condition or covenant provided for in this Indenture (other than a certificate provided pursuant to TIA § 314(a)(4)) shall comply with the provisions of TIA § 314(e) and shall include: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940" w:hanging="635"/>
        <w:spacing w:after="0"/>
        <w:tabs>
          <w:tab w:leader="none" w:pos="19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statement that the person making such certificate or opinion has read such covenant or condition;</w:t>
      </w:r>
    </w:p>
    <w:p>
      <w:pPr>
        <w:spacing w:after="0" w:line="225" w:lineRule="exact"/>
        <w:rPr>
          <w:rFonts w:ascii="Arial" w:cs="Arial" w:eastAsia="Arial" w:hAnsi="Arial"/>
          <w:sz w:val="18"/>
          <w:szCs w:val="18"/>
          <w:color w:val="auto"/>
        </w:rPr>
      </w:pPr>
    </w:p>
    <w:p>
      <w:pPr>
        <w:ind w:right="20" w:firstLine="1305"/>
        <w:spacing w:after="0" w:line="277" w:lineRule="auto"/>
        <w:tabs>
          <w:tab w:leader="none" w:pos="1952"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statements or opinions contained in such certificate or opinion are based;</w:t>
      </w:r>
    </w:p>
    <w:p>
      <w:pPr>
        <w:spacing w:after="0" w:line="170" w:lineRule="exact"/>
        <w:rPr>
          <w:rFonts w:ascii="Arial" w:cs="Arial" w:eastAsia="Arial" w:hAnsi="Arial"/>
          <w:sz w:val="18"/>
          <w:szCs w:val="18"/>
          <w:color w:val="auto"/>
        </w:rPr>
      </w:pPr>
    </w:p>
    <w:p>
      <w:pPr>
        <w:ind w:right="340" w:firstLine="1305"/>
        <w:spacing w:after="0" w:line="277" w:lineRule="auto"/>
        <w:tabs>
          <w:tab w:leader="none" w:pos="1955"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statement that, in the opinion of such person, he has made such examination or investigation as is necessary to enable him to express an informed opinion as to whether or not such covenant or condition has been complied with; and</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statement as to whether or not, in the opinion of such person, such condition or covenant has been complied with.</w:t>
      </w:r>
    </w:p>
    <w:p>
      <w:pPr>
        <w:spacing w:after="0" w:line="225"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10.6</w:t>
      </w:r>
      <w:r>
        <w:rPr>
          <w:sz w:val="20"/>
          <w:szCs w:val="20"/>
          <w:color w:val="auto"/>
        </w:rPr>
        <w:tab/>
      </w:r>
      <w:r>
        <w:rPr>
          <w:rFonts w:ascii="Arial" w:cs="Arial" w:eastAsia="Arial" w:hAnsi="Arial"/>
          <w:sz w:val="16"/>
          <w:szCs w:val="16"/>
          <w:u w:val="single" w:color="auto"/>
          <w:color w:val="auto"/>
        </w:rPr>
        <w:t>Rules by Trustee and Agents</w:t>
      </w:r>
      <w:r>
        <w:rPr>
          <w:rFonts w:ascii="Arial" w:cs="Arial" w:eastAsia="Arial" w:hAnsi="Arial"/>
          <w:sz w:val="16"/>
          <w:szCs w:val="16"/>
          <w:color w:val="auto"/>
        </w:rPr>
        <w:t>.</w:t>
      </w:r>
    </w:p>
    <w:p>
      <w:pPr>
        <w:spacing w:after="0" w:line="225" w:lineRule="exact"/>
        <w:rPr>
          <w:sz w:val="20"/>
          <w:szCs w:val="20"/>
          <w:color w:val="auto"/>
        </w:rPr>
      </w:pPr>
    </w:p>
    <w:p>
      <w:pPr>
        <w:ind w:right="240" w:firstLine="881"/>
        <w:spacing w:after="0" w:line="277" w:lineRule="auto"/>
        <w:rPr>
          <w:sz w:val="20"/>
          <w:szCs w:val="20"/>
          <w:color w:val="auto"/>
        </w:rPr>
      </w:pPr>
      <w:r>
        <w:rPr>
          <w:rFonts w:ascii="Arial" w:cs="Arial" w:eastAsia="Arial" w:hAnsi="Arial"/>
          <w:sz w:val="18"/>
          <w:szCs w:val="18"/>
          <w:color w:val="auto"/>
        </w:rPr>
        <w:t>The Trustee may make reasonable rules for action by or a meeting of Securityholders of one or more Series. Any Agent may make reasonable rules and set reasonable requirements for its functions.</w:t>
      </w:r>
    </w:p>
    <w:p>
      <w:pPr>
        <w:spacing w:after="0" w:line="170"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10.7</w:t>
      </w:r>
      <w:r>
        <w:rPr>
          <w:sz w:val="20"/>
          <w:szCs w:val="20"/>
          <w:color w:val="auto"/>
        </w:rPr>
        <w:tab/>
      </w:r>
      <w:r>
        <w:rPr>
          <w:rFonts w:ascii="Arial" w:cs="Arial" w:eastAsia="Arial" w:hAnsi="Arial"/>
          <w:sz w:val="16"/>
          <w:szCs w:val="16"/>
          <w:u w:val="single" w:color="auto"/>
          <w:color w:val="auto"/>
        </w:rPr>
        <w:t>Legal Holidays</w:t>
      </w:r>
      <w:r>
        <w:rPr>
          <w:rFonts w:ascii="Arial" w:cs="Arial" w:eastAsia="Arial" w:hAnsi="Arial"/>
          <w:sz w:val="16"/>
          <w:szCs w:val="16"/>
          <w:color w:val="auto"/>
        </w:rPr>
        <w:t>.</w:t>
      </w:r>
    </w:p>
    <w:p>
      <w:pPr>
        <w:spacing w:after="0" w:line="225" w:lineRule="exact"/>
        <w:rPr>
          <w:sz w:val="20"/>
          <w:szCs w:val="20"/>
          <w:color w:val="auto"/>
        </w:rPr>
      </w:pPr>
    </w:p>
    <w:p>
      <w:pPr>
        <w:ind w:right="240" w:firstLine="881"/>
        <w:spacing w:after="0" w:line="277" w:lineRule="auto"/>
        <w:rPr>
          <w:sz w:val="20"/>
          <w:szCs w:val="20"/>
          <w:color w:val="auto"/>
        </w:rPr>
      </w:pPr>
      <w:r>
        <w:rPr>
          <w:rFonts w:ascii="Arial" w:cs="Arial" w:eastAsia="Arial" w:hAnsi="Arial"/>
          <w:sz w:val="18"/>
          <w:szCs w:val="18"/>
          <w:color w:val="auto"/>
        </w:rPr>
        <w:t>A “</w:t>
      </w:r>
      <w:r>
        <w:rPr>
          <w:rFonts w:ascii="Arial" w:cs="Arial" w:eastAsia="Arial" w:hAnsi="Arial"/>
          <w:sz w:val="18"/>
          <w:szCs w:val="18"/>
          <w:i w:val="1"/>
          <w:iCs w:val="1"/>
          <w:color w:val="auto"/>
        </w:rPr>
        <w:t>Legal Holiday</w:t>
      </w:r>
      <w:r>
        <w:rPr>
          <w:rFonts w:ascii="Arial" w:cs="Arial" w:eastAsia="Arial" w:hAnsi="Arial"/>
          <w:sz w:val="18"/>
          <w:szCs w:val="18"/>
          <w:color w:val="auto"/>
        </w:rPr>
        <w:t>” is any day that is not a Business Day. If a payment date is a Legal Holiday at a place of payment, payment may be made at that place on the next succeeding day that is not a Legal Holiday, and no interest shall accrue for the intervening period.</w:t>
      </w:r>
    </w:p>
    <w:p>
      <w:pPr>
        <w:spacing w:after="0" w:line="170"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10.8</w:t>
      </w:r>
      <w:r>
        <w:rPr>
          <w:sz w:val="20"/>
          <w:szCs w:val="20"/>
          <w:color w:val="auto"/>
        </w:rPr>
        <w:tab/>
      </w:r>
      <w:r>
        <w:rPr>
          <w:rFonts w:ascii="Arial" w:cs="Arial" w:eastAsia="Arial" w:hAnsi="Arial"/>
          <w:sz w:val="16"/>
          <w:szCs w:val="16"/>
          <w:u w:val="single" w:color="auto"/>
          <w:color w:val="auto"/>
        </w:rPr>
        <w:t>No Recourse Against Others</w:t>
      </w:r>
      <w:r>
        <w:rPr>
          <w:rFonts w:ascii="Arial" w:cs="Arial" w:eastAsia="Arial" w:hAnsi="Arial"/>
          <w:sz w:val="16"/>
          <w:szCs w:val="16"/>
          <w:color w:val="auto"/>
        </w:rPr>
        <w:t>.</w:t>
      </w:r>
    </w:p>
    <w:p>
      <w:pPr>
        <w:spacing w:after="0" w:line="225" w:lineRule="exact"/>
        <w:rPr>
          <w:sz w:val="20"/>
          <w:szCs w:val="20"/>
          <w:color w:val="auto"/>
        </w:rPr>
      </w:pPr>
    </w:p>
    <w:p>
      <w:pPr>
        <w:ind w:right="20" w:firstLine="881"/>
        <w:spacing w:after="0" w:line="312" w:lineRule="auto"/>
        <w:rPr>
          <w:sz w:val="20"/>
          <w:szCs w:val="20"/>
          <w:color w:val="auto"/>
        </w:rPr>
      </w:pPr>
      <w:r>
        <w:rPr>
          <w:rFonts w:ascii="Arial" w:cs="Arial" w:eastAsia="Arial" w:hAnsi="Arial"/>
          <w:sz w:val="16"/>
          <w:szCs w:val="16"/>
          <w:color w:val="auto"/>
        </w:rPr>
        <w:t>A director, officer, employee or stockholder (past or present), as such, of the Company shall not have any liability for any obligations of the Company under the Securities or the Indenture or for any claim based on, in respect of or by reason of such obligations or their creation. Each Securityholder by accepting a Security waives and releases all such liability. The waiver and release are part of the consideration for the issue of the Securities.</w:t>
      </w:r>
    </w:p>
    <w:p>
      <w:pPr>
        <w:spacing w:after="0" w:line="147"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10.9</w:t>
      </w:r>
      <w:r>
        <w:rPr>
          <w:sz w:val="20"/>
          <w:szCs w:val="20"/>
          <w:color w:val="auto"/>
        </w:rPr>
        <w:tab/>
      </w:r>
      <w:r>
        <w:rPr>
          <w:rFonts w:ascii="Arial" w:cs="Arial" w:eastAsia="Arial" w:hAnsi="Arial"/>
          <w:sz w:val="16"/>
          <w:szCs w:val="16"/>
          <w:u w:val="single" w:color="auto"/>
          <w:color w:val="auto"/>
        </w:rPr>
        <w:t>Counterparts</w:t>
      </w:r>
      <w:r>
        <w:rPr>
          <w:rFonts w:ascii="Arial" w:cs="Arial" w:eastAsia="Arial" w:hAnsi="Arial"/>
          <w:sz w:val="16"/>
          <w:szCs w:val="16"/>
          <w:color w:val="auto"/>
        </w:rPr>
        <w:t>.</w:t>
      </w:r>
    </w:p>
    <w:p>
      <w:pPr>
        <w:spacing w:after="0" w:line="225" w:lineRule="exact"/>
        <w:rPr>
          <w:sz w:val="20"/>
          <w:szCs w:val="20"/>
          <w:color w:val="auto"/>
        </w:rPr>
      </w:pPr>
    </w:p>
    <w:p>
      <w:pPr>
        <w:ind w:firstLine="881"/>
        <w:spacing w:after="0" w:line="257" w:lineRule="auto"/>
        <w:rPr>
          <w:sz w:val="20"/>
          <w:szCs w:val="20"/>
          <w:color w:val="auto"/>
        </w:rPr>
      </w:pPr>
      <w:r>
        <w:rPr>
          <w:rFonts w:ascii="Arial" w:cs="Arial" w:eastAsia="Arial" w:hAnsi="Arial"/>
          <w:sz w:val="18"/>
          <w:szCs w:val="18"/>
          <w:color w:val="auto"/>
        </w:rPr>
        <w:t>This Indenture may be executed in any number of counterparts and by the parties hereto in separate counterparts, each of which when so executed shall be deemed to be an original and all of which taken together shall constitute one and the same agreement. The exchange of copies of this Indenture and of signature pages by facsimile or PDF 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w:t>
      </w:r>
    </w:p>
    <w:p>
      <w:pPr>
        <w:sectPr>
          <w:pgSz w:w="11900" w:h="16838" w:orient="portrait"/>
          <w:cols w:equalWidth="0" w:num="1">
            <w:col w:w="11400"/>
          </w:cols>
          <w:pgMar w:left="240" w:top="125" w:right="259" w:bottom="0" w:gutter="0" w:footer="0" w:header="0"/>
        </w:sectPr>
      </w:pPr>
    </w:p>
    <w:bookmarkStart w:id="47" w:name="page48"/>
    <w:bookmarkEnd w:id="47"/>
    <w:p>
      <w:pPr>
        <w:spacing w:after="0" w:line="92"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10.10</w:t>
      </w:r>
      <w:r>
        <w:rPr>
          <w:sz w:val="20"/>
          <w:szCs w:val="20"/>
          <w:color w:val="auto"/>
        </w:rPr>
        <w:tab/>
      </w:r>
      <w:r>
        <w:rPr>
          <w:rFonts w:ascii="Arial" w:cs="Arial" w:eastAsia="Arial" w:hAnsi="Arial"/>
          <w:sz w:val="16"/>
          <w:szCs w:val="16"/>
          <w:u w:val="single" w:color="auto"/>
          <w:color w:val="auto"/>
        </w:rPr>
        <w:t>Governing Law; Waiver of Jury Trial; Consent to Jurisdiction</w:t>
      </w:r>
      <w:r>
        <w:rPr>
          <w:rFonts w:ascii="Arial" w:cs="Arial" w:eastAsia="Arial" w:hAnsi="Arial"/>
          <w:sz w:val="16"/>
          <w:szCs w:val="16"/>
          <w:color w:val="auto"/>
        </w:rPr>
        <w:t>.</w:t>
      </w:r>
    </w:p>
    <w:p>
      <w:pPr>
        <w:spacing w:after="0" w:line="221" w:lineRule="exact"/>
        <w:rPr>
          <w:sz w:val="20"/>
          <w:szCs w:val="20"/>
          <w:color w:val="auto"/>
        </w:rPr>
      </w:pPr>
    </w:p>
    <w:p>
      <w:pPr>
        <w:ind w:right="120" w:firstLine="881"/>
        <w:spacing w:after="0" w:line="282" w:lineRule="auto"/>
        <w:rPr>
          <w:sz w:val="20"/>
          <w:szCs w:val="20"/>
          <w:color w:val="auto"/>
        </w:rPr>
      </w:pPr>
      <w:r>
        <w:rPr>
          <w:rFonts w:ascii="Arial" w:cs="Arial" w:eastAsia="Arial" w:hAnsi="Arial"/>
          <w:sz w:val="18"/>
          <w:szCs w:val="18"/>
          <w:b w:val="1"/>
          <w:bCs w:val="1"/>
          <w:color w:val="auto"/>
        </w:rPr>
        <w:t>THIS INDENTURE AND THE SECURITIES, INCLUDING ANY CLAIM OR CONTROVERSY ARISING OUT OF OR RELATING TO THE INDENTURE OR THE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b w:val="1"/>
          <w:bCs w:val="1"/>
          <w:color w:val="auto"/>
        </w:rPr>
        <w:t>SECURITIES, SHALL BE GOVERNED BY THE LAWS OF THE STATE OF NEW YORK. THE COMPANY, THE TRUSTEE AND THE HOLDERS (BY THEIR ACCEPTANCE OF THE SECURITIES) EACH HEREBY IRREVOCABLY WAIVE, TO THE FULLEST EXTENT PERMITTED BY APPLICABLE LAW, ANY AND ALL RIGHT TO TRIAL BY JURY IN ANY LEGAL PROCEEDING ARISING OUT OF OR RELATING TO THIS INDENTURE, THE NOTES OR THE TRANSACTIONS CONTEMPLATED HEREBY OR THEREBY.</w:t>
      </w:r>
    </w:p>
    <w:p>
      <w:pPr>
        <w:spacing w:after="0" w:line="184" w:lineRule="exact"/>
        <w:rPr>
          <w:sz w:val="20"/>
          <w:szCs w:val="20"/>
          <w:color w:val="auto"/>
        </w:rPr>
      </w:pPr>
    </w:p>
    <w:p>
      <w:pPr>
        <w:ind w:right="60" w:firstLine="881"/>
        <w:spacing w:after="0" w:line="271" w:lineRule="auto"/>
        <w:rPr>
          <w:sz w:val="20"/>
          <w:szCs w:val="20"/>
          <w:color w:val="auto"/>
        </w:rPr>
      </w:pPr>
      <w:r>
        <w:rPr>
          <w:rFonts w:ascii="Arial" w:cs="Arial" w:eastAsia="Arial" w:hAnsi="Arial"/>
          <w:sz w:val="17"/>
          <w:szCs w:val="17"/>
          <w:color w:val="auto"/>
        </w:rPr>
        <w:t>Any legal suit, action or proceeding arising out of or based upon this Indenture or the transactions contemplated hereby may be instituted in the federal courts of the United States of America located in the City of New York or the courts of the State of New York in each case located in the City of New York (collectively, the “</w:t>
      </w:r>
      <w:r>
        <w:rPr>
          <w:rFonts w:ascii="Arial" w:cs="Arial" w:eastAsia="Arial" w:hAnsi="Arial"/>
          <w:sz w:val="17"/>
          <w:szCs w:val="17"/>
          <w:i w:val="1"/>
          <w:iCs w:val="1"/>
          <w:color w:val="auto"/>
        </w:rPr>
        <w:t>Specified Courts</w:t>
      </w:r>
      <w:r>
        <w:rPr>
          <w:rFonts w:ascii="Arial" w:cs="Arial" w:eastAsia="Arial" w:hAnsi="Arial"/>
          <w:sz w:val="17"/>
          <w:szCs w:val="17"/>
          <w:color w:val="auto"/>
        </w:rPr>
        <w:t>”), and each party irrevocably submits to the non exclusive jurisdiction of such courts in any such suit, action or proceeding. Service of any process, summons, notice or document by mail (to the extent allowed under any applicable statute or rule of court) to such party’s address set forth above shall be effective service of process for any suit, action or other proceeding brought in any such court. The Company, the Trustee and the Holders (by their acceptance of the Securities) each hereby irrevocably and unconditionally waive any objection to the laying of venue of any suit, action or other proceeding in the Specified Courts and irrevocably and unconditionally waive and agree not to plead or claim any such suit, action or other proceeding has been brought in an inconvenient forum.</w:t>
      </w:r>
    </w:p>
    <w:p>
      <w:pPr>
        <w:spacing w:after="0" w:line="179"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10.11</w:t>
      </w:r>
      <w:r>
        <w:rPr>
          <w:sz w:val="20"/>
          <w:szCs w:val="20"/>
          <w:color w:val="auto"/>
        </w:rPr>
        <w:tab/>
      </w:r>
      <w:r>
        <w:rPr>
          <w:rFonts w:ascii="Arial" w:cs="Arial" w:eastAsia="Arial" w:hAnsi="Arial"/>
          <w:sz w:val="16"/>
          <w:szCs w:val="16"/>
          <w:u w:val="single" w:color="auto"/>
          <w:color w:val="auto"/>
        </w:rPr>
        <w:t>No Adverse Interpretation of Other Agreements</w:t>
      </w:r>
      <w:r>
        <w:rPr>
          <w:rFonts w:ascii="Arial" w:cs="Arial" w:eastAsia="Arial" w:hAnsi="Arial"/>
          <w:sz w:val="16"/>
          <w:szCs w:val="16"/>
          <w:color w:val="auto"/>
        </w:rPr>
        <w:t>.</w:t>
      </w:r>
    </w:p>
    <w:p>
      <w:pPr>
        <w:spacing w:after="0" w:line="225" w:lineRule="exact"/>
        <w:rPr>
          <w:sz w:val="20"/>
          <w:szCs w:val="20"/>
          <w:color w:val="auto"/>
        </w:rPr>
      </w:pPr>
    </w:p>
    <w:p>
      <w:pPr>
        <w:ind w:firstLine="881"/>
        <w:spacing w:after="0" w:line="277" w:lineRule="auto"/>
        <w:rPr>
          <w:sz w:val="20"/>
          <w:szCs w:val="20"/>
          <w:color w:val="auto"/>
        </w:rPr>
      </w:pPr>
      <w:r>
        <w:rPr>
          <w:rFonts w:ascii="Arial" w:cs="Arial" w:eastAsia="Arial" w:hAnsi="Arial"/>
          <w:sz w:val="18"/>
          <w:szCs w:val="18"/>
          <w:color w:val="auto"/>
        </w:rPr>
        <w:t>This Indenture may not be used to interpret another indenture, loan or debt agreement of the Company or a Subsidiary of the Company. Any such indenture, loan or debt agreement may not be used to interpret this Indenture.</w:t>
      </w:r>
    </w:p>
    <w:p>
      <w:pPr>
        <w:spacing w:after="0" w:line="170"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10.12</w:t>
      </w:r>
      <w:r>
        <w:rPr>
          <w:sz w:val="20"/>
          <w:szCs w:val="20"/>
          <w:color w:val="auto"/>
        </w:rPr>
        <w:tab/>
      </w:r>
      <w:r>
        <w:rPr>
          <w:rFonts w:ascii="Arial" w:cs="Arial" w:eastAsia="Arial" w:hAnsi="Arial"/>
          <w:sz w:val="15"/>
          <w:szCs w:val="15"/>
          <w:u w:val="single" w:color="auto"/>
          <w:color w:val="auto"/>
        </w:rPr>
        <w:t>Successors</w:t>
      </w:r>
      <w:r>
        <w:rPr>
          <w:rFonts w:ascii="Arial" w:cs="Arial" w:eastAsia="Arial" w:hAnsi="Arial"/>
          <w:sz w:val="15"/>
          <w:szCs w:val="15"/>
          <w:color w:val="auto"/>
        </w:rPr>
        <w:t>.</w:t>
      </w:r>
    </w:p>
    <w:p>
      <w:pPr>
        <w:spacing w:after="0" w:line="225" w:lineRule="exact"/>
        <w:rPr>
          <w:sz w:val="20"/>
          <w:szCs w:val="20"/>
          <w:color w:val="auto"/>
        </w:rPr>
      </w:pPr>
    </w:p>
    <w:p>
      <w:pPr>
        <w:ind w:right="120" w:firstLine="881"/>
        <w:spacing w:after="0" w:line="277" w:lineRule="auto"/>
        <w:rPr>
          <w:sz w:val="20"/>
          <w:szCs w:val="20"/>
          <w:color w:val="auto"/>
        </w:rPr>
      </w:pPr>
      <w:r>
        <w:rPr>
          <w:rFonts w:ascii="Arial" w:cs="Arial" w:eastAsia="Arial" w:hAnsi="Arial"/>
          <w:sz w:val="18"/>
          <w:szCs w:val="18"/>
          <w:color w:val="auto"/>
        </w:rPr>
        <w:t>All agreements of the Company in this Indenture and the Securities shall bind its successor. All agreements of the Trustee in this Indenture shall bind its successor.</w:t>
      </w:r>
    </w:p>
    <w:p>
      <w:pPr>
        <w:spacing w:after="0" w:line="170"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10.13</w:t>
      </w:r>
      <w:r>
        <w:rPr>
          <w:sz w:val="20"/>
          <w:szCs w:val="20"/>
          <w:color w:val="auto"/>
        </w:rPr>
        <w:tab/>
      </w:r>
      <w:r>
        <w:rPr>
          <w:rFonts w:ascii="Arial" w:cs="Arial" w:eastAsia="Arial" w:hAnsi="Arial"/>
          <w:sz w:val="16"/>
          <w:szCs w:val="16"/>
          <w:u w:val="single" w:color="auto"/>
          <w:color w:val="auto"/>
        </w:rPr>
        <w:t>Severability</w:t>
      </w:r>
      <w:r>
        <w:rPr>
          <w:rFonts w:ascii="Arial" w:cs="Arial" w:eastAsia="Arial" w:hAnsi="Arial"/>
          <w:sz w:val="16"/>
          <w:szCs w:val="16"/>
          <w:color w:val="auto"/>
        </w:rPr>
        <w:t>.</w:t>
      </w:r>
    </w:p>
    <w:p>
      <w:pPr>
        <w:spacing w:after="0" w:line="225" w:lineRule="exact"/>
        <w:rPr>
          <w:sz w:val="20"/>
          <w:szCs w:val="20"/>
          <w:color w:val="auto"/>
        </w:rPr>
      </w:pPr>
    </w:p>
    <w:p>
      <w:pPr>
        <w:ind w:right="100" w:firstLine="881"/>
        <w:spacing w:after="0" w:line="277" w:lineRule="auto"/>
        <w:rPr>
          <w:sz w:val="20"/>
          <w:szCs w:val="20"/>
          <w:color w:val="auto"/>
        </w:rPr>
      </w:pPr>
      <w:r>
        <w:rPr>
          <w:rFonts w:ascii="Arial" w:cs="Arial" w:eastAsia="Arial" w:hAnsi="Arial"/>
          <w:sz w:val="18"/>
          <w:szCs w:val="18"/>
          <w:color w:val="auto"/>
        </w:rPr>
        <w:t>In case any provision in this Indenture or in the Securities shall be invalid, illegal or unenforceable, the validity, legality and enforceability of the remaining provisions shall not in any way be affected or impaired thereby.</w:t>
      </w:r>
    </w:p>
    <w:p>
      <w:pPr>
        <w:spacing w:after="0" w:line="170"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10.14</w:t>
      </w:r>
      <w:r>
        <w:rPr>
          <w:sz w:val="20"/>
          <w:szCs w:val="20"/>
          <w:color w:val="auto"/>
        </w:rPr>
        <w:tab/>
      </w:r>
      <w:r>
        <w:rPr>
          <w:rFonts w:ascii="Arial" w:cs="Arial" w:eastAsia="Arial" w:hAnsi="Arial"/>
          <w:sz w:val="16"/>
          <w:szCs w:val="16"/>
          <w:u w:val="single" w:color="auto"/>
          <w:color w:val="auto"/>
        </w:rPr>
        <w:t>Table of Contents, Headings, Etc</w:t>
      </w:r>
      <w:r>
        <w:rPr>
          <w:rFonts w:ascii="Arial" w:cs="Arial" w:eastAsia="Arial" w:hAnsi="Arial"/>
          <w:sz w:val="16"/>
          <w:szCs w:val="16"/>
          <w:color w:val="auto"/>
        </w:rPr>
        <w:t>.</w:t>
      </w:r>
    </w:p>
    <w:p>
      <w:pPr>
        <w:spacing w:after="0" w:line="225" w:lineRule="exact"/>
        <w:rPr>
          <w:sz w:val="20"/>
          <w:szCs w:val="20"/>
          <w:color w:val="auto"/>
        </w:rPr>
      </w:pPr>
    </w:p>
    <w:p>
      <w:pPr>
        <w:ind w:right="120" w:firstLine="881"/>
        <w:spacing w:after="0" w:line="308" w:lineRule="auto"/>
        <w:rPr>
          <w:sz w:val="20"/>
          <w:szCs w:val="20"/>
          <w:color w:val="auto"/>
        </w:rPr>
      </w:pPr>
      <w:r>
        <w:rPr>
          <w:rFonts w:ascii="Arial" w:cs="Arial" w:eastAsia="Arial" w:hAnsi="Arial"/>
          <w:sz w:val="17"/>
          <w:szCs w:val="17"/>
          <w:color w:val="auto"/>
        </w:rPr>
        <w:t>The Table of Contents, Cross Reference Table, and headings of the Articles and Sections of this Indenture have been inserted for convenience of reference only, are not to be considered a part hereof, and shall in no way modify or restrict any of the terms or provisions hereof.</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10.15</w:t>
      </w:r>
      <w:r>
        <w:rPr>
          <w:sz w:val="20"/>
          <w:szCs w:val="20"/>
          <w:color w:val="auto"/>
        </w:rPr>
        <w:tab/>
      </w:r>
      <w:r>
        <w:rPr>
          <w:rFonts w:ascii="Arial" w:cs="Arial" w:eastAsia="Arial" w:hAnsi="Arial"/>
          <w:sz w:val="16"/>
          <w:szCs w:val="16"/>
          <w:u w:val="single" w:color="auto"/>
          <w:color w:val="auto"/>
        </w:rPr>
        <w:t>Securities in a Foreign Currency</w:t>
      </w:r>
      <w:r>
        <w:rPr>
          <w:rFonts w:ascii="Arial" w:cs="Arial" w:eastAsia="Arial" w:hAnsi="Arial"/>
          <w:sz w:val="16"/>
          <w:szCs w:val="16"/>
          <w:color w:val="auto"/>
        </w:rPr>
        <w:t>.</w:t>
      </w:r>
    </w:p>
    <w:p>
      <w:pPr>
        <w:spacing w:after="0" w:line="225" w:lineRule="exact"/>
        <w:rPr>
          <w:sz w:val="20"/>
          <w:szCs w:val="20"/>
          <w:color w:val="auto"/>
        </w:rPr>
      </w:pPr>
    </w:p>
    <w:p>
      <w:pPr>
        <w:ind w:right="20" w:firstLine="881"/>
        <w:spacing w:after="0" w:line="287" w:lineRule="auto"/>
        <w:rPr>
          <w:sz w:val="20"/>
          <w:szCs w:val="20"/>
          <w:color w:val="auto"/>
        </w:rPr>
      </w:pPr>
      <w:r>
        <w:rPr>
          <w:rFonts w:ascii="Arial" w:cs="Arial" w:eastAsia="Arial" w:hAnsi="Arial"/>
          <w:sz w:val="16"/>
          <w:szCs w:val="16"/>
          <w:color w:val="auto"/>
        </w:rPr>
        <w:t>Unless otherwise specified in a Board Resolution, a supplemental indenture hereto or an Officer’s Certificate delivered pursuant to Section 2.2 of this Indenture with respect to a particular Series of Securities, whenever for purposes of this Indenture any action may be taken by the Holders of a specified percentage in aggregate principal amount of Securities of all Series or all Series affected by a particular action at the time outstanding and, at such time, there are outstanding Securities of any Series which are denominated in more than one currency, then the principal amount of Securities of such Series which shall be deemed to be outstanding for the purpose of taking such action shall be determined by converting any such other currency into a currency that is designated upon issuance of any particular Series of Securities. Unless otherwise specified in a Board Resolution, a supplemental indenture hereto or an Officer’s Certificate delivered pursuant to Section 2.2 of this Indenture with respect to a particular Series of Securities, such conversion shall be at the spot rate for the purchase of the designated currency as published in The Financial Times in the “Currency Rates” section (or, if The Financial Times is no longer published, or if such information is no longer available in The Financial Times, such source as may be selected in good faith by the Company) on any date of determination. The provisions of this paragraph shall apply in determining the equivalent principal amount in respect of Securities of a Series denominated in currency other than Dollars in connection with any action taken by Holders of Securities pursuant to the terms of this Indenture.</w:t>
      </w:r>
    </w:p>
    <w:p>
      <w:pPr>
        <w:spacing w:after="0" w:line="173" w:lineRule="exact"/>
        <w:rPr>
          <w:sz w:val="20"/>
          <w:szCs w:val="20"/>
          <w:color w:val="auto"/>
        </w:rPr>
      </w:pPr>
    </w:p>
    <w:p>
      <w:pPr>
        <w:ind w:right="20" w:firstLine="881"/>
        <w:spacing w:after="0" w:line="277" w:lineRule="auto"/>
        <w:rPr>
          <w:sz w:val="20"/>
          <w:szCs w:val="20"/>
          <w:color w:val="auto"/>
        </w:rPr>
      </w:pPr>
      <w:r>
        <w:rPr>
          <w:rFonts w:ascii="Arial" w:cs="Arial" w:eastAsia="Arial" w:hAnsi="Arial"/>
          <w:sz w:val="18"/>
          <w:szCs w:val="18"/>
          <w:color w:val="auto"/>
        </w:rPr>
        <w:t>All decisions and determinations provided for in the preceding paragraph shall, in the absence of manifest error, to the extent permitted by law, be conclusive for all purposes and irrevocably binding upon the Trustee and all Holders.</w:t>
      </w:r>
    </w:p>
    <w:p>
      <w:pPr>
        <w:spacing w:after="0" w:line="170"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10.16</w:t>
      </w:r>
      <w:r>
        <w:rPr>
          <w:sz w:val="20"/>
          <w:szCs w:val="20"/>
          <w:color w:val="auto"/>
        </w:rPr>
        <w:tab/>
      </w:r>
      <w:r>
        <w:rPr>
          <w:rFonts w:ascii="Arial" w:cs="Arial" w:eastAsia="Arial" w:hAnsi="Arial"/>
          <w:sz w:val="16"/>
          <w:szCs w:val="16"/>
          <w:u w:val="single" w:color="auto"/>
          <w:color w:val="auto"/>
        </w:rPr>
        <w:t>Judgment Currency</w:t>
      </w:r>
      <w:r>
        <w:rPr>
          <w:rFonts w:ascii="Arial" w:cs="Arial" w:eastAsia="Arial" w:hAnsi="Arial"/>
          <w:sz w:val="16"/>
          <w:szCs w:val="16"/>
          <w:color w:val="auto"/>
        </w:rPr>
        <w:t>.</w:t>
      </w:r>
    </w:p>
    <w:p>
      <w:pPr>
        <w:spacing w:after="0" w:line="225" w:lineRule="exact"/>
        <w:rPr>
          <w:sz w:val="20"/>
          <w:szCs w:val="20"/>
          <w:color w:val="auto"/>
        </w:rPr>
      </w:pPr>
    </w:p>
    <w:p>
      <w:pPr>
        <w:ind w:right="20" w:firstLine="881"/>
        <w:spacing w:after="0" w:line="288" w:lineRule="auto"/>
        <w:rPr>
          <w:sz w:val="20"/>
          <w:szCs w:val="20"/>
          <w:color w:val="auto"/>
        </w:rPr>
      </w:pPr>
      <w:r>
        <w:rPr>
          <w:rFonts w:ascii="Arial" w:cs="Arial" w:eastAsia="Arial" w:hAnsi="Arial"/>
          <w:sz w:val="16"/>
          <w:szCs w:val="16"/>
          <w:color w:val="auto"/>
        </w:rPr>
        <w:t>The Company agrees, to the fullest extent that it may effectively do so under applicable law, that (a) if for the purpose of obtaining judgment in any court it is necessary to convert the sum due in respect of the principal of or interest or other amount on the Securities of any Series (the “</w:t>
      </w:r>
      <w:r>
        <w:rPr>
          <w:rFonts w:ascii="Arial" w:cs="Arial" w:eastAsia="Arial" w:hAnsi="Arial"/>
          <w:sz w:val="16"/>
          <w:szCs w:val="16"/>
          <w:i w:val="1"/>
          <w:iCs w:val="1"/>
          <w:color w:val="auto"/>
        </w:rPr>
        <w:t>Required</w:t>
      </w:r>
      <w:r>
        <w:rPr>
          <w:rFonts w:ascii="Arial" w:cs="Arial" w:eastAsia="Arial" w:hAnsi="Arial"/>
          <w:sz w:val="16"/>
          <w:szCs w:val="16"/>
          <w:color w:val="auto"/>
        </w:rPr>
        <w:t xml:space="preserve"> </w:t>
      </w:r>
      <w:r>
        <w:rPr>
          <w:rFonts w:ascii="Arial" w:cs="Arial" w:eastAsia="Arial" w:hAnsi="Arial"/>
          <w:sz w:val="16"/>
          <w:szCs w:val="16"/>
          <w:i w:val="1"/>
          <w:iCs w:val="1"/>
          <w:color w:val="auto"/>
        </w:rPr>
        <w:t>Currency</w:t>
      </w:r>
      <w:r>
        <w:rPr>
          <w:rFonts w:ascii="Arial" w:cs="Arial" w:eastAsia="Arial" w:hAnsi="Arial"/>
          <w:sz w:val="16"/>
          <w:szCs w:val="16"/>
          <w:color w:val="auto"/>
        </w:rPr>
        <w:t>”) into a currency in which a judgment will be rendered (the “</w:t>
      </w:r>
      <w:r>
        <w:rPr>
          <w:rFonts w:ascii="Arial" w:cs="Arial" w:eastAsia="Arial" w:hAnsi="Arial"/>
          <w:sz w:val="16"/>
          <w:szCs w:val="16"/>
          <w:i w:val="1"/>
          <w:iCs w:val="1"/>
          <w:color w:val="auto"/>
        </w:rPr>
        <w:t>Judgment Currency</w:t>
      </w:r>
      <w:r>
        <w:rPr>
          <w:rFonts w:ascii="Arial" w:cs="Arial" w:eastAsia="Arial" w:hAnsi="Arial"/>
          <w:sz w:val="16"/>
          <w:szCs w:val="16"/>
          <w:color w:val="auto"/>
        </w:rPr>
        <w:t>”), the rate of exchange used shall be the rate at which in</w:t>
      </w:r>
      <w:r>
        <w:rPr>
          <w:rFonts w:ascii="Arial" w:cs="Arial" w:eastAsia="Arial" w:hAnsi="Arial"/>
          <w:sz w:val="16"/>
          <w:szCs w:val="16"/>
          <w:i w:val="1"/>
          <w:iCs w:val="1"/>
          <w:color w:val="auto"/>
        </w:rPr>
        <w:t xml:space="preserve"> </w:t>
      </w:r>
      <w:r>
        <w:rPr>
          <w:rFonts w:ascii="Arial" w:cs="Arial" w:eastAsia="Arial" w:hAnsi="Arial"/>
          <w:sz w:val="16"/>
          <w:szCs w:val="16"/>
          <w:color w:val="auto"/>
        </w:rPr>
        <w:t>accordance with normal banking procedures the Trustee could purchase in The City of New York the Required Currency with the Judgment Currency on the day on which final unappealable judgment is entered, unless such day is not a New York Banking Day, then the rate of exchange used shall be the rate at which in accordance with normal banking procedures the Trustee could purchase in The City of New York the Required Currency with the Judgment Currency on the New York Banking Day preceding the day on which final unappealable judgment is entered and (b) its obligations under this Indenture to make payments in the Required Currency (i) shall not be discharged or satisfied by any tender, any recovery pursuant to any judgment (whether or not entered in accordance with subsection (a)), in any currency other than the Required Currency, except to the extent that such tender or recovery shall result in the actual receipt, by the payee, of the full amount of the Required Currency expressed to be payable in respect of such payments, (ii) shall be enforceable as an</w:t>
      </w:r>
    </w:p>
    <w:p>
      <w:pPr>
        <w:sectPr>
          <w:pgSz w:w="11900" w:h="16930" w:orient="portrait"/>
          <w:cols w:equalWidth="0" w:num="1">
            <w:col w:w="11420"/>
          </w:cols>
          <w:pgMar w:left="240" w:top="125" w:right="239" w:bottom="0" w:gutter="0" w:footer="0" w:header="0"/>
        </w:sectPr>
      </w:pPr>
    </w:p>
    <w:bookmarkStart w:id="48" w:name="page49"/>
    <w:bookmarkEnd w:id="48"/>
    <w:p>
      <w:pPr>
        <w:ind w:right="20"/>
        <w:spacing w:after="0" w:line="264" w:lineRule="auto"/>
        <w:rPr>
          <w:sz w:val="20"/>
          <w:szCs w:val="20"/>
          <w:color w:val="auto"/>
        </w:rPr>
      </w:pPr>
      <w:r>
        <w:rPr>
          <w:rFonts w:ascii="Arial" w:cs="Arial" w:eastAsia="Arial" w:hAnsi="Arial"/>
          <w:sz w:val="18"/>
          <w:szCs w:val="18"/>
          <w:color w:val="auto"/>
        </w:rPr>
        <w:t>alternative or additional cause of action for the purpose of recovering in the Required Currency the amount, if any, by which such actual receipt shall fall short of the full amount of the Required Currency so expressed to be payable, and (iii) shall not be affected by judgment being obtained for any other sum due under this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Indenture. For purposes of the foregoing, “</w:t>
      </w:r>
      <w:r>
        <w:rPr>
          <w:rFonts w:ascii="Arial" w:cs="Arial" w:eastAsia="Arial" w:hAnsi="Arial"/>
          <w:sz w:val="18"/>
          <w:szCs w:val="18"/>
          <w:i w:val="1"/>
          <w:iCs w:val="1"/>
          <w:color w:val="auto"/>
        </w:rPr>
        <w:t>New York Banking Day</w:t>
      </w:r>
      <w:r>
        <w:rPr>
          <w:rFonts w:ascii="Arial" w:cs="Arial" w:eastAsia="Arial" w:hAnsi="Arial"/>
          <w:sz w:val="18"/>
          <w:szCs w:val="18"/>
          <w:color w:val="auto"/>
        </w:rPr>
        <w:t>” means any day except a Saturday, Sunday or a Legal Holiday in The City of New York on which banking institutions are authorized or required by law, regulation or executive order to close.</w:t>
      </w:r>
    </w:p>
    <w:p>
      <w:pPr>
        <w:spacing w:after="0" w:line="170"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10.17</w:t>
      </w:r>
      <w:r>
        <w:rPr>
          <w:sz w:val="20"/>
          <w:szCs w:val="20"/>
          <w:color w:val="auto"/>
        </w:rPr>
        <w:tab/>
      </w:r>
      <w:r>
        <w:rPr>
          <w:rFonts w:ascii="Arial" w:cs="Arial" w:eastAsia="Arial" w:hAnsi="Arial"/>
          <w:sz w:val="16"/>
          <w:szCs w:val="16"/>
          <w:u w:val="single" w:color="auto"/>
          <w:color w:val="auto"/>
        </w:rPr>
        <w:t>Force Majeure</w:t>
      </w:r>
      <w:r>
        <w:rPr>
          <w:rFonts w:ascii="Arial" w:cs="Arial" w:eastAsia="Arial" w:hAnsi="Arial"/>
          <w:sz w:val="16"/>
          <w:szCs w:val="16"/>
          <w:color w:val="auto"/>
        </w:rPr>
        <w:t>.</w:t>
      </w:r>
    </w:p>
    <w:p>
      <w:pPr>
        <w:spacing w:after="0" w:line="225" w:lineRule="exact"/>
        <w:rPr>
          <w:sz w:val="20"/>
          <w:szCs w:val="20"/>
          <w:color w:val="auto"/>
        </w:rPr>
      </w:pPr>
    </w:p>
    <w:p>
      <w:pPr>
        <w:ind w:right="200" w:firstLine="881"/>
        <w:spacing w:after="0" w:line="276" w:lineRule="auto"/>
        <w:rPr>
          <w:sz w:val="20"/>
          <w:szCs w:val="20"/>
          <w:color w:val="auto"/>
        </w:rPr>
      </w:pPr>
      <w:r>
        <w:rPr>
          <w:rFonts w:ascii="Arial" w:cs="Arial" w:eastAsia="Arial" w:hAnsi="Arial"/>
          <w:sz w:val="17"/>
          <w:szCs w:val="17"/>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best efforts which are consistent with accepted practices in the banking industry to resume performance as soon as practicable under the circumstances.</w:t>
      </w:r>
    </w:p>
    <w:p>
      <w:pPr>
        <w:spacing w:after="0" w:line="173" w:lineRule="exact"/>
        <w:rPr>
          <w:sz w:val="20"/>
          <w:szCs w:val="20"/>
          <w:color w:val="auto"/>
        </w:rPr>
      </w:pPr>
    </w:p>
    <w:p>
      <w:pPr>
        <w:ind w:left="440"/>
        <w:spacing w:after="0"/>
        <w:tabs>
          <w:tab w:leader="none" w:pos="1920" w:val="left"/>
        </w:tabs>
        <w:rPr>
          <w:sz w:val="20"/>
          <w:szCs w:val="20"/>
          <w:color w:val="auto"/>
        </w:rPr>
      </w:pPr>
      <w:r>
        <w:rPr>
          <w:rFonts w:ascii="Arial" w:cs="Arial" w:eastAsia="Arial" w:hAnsi="Arial"/>
          <w:sz w:val="18"/>
          <w:szCs w:val="18"/>
          <w:color w:val="auto"/>
        </w:rPr>
        <w:t>Section 10.18.</w:t>
      </w:r>
      <w:r>
        <w:rPr>
          <w:sz w:val="20"/>
          <w:szCs w:val="20"/>
          <w:color w:val="auto"/>
        </w:rPr>
        <w:tab/>
      </w:r>
      <w:r>
        <w:rPr>
          <w:rFonts w:ascii="Arial" w:cs="Arial" w:eastAsia="Arial" w:hAnsi="Arial"/>
          <w:sz w:val="17"/>
          <w:szCs w:val="17"/>
          <w:u w:val="single" w:color="auto"/>
          <w:color w:val="auto"/>
        </w:rPr>
        <w:t>U.S.A. Patriot Act.</w:t>
      </w:r>
    </w:p>
    <w:p>
      <w:pPr>
        <w:spacing w:after="0" w:line="225" w:lineRule="exact"/>
        <w:rPr>
          <w:sz w:val="20"/>
          <w:szCs w:val="20"/>
          <w:color w:val="auto"/>
        </w:rPr>
      </w:pPr>
    </w:p>
    <w:p>
      <w:pPr>
        <w:ind w:firstLine="881"/>
        <w:spacing w:after="0" w:line="312" w:lineRule="auto"/>
        <w:rPr>
          <w:sz w:val="20"/>
          <w:szCs w:val="20"/>
          <w:color w:val="auto"/>
        </w:rPr>
      </w:pPr>
      <w:r>
        <w:rPr>
          <w:rFonts w:ascii="Arial" w:cs="Arial" w:eastAsia="Arial" w:hAnsi="Arial"/>
          <w:sz w:val="16"/>
          <w:szCs w:val="16"/>
          <w:color w:val="auto"/>
        </w:rPr>
        <w:t>The parties hereto acknowledge that in accordance with Section 326 of the U.S.A. Patriot Act, the Trustee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SINKING FUNDS</w:t>
      </w:r>
    </w:p>
    <w:p>
      <w:pPr>
        <w:spacing w:after="0" w:line="211"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11.1</w:t>
      </w:r>
      <w:r>
        <w:rPr>
          <w:sz w:val="20"/>
          <w:szCs w:val="20"/>
          <w:color w:val="auto"/>
        </w:rPr>
        <w:tab/>
      </w:r>
      <w:r>
        <w:rPr>
          <w:rFonts w:ascii="Arial" w:cs="Arial" w:eastAsia="Arial" w:hAnsi="Arial"/>
          <w:sz w:val="17"/>
          <w:szCs w:val="17"/>
          <w:u w:val="single" w:color="auto"/>
          <w:color w:val="auto"/>
        </w:rPr>
        <w:t>Applicability of Article</w:t>
      </w:r>
      <w:r>
        <w:rPr>
          <w:rFonts w:ascii="Arial" w:cs="Arial" w:eastAsia="Arial" w:hAnsi="Arial"/>
          <w:sz w:val="17"/>
          <w:szCs w:val="17"/>
          <w:color w:val="auto"/>
        </w:rPr>
        <w:t>.</w:t>
      </w:r>
    </w:p>
    <w:p>
      <w:pPr>
        <w:spacing w:after="0" w:line="225" w:lineRule="exact"/>
        <w:rPr>
          <w:sz w:val="20"/>
          <w:szCs w:val="20"/>
          <w:color w:val="auto"/>
        </w:rPr>
      </w:pPr>
    </w:p>
    <w:p>
      <w:pPr>
        <w:jc w:val="both"/>
        <w:ind w:right="40" w:firstLine="881"/>
        <w:spacing w:after="0" w:line="342" w:lineRule="auto"/>
        <w:rPr>
          <w:sz w:val="20"/>
          <w:szCs w:val="20"/>
          <w:color w:val="auto"/>
        </w:rPr>
      </w:pPr>
      <w:r>
        <w:rPr>
          <w:rFonts w:ascii="Arial" w:cs="Arial" w:eastAsia="Arial" w:hAnsi="Arial"/>
          <w:sz w:val="16"/>
          <w:szCs w:val="16"/>
          <w:color w:val="auto"/>
        </w:rPr>
        <w:t>The provisions of this Article shall be applicable to any sinking fund for the retirement of the Securities of a Series if so provided by the terms of such Securities pursuant to Section 2.2 and except as otherwise permitted or required by any form of Security of such Series issued pursuant to this Indenture.</w:t>
      </w:r>
    </w:p>
    <w:p>
      <w:pPr>
        <w:spacing w:after="0" w:line="124" w:lineRule="exact"/>
        <w:rPr>
          <w:sz w:val="20"/>
          <w:szCs w:val="20"/>
          <w:color w:val="auto"/>
        </w:rPr>
      </w:pPr>
    </w:p>
    <w:p>
      <w:pPr>
        <w:ind w:right="40" w:firstLine="881"/>
        <w:spacing w:after="0" w:line="257" w:lineRule="auto"/>
        <w:rPr>
          <w:sz w:val="20"/>
          <w:szCs w:val="20"/>
          <w:color w:val="auto"/>
        </w:rPr>
      </w:pPr>
      <w:r>
        <w:rPr>
          <w:rFonts w:ascii="Arial" w:cs="Arial" w:eastAsia="Arial" w:hAnsi="Arial"/>
          <w:sz w:val="18"/>
          <w:szCs w:val="18"/>
          <w:color w:val="auto"/>
        </w:rPr>
        <w:t>The minimum amount of any sinking fund payment provided for by the terms of the Securities of any Series is herein referred to as a “</w:t>
      </w:r>
      <w:r>
        <w:rPr>
          <w:rFonts w:ascii="Arial" w:cs="Arial" w:eastAsia="Arial" w:hAnsi="Arial"/>
          <w:sz w:val="18"/>
          <w:szCs w:val="18"/>
          <w:i w:val="1"/>
          <w:iCs w:val="1"/>
          <w:color w:val="auto"/>
        </w:rPr>
        <w:t>mandatory</w:t>
      </w:r>
      <w:r>
        <w:rPr>
          <w:rFonts w:ascii="Arial" w:cs="Arial" w:eastAsia="Arial" w:hAnsi="Arial"/>
          <w:sz w:val="18"/>
          <w:szCs w:val="18"/>
          <w:color w:val="auto"/>
        </w:rPr>
        <w:t xml:space="preserve"> </w:t>
      </w:r>
      <w:r>
        <w:rPr>
          <w:rFonts w:ascii="Arial" w:cs="Arial" w:eastAsia="Arial" w:hAnsi="Arial"/>
          <w:sz w:val="18"/>
          <w:szCs w:val="18"/>
          <w:i w:val="1"/>
          <w:iCs w:val="1"/>
          <w:color w:val="auto"/>
        </w:rPr>
        <w:t>sinking fund payment</w:t>
      </w:r>
      <w:r>
        <w:rPr>
          <w:rFonts w:ascii="Arial" w:cs="Arial" w:eastAsia="Arial" w:hAnsi="Arial"/>
          <w:sz w:val="18"/>
          <w:szCs w:val="18"/>
          <w:color w:val="auto"/>
        </w:rPr>
        <w:t>” and any other amount provided for by the terms of Securities of such Series is herein referred to as an “</w:t>
      </w:r>
      <w:r>
        <w:rPr>
          <w:rFonts w:ascii="Arial" w:cs="Arial" w:eastAsia="Arial" w:hAnsi="Arial"/>
          <w:sz w:val="18"/>
          <w:szCs w:val="18"/>
          <w:i w:val="1"/>
          <w:iCs w:val="1"/>
          <w:color w:val="auto"/>
        </w:rPr>
        <w:t>optional sinking fund payment</w:t>
      </w:r>
      <w:r>
        <w:rPr>
          <w:rFonts w:ascii="Arial" w:cs="Arial" w:eastAsia="Arial" w:hAnsi="Arial"/>
          <w:sz w:val="18"/>
          <w:szCs w:val="18"/>
          <w:color w:val="auto"/>
        </w:rPr>
        <w:t>.” If provided for by the terms of Securities of any Series, the cash amount of any sinking fund payment may be subject to reduction as provided in</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11.2. Each sinking fund payment shall be applied to the redemption of Securities of any Series as provided for by the terms of the Securities of such Series.</w:t>
      </w:r>
    </w:p>
    <w:p>
      <w:pPr>
        <w:spacing w:after="0" w:line="188"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11.2</w:t>
      </w:r>
      <w:r>
        <w:rPr>
          <w:sz w:val="20"/>
          <w:szCs w:val="20"/>
          <w:color w:val="auto"/>
        </w:rPr>
        <w:tab/>
      </w:r>
      <w:r>
        <w:rPr>
          <w:rFonts w:ascii="Arial" w:cs="Arial" w:eastAsia="Arial" w:hAnsi="Arial"/>
          <w:sz w:val="16"/>
          <w:szCs w:val="16"/>
          <w:u w:val="single" w:color="auto"/>
          <w:color w:val="auto"/>
        </w:rPr>
        <w:t>Satisfaction of Sinking Fund Payments with Securities</w:t>
      </w:r>
      <w:r>
        <w:rPr>
          <w:rFonts w:ascii="Arial" w:cs="Arial" w:eastAsia="Arial" w:hAnsi="Arial"/>
          <w:sz w:val="16"/>
          <w:szCs w:val="16"/>
          <w:color w:val="auto"/>
        </w:rPr>
        <w:t>.</w:t>
      </w:r>
    </w:p>
    <w:p>
      <w:pPr>
        <w:spacing w:after="0" w:line="225" w:lineRule="exact"/>
        <w:rPr>
          <w:sz w:val="20"/>
          <w:szCs w:val="20"/>
          <w:color w:val="auto"/>
        </w:rPr>
      </w:pPr>
    </w:p>
    <w:p>
      <w:pPr>
        <w:ind w:right="100" w:firstLine="881"/>
        <w:spacing w:after="0" w:line="264" w:lineRule="auto"/>
        <w:rPr>
          <w:sz w:val="20"/>
          <w:szCs w:val="20"/>
          <w:color w:val="auto"/>
        </w:rPr>
      </w:pPr>
      <w:r>
        <w:rPr>
          <w:rFonts w:ascii="Arial" w:cs="Arial" w:eastAsia="Arial" w:hAnsi="Arial"/>
          <w:sz w:val="18"/>
          <w:szCs w:val="18"/>
          <w:color w:val="auto"/>
        </w:rPr>
        <w:t>The Company may, in satisfaction of all or any part of any sinking fund payment with respect to the Securities of any Series to be made pursuant to the terms of such Securities (1) deliver outstanding Securities of such Series to which such sinking fund payment is applicable (other than any of such Securities previously called for mandatory sinking fund redemption) and (2) apply as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 xml:space="preserve">credit Securities of such Series to which such sinking fund payment is applicable and which have been repurchased by the Company or redeemed either at the election of the Company pursuant to the terms of such Series of Securities (except pursuant to any mandatory sinking fund) or through the application of permitted optional sinking fund payments or other optional redemptions pursuant to the terms of such Securities, provided that such Securities have not been previously so credited. Such Securities shall be received by the Trustee, together with an Officer’s Certificate with respect thereto, not later than 15 days prior to the date on which the Trustee begins the process of selecting Securities for redemption, and shall be credited for such purpose by the Trustee at the price specified in such Securities for redemption through operation of the sinking fund and the amount of such sinking fund payment shall be reduced accordingly. If as a result of the delivery or credit of Securities in lieu of cash payments pursuant to this Section 11.2, the principal amount of Securities of such Series to be redeemed in order to exhaust the aforesaid cash payment shall be less than $100,000, the Trustee need not call Securities of such Series for redemption, except upon receipt of a Company Order that such action be taken, and such cash payment shall be held by the Trustee or a Paying Agent and applied to the next succeeding sinking fund payment,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Trustee or such Paying Agent shall from time to time upon receipt of a Company Order pay over and deliver to the Company any cash payment so being held by the Trustee or such Paying Agent upon delivery by the Company to the Trustee of Securities of that Series purchased by the Company having an unpaid principal amount equal to the cash payment required to be released to the Company.</w:t>
      </w:r>
    </w:p>
    <w:p>
      <w:pPr>
        <w:spacing w:after="0" w:line="188"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11.3</w:t>
      </w:r>
      <w:r>
        <w:rPr>
          <w:sz w:val="20"/>
          <w:szCs w:val="20"/>
          <w:color w:val="auto"/>
        </w:rPr>
        <w:tab/>
      </w:r>
      <w:r>
        <w:rPr>
          <w:rFonts w:ascii="Arial" w:cs="Arial" w:eastAsia="Arial" w:hAnsi="Arial"/>
          <w:sz w:val="16"/>
          <w:szCs w:val="16"/>
          <w:u w:val="single" w:color="auto"/>
          <w:color w:val="auto"/>
        </w:rPr>
        <w:t>Redemption of Securities for Sinking Fund</w:t>
      </w:r>
      <w:r>
        <w:rPr>
          <w:rFonts w:ascii="Arial" w:cs="Arial" w:eastAsia="Arial" w:hAnsi="Arial"/>
          <w:sz w:val="16"/>
          <w:szCs w:val="16"/>
          <w:color w:val="auto"/>
        </w:rPr>
        <w:t>.</w:t>
      </w:r>
    </w:p>
    <w:p>
      <w:pPr>
        <w:spacing w:after="0" w:line="225" w:lineRule="exact"/>
        <w:rPr>
          <w:sz w:val="20"/>
          <w:szCs w:val="20"/>
          <w:color w:val="auto"/>
        </w:rPr>
      </w:pPr>
    </w:p>
    <w:p>
      <w:pPr>
        <w:ind w:right="60" w:firstLine="881"/>
        <w:spacing w:after="0" w:line="288" w:lineRule="auto"/>
        <w:rPr>
          <w:sz w:val="20"/>
          <w:szCs w:val="20"/>
          <w:color w:val="auto"/>
        </w:rPr>
      </w:pPr>
      <w:r>
        <w:rPr>
          <w:rFonts w:ascii="Arial" w:cs="Arial" w:eastAsia="Arial" w:hAnsi="Arial"/>
          <w:sz w:val="16"/>
          <w:szCs w:val="16"/>
          <w:color w:val="auto"/>
        </w:rPr>
        <w:t>Not less than 45 days (unless otherwise indicated in the Board Resolution, supplemental indenture hereto or Officer’s Certificate in respect of a particular Series of Securities) prior to each sinking fund payment date for any Series of Securities, the Company will deliver to the Trustee an Officer’s Certificate specifying the amount of the next ensuing mandatory sinking fund payment for that Series pursuant to the terms of that Series, the portion thereof, if any, which is to be satisfied by payment of cash and the portion thereof, if any, which is to be satisfied by delivering and crediting of Securities of that Series pursuant to Section 11.2, and the optional amount, if any, to be added in cash to the next ensuing mandatory sinking fund payment, and the Company shall thereupon be obligated to pay the amount therein specified. Not less than 30 days (unless otherwise indicated in the Board Resolution, Officer’s Certificate or supplemental indenture in respect of a particular Series of Securities) before each such sinking fund payment date the Securities to be redeemed upon such sinking fund payment date will be selected in the manner specified in Section 3.2 and the Company shall send or cause to be sent a notice of the redemption thereof to be given in the name of and at the expense of the Company in the manner provided in and in accordance with Section 3.3. Such notice having been duly given, the redemption of such Securities shall be made upon the terms and in the manner stated in Sections 3.4, 3.5 and 3.6.</w:t>
      </w:r>
    </w:p>
    <w:p>
      <w:pPr>
        <w:sectPr>
          <w:pgSz w:w="11900" w:h="16838" w:orient="portrait"/>
          <w:cols w:equalWidth="0" w:num="1">
            <w:col w:w="11420"/>
          </w:cols>
          <w:pgMar w:left="240" w:top="125" w:right="239" w:bottom="0" w:gutter="0" w:footer="0" w:header="0"/>
        </w:sectPr>
      </w:pPr>
    </w:p>
    <w:bookmarkStart w:id="49" w:name="page50"/>
    <w:bookmarkEnd w:id="49"/>
    <w:p>
      <w:pPr>
        <w:jc w:val="center"/>
        <w:ind w:right="40"/>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-554990</wp:posOffset>
            </wp:positionH>
            <wp:positionV relativeFrom="paragraph">
              <wp:posOffset>95885</wp:posOffset>
            </wp:positionV>
            <wp:extent cx="72675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700"/>
          </w:cols>
          <w:pgMar w:left="1120" w:top="125" w:right="10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the parties hereto have caused this Indenture to be duly executed as of the day and year first above written.</w:t>
      </w:r>
    </w:p>
    <w:p>
      <w:pPr>
        <w:spacing w:after="0" w:line="248"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MICRON TECHNOLOGY, INC.</w:t>
      </w:r>
    </w:p>
    <w:p>
      <w:pPr>
        <w:spacing w:after="0" w:line="200" w:lineRule="exact"/>
        <w:rPr>
          <w:sz w:val="20"/>
          <w:szCs w:val="20"/>
          <w:color w:val="auto"/>
        </w:rPr>
      </w:pPr>
    </w:p>
    <w:p>
      <w:pPr>
        <w:spacing w:after="0" w:line="24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3373755</wp:posOffset>
            </wp:positionH>
            <wp:positionV relativeFrom="paragraph">
              <wp:posOffset>-130810</wp:posOffset>
            </wp:positionV>
            <wp:extent cx="331914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2">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Its:</w:t>
      </w:r>
    </w:p>
    <w:p>
      <w:pPr>
        <w:spacing w:after="0" w:line="211"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as Trustee</w:t>
      </w:r>
    </w:p>
    <w:p>
      <w:pPr>
        <w:spacing w:after="0" w:line="200" w:lineRule="exact"/>
        <w:rPr>
          <w:sz w:val="20"/>
          <w:szCs w:val="20"/>
          <w:color w:val="auto"/>
        </w:rPr>
      </w:pPr>
    </w:p>
    <w:p>
      <w:pPr>
        <w:spacing w:after="0" w:line="22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3373755</wp:posOffset>
            </wp:positionH>
            <wp:positionV relativeFrom="paragraph">
              <wp:posOffset>-130810</wp:posOffset>
            </wp:positionV>
            <wp:extent cx="331914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3">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-554990</wp:posOffset>
            </wp:positionH>
            <wp:positionV relativeFrom="paragraph">
              <wp:posOffset>209550</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700"/>
          </w:cols>
          <w:pgMar w:left="1120" w:top="125" w:right="1079" w:bottom="1440" w:gutter="0" w:footer="0" w:header="0"/>
          <w:type w:val="continuous"/>
        </w:sectPr>
      </w:pPr>
    </w:p>
    <w:bookmarkStart w:id="50" w:name="page51"/>
    <w:bookmarkEnd w:id="50"/>
    <w:p>
      <w:pPr>
        <w:spacing w:after="0" w:line="5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October 10,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8000 South Federal 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Boise, Idaho 83716-9632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right="20" w:firstLine="311"/>
        <w:spacing w:after="0" w:line="284" w:lineRule="auto"/>
        <w:rPr>
          <w:sz w:val="20"/>
          <w:szCs w:val="20"/>
          <w:color w:val="auto"/>
        </w:rPr>
      </w:pPr>
      <w:r>
        <w:rPr>
          <w:rFonts w:ascii="Arial" w:cs="Arial" w:eastAsia="Arial" w:hAnsi="Arial"/>
          <w:sz w:val="16"/>
          <w:szCs w:val="16"/>
          <w:color w:val="auto"/>
        </w:rPr>
        <w:t>We have acted as special counsel to Micron Technology,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in connection with the preparation of a Registration Statement on Form S-3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to be filed on the date hereof by the Company with the United States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 for the purpose of registering under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(i) shares of common stock, par value $0.10 per share (the “</w:t>
      </w:r>
      <w:r>
        <w:rPr>
          <w:rFonts w:ascii="Arial" w:cs="Arial" w:eastAsia="Arial" w:hAnsi="Arial"/>
          <w:sz w:val="16"/>
          <w:szCs w:val="16"/>
          <w:b w:val="1"/>
          <w:bCs w:val="1"/>
          <w:color w:val="auto"/>
        </w:rPr>
        <w:t>Common Stock</w:t>
      </w:r>
      <w:r>
        <w:rPr>
          <w:rFonts w:ascii="Arial" w:cs="Arial" w:eastAsia="Arial" w:hAnsi="Arial"/>
          <w:sz w:val="16"/>
          <w:szCs w:val="16"/>
          <w:color w:val="auto"/>
        </w:rPr>
        <w:t>”), of the Company and the common stock purchase rights (the “</w:t>
      </w:r>
      <w:r>
        <w:rPr>
          <w:rFonts w:ascii="Arial" w:cs="Arial" w:eastAsia="Arial" w:hAnsi="Arial"/>
          <w:sz w:val="16"/>
          <w:szCs w:val="16"/>
          <w:b w:val="1"/>
          <w:bCs w:val="1"/>
          <w:color w:val="auto"/>
        </w:rPr>
        <w:t>Rights</w:t>
      </w:r>
      <w:r>
        <w:rPr>
          <w:rFonts w:ascii="Arial" w:cs="Arial" w:eastAsia="Arial" w:hAnsi="Arial"/>
          <w:sz w:val="16"/>
          <w:szCs w:val="16"/>
          <w:color w:val="auto"/>
        </w:rPr>
        <w:t>”) associated with the Common Stock issued pursuant to that certain Section 382 Rights Agreement, dated as of July 20, 2016, between the Company and Wells Fargo Bank, National Association, as rights agent (the “</w:t>
      </w:r>
      <w:r>
        <w:rPr>
          <w:rFonts w:ascii="Arial" w:cs="Arial" w:eastAsia="Arial" w:hAnsi="Arial"/>
          <w:sz w:val="16"/>
          <w:szCs w:val="16"/>
          <w:b w:val="1"/>
          <w:bCs w:val="1"/>
          <w:color w:val="auto"/>
        </w:rPr>
        <w:t>Rights Agent</w:t>
      </w:r>
      <w:r>
        <w:rPr>
          <w:rFonts w:ascii="Arial" w:cs="Arial" w:eastAsia="Arial" w:hAnsi="Arial"/>
          <w:sz w:val="16"/>
          <w:szCs w:val="16"/>
          <w:color w:val="auto"/>
        </w:rPr>
        <w:t>”) (the “</w:t>
      </w:r>
      <w:r>
        <w:rPr>
          <w:rFonts w:ascii="Arial" w:cs="Arial" w:eastAsia="Arial" w:hAnsi="Arial"/>
          <w:sz w:val="16"/>
          <w:szCs w:val="16"/>
          <w:b w:val="1"/>
          <w:bCs w:val="1"/>
          <w:color w:val="auto"/>
        </w:rPr>
        <w:t>Rights Agreement</w:t>
      </w:r>
      <w:r>
        <w:rPr>
          <w:rFonts w:ascii="Arial" w:cs="Arial" w:eastAsia="Arial" w:hAnsi="Arial"/>
          <w:sz w:val="16"/>
          <w:szCs w:val="16"/>
          <w:color w:val="auto"/>
        </w:rPr>
        <w:t>”); (ii) the Company’s debt securities (the “</w:t>
      </w:r>
      <w:r>
        <w:rPr>
          <w:rFonts w:ascii="Arial" w:cs="Arial" w:eastAsia="Arial" w:hAnsi="Arial"/>
          <w:sz w:val="16"/>
          <w:szCs w:val="16"/>
          <w:b w:val="1"/>
          <w:bCs w:val="1"/>
          <w:color w:val="auto"/>
        </w:rPr>
        <w:t>Debt Securities</w:t>
      </w:r>
      <w:r>
        <w:rPr>
          <w:rFonts w:ascii="Arial" w:cs="Arial" w:eastAsia="Arial" w:hAnsi="Arial"/>
          <w:sz w:val="16"/>
          <w:szCs w:val="16"/>
          <w:color w:val="auto"/>
        </w:rPr>
        <w:t>”), which may be issued pursuant to that certain Indenture (the “</w:t>
      </w:r>
      <w:r>
        <w:rPr>
          <w:rFonts w:ascii="Arial" w:cs="Arial" w:eastAsia="Arial" w:hAnsi="Arial"/>
          <w:sz w:val="16"/>
          <w:szCs w:val="16"/>
          <w:b w:val="1"/>
          <w:bCs w:val="1"/>
          <w:color w:val="auto"/>
        </w:rPr>
        <w:t>Indenture</w:t>
      </w:r>
      <w:r>
        <w:rPr>
          <w:rFonts w:ascii="Arial" w:cs="Arial" w:eastAsia="Arial" w:hAnsi="Arial"/>
          <w:sz w:val="16"/>
          <w:szCs w:val="16"/>
          <w:color w:val="auto"/>
        </w:rPr>
        <w:t>”) between the Company and a trustee to be named therein (the “</w:t>
      </w:r>
      <w:r>
        <w:rPr>
          <w:rFonts w:ascii="Arial" w:cs="Arial" w:eastAsia="Arial" w:hAnsi="Arial"/>
          <w:sz w:val="16"/>
          <w:szCs w:val="16"/>
          <w:b w:val="1"/>
          <w:bCs w:val="1"/>
          <w:color w:val="auto"/>
        </w:rPr>
        <w:t>Trustee</w:t>
      </w:r>
      <w:r>
        <w:rPr>
          <w:rFonts w:ascii="Arial" w:cs="Arial" w:eastAsia="Arial" w:hAnsi="Arial"/>
          <w:sz w:val="16"/>
          <w:szCs w:val="16"/>
          <w:color w:val="auto"/>
        </w:rPr>
        <w:t>”); (iii) purchase contracts (the “</w:t>
      </w:r>
      <w:r>
        <w:rPr>
          <w:rFonts w:ascii="Arial" w:cs="Arial" w:eastAsia="Arial" w:hAnsi="Arial"/>
          <w:sz w:val="16"/>
          <w:szCs w:val="16"/>
          <w:b w:val="1"/>
          <w:bCs w:val="1"/>
          <w:color w:val="auto"/>
        </w:rPr>
        <w:t>Purchase Contracts</w:t>
      </w:r>
      <w:r>
        <w:rPr>
          <w:rFonts w:ascii="Arial" w:cs="Arial" w:eastAsia="Arial" w:hAnsi="Arial"/>
          <w:sz w:val="16"/>
          <w:szCs w:val="16"/>
          <w:color w:val="auto"/>
        </w:rPr>
        <w:t>”), which may be issued under one or more purchase contract agreements (each such Purchase Contract, a “</w:t>
      </w:r>
      <w:r>
        <w:rPr>
          <w:rFonts w:ascii="Arial" w:cs="Arial" w:eastAsia="Arial" w:hAnsi="Arial"/>
          <w:sz w:val="16"/>
          <w:szCs w:val="16"/>
          <w:b w:val="1"/>
          <w:bCs w:val="1"/>
          <w:color w:val="auto"/>
        </w:rPr>
        <w:t>Purchase</w:t>
      </w:r>
      <w:r>
        <w:rPr>
          <w:rFonts w:ascii="Arial" w:cs="Arial" w:eastAsia="Arial" w:hAnsi="Arial"/>
          <w:sz w:val="16"/>
          <w:szCs w:val="16"/>
          <w:color w:val="auto"/>
        </w:rPr>
        <w:t xml:space="preserve"> </w:t>
      </w:r>
      <w:r>
        <w:rPr>
          <w:rFonts w:ascii="Arial" w:cs="Arial" w:eastAsia="Arial" w:hAnsi="Arial"/>
          <w:sz w:val="16"/>
          <w:szCs w:val="16"/>
          <w:b w:val="1"/>
          <w:bCs w:val="1"/>
          <w:color w:val="auto"/>
        </w:rPr>
        <w:t>Contract Agreement</w:t>
      </w:r>
      <w:r>
        <w:rPr>
          <w:rFonts w:ascii="Arial" w:cs="Arial" w:eastAsia="Arial" w:hAnsi="Arial"/>
          <w:sz w:val="16"/>
          <w:szCs w:val="16"/>
          <w:color w:val="auto"/>
        </w:rPr>
        <w:t>”) to be entered into between the Company and the purchase contract agent to be named therein (the “</w:t>
      </w:r>
      <w:r>
        <w:rPr>
          <w:rFonts w:ascii="Arial" w:cs="Arial" w:eastAsia="Arial" w:hAnsi="Arial"/>
          <w:sz w:val="16"/>
          <w:szCs w:val="16"/>
          <w:b w:val="1"/>
          <w:bCs w:val="1"/>
          <w:color w:val="auto"/>
        </w:rPr>
        <w:t>Purchase Contract Agent</w:t>
      </w:r>
      <w:r>
        <w:rPr>
          <w:rFonts w:ascii="Arial" w:cs="Arial" w:eastAsia="Arial" w:hAnsi="Arial"/>
          <w:sz w:val="16"/>
          <w:szCs w:val="16"/>
          <w:color w:val="auto"/>
        </w:rPr>
        <w:t>”);</w:t>
      </w:r>
    </w:p>
    <w:p>
      <w:pPr>
        <w:spacing w:after="0" w:line="4" w:lineRule="exact"/>
        <w:rPr>
          <w:sz w:val="20"/>
          <w:szCs w:val="20"/>
          <w:color w:val="auto"/>
        </w:rPr>
      </w:pPr>
    </w:p>
    <w:p>
      <w:pPr>
        <w:ind w:right="160" w:firstLine="8"/>
        <w:spacing w:after="0" w:line="253" w:lineRule="auto"/>
        <w:tabs>
          <w:tab w:leader="none" w:pos="305" w:val="left"/>
        </w:tabs>
        <w:numPr>
          <w:ilvl w:val="0"/>
          <w:numId w:val="57"/>
        </w:numPr>
        <w:rPr>
          <w:rFonts w:ascii="Arial" w:cs="Arial" w:eastAsia="Arial" w:hAnsi="Arial"/>
          <w:sz w:val="18"/>
          <w:szCs w:val="18"/>
          <w:color w:val="auto"/>
        </w:rPr>
      </w:pPr>
      <w:r>
        <w:rPr>
          <w:rFonts w:ascii="Arial" w:cs="Arial" w:eastAsia="Arial" w:hAnsi="Arial"/>
          <w:sz w:val="18"/>
          <w:szCs w:val="18"/>
          <w:color w:val="auto"/>
        </w:rPr>
        <w:t>units of the Company (the “</w:t>
      </w:r>
      <w:r>
        <w:rPr>
          <w:rFonts w:ascii="Arial" w:cs="Arial" w:eastAsia="Arial" w:hAnsi="Arial"/>
          <w:sz w:val="18"/>
          <w:szCs w:val="18"/>
          <w:b w:val="1"/>
          <w:bCs w:val="1"/>
          <w:color w:val="auto"/>
        </w:rPr>
        <w:t>Units</w:t>
      </w:r>
      <w:r>
        <w:rPr>
          <w:rFonts w:ascii="Arial" w:cs="Arial" w:eastAsia="Arial" w:hAnsi="Arial"/>
          <w:sz w:val="18"/>
          <w:szCs w:val="18"/>
          <w:color w:val="auto"/>
        </w:rPr>
        <w:t>”) to be issued under one or more unit agreements (each such unit agreement, a “</w:t>
      </w:r>
      <w:r>
        <w:rPr>
          <w:rFonts w:ascii="Arial" w:cs="Arial" w:eastAsia="Arial" w:hAnsi="Arial"/>
          <w:sz w:val="18"/>
          <w:szCs w:val="18"/>
          <w:b w:val="1"/>
          <w:bCs w:val="1"/>
          <w:color w:val="auto"/>
        </w:rPr>
        <w:t>Unit Agreement</w:t>
      </w:r>
      <w:r>
        <w:rPr>
          <w:rFonts w:ascii="Arial" w:cs="Arial" w:eastAsia="Arial" w:hAnsi="Arial"/>
          <w:sz w:val="18"/>
          <w:szCs w:val="18"/>
          <w:color w:val="auto"/>
        </w:rPr>
        <w:t>”) to be entered into among the Company, a bank or trust company, as unit agent (the “</w:t>
      </w:r>
      <w:r>
        <w:rPr>
          <w:rFonts w:ascii="Arial" w:cs="Arial" w:eastAsia="Arial" w:hAnsi="Arial"/>
          <w:sz w:val="18"/>
          <w:szCs w:val="18"/>
          <w:b w:val="1"/>
          <w:bCs w:val="1"/>
          <w:color w:val="auto"/>
        </w:rPr>
        <w:t>Unit Agent</w:t>
      </w:r>
      <w:r>
        <w:rPr>
          <w:rFonts w:ascii="Arial" w:cs="Arial" w:eastAsia="Arial" w:hAnsi="Arial"/>
          <w:sz w:val="18"/>
          <w:szCs w:val="18"/>
          <w:color w:val="auto"/>
        </w:rPr>
        <w:t>”), and the holders from time to time of the Units; and (v) warrants of the Company (the “</w:t>
      </w:r>
      <w:r>
        <w:rPr>
          <w:rFonts w:ascii="Arial" w:cs="Arial" w:eastAsia="Arial" w:hAnsi="Arial"/>
          <w:sz w:val="18"/>
          <w:szCs w:val="18"/>
          <w:b w:val="1"/>
          <w:bCs w:val="1"/>
          <w:color w:val="auto"/>
        </w:rPr>
        <w:t>Warrants</w:t>
      </w:r>
      <w:r>
        <w:rPr>
          <w:rFonts w:ascii="Arial" w:cs="Arial" w:eastAsia="Arial" w:hAnsi="Arial"/>
          <w:sz w:val="18"/>
          <w:szCs w:val="18"/>
          <w:color w:val="auto"/>
        </w:rPr>
        <w:t>” and, collectively with the Common Stock (and the associated Rights), Debt Securities, Purchase Contracts and Units, the “</w:t>
      </w:r>
      <w:r>
        <w:rPr>
          <w:rFonts w:ascii="Arial" w:cs="Arial" w:eastAsia="Arial" w:hAnsi="Arial"/>
          <w:sz w:val="18"/>
          <w:szCs w:val="18"/>
          <w:b w:val="1"/>
          <w:bCs w:val="1"/>
          <w:color w:val="auto"/>
        </w:rPr>
        <w:t>Securities</w:t>
      </w:r>
      <w:r>
        <w:rPr>
          <w:rFonts w:ascii="Arial" w:cs="Arial" w:eastAsia="Arial" w:hAnsi="Arial"/>
          <w:sz w:val="18"/>
          <w:szCs w:val="18"/>
          <w:color w:val="auto"/>
        </w:rPr>
        <w:t>”), which may be issued pursuant to a warrant agreement (the “</w:t>
      </w:r>
      <w:r>
        <w:rPr>
          <w:rFonts w:ascii="Arial" w:cs="Arial" w:eastAsia="Arial" w:hAnsi="Arial"/>
          <w:sz w:val="18"/>
          <w:szCs w:val="18"/>
          <w:b w:val="1"/>
          <w:bCs w:val="1"/>
          <w:color w:val="auto"/>
        </w:rPr>
        <w:t>Warrant Agreement</w:t>
      </w:r>
      <w:r>
        <w:rPr>
          <w:rFonts w:ascii="Arial" w:cs="Arial" w:eastAsia="Arial" w:hAnsi="Arial"/>
          <w:sz w:val="18"/>
          <w:szCs w:val="18"/>
          <w:color w:val="auto"/>
        </w:rPr>
        <w:t>”) between the Company and the warrant agent to be named therein (the “</w:t>
      </w:r>
      <w:r>
        <w:rPr>
          <w:rFonts w:ascii="Arial" w:cs="Arial" w:eastAsia="Arial" w:hAnsi="Arial"/>
          <w:sz w:val="18"/>
          <w:szCs w:val="18"/>
          <w:b w:val="1"/>
          <w:bCs w:val="1"/>
          <w:color w:val="auto"/>
        </w:rPr>
        <w:t>Warrant Agent</w:t>
      </w:r>
      <w:r>
        <w:rPr>
          <w:rFonts w:ascii="Arial" w:cs="Arial" w:eastAsia="Arial" w:hAnsi="Arial"/>
          <w:sz w:val="18"/>
          <w:szCs w:val="18"/>
          <w:color w:val="auto"/>
        </w:rPr>
        <w:t>”).</w:t>
      </w:r>
    </w:p>
    <w:p>
      <w:pPr>
        <w:spacing w:after="0" w:line="191" w:lineRule="exact"/>
        <w:rPr>
          <w:sz w:val="20"/>
          <w:szCs w:val="20"/>
          <w:color w:val="auto"/>
        </w:rPr>
      </w:pPr>
    </w:p>
    <w:p>
      <w:pPr>
        <w:ind w:right="220" w:firstLine="311"/>
        <w:spacing w:after="0" w:line="286" w:lineRule="auto"/>
        <w:rPr>
          <w:sz w:val="20"/>
          <w:szCs w:val="20"/>
          <w:color w:val="auto"/>
        </w:rPr>
      </w:pPr>
      <w:r>
        <w:rPr>
          <w:rFonts w:ascii="Arial" w:cs="Arial" w:eastAsia="Arial" w:hAnsi="Arial"/>
          <w:sz w:val="17"/>
          <w:szCs w:val="17"/>
          <w:color w:val="auto"/>
        </w:rPr>
        <w:t>We, as your counsel, have examined originals or copies, certified or otherwise identified to our satisfaction, of such documents, corporate records, certificates of public officials and other instruments as we have deemed necessary or advisable for the purpose of rendering this opinion, including, without limitation, the Registration Statement and the Indenture (including the form of Debt Securities included therein).</w:t>
      </w:r>
    </w:p>
    <w:p>
      <w:pPr>
        <w:spacing w:after="0" w:line="166" w:lineRule="exact"/>
        <w:rPr>
          <w:sz w:val="20"/>
          <w:szCs w:val="20"/>
          <w:color w:val="auto"/>
        </w:rPr>
      </w:pPr>
    </w:p>
    <w:p>
      <w:pPr>
        <w:ind w:right="40" w:firstLine="311"/>
        <w:spacing w:after="0" w:line="270" w:lineRule="auto"/>
        <w:rPr>
          <w:sz w:val="20"/>
          <w:szCs w:val="20"/>
          <w:color w:val="auto"/>
        </w:rPr>
      </w:pPr>
      <w:r>
        <w:rPr>
          <w:rFonts w:ascii="Arial" w:cs="Arial" w:eastAsia="Arial" w:hAnsi="Arial"/>
          <w:sz w:val="17"/>
          <w:szCs w:val="17"/>
          <w:color w:val="auto"/>
        </w:rPr>
        <w:t>In our examination, we have assumed: (i) the authenticity of original documents and the genuineness of all signatures; (ii) the conformity to the originals of all documents submitted to us as copies; (iii) the truth, accuracy and completeness of the information, representations and warranties contained in the instruments, documents, certificates and records we have reviewed; and (iv) the legal capacity of all natural persons. As to any facts material to the opinions expressed herein that were not independently established or verified, we have relied upon oral or written statements and representations of officers and other representatives of the Company. In making our examination of documents executed or to be executed, we have assumed that the counterparties thereto, excluding the Company, have been duly organized and are, and will continue to be, validly existing and in good standing, and have or will have the requisite legal status and legal capacity under the laws of their respective jurisdictions of incorporation or organization and had or will have the power, corporate or other, to enter into and perform all obligations thereunder and have also assumed the due authorization by all requisite action, corporate or other, and execution and delivery by such parties of such documents and, except as expressly set forth in the paragraphs below, the validity and binding effect thereof on such parties.</w:t>
      </w:r>
    </w:p>
    <w:p>
      <w:pPr>
        <w:spacing w:after="0" w:line="178" w:lineRule="exact"/>
        <w:rPr>
          <w:sz w:val="20"/>
          <w:szCs w:val="20"/>
          <w:color w:val="auto"/>
        </w:rPr>
      </w:pPr>
    </w:p>
    <w:p>
      <w:pPr>
        <w:ind w:right="20" w:firstLine="311"/>
        <w:spacing w:after="0" w:line="270" w:lineRule="auto"/>
        <w:rPr>
          <w:sz w:val="20"/>
          <w:szCs w:val="20"/>
          <w:color w:val="auto"/>
        </w:rPr>
      </w:pPr>
      <w:r>
        <w:rPr>
          <w:rFonts w:ascii="Arial" w:cs="Arial" w:eastAsia="Arial" w:hAnsi="Arial"/>
          <w:sz w:val="17"/>
          <w:szCs w:val="17"/>
          <w:color w:val="auto"/>
        </w:rPr>
        <w:t>In connection with the opinions expressed below, we have assumed that, at or prior to the time of the delivery of any Securities, that (i) the Board of Directors of the Company (or a duly authorized committee thereof) (the “</w:t>
      </w:r>
      <w:r>
        <w:rPr>
          <w:rFonts w:ascii="Arial" w:cs="Arial" w:eastAsia="Arial" w:hAnsi="Arial"/>
          <w:sz w:val="17"/>
          <w:szCs w:val="17"/>
          <w:b w:val="1"/>
          <w:bCs w:val="1"/>
          <w:color w:val="auto"/>
        </w:rPr>
        <w:t>Board</w:t>
      </w:r>
      <w:r>
        <w:rPr>
          <w:rFonts w:ascii="Arial" w:cs="Arial" w:eastAsia="Arial" w:hAnsi="Arial"/>
          <w:sz w:val="17"/>
          <w:szCs w:val="17"/>
          <w:color w:val="auto"/>
        </w:rPr>
        <w:t>”) shall have duly established the terms of the Securities and duly authorized the issuance and sale of such Securities and such authorization shall not have been modified or rescinded; (ii) the Registration Statement, and any amendments thereto (including post-effective amendments), will have become effective under the Securities Act; (iii) a prospectus supplement will have been filed with the Commission describing the Securities offered thereby; (iv) the Securities will be issued and sold in compliance with applicable U.S. federal and state securities laws and in the manner stated in the Registration Statement and the applicable prospectus supplement; (v) a definitive purchase, underwriting or similar agreement with respect to any Securities offered will have been duly authorized and validly executed and delivered by the Company and the other parties thereto; (vi) any Securities issuable upon conversion, exchange, redemption or exercise of any Securities being offered will be duly authorized, created and, if appropriate, reserved for issuance upon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191135</wp:posOffset>
            </wp:positionV>
            <wp:extent cx="72675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such conversion, exchange, redemption or exercise; and (vii) there shall not have occurred any change in law affecting the validity or enforceability of such Securities. We have also assumed that none of the terms of any Securities to be established subsequent to the date hereof, the issuance and delivery of such Securities or the compliance by the Company with the terms of such Securities will violate any applicable law or public policy or will result in a violation of any provision of any instrument or agreement then binding upon the Company, or any restriction imposed by any court or governmental body having jurisdiction over the Company.</w:t>
      </w:r>
    </w:p>
    <w:p>
      <w:pPr>
        <w:spacing w:after="0" w:line="188" w:lineRule="exact"/>
        <w:rPr>
          <w:sz w:val="20"/>
          <w:szCs w:val="20"/>
          <w:color w:val="auto"/>
        </w:rPr>
      </w:pPr>
    </w:p>
    <w:p>
      <w:pPr>
        <w:ind w:right="100" w:firstLine="311"/>
        <w:spacing w:after="0" w:line="255" w:lineRule="auto"/>
        <w:rPr>
          <w:sz w:val="20"/>
          <w:szCs w:val="20"/>
          <w:color w:val="auto"/>
        </w:rPr>
      </w:pPr>
      <w:r>
        <w:rPr>
          <w:rFonts w:ascii="Arial" w:cs="Arial" w:eastAsia="Arial" w:hAnsi="Arial"/>
          <w:sz w:val="18"/>
          <w:szCs w:val="18"/>
          <w:color w:val="auto"/>
        </w:rPr>
        <w:t>In rendering this opinion, we have also assumed that the Rights Agreement has been duly authorized, executed and delivered by the Rights Agent and that the members of the Board have acted in a manner consistent with their fiduciary duties as required under applicable law in adopting the Rights Agreement. This opinion does not address the determination a court of competent jurisdiction may make regarding whether the Board may be required to redeem or terminate, or take other action with respect to, the Rights in the future based on the facts and circumstances existing at that time. It should be understood that our opinion address the Rights and Rights Agreement in their entirety and not any particular provision of the Rights or the Rights Agreement and that it is not settled whether the invalidity of any particular provision of a tax benefit preservation plan or purchase rights issued thereunder would result in invalidating in their entirety such rights.</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Based upon the foregoing, we advise you that, in our opinion:</w:t>
      </w:r>
    </w:p>
    <w:p>
      <w:pPr>
        <w:spacing w:after="0" w:line="225" w:lineRule="exact"/>
        <w:rPr>
          <w:sz w:val="20"/>
          <w:szCs w:val="20"/>
          <w:color w:val="auto"/>
        </w:rPr>
      </w:pPr>
    </w:p>
    <w:p>
      <w:pPr>
        <w:ind w:left="660" w:right="120" w:hanging="341"/>
        <w:spacing w:after="0" w:line="293" w:lineRule="auto"/>
        <w:tabs>
          <w:tab w:leader="none" w:pos="6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When the necessary corporate action on the part of the Company has been taken to authorize the issuance and sale of shares of Common Stock (and the associated Rights) or the issuance and sale of Securities convertible or exchangeable into or exercisable for shares of Common Stock (each, a “</w:t>
      </w:r>
      <w:r>
        <w:rPr>
          <w:rFonts w:ascii="Arial" w:cs="Arial" w:eastAsia="Arial" w:hAnsi="Arial"/>
          <w:sz w:val="16"/>
          <w:szCs w:val="16"/>
          <w:b w:val="1"/>
          <w:bCs w:val="1"/>
          <w:color w:val="auto"/>
        </w:rPr>
        <w:t>Common Offered Security</w:t>
      </w:r>
      <w:r>
        <w:rPr>
          <w:rFonts w:ascii="Arial" w:cs="Arial" w:eastAsia="Arial" w:hAnsi="Arial"/>
          <w:sz w:val="16"/>
          <w:szCs w:val="16"/>
          <w:color w:val="auto"/>
        </w:rPr>
        <w:t>”), in either case, proposed to be sold by the Company, and when such shares of Common Stock (and the associated Rights) are issued and delivered in accordance with the applicable underwriting or other agreement against payment therefor (in excess of par value of the Common Stock) or upon conversion, exchange or exercise of any such Common Offered Security, in accordance with the terms of such Common Offered Security or the instrument governing such Common Offered Security providing for such conversion, exchange or exercise as</w:t>
      </w:r>
    </w:p>
    <w:p>
      <w:pPr>
        <w:sectPr>
          <w:pgSz w:w="11900" w:h="16894" w:orient="portrait"/>
          <w:cols w:equalWidth="0" w:num="1">
            <w:col w:w="11420"/>
          </w:cols>
          <w:pgMar w:left="240" w:top="364" w:right="239" w:bottom="0" w:gutter="0" w:footer="0" w:header="0"/>
        </w:sectPr>
      </w:pPr>
    </w:p>
    <w:bookmarkStart w:id="51" w:name="page52"/>
    <w:bookmarkEnd w:id="51"/>
    <w:p>
      <w:pPr>
        <w:ind w:left="660" w:right="100"/>
        <w:spacing w:after="0" w:line="277" w:lineRule="auto"/>
        <w:rPr>
          <w:sz w:val="20"/>
          <w:szCs w:val="20"/>
          <w:color w:val="auto"/>
        </w:rPr>
      </w:pPr>
      <w:r>
        <w:rPr>
          <w:rFonts w:ascii="Arial" w:cs="Arial" w:eastAsia="Arial" w:hAnsi="Arial"/>
          <w:sz w:val="18"/>
          <w:szCs w:val="18"/>
          <w:color w:val="auto"/>
        </w:rPr>
        <w:t>approved by the Board, for the consideration approved by the Board (which consideration is not less than the par value of the Common Stock), such shares of Common Stock (and the associated Rights) will be validly issued, fully paid and non-assessable.</w:t>
      </w:r>
    </w:p>
    <w:p>
      <w:pPr>
        <w:spacing w:after="0" w:line="170" w:lineRule="exact"/>
        <w:rPr>
          <w:sz w:val="20"/>
          <w:szCs w:val="20"/>
          <w:color w:val="auto"/>
        </w:rPr>
      </w:pPr>
    </w:p>
    <w:p>
      <w:pPr>
        <w:ind w:left="660" w:right="20" w:hanging="341"/>
        <w:spacing w:after="0" w:line="271" w:lineRule="auto"/>
        <w:tabs>
          <w:tab w:leader="none" w:pos="6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With respect to Debt Securities to be issued under the Indenture, when (a) the Trustee has duly executed and delivered the Indenture; (b) the Indenture has been duly authorized and validly executed and delivered by the Company to the Trustee; (c) the Indenture has been duly qualified under the Trust Indenture Act of 1939, as amended; (d) the Board has taken all necessary corporate action to approve the issuance and terms of such Debt Securities, the terms of the offering thereof and related matters; and (e) such Debt Securities have been duly executed, authenticated, issued and delivered in accordance with the provisions of the Indenture, and the applicable definitive purchase, underwriting or similar agreement approved by the Board, or upon the exercise of Warrants to purchase Debt Securities, upon payment of the consideration therefor provided for therein, such Debt Securities will be validly issued and will constitute valid and binding obligations of the Company, enforceable against the Company in accordance with their terms, and entitled to the benefits of the Indenture.</w:t>
      </w:r>
    </w:p>
    <w:p>
      <w:pPr>
        <w:spacing w:after="0" w:line="178" w:lineRule="exact"/>
        <w:rPr>
          <w:rFonts w:ascii="Arial" w:cs="Arial" w:eastAsia="Arial" w:hAnsi="Arial"/>
          <w:sz w:val="17"/>
          <w:szCs w:val="17"/>
          <w:color w:val="auto"/>
        </w:rPr>
      </w:pPr>
    </w:p>
    <w:p>
      <w:pPr>
        <w:ind w:left="660" w:right="40" w:hanging="341"/>
        <w:spacing w:after="0" w:line="272" w:lineRule="auto"/>
        <w:tabs>
          <w:tab w:leader="none" w:pos="6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With respect to any Purchase Contracts to be issued pursuant to the Registration Statement, when (a) the Purchase Contract Agreement to be entered into in connection with the issuance of any such Purchase Contracts has been duly authorized, executed and delivered by the Purchase Contract Agent and the Company; (b) the specific terms of the Purchase Contracts have been duly authorized and established in accordance with the Purchase Contract Agreement; and (c) such Purchase Contracts have been duly authorized, executed, issued and delivered in accordance with the Purchase Contract Agreement and the applicable underwriting or other agreement against payment therefor or upon the due exercise, conversion or exchange of any Debt Securities or Warrants, as the case may be, such Purchase Contracts will constitute valid and binding obligations of the Company, enforceable in accordance with their terms.</w:t>
      </w:r>
    </w:p>
    <w:p>
      <w:pPr>
        <w:spacing w:after="0" w:line="177" w:lineRule="exact"/>
        <w:rPr>
          <w:rFonts w:ascii="Arial" w:cs="Arial" w:eastAsia="Arial" w:hAnsi="Arial"/>
          <w:sz w:val="17"/>
          <w:szCs w:val="17"/>
          <w:color w:val="auto"/>
        </w:rPr>
      </w:pPr>
    </w:p>
    <w:p>
      <w:pPr>
        <w:ind w:left="660" w:right="80" w:hanging="341"/>
        <w:spacing w:after="0" w:line="255"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With respect to any Units to be issued pursuant to the Registration Statement, when (a) the Unit Agreement to be entered into in connection with the issuance of any Units has been duly authorized, executed and delivered by the Unit Agent and the Company; (b) the specific terms of the Units have been duly authorized and established in accordance with the Unit Agreement; and (c) such Units have been duly authorized, executed, issued and delivered in accordance with the Unit Agreement and the applicable underwriting or other agreement against payment therefor or upon the due exercise, conversion or exchange of any Debt Securities or Warrants, as the case may be, such Units will constitute valid and binding obligations of the Company, enforceable in accordance with their terms.</w:t>
      </w:r>
    </w:p>
    <w:p>
      <w:pPr>
        <w:spacing w:after="0" w:line="193" w:lineRule="exact"/>
        <w:rPr>
          <w:rFonts w:ascii="Arial" w:cs="Arial" w:eastAsia="Arial" w:hAnsi="Arial"/>
          <w:sz w:val="18"/>
          <w:szCs w:val="18"/>
          <w:color w:val="auto"/>
        </w:rPr>
      </w:pPr>
    </w:p>
    <w:p>
      <w:pPr>
        <w:ind w:left="660" w:right="200" w:hanging="340"/>
        <w:spacing w:after="0" w:line="277" w:lineRule="auto"/>
        <w:tabs>
          <w:tab w:leader="none" w:pos="661" w:val="left"/>
        </w:tabs>
        <w:numPr>
          <w:ilvl w:val="0"/>
          <w:numId w:val="59"/>
        </w:numPr>
        <w:rPr>
          <w:rFonts w:ascii="Arial" w:cs="Arial" w:eastAsia="Arial" w:hAnsi="Arial"/>
          <w:sz w:val="18"/>
          <w:szCs w:val="18"/>
          <w:color w:val="auto"/>
        </w:rPr>
      </w:pPr>
      <w:r>
        <w:rPr>
          <w:rFonts w:ascii="Arial" w:cs="Arial" w:eastAsia="Arial" w:hAnsi="Arial"/>
          <w:sz w:val="18"/>
          <w:szCs w:val="18"/>
          <w:color w:val="auto"/>
        </w:rPr>
        <w:t>With respect to any Warrants to be issued pursuant to the Registration Statement, when (a) the Warrant Agreement to be entered into in connection with the issuance of any Warrants has been duly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300"/>
        <w:spacing w:after="0" w:line="257" w:lineRule="auto"/>
        <w:rPr>
          <w:sz w:val="20"/>
          <w:szCs w:val="20"/>
          <w:color w:val="auto"/>
        </w:rPr>
      </w:pPr>
      <w:r>
        <w:rPr>
          <w:rFonts w:ascii="Arial" w:cs="Arial" w:eastAsia="Arial" w:hAnsi="Arial"/>
          <w:sz w:val="18"/>
          <w:szCs w:val="18"/>
          <w:color w:val="auto"/>
        </w:rPr>
        <w:t>authorized, executed and delivered by the Warrant Agent and the Company; (b) the specific terms of the Warrants have been duly authorized and established in accordance with the Warrant Agreement; and (c) such Warrants have been duly authorized, executed, issued and delivered in accordance with the Warrant Agreement and the applicable underwriting or other agreement against payment therefor or upon the due exercise, conversion or exchange of any Debt Securities or Warrants, as the case may be, such Warrants will constitute valid and binding obligations of the Company, enforceable in accordance with their terms.</w:t>
      </w:r>
    </w:p>
    <w:p>
      <w:pPr>
        <w:spacing w:after="0" w:line="188" w:lineRule="exact"/>
        <w:rPr>
          <w:sz w:val="20"/>
          <w:szCs w:val="20"/>
          <w:color w:val="auto"/>
        </w:rPr>
      </w:pPr>
    </w:p>
    <w:p>
      <w:pPr>
        <w:ind w:right="20" w:firstLine="311"/>
        <w:spacing w:after="0" w:line="270" w:lineRule="auto"/>
        <w:rPr>
          <w:sz w:val="20"/>
          <w:szCs w:val="20"/>
          <w:color w:val="auto"/>
        </w:rPr>
      </w:pPr>
      <w:r>
        <w:rPr>
          <w:rFonts w:ascii="Arial" w:cs="Arial" w:eastAsia="Arial" w:hAnsi="Arial"/>
          <w:sz w:val="17"/>
          <w:szCs w:val="17"/>
          <w:color w:val="auto"/>
        </w:rPr>
        <w:t>The opinion in paragraph 1 above is limited to the laws of the State of Delaware that, in our experience, are normally applicable to the shares of Common Stock covered by the Registration Statement and, to the extent that judicial or regulatory orders or decrees or consents, approvals, licenses, authorizations, validations, filings, recordings or registrations with governmental authorities are relevant, to those required under such laws. The opinions in paragraphs 2, 3, 4, and 5 above are limited to the laws of the State of New York that, in our experience, are normally applicable to debt securities, purchase contracts, units and warrant transactions of the type covered by the Registration Statement and, to the extent that judicial or regulatory orders or decrees or consents, approvals, licenses, authorizations, validations, filings, recordings or registrations with governmental authorities are relevant, to those required under such laws. We have assumed that the choice of New York law to govern the Debt Securities and each Indenture and any supplemental indenture thereto is a valid and legal provision. We have also assumed that New York law will be chosen to govern any Purchase Contract Agreement, any Unit Agreement and any Warrant Agreement. We do not express any opinion with respect to any other law of any other jurisdiction or as to the effect of any such law on the opinions stated herein.</w:t>
      </w:r>
    </w:p>
    <w:p>
      <w:pPr>
        <w:spacing w:after="0" w:line="17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opinion that any document is legal, valid and binding is qualified as to:</w:t>
      </w:r>
    </w:p>
    <w:p>
      <w:pPr>
        <w:spacing w:after="0" w:line="225" w:lineRule="exact"/>
        <w:rPr>
          <w:sz w:val="20"/>
          <w:szCs w:val="20"/>
          <w:color w:val="auto"/>
        </w:rPr>
      </w:pPr>
    </w:p>
    <w:p>
      <w:pPr>
        <w:ind w:left="640" w:hanging="321"/>
        <w:spacing w:after="0" w:line="277" w:lineRule="auto"/>
        <w:tabs>
          <w:tab w:leader="none" w:pos="637" w:val="left"/>
        </w:tabs>
        <w:numPr>
          <w:ilvl w:val="0"/>
          <w:numId w:val="60"/>
        </w:numPr>
        <w:rPr>
          <w:rFonts w:ascii="Arial" w:cs="Arial" w:eastAsia="Arial" w:hAnsi="Arial"/>
          <w:sz w:val="18"/>
          <w:szCs w:val="18"/>
          <w:color w:val="auto"/>
        </w:rPr>
      </w:pPr>
      <w:r>
        <w:rPr>
          <w:rFonts w:ascii="Arial" w:cs="Arial" w:eastAsia="Arial" w:hAnsi="Arial"/>
          <w:sz w:val="18"/>
          <w:szCs w:val="18"/>
          <w:color w:val="auto"/>
        </w:rPr>
        <w:t>limitations imposed by bankruptcy, insolvency, reorganization, arrangement, fraudulent conveyance, moratorium or other laws relating to or affecting the rights of creditors generally;</w:t>
      </w:r>
    </w:p>
    <w:p>
      <w:pPr>
        <w:spacing w:after="0" w:line="170" w:lineRule="exact"/>
        <w:rPr>
          <w:rFonts w:ascii="Arial" w:cs="Arial" w:eastAsia="Arial" w:hAnsi="Arial"/>
          <w:sz w:val="18"/>
          <w:szCs w:val="18"/>
          <w:color w:val="auto"/>
        </w:rPr>
      </w:pPr>
    </w:p>
    <w:p>
      <w:pPr>
        <w:ind w:left="660" w:hanging="341"/>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rights to indemnification and contribution, which may be limited by applicable law or equitable principles; and</w:t>
      </w:r>
    </w:p>
    <w:p>
      <w:pPr>
        <w:spacing w:after="0" w:line="225" w:lineRule="exact"/>
        <w:rPr>
          <w:rFonts w:ascii="Arial" w:cs="Arial" w:eastAsia="Arial" w:hAnsi="Arial"/>
          <w:sz w:val="18"/>
          <w:szCs w:val="18"/>
          <w:color w:val="auto"/>
        </w:rPr>
      </w:pPr>
    </w:p>
    <w:p>
      <w:pPr>
        <w:jc w:val="both"/>
        <w:ind w:left="640" w:right="600" w:hanging="321"/>
        <w:spacing w:after="0" w:line="264" w:lineRule="auto"/>
        <w:tabs>
          <w:tab w:leader="none" w:pos="651" w:val="left"/>
        </w:tabs>
        <w:numPr>
          <w:ilvl w:val="0"/>
          <w:numId w:val="60"/>
        </w:numPr>
        <w:rPr>
          <w:rFonts w:ascii="Arial" w:cs="Arial" w:eastAsia="Arial" w:hAnsi="Arial"/>
          <w:sz w:val="18"/>
          <w:szCs w:val="18"/>
          <w:color w:val="auto"/>
        </w:rPr>
      </w:pPr>
      <w:r>
        <w:rPr>
          <w:rFonts w:ascii="Arial" w:cs="Arial" w:eastAsia="Arial" w:hAnsi="Arial"/>
          <w:sz w:val="18"/>
          <w:szCs w:val="18"/>
          <w:color w:val="auto"/>
        </w:rPr>
        <w:t>general principles of equity, including without limitation concepts of materiality, reasonableness, good faith and fair dealing, and the possible unavailability of specific performance or injunctive relief and limitation of rights of acceleration, regardless of whether such enforceability is considered in a proceeding in equity or at law.</w:t>
      </w:r>
    </w:p>
    <w:p>
      <w:pPr>
        <w:spacing w:after="0" w:line="181" w:lineRule="exact"/>
        <w:rPr>
          <w:sz w:val="20"/>
          <w:szCs w:val="20"/>
          <w:color w:val="auto"/>
        </w:rPr>
      </w:pPr>
    </w:p>
    <w:p>
      <w:pPr>
        <w:ind w:right="40" w:firstLine="311"/>
        <w:spacing w:after="0" w:line="264" w:lineRule="auto"/>
        <w:rPr>
          <w:sz w:val="20"/>
          <w:szCs w:val="20"/>
          <w:color w:val="auto"/>
        </w:rPr>
      </w:pPr>
      <w:r>
        <w:rPr>
          <w:rFonts w:ascii="Arial" w:cs="Arial" w:eastAsia="Arial" w:hAnsi="Arial"/>
          <w:sz w:val="18"/>
          <w:szCs w:val="18"/>
          <w:color w:val="auto"/>
        </w:rPr>
        <w:t>We hereby consent to the filing of this opinion as an exhibit to the Registration Statement referred to above and further consent to the reference to our name under the caption “Legal Matters” in the prospectus, which is a part of the Registration Statement. In giving this consent, we do not admit that we are in the category of persons whose consent is required under Section 7 of the Securities Act.</w:t>
      </w:r>
    </w:p>
    <w:p>
      <w:pPr>
        <w:spacing w:after="0" w:line="18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WILSON SONSINI GOODRICH &amp; ROSATI</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Professional Corporation</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Wilson Sonsini Goodrich &amp; Rosati, P.C.</w:t>
      </w:r>
    </w:p>
    <w:p>
      <w:pPr>
        <w:sectPr>
          <w:pgSz w:w="11900" w:h="16838" w:orient="portrait"/>
          <w:cols w:equalWidth="0" w:num="1">
            <w:col w:w="11420"/>
          </w:cols>
          <w:pgMar w:left="240" w:top="125" w:right="239" w:bottom="327" w:gutter="0" w:footer="0" w:header="0"/>
        </w:sect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327" w:gutter="0" w:footer="0" w:header="0"/>
          <w:type w:val="continuous"/>
        </w:sectPr>
      </w:pPr>
    </w:p>
    <w:bookmarkStart w:id="52" w:name="page53"/>
    <w:bookmarkEnd w:id="52"/>
    <w:p>
      <w:pPr>
        <w:ind w:left="10480"/>
        <w:spacing w:after="0"/>
        <w:rPr>
          <w:sz w:val="20"/>
          <w:szCs w:val="20"/>
          <w:color w:val="auto"/>
        </w:rPr>
      </w:pPr>
      <w:r>
        <w:rPr>
          <w:rFonts w:ascii="Arial" w:cs="Arial" w:eastAsia="Arial" w:hAnsi="Arial"/>
          <w:sz w:val="16"/>
          <w:szCs w:val="16"/>
          <w:b w:val="1"/>
          <w:bCs w:val="1"/>
          <w:color w:val="auto"/>
        </w:rPr>
        <w:t>Exhibit 12.1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Nine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7"/>
              </w:rPr>
              <w:t>Fiscal Year</w:t>
            </w: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Months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840" w:type="dxa"/>
            <w:vAlign w:val="bottom"/>
          </w:tcPr>
          <w:p>
            <w:pPr>
              <w:spacing w:after="0"/>
              <w:rPr>
                <w:sz w:val="10"/>
                <w:szCs w:val="10"/>
                <w:color w:val="auto"/>
              </w:rPr>
            </w:pPr>
          </w:p>
        </w:tc>
        <w:tc>
          <w:tcPr>
            <w:tcW w:w="920" w:type="dxa"/>
            <w:vAlign w:val="bottom"/>
            <w:tcBorders>
              <w:top w:val="single" w:sz="8" w:color="auto"/>
            </w:tcBorders>
            <w:vMerge w:val="restart"/>
          </w:tcPr>
          <w:p>
            <w:pPr>
              <w:jc w:val="right"/>
              <w:ind w:right="232"/>
              <w:spacing w:after="0"/>
              <w:rPr>
                <w:sz w:val="20"/>
                <w:szCs w:val="20"/>
                <w:color w:val="auto"/>
              </w:rPr>
            </w:pPr>
            <w:r>
              <w:rPr>
                <w:rFonts w:ascii="Arial" w:cs="Arial" w:eastAsia="Arial" w:hAnsi="Arial"/>
                <w:sz w:val="14"/>
                <w:szCs w:val="14"/>
                <w:b w:val="1"/>
                <w:bCs w:val="1"/>
                <w:color w:val="auto"/>
              </w:rPr>
              <w:t>2016</w:t>
            </w:r>
          </w:p>
        </w:tc>
        <w:tc>
          <w:tcPr>
            <w:tcW w:w="1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vMerge w:val="restart"/>
          </w:tcPr>
          <w:p>
            <w:pPr>
              <w:jc w:val="right"/>
              <w:ind w:right="212"/>
              <w:spacing w:after="0"/>
              <w:rPr>
                <w:sz w:val="20"/>
                <w:szCs w:val="20"/>
                <w:color w:val="auto"/>
              </w:rPr>
            </w:pPr>
            <w:r>
              <w:rPr>
                <w:rFonts w:ascii="Arial" w:cs="Arial" w:eastAsia="Arial" w:hAnsi="Arial"/>
                <w:sz w:val="14"/>
                <w:szCs w:val="14"/>
                <w:b w:val="1"/>
                <w:bCs w:val="1"/>
                <w:color w:val="auto"/>
              </w:rPr>
              <w:t>2015</w:t>
            </w:r>
          </w:p>
        </w:tc>
        <w:tc>
          <w:tcPr>
            <w:tcW w:w="1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vMerge w:val="restart"/>
          </w:tcPr>
          <w:p>
            <w:pPr>
              <w:jc w:val="right"/>
              <w:ind w:right="233"/>
              <w:spacing w:after="0"/>
              <w:rPr>
                <w:sz w:val="20"/>
                <w:szCs w:val="20"/>
                <w:color w:val="auto"/>
              </w:rPr>
            </w:pPr>
            <w:r>
              <w:rPr>
                <w:rFonts w:ascii="Arial" w:cs="Arial" w:eastAsia="Arial" w:hAnsi="Arial"/>
                <w:sz w:val="14"/>
                <w:szCs w:val="14"/>
                <w:b w:val="1"/>
                <w:bCs w:val="1"/>
                <w:color w:val="auto"/>
              </w:rPr>
              <w:t>2014</w:t>
            </w:r>
          </w:p>
        </w:tc>
        <w:tc>
          <w:tcPr>
            <w:tcW w:w="1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vMerge w:val="restart"/>
          </w:tcPr>
          <w:p>
            <w:pPr>
              <w:jc w:val="right"/>
              <w:ind w:right="232"/>
              <w:spacing w:after="0"/>
              <w:rPr>
                <w:sz w:val="20"/>
                <w:szCs w:val="20"/>
                <w:color w:val="auto"/>
              </w:rPr>
            </w:pPr>
            <w:r>
              <w:rPr>
                <w:rFonts w:ascii="Arial" w:cs="Arial" w:eastAsia="Arial" w:hAnsi="Arial"/>
                <w:sz w:val="14"/>
                <w:szCs w:val="14"/>
                <w:b w:val="1"/>
                <w:bCs w:val="1"/>
                <w:color w:val="auto"/>
              </w:rPr>
              <w:t>2013</w:t>
            </w:r>
          </w:p>
        </w:tc>
        <w:tc>
          <w:tcPr>
            <w:tcW w:w="16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vMerge w:val="restart"/>
          </w:tcPr>
          <w:p>
            <w:pPr>
              <w:jc w:val="right"/>
              <w:ind w:right="172"/>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0"/>
                <w:szCs w:val="10"/>
                <w:color w:val="auto"/>
              </w:rPr>
            </w:pPr>
          </w:p>
        </w:tc>
        <w:tc>
          <w:tcPr>
            <w:tcW w:w="11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June 1,</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4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Earnings</w:t>
            </w: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160"/>
              <w:spacing w:after="0" w:line="216" w:lineRule="exact"/>
              <w:rPr>
                <w:sz w:val="20"/>
                <w:szCs w:val="20"/>
                <w:color w:val="auto"/>
              </w:rPr>
            </w:pPr>
            <w:r>
              <w:rPr>
                <w:rFonts w:ascii="Arial" w:cs="Arial" w:eastAsia="Arial" w:hAnsi="Arial"/>
                <w:sz w:val="18"/>
                <w:szCs w:val="18"/>
                <w:color w:val="auto"/>
              </w:rPr>
              <w:t>Income (loss) continuing operations</w:t>
            </w:r>
            <w:r>
              <w:rPr>
                <w:rFonts w:ascii="Arial" w:cs="Arial" w:eastAsia="Arial" w:hAnsi="Arial"/>
                <w:sz w:val="23"/>
                <w:szCs w:val="23"/>
                <w:color w:val="auto"/>
                <w:vertAlign w:val="superscript"/>
              </w:rPr>
              <w:t>(1)</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(281)</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2,609</w:t>
            </w:r>
          </w:p>
        </w:tc>
        <w:tc>
          <w:tcPr>
            <w:tcW w:w="920" w:type="dxa"/>
            <w:vAlign w:val="bottom"/>
          </w:tcPr>
          <w:p>
            <w:pPr>
              <w:jc w:val="right"/>
              <w:spacing w:after="0"/>
              <w:rPr>
                <w:sz w:val="20"/>
                <w:szCs w:val="20"/>
                <w:color w:val="auto"/>
              </w:rPr>
            </w:pPr>
            <w:r>
              <w:rPr>
                <w:rFonts w:ascii="Arial" w:cs="Arial" w:eastAsia="Arial" w:hAnsi="Arial"/>
                <w:sz w:val="18"/>
                <w:szCs w:val="18"/>
                <w:color w:val="auto"/>
              </w:rPr>
              <w:t>2,733</w:t>
            </w:r>
          </w:p>
        </w:tc>
        <w:tc>
          <w:tcPr>
            <w:tcW w:w="1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1,285</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(754)</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2,875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Fixed charges, not including capitalized interest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450</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388</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371</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245</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196</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160"/>
              <w:spacing w:after="0"/>
              <w:rPr>
                <w:sz w:val="20"/>
                <w:szCs w:val="20"/>
                <w:color w:val="auto"/>
              </w:rPr>
            </w:pPr>
            <w:r>
              <w:rPr>
                <w:rFonts w:ascii="Arial" w:cs="Arial" w:eastAsia="Arial" w:hAnsi="Arial"/>
                <w:sz w:val="18"/>
                <w:szCs w:val="18"/>
                <w:color w:val="auto"/>
              </w:rPr>
              <w:t>Amortization of capitalized interest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12</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9</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8</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800" w:type="dxa"/>
            <w:vAlign w:val="bottom"/>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Distributed income of equity investees</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earnings (loss)</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18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3,007</w:t>
            </w:r>
          </w:p>
        </w:tc>
        <w:tc>
          <w:tcPr>
            <w:tcW w:w="18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3,112</w:t>
            </w:r>
          </w:p>
        </w:tc>
        <w:tc>
          <w:tcPr>
            <w:tcW w:w="18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1,540</w:t>
            </w:r>
          </w:p>
        </w:tc>
        <w:tc>
          <w:tcPr>
            <w:tcW w:w="16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(548)</w:t>
            </w:r>
          </w:p>
        </w:tc>
        <w:tc>
          <w:tcPr>
            <w:tcW w:w="16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3,349</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Fixed charges</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Interest expense, net of amounts capitalized</w:t>
            </w:r>
            <w:r>
              <w:rPr>
                <w:rFonts w:ascii="Arial" w:cs="Arial" w:eastAsia="Arial" w:hAnsi="Arial"/>
                <w:sz w:val="23"/>
                <w:szCs w:val="23"/>
                <w:color w:val="auto"/>
                <w:vertAlign w:val="superscript"/>
              </w:rPr>
              <w:t>(2)(3)</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437</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372</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352</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232</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180</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160"/>
              <w:spacing w:after="0"/>
              <w:rPr>
                <w:sz w:val="20"/>
                <w:szCs w:val="20"/>
                <w:color w:val="auto"/>
              </w:rPr>
            </w:pPr>
            <w:r>
              <w:rPr>
                <w:rFonts w:ascii="Arial" w:cs="Arial" w:eastAsia="Arial" w:hAnsi="Arial"/>
                <w:sz w:val="18"/>
                <w:szCs w:val="18"/>
                <w:color w:val="auto"/>
              </w:rPr>
              <w:t>Capitalized interest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43</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20</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Estimated interest component of rental expense</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fixed charges</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493</w:t>
            </w:r>
          </w:p>
        </w:tc>
        <w:tc>
          <w:tcPr>
            <w:tcW w:w="18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408</w:t>
            </w:r>
          </w:p>
        </w:tc>
        <w:tc>
          <w:tcPr>
            <w:tcW w:w="18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18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16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16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468</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160"/>
              <w:spacing w:after="0" w:line="216" w:lineRule="exact"/>
              <w:rPr>
                <w:sz w:val="20"/>
                <w:szCs w:val="20"/>
                <w:color w:val="auto"/>
              </w:rPr>
            </w:pPr>
            <w:r>
              <w:rPr>
                <w:rFonts w:ascii="Arial" w:cs="Arial" w:eastAsia="Arial" w:hAnsi="Arial"/>
                <w:sz w:val="18"/>
                <w:szCs w:val="18"/>
                <w:color w:val="auto"/>
              </w:rPr>
              <w:t>Ratio of earnings to fixed charges</w:t>
            </w:r>
            <w:r>
              <w:rPr>
                <w:rFonts w:ascii="Arial" w:cs="Arial" w:eastAsia="Arial" w:hAnsi="Arial"/>
                <w:sz w:val="23"/>
                <w:szCs w:val="23"/>
                <w:color w:val="auto"/>
                <w:vertAlign w:val="superscript"/>
              </w:rPr>
              <w:t>(4)</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7.4x</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8.3x</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6.2x</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7.2x</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80" w:right="140" w:hanging="172"/>
        <w:spacing w:after="0" w:line="317" w:lineRule="auto"/>
        <w:tabs>
          <w:tab w:leader="none" w:pos="167" w:val="left"/>
        </w:tabs>
        <w:numPr>
          <w:ilvl w:val="0"/>
          <w:numId w:val="61"/>
        </w:numPr>
        <w:rPr>
          <w:rFonts w:ascii="Arial" w:cs="Arial" w:eastAsia="Arial" w:hAnsi="Arial"/>
          <w:sz w:val="19"/>
          <w:szCs w:val="19"/>
          <w:color w:val="auto"/>
          <w:vertAlign w:val="superscript"/>
        </w:rPr>
      </w:pPr>
      <w:r>
        <w:rPr>
          <w:rFonts w:ascii="Arial" w:cs="Arial" w:eastAsia="Arial" w:hAnsi="Arial"/>
          <w:sz w:val="15"/>
          <w:szCs w:val="15"/>
          <w:color w:val="auto"/>
        </w:rPr>
        <w:t>Income (loss) from continuing operations before income taxes, net income (loss) attributable to noncontrolling interests, and equity in net income (loss) of equity method investees.</w:t>
      </w:r>
    </w:p>
    <w:p>
      <w:pPr>
        <w:spacing w:after="0" w:line="131" w:lineRule="exact"/>
        <w:rPr>
          <w:rFonts w:ascii="Arial" w:cs="Arial" w:eastAsia="Arial" w:hAnsi="Arial"/>
          <w:sz w:val="19"/>
          <w:szCs w:val="19"/>
          <w:color w:val="auto"/>
          <w:vertAlign w:val="superscript"/>
        </w:rPr>
      </w:pPr>
    </w:p>
    <w:p>
      <w:pPr>
        <w:ind w:left="160" w:hanging="152"/>
        <w:spacing w:after="0"/>
        <w:tabs>
          <w:tab w:leader="none" w:pos="160" w:val="left"/>
        </w:tabs>
        <w:numPr>
          <w:ilvl w:val="0"/>
          <w:numId w:val="61"/>
        </w:numPr>
        <w:rPr>
          <w:rFonts w:ascii="Arial" w:cs="Arial" w:eastAsia="Arial" w:hAnsi="Arial"/>
          <w:sz w:val="18"/>
          <w:szCs w:val="18"/>
          <w:color w:val="auto"/>
          <w:vertAlign w:val="superscript"/>
        </w:rPr>
      </w:pPr>
      <w:r>
        <w:rPr>
          <w:rFonts w:ascii="Arial" w:cs="Arial" w:eastAsia="Arial" w:hAnsi="Arial"/>
          <w:sz w:val="14"/>
          <w:szCs w:val="14"/>
          <w:color w:val="auto"/>
        </w:rPr>
        <w:t>For purpose of this calculation, management estimates one-third of rental expense to be a reasonable approximation of the interest factor.</w:t>
      </w:r>
    </w:p>
    <w:p>
      <w:pPr>
        <w:spacing w:after="0" w:line="225" w:lineRule="exact"/>
        <w:rPr>
          <w:rFonts w:ascii="Arial" w:cs="Arial" w:eastAsia="Arial" w:hAnsi="Arial"/>
          <w:sz w:val="18"/>
          <w:szCs w:val="18"/>
          <w:color w:val="auto"/>
          <w:vertAlign w:val="superscript"/>
        </w:rPr>
      </w:pPr>
    </w:p>
    <w:p>
      <w:pPr>
        <w:ind w:left="160" w:hanging="152"/>
        <w:spacing w:after="0"/>
        <w:tabs>
          <w:tab w:leader="none" w:pos="160" w:val="left"/>
        </w:tabs>
        <w:numPr>
          <w:ilvl w:val="0"/>
          <w:numId w:val="61"/>
        </w:numPr>
        <w:rPr>
          <w:rFonts w:ascii="Arial" w:cs="Arial" w:eastAsia="Arial" w:hAnsi="Arial"/>
          <w:sz w:val="18"/>
          <w:szCs w:val="18"/>
          <w:color w:val="auto"/>
          <w:vertAlign w:val="superscript"/>
        </w:rPr>
      </w:pPr>
      <w:r>
        <w:rPr>
          <w:rFonts w:ascii="Arial" w:cs="Arial" w:eastAsia="Arial" w:hAnsi="Arial"/>
          <w:sz w:val="14"/>
          <w:szCs w:val="14"/>
          <w:color w:val="auto"/>
        </w:rPr>
        <w:t>Interest expense does not include interest expense related to uncertain tax positions.</w:t>
      </w:r>
    </w:p>
    <w:p>
      <w:pPr>
        <w:spacing w:after="0" w:line="214" w:lineRule="exact"/>
        <w:rPr>
          <w:rFonts w:ascii="Arial" w:cs="Arial" w:eastAsia="Arial" w:hAnsi="Arial"/>
          <w:sz w:val="18"/>
          <w:szCs w:val="18"/>
          <w:color w:val="auto"/>
          <w:vertAlign w:val="superscript"/>
        </w:rPr>
      </w:pPr>
    </w:p>
    <w:p>
      <w:pPr>
        <w:ind w:left="180" w:hanging="172"/>
        <w:spacing w:after="0"/>
        <w:tabs>
          <w:tab w:leader="none" w:pos="180" w:val="left"/>
        </w:tabs>
        <w:numPr>
          <w:ilvl w:val="0"/>
          <w:numId w:val="61"/>
        </w:numPr>
        <w:rPr>
          <w:rFonts w:ascii="Arial" w:cs="Arial" w:eastAsia="Arial" w:hAnsi="Arial"/>
          <w:sz w:val="21"/>
          <w:szCs w:val="21"/>
          <w:color w:val="auto"/>
          <w:vertAlign w:val="superscript"/>
        </w:rPr>
      </w:pPr>
      <w:r>
        <w:rPr>
          <w:rFonts w:ascii="Arial" w:cs="Arial" w:eastAsia="Arial" w:hAnsi="Arial"/>
          <w:sz w:val="16"/>
          <w:szCs w:val="16"/>
          <w:color w:val="auto"/>
        </w:rPr>
        <w:t>Earnings before fixed charges were inadequate to cover total fixed charges by $311 million and $752 million for fiscal years 2016 and 2012,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6757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23.2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2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We hereby consent to the incorporation by reference in this Registration Statement on Form S-3 of our report dated October 28, 2016, except with respect to our opinion on the consolidated financial statements insofar as it relates to the effects of the change in measure of segment profitability discussed in the Segment Information note, as to which the date is October 10, 2017, relating to the financial statements, financial statement schedules and the effectiveness of internal control over financial reporting, which appears in Micron Technology, Inc.’s Current Report on Form 8-K dated October 10, 2017. We also consent to the reference to us under the heading “Experts” in such Registration Statement.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10,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1)"/>
      <w:numFmt w:val="decimal"/>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
      <w:numFmt w:val="bullet"/>
      <w:start w:val="1"/>
    </w:lvl>
  </w:abstractNum>
  <w:abstractNum w:abstractNumId="3">
    <w:nsid w:val="22221A70"/>
    <w:multiLevelType w:val="hybridMultilevel"/>
    <w:lvl w:ilvl="0">
      <w:lvlJc w:val="left"/>
      <w:lvlText w:val="(%1)"/>
      <w:numFmt w:val="decimal"/>
      <w:start w:val="1"/>
    </w:lvl>
  </w:abstractNum>
  <w:abstractNum w:abstractNumId="4">
    <w:nsid w:val="4516DDE9"/>
    <w:multiLevelType w:val="hybridMultilevel"/>
    <w:lvl w:ilvl="0">
      <w:lvlJc w:val="left"/>
      <w:lvlText w:val="•"/>
      <w:numFmt w:val="bullet"/>
      <w:start w:val="1"/>
    </w:lvl>
  </w:abstractNum>
  <w:abstractNum w:abstractNumId="5">
    <w:nsid w:val="3006C83E"/>
    <w:multiLevelType w:val="hybridMultilevel"/>
    <w:lvl w:ilvl="0">
      <w:lvlJc w:val="left"/>
      <w:lvlText w:val="•"/>
      <w:numFmt w:val="bullet"/>
      <w:start w:val="1"/>
    </w:lvl>
  </w:abstractNum>
  <w:abstractNum w:abstractNumId="6">
    <w:nsid w:val="614FD4A1"/>
    <w:multiLevelType w:val="hybridMultilevel"/>
    <w:lvl w:ilvl="0">
      <w:lvlJc w:val="left"/>
      <w:lvlText w:val="(%1)"/>
      <w:numFmt w:val="decimal"/>
      <w:start w:val="1"/>
    </w:lvl>
  </w:abstractNum>
  <w:abstractNum w:abstractNumId="7">
    <w:nsid w:val="419AC241"/>
    <w:multiLevelType w:val="hybridMultilevel"/>
    <w:lvl w:ilvl="0">
      <w:lvlJc w:val="left"/>
      <w:lvlText w:val="(%1)"/>
      <w:numFmt w:val="lowerLetter"/>
      <w:start w:val="1"/>
    </w:lvl>
  </w:abstractNum>
  <w:abstractNum w:abstractNumId="8">
    <w:nsid w:val="5577F8E1"/>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9">
    <w:nsid w:val="440BADFC"/>
    <w:multiLevelType w:val="hybridMultilevel"/>
    <w:lvl w:ilvl="0">
      <w:lvlJc w:val="left"/>
      <w:lvlText w:val="(%1)"/>
      <w:numFmt w:val="lowerRoman"/>
      <w:start w:val="3"/>
    </w:lvl>
  </w:abstractNum>
  <w:abstractNum w:abstractNumId="10">
    <w:nsid w:val="5072367"/>
    <w:multiLevelType w:val="hybridMultilevel"/>
    <w:lvl w:ilvl="0">
      <w:lvlJc w:val="left"/>
      <w:lvlText w:val="(%1)"/>
      <w:numFmt w:val="decimal"/>
      <w:start w:val="2"/>
    </w:lvl>
    <w:lvl w:ilvl="1">
      <w:lvlJc w:val="left"/>
      <w:lvlText w:val="(%2)"/>
      <w:numFmt w:val="upperLetter"/>
      <w:start w:val="1"/>
    </w:lvl>
  </w:abstractNum>
  <w:abstractNum w:abstractNumId="11">
    <w:nsid w:val="3804823E"/>
    <w:multiLevelType w:val="hybridMultilevel"/>
    <w:lvl w:ilvl="0">
      <w:lvlJc w:val="left"/>
      <w:lvlText w:val="(%1)"/>
      <w:numFmt w:val="decimal"/>
      <w:start w:val="5"/>
    </w:lvl>
  </w:abstractNum>
  <w:abstractNum w:abstractNumId="12">
    <w:nsid w:val="77465F01"/>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3">
    <w:nsid w:val="7724C67E"/>
    <w:multiLevelType w:val="hybridMultilevel"/>
    <w:lvl w:ilvl="0">
      <w:lvlJc w:val="left"/>
      <w:lvlText w:val="%1"/>
      <w:numFmt w:val="lowerLetter"/>
      <w:start w:val="1"/>
    </w:lvl>
    <w:lvl w:ilvl="1">
      <w:lvlJc w:val="left"/>
      <w:lvlText w:val="(%2)"/>
      <w:numFmt w:val="decimal"/>
      <w:start w:val="6"/>
    </w:lvl>
    <w:lvl w:ilvl="2">
      <w:lvlJc w:val="left"/>
      <w:lvlText w:val="%3"/>
      <w:numFmt w:val="lowerRoman"/>
      <w:start w:val="1"/>
    </w:lvl>
  </w:abstractNum>
  <w:abstractNum w:abstractNumId="14">
    <w:nsid w:val="5C482A97"/>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15">
    <w:nsid w:val="2463B9EA"/>
    <w:multiLevelType w:val="hybridMultilevel"/>
    <w:lvl w:ilvl="0">
      <w:lvlJc w:val="left"/>
      <w:lvlText w:val="*"/>
      <w:numFmt w:val="bullet"/>
      <w:start w:val="1"/>
    </w:lvl>
  </w:abstractNum>
  <w:abstractNum w:abstractNumId="16">
    <w:nsid w:val="5E884ADC"/>
    <w:multiLevelType w:val="hybridMultilevel"/>
    <w:lvl w:ilvl="0">
      <w:lvlJc w:val="left"/>
      <w:lvlText w:val="**"/>
      <w:numFmt w:val="bullet"/>
      <w:start w:val="1"/>
    </w:lvl>
  </w:abstractNum>
  <w:abstractNum w:abstractNumId="17">
    <w:nsid w:val="51EAD36B"/>
    <w:multiLevelType w:val="hybridMultilevel"/>
    <w:lvl w:ilvl="0">
      <w:lvlJc w:val="left"/>
      <w:lvlText w:val="(%1)"/>
      <w:numFmt w:val="lowerLetter"/>
      <w:start w:val="1"/>
    </w:lvl>
  </w:abstractNum>
  <w:abstractNum w:abstractNumId="18">
    <w:nsid w:val="2D517796"/>
    <w:multiLevelType w:val="hybridMultilevel"/>
    <w:lvl w:ilvl="0">
      <w:lvlJc w:val="left"/>
      <w:lvlText w:val="(%1)"/>
      <w:numFmt w:val="lowerRoman"/>
      <w:start w:val="2"/>
    </w:lvl>
  </w:abstractNum>
  <w:abstractNum w:abstractNumId="19">
    <w:nsid w:val="580BD78F"/>
    <w:multiLevelType w:val="hybridMultilevel"/>
    <w:lvl w:ilvl="0">
      <w:lvlJc w:val="left"/>
      <w:lvlText w:val="(%1)"/>
      <w:numFmt w:val="lowerLetter"/>
      <w:start w:val="1"/>
    </w:lvl>
  </w:abstractNum>
  <w:abstractNum w:abstractNumId="20">
    <w:nsid w:val="153EA438"/>
    <w:multiLevelType w:val="hybridMultilevel"/>
    <w:lvl w:ilvl="0">
      <w:lvlJc w:val="left"/>
      <w:lvlText w:val="(%1)"/>
      <w:numFmt w:val="lowerLetter"/>
      <w:start w:val="3"/>
    </w:lvl>
  </w:abstractNum>
  <w:abstractNum w:abstractNumId="21">
    <w:nsid w:val="3855585C"/>
    <w:multiLevelType w:val="hybridMultilevel"/>
    <w:lvl w:ilvl="0">
      <w:lvlJc w:val="left"/>
      <w:lvlText w:val="(%1)"/>
      <w:numFmt w:val="lowerLetter"/>
      <w:start w:val="2"/>
    </w:lvl>
  </w:abstractNum>
  <w:abstractNum w:abstractNumId="22">
    <w:nsid w:val="70A64E2A"/>
    <w:multiLevelType w:val="hybridMultilevel"/>
    <w:lvl w:ilvl="0">
      <w:lvlJc w:val="left"/>
      <w:lvlText w:val="(%1)"/>
      <w:numFmt w:val="lowerLetter"/>
      <w:start w:val="1"/>
    </w:lvl>
  </w:abstractNum>
  <w:abstractNum w:abstractNumId="23">
    <w:nsid w:val="6A2342EC"/>
    <w:multiLevelType w:val="hybridMultilevel"/>
    <w:lvl w:ilvl="0">
      <w:lvlJc w:val="left"/>
      <w:lvlText w:val="(%1)"/>
      <w:numFmt w:val="lowerLetter"/>
      <w:start w:val="1"/>
    </w:lvl>
  </w:abstractNum>
  <w:abstractNum w:abstractNumId="24">
    <w:nsid w:val="2A487CB0"/>
    <w:multiLevelType w:val="hybridMultilevel"/>
    <w:lvl w:ilvl="0">
      <w:lvlJc w:val="left"/>
      <w:lvlText w:val="(%1)"/>
      <w:numFmt w:val="lowerLetter"/>
      <w:start w:val="1"/>
    </w:lvl>
    <w:lvl w:ilvl="1">
      <w:lvlJc w:val="left"/>
      <w:lvlText w:val="(%2)"/>
      <w:numFmt w:val="lowerRoman"/>
      <w:start w:val="1"/>
    </w:lvl>
  </w:abstractNum>
  <w:abstractNum w:abstractNumId="25">
    <w:nsid w:val="1D4ED43B"/>
    <w:multiLevelType w:val="hybridMultilevel"/>
    <w:lvl w:ilvl="0">
      <w:lvlJc w:val="left"/>
      <w:lvlText w:val="(%1)"/>
      <w:numFmt w:val="lowerRoman"/>
      <w:start w:val="2"/>
    </w:lvl>
  </w:abstractNum>
  <w:abstractNum w:abstractNumId="26">
    <w:nsid w:val="725A06FB"/>
    <w:multiLevelType w:val="hybridMultilevel"/>
    <w:lvl w:ilvl="0">
      <w:lvlJc w:val="left"/>
      <w:lvlText w:val="(%1)"/>
      <w:numFmt w:val="lowerLetter"/>
      <w:start w:val="6"/>
    </w:lvl>
  </w:abstractNum>
  <w:abstractNum w:abstractNumId="27">
    <w:nsid w:val="2CD89A32"/>
    <w:multiLevelType w:val="hybridMultilevel"/>
    <w:lvl w:ilvl="0">
      <w:lvlJc w:val="left"/>
      <w:lvlText w:val="(%1)"/>
      <w:numFmt w:val="lowerLetter"/>
      <w:start w:val="1"/>
    </w:lvl>
  </w:abstractNum>
  <w:abstractNum w:abstractNumId="28">
    <w:nsid w:val="57E4CCAF"/>
    <w:multiLevelType w:val="hybridMultilevel"/>
    <w:lvl w:ilvl="0">
      <w:lvlJc w:val="left"/>
      <w:lvlText w:val="(%1)"/>
      <w:numFmt w:val="lowerLetter"/>
      <w:start w:val="1"/>
    </w:lvl>
  </w:abstractNum>
  <w:abstractNum w:abstractNumId="29">
    <w:nsid w:val="7A6D8D3C"/>
    <w:multiLevelType w:val="hybridMultilevel"/>
    <w:lvl w:ilvl="0">
      <w:lvlJc w:val="left"/>
      <w:lvlText w:val="(%1)"/>
      <w:numFmt w:val="lowerLetter"/>
      <w:start w:val="1"/>
    </w:lvl>
  </w:abstractNum>
  <w:abstractNum w:abstractNumId="30">
    <w:nsid w:val="4B588F54"/>
    <w:multiLevelType w:val="hybridMultilevel"/>
    <w:lvl w:ilvl="0">
      <w:lvlJc w:val="left"/>
      <w:lvlText w:val="(%1)"/>
      <w:numFmt w:val="lowerLetter"/>
      <w:start w:val="2"/>
    </w:lvl>
  </w:abstractNum>
  <w:abstractNum w:abstractNumId="31">
    <w:nsid w:val="542289EC"/>
    <w:multiLevelType w:val="hybridMultilevel"/>
    <w:lvl w:ilvl="0">
      <w:lvlJc w:val="left"/>
      <w:lvlText w:val="(%1)"/>
      <w:numFmt w:val="lowerLetter"/>
      <w:start w:val="1"/>
    </w:lvl>
  </w:abstractNum>
  <w:abstractNum w:abstractNumId="32">
    <w:nsid w:val="6DE91B18"/>
    <w:multiLevelType w:val="hybridMultilevel"/>
    <w:lvl w:ilvl="0">
      <w:lvlJc w:val="left"/>
      <w:lvlText w:val="(%1)"/>
      <w:numFmt w:val="lowerLetter"/>
      <w:start w:val="4"/>
    </w:lvl>
  </w:abstractNum>
  <w:abstractNum w:abstractNumId="33">
    <w:nsid w:val="38437FDB"/>
    <w:multiLevelType w:val="hybridMultilevel"/>
    <w:lvl w:ilvl="0">
      <w:lvlJc w:val="left"/>
      <w:lvlText w:val="(%1)"/>
      <w:numFmt w:val="lowerLetter"/>
      <w:start w:val="1"/>
    </w:lvl>
    <w:lvl w:ilvl="1">
      <w:lvlJc w:val="left"/>
      <w:lvlText w:val="(%2)"/>
      <w:numFmt w:val="lowerRoman"/>
      <w:start w:val="1"/>
    </w:lvl>
  </w:abstractNum>
  <w:abstractNum w:abstractNumId="34">
    <w:nsid w:val="7644A45C"/>
    <w:multiLevelType w:val="hybridMultilevel"/>
    <w:lvl w:ilvl="0">
      <w:lvlJc w:val="left"/>
      <w:lvlText w:val="(%1)"/>
      <w:numFmt w:val="lowerLetter"/>
      <w:start w:val="3"/>
    </w:lvl>
    <w:lvl w:ilvl="1">
      <w:lvlJc w:val="left"/>
      <w:lvlText w:val="(%2)"/>
      <w:numFmt w:val="lowerRoman"/>
      <w:start w:val="1"/>
    </w:lvl>
  </w:abstractNum>
  <w:abstractNum w:abstractNumId="35">
    <w:nsid w:val="32FFF902"/>
    <w:multiLevelType w:val="hybridMultilevel"/>
    <w:lvl w:ilvl="0">
      <w:lvlJc w:val="left"/>
      <w:lvlText w:val="(%1)"/>
      <w:numFmt w:val="lowerLetter"/>
      <w:start w:val="8"/>
    </w:lvl>
  </w:abstractNum>
  <w:abstractNum w:abstractNumId="36">
    <w:nsid w:val="684A481A"/>
    <w:multiLevelType w:val="hybridMultilevel"/>
    <w:lvl w:ilvl="0">
      <w:lvlJc w:val="left"/>
      <w:lvlText w:val="(%1)"/>
      <w:numFmt w:val="lowerLetter"/>
      <w:start w:val="1"/>
    </w:lvl>
  </w:abstractNum>
  <w:abstractNum w:abstractNumId="37">
    <w:nsid w:val="579478FE"/>
    <w:multiLevelType w:val="hybridMultilevel"/>
    <w:lvl w:ilvl="0">
      <w:lvlJc w:val="left"/>
      <w:lvlText w:val="(%1)"/>
      <w:numFmt w:val="lowerLetter"/>
      <w:start w:val="2"/>
    </w:lvl>
  </w:abstractNum>
  <w:abstractNum w:abstractNumId="38">
    <w:nsid w:val="749ABB43"/>
    <w:multiLevelType w:val="hybridMultilevel"/>
    <w:lvl w:ilvl="0">
      <w:lvlJc w:val="left"/>
      <w:lvlText w:val="(%1)"/>
      <w:numFmt w:val="lowerLetter"/>
      <w:start w:val="11"/>
    </w:lvl>
  </w:abstractNum>
  <w:abstractNum w:abstractNumId="39">
    <w:nsid w:val="3DC240FB"/>
    <w:multiLevelType w:val="hybridMultilevel"/>
    <w:lvl w:ilvl="0">
      <w:lvlJc w:val="left"/>
      <w:lvlText w:val="(%1)"/>
      <w:numFmt w:val="lowerLetter"/>
      <w:start w:val="1"/>
    </w:lvl>
  </w:abstractNum>
  <w:abstractNum w:abstractNumId="40">
    <w:nsid w:val="1BA026FA"/>
    <w:multiLevelType w:val="hybridMultilevel"/>
    <w:lvl w:ilvl="0">
      <w:lvlJc w:val="left"/>
      <w:lvlText w:val="(%1)"/>
      <w:numFmt w:val="lowerLetter"/>
      <w:start w:val="3"/>
    </w:lvl>
  </w:abstractNum>
  <w:abstractNum w:abstractNumId="41">
    <w:nsid w:val="79A1DEAA"/>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42">
    <w:nsid w:val="75C6C33A"/>
    <w:multiLevelType w:val="hybridMultilevel"/>
    <w:lvl w:ilvl="0">
      <w:lvlJc w:val="left"/>
      <w:lvlText w:val="(%1)"/>
      <w:numFmt w:val="decimal"/>
      <w:start w:val="4"/>
    </w:lvl>
  </w:abstractNum>
  <w:abstractNum w:abstractNumId="43">
    <w:nsid w:val="12E685FB"/>
    <w:multiLevelType w:val="hybridMultilevel"/>
    <w:lvl w:ilvl="0">
      <w:lvlJc w:val="left"/>
      <w:lvlText w:val="(%1)"/>
      <w:numFmt w:val="lowerLetter"/>
      <w:start w:val="2"/>
    </w:lvl>
  </w:abstractNum>
  <w:abstractNum w:abstractNumId="44">
    <w:nsid w:val="70C6A529"/>
    <w:multiLevelType w:val="hybridMultilevel"/>
    <w:lvl w:ilvl="0">
      <w:lvlJc w:val="left"/>
      <w:lvlText w:val="(%1)"/>
      <w:numFmt w:val="lowerLetter"/>
      <w:start w:val="1"/>
    </w:lvl>
  </w:abstractNum>
  <w:abstractNum w:abstractNumId="45">
    <w:nsid w:val="520EEDD1"/>
    <w:multiLevelType w:val="hybridMultilevel"/>
    <w:lvl w:ilvl="0">
      <w:lvlJc w:val="left"/>
      <w:lvlText w:val="(%1)"/>
      <w:numFmt w:val="lowerLetter"/>
      <w:start w:val="1"/>
    </w:lvl>
  </w:abstractNum>
  <w:abstractNum w:abstractNumId="46">
    <w:nsid w:val="374A3FE6"/>
    <w:multiLevelType w:val="hybridMultilevel"/>
    <w:lvl w:ilvl="0">
      <w:lvlJc w:val="left"/>
      <w:lvlText w:val="(%1)"/>
      <w:numFmt w:val="lowerLetter"/>
      <w:start w:val="6"/>
    </w:lvl>
  </w:abstractNum>
  <w:abstractNum w:abstractNumId="47">
    <w:nsid w:val="4F4EF005"/>
    <w:multiLevelType w:val="hybridMultilevel"/>
    <w:lvl w:ilvl="0">
      <w:lvlJc w:val="left"/>
      <w:lvlText w:val="(%1)"/>
      <w:numFmt w:val="lowerLetter"/>
      <w:start w:val="1"/>
    </w:lvl>
  </w:abstractNum>
  <w:abstractNum w:abstractNumId="48">
    <w:nsid w:val="23F9C13C"/>
    <w:multiLevelType w:val="hybridMultilevel"/>
    <w:lvl w:ilvl="0">
      <w:lvlJc w:val="left"/>
      <w:lvlText w:val="(%1)"/>
      <w:numFmt w:val="lowerLetter"/>
      <w:start w:val="2"/>
    </w:lvl>
  </w:abstractNum>
  <w:abstractNum w:abstractNumId="49">
    <w:nsid w:val="649BB77C"/>
    <w:multiLevelType w:val="hybridMultilevel"/>
    <w:lvl w:ilvl="0">
      <w:lvlJc w:val="left"/>
      <w:lvlText w:val="(%1)"/>
      <w:numFmt w:val="lowerLetter"/>
      <w:start w:val="1"/>
    </w:lvl>
  </w:abstractNum>
  <w:abstractNum w:abstractNumId="50">
    <w:nsid w:val="275AC794"/>
    <w:multiLevelType w:val="hybridMultilevel"/>
    <w:lvl w:ilvl="0">
      <w:lvlJc w:val="left"/>
      <w:lvlText w:val="(%1)"/>
      <w:numFmt w:val="lowerLetter"/>
      <w:start w:val="2"/>
    </w:lvl>
  </w:abstractNum>
  <w:abstractNum w:abstractNumId="51">
    <w:nsid w:val="39386575"/>
    <w:multiLevelType w:val="hybridMultilevel"/>
    <w:lvl w:ilvl="0">
      <w:lvlJc w:val="left"/>
      <w:lvlText w:val="(%1)"/>
      <w:numFmt w:val="lowerLetter"/>
      <w:start w:val="10"/>
    </w:lvl>
  </w:abstractNum>
  <w:abstractNum w:abstractNumId="52">
    <w:nsid w:val="1CF10FD8"/>
    <w:multiLevelType w:val="hybridMultilevel"/>
    <w:lvl w:ilvl="0">
      <w:lvlJc w:val="left"/>
      <w:lvlText w:val="(%1)"/>
      <w:numFmt w:val="lowerLetter"/>
      <w:start w:val="1"/>
    </w:lvl>
  </w:abstractNum>
  <w:abstractNum w:abstractNumId="53">
    <w:nsid w:val="180115BE"/>
    <w:multiLevelType w:val="hybridMultilevel"/>
    <w:lvl w:ilvl="0">
      <w:lvlJc w:val="left"/>
      <w:lvlText w:val="(%1)"/>
      <w:numFmt w:val="lowerLetter"/>
      <w:start w:val="7"/>
    </w:lvl>
  </w:abstractNum>
  <w:abstractNum w:abstractNumId="54">
    <w:nsid w:val="235BA861"/>
    <w:multiLevelType w:val="hybridMultilevel"/>
    <w:lvl w:ilvl="0">
      <w:lvlJc w:val="left"/>
      <w:lvlText w:val="(%1)"/>
      <w:numFmt w:val="lowerLetter"/>
      <w:start w:val="1"/>
    </w:lvl>
  </w:abstractNum>
  <w:abstractNum w:abstractNumId="55">
    <w:nsid w:val="47398C89"/>
    <w:multiLevelType w:val="hybridMultilevel"/>
    <w:lvl w:ilvl="0">
      <w:lvlJc w:val="left"/>
      <w:lvlText w:val="(%1)"/>
      <w:numFmt w:val="lowerLetter"/>
      <w:start w:val="1"/>
    </w:lvl>
  </w:abstractNum>
  <w:abstractNum w:abstractNumId="56">
    <w:nsid w:val="354FE9F9"/>
    <w:multiLevelType w:val="hybridMultilevel"/>
    <w:lvl w:ilvl="0">
      <w:lvlJc w:val="left"/>
      <w:lvlText w:val="(%1)"/>
      <w:numFmt w:val="lowerRoman"/>
      <w:start w:val="4"/>
    </w:lvl>
  </w:abstractNum>
  <w:abstractNum w:abstractNumId="57">
    <w:nsid w:val="15B5AF5C"/>
    <w:multiLevelType w:val="hybridMultilevel"/>
    <w:lvl w:ilvl="0">
      <w:lvlJc w:val="left"/>
      <w:lvlText w:val="%1."/>
      <w:numFmt w:val="decimal"/>
      <w:start w:val="1"/>
    </w:lvl>
  </w:abstractNum>
  <w:abstractNum w:abstractNumId="58">
    <w:nsid w:val="741226BB"/>
    <w:multiLevelType w:val="hybridMultilevel"/>
    <w:lvl w:ilvl="0">
      <w:lvlJc w:val="left"/>
      <w:lvlText w:val="%1."/>
      <w:numFmt w:val="decimal"/>
      <w:start w:val="2"/>
    </w:lvl>
  </w:abstractNum>
  <w:abstractNum w:abstractNumId="59">
    <w:nsid w:val="D34B6A8"/>
    <w:multiLevelType w:val="hybridMultilevel"/>
    <w:lvl w:ilvl="0">
      <w:lvlJc w:val="left"/>
      <w:lvlText w:val="(%1)"/>
      <w:numFmt w:val="lowerLetter"/>
      <w:start w:val="1"/>
    </w:lvl>
  </w:abstractNum>
  <w:abstractNum w:abstractNumId="60">
    <w:nsid w:val="10233C9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png"/><Relationship Id="rId102" Type="http://schemas.openxmlformats.org/officeDocument/2006/relationships/image" Target="media/image92.png"/><Relationship Id="rId103" Type="http://schemas.openxmlformats.org/officeDocument/2006/relationships/image" Target="media/image93.png"/><Relationship Id="rId104" Type="http://schemas.openxmlformats.org/officeDocument/2006/relationships/image" Target="media/image94.png"/><Relationship Id="rId105" Type="http://schemas.openxmlformats.org/officeDocument/2006/relationships/image" Target="media/image95.png"/><Relationship Id="rId106" Type="http://schemas.openxmlformats.org/officeDocument/2006/relationships/image" Target="media/image96.png"/><Relationship Id="rId107" Type="http://schemas.openxmlformats.org/officeDocument/2006/relationships/image" Target="media/image97.png"/><Relationship Id="rId108" Type="http://schemas.openxmlformats.org/officeDocument/2006/relationships/image" Target="media/image98.png"/><Relationship Id="rId109" Type="http://schemas.openxmlformats.org/officeDocument/2006/relationships/image" Target="media/image99.png"/><Relationship Id="rId110" Type="http://schemas.openxmlformats.org/officeDocument/2006/relationships/image" Target="media/image100.png"/><Relationship Id="rId111" Type="http://schemas.openxmlformats.org/officeDocument/2006/relationships/image" Target="media/image101.png"/><Relationship Id="rId112" Type="http://schemas.openxmlformats.org/officeDocument/2006/relationships/image" Target="media/image102.png"/><Relationship Id="rId113" Type="http://schemas.openxmlformats.org/officeDocument/2006/relationships/image" Target="media/image103.png"/><Relationship Id="rId114" Type="http://schemas.openxmlformats.org/officeDocument/2006/relationships/image" Target="media/image104.png"/><Relationship Id="rId115" Type="http://schemas.openxmlformats.org/officeDocument/2006/relationships/image" Target="media/image105.png"/><Relationship Id="rId116" Type="http://schemas.openxmlformats.org/officeDocument/2006/relationships/image" Target="media/image106.png"/><Relationship Id="rId117" Type="http://schemas.openxmlformats.org/officeDocument/2006/relationships/image" Target="media/image107.png"/><Relationship Id="rId118" Type="http://schemas.openxmlformats.org/officeDocument/2006/relationships/image" Target="media/image108.png"/><Relationship Id="rId119" Type="http://schemas.openxmlformats.org/officeDocument/2006/relationships/image" Target="media/image109.png"/><Relationship Id="rId120" Type="http://schemas.openxmlformats.org/officeDocument/2006/relationships/image" Target="media/image110.png"/><Relationship Id="rId39" Type="http://schemas.openxmlformats.org/officeDocument/2006/relationships/hyperlink" Target="http://www.sec.gov/Archives/edgar/data/723125/000110465915004447/a15-3005_2ex99d2.htm" TargetMode="External"/><Relationship Id="rId40" Type="http://schemas.openxmlformats.org/officeDocument/2006/relationships/hyperlink" Target="http://www.sec.gov/Archives/edgar/data/723125/000072312516000156/exhibit991amendedandrestat.htm" TargetMode="External"/><Relationship Id="rId41" Type="http://schemas.openxmlformats.org/officeDocument/2006/relationships/hyperlink" Target="http://www.sec.gov/Archives/edgar/data/723125/000072312516000206/exhibit41-section382right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2019-12-05T11:25:37Z</dcterms:created>
  <dcterms:modified xsi:type="dcterms:W3CDTF">2019-12-05T11:25:37Z</dcterms:modified>
</cp:coreProperties>
</file>