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333-104894</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FEBRUARY 25, 2004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Prospectus filed on September 3, 2003)</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$632,500,000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21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2.50% Convertible Subordinated Notes due 2010 and the</w:t>
      </w:r>
    </w:p>
    <w:p>
      <w:pPr>
        <w:spacing w:after="0" w:line="2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Common Stock Issuable Upon Conversion of the Notes</w:t>
      </w:r>
    </w:p>
    <w:p>
      <w:pPr>
        <w:spacing w:after="0" w:line="213" w:lineRule="exact"/>
        <w:rPr>
          <w:sz w:val="24"/>
          <w:szCs w:val="24"/>
          <w:color w:val="auto"/>
        </w:rPr>
      </w:pPr>
    </w:p>
    <w:p>
      <w:pPr>
        <w:ind w:right="640" w:firstLine="348"/>
        <w:spacing w:after="0" w:line="275" w:lineRule="auto"/>
        <w:rPr>
          <w:sz w:val="20"/>
          <w:szCs w:val="20"/>
          <w:color w:val="auto"/>
        </w:rPr>
      </w:pPr>
      <w:r>
        <w:rPr>
          <w:rFonts w:ascii="Times New Roman" w:cs="Times New Roman" w:eastAsia="Times New Roman" w:hAnsi="Times New Roman"/>
          <w:sz w:val="18"/>
          <w:szCs w:val="18"/>
          <w:color w:val="auto"/>
        </w:rPr>
        <w:t>This Prospectus Supplement, together with the Prospectus listed above, is to be used by certain holders of the above-referenced securities or by their transferees, pledgees, donees or their successors in connection with the offer and sale of the above referenced securities.</w:t>
      </w:r>
    </w:p>
    <w:p>
      <w:pPr>
        <w:spacing w:after="0" w:line="17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table captioned "Selling Securityholders" commencing on page 40 of the Prospectus is hereby amended to reflect the following additions and changes.</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Principal Amount at</w:t>
            </w: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Maturity of Notes</w:t>
            </w: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Common Stock</w:t>
            </w:r>
          </w:p>
        </w:tc>
        <w:tc>
          <w:tcPr>
            <w:tcW w:w="220" w:type="dxa"/>
            <w:vAlign w:val="bottom"/>
          </w:tcPr>
          <w:p>
            <w:pPr>
              <w:spacing w:after="0"/>
              <w:rPr>
                <w:sz w:val="12"/>
                <w:szCs w:val="12"/>
                <w:color w:val="auto"/>
              </w:rPr>
            </w:pPr>
          </w:p>
        </w:tc>
        <w:tc>
          <w:tcPr>
            <w:tcW w:w="164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Beneficially Owned</w:t>
            </w:r>
          </w:p>
        </w:tc>
        <w:tc>
          <w:tcPr>
            <w:tcW w:w="218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That May Be</w:t>
            </w:r>
          </w:p>
        </w:tc>
        <w:tc>
          <w:tcPr>
            <w:tcW w:w="220" w:type="dxa"/>
            <w:vAlign w:val="bottom"/>
          </w:tcPr>
          <w:p>
            <w:pPr>
              <w:spacing w:after="0"/>
              <w:rPr>
                <w:sz w:val="12"/>
                <w:szCs w:val="12"/>
                <w:color w:val="auto"/>
              </w:rPr>
            </w:pPr>
          </w:p>
        </w:tc>
        <w:tc>
          <w:tcPr>
            <w:tcW w:w="16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That May Be Sold</w:t>
            </w:r>
          </w:p>
        </w:tc>
        <w:tc>
          <w:tcPr>
            <w:tcW w:w="21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Notes Outstanding</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Sold(1)</w:t>
            </w:r>
          </w:p>
        </w:tc>
        <w:tc>
          <w:tcPr>
            <w:tcW w:w="220" w:type="dxa"/>
            <w:vAlign w:val="bottom"/>
          </w:tcPr>
          <w:p>
            <w:pPr>
              <w:spacing w:after="0"/>
              <w:rPr>
                <w:sz w:val="15"/>
                <w:szCs w:val="15"/>
                <w:color w:val="auto"/>
              </w:rPr>
            </w:pPr>
          </w:p>
        </w:tc>
        <w:tc>
          <w:tcPr>
            <w:tcW w:w="16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Outstanding(2)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Citigroup Pension Fund CAP</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Arbitrage</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1,497,000</w:t>
            </w: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126,993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CNH CA Master Account, L.P.</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169,664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DBAG London</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5,100,000</w:t>
            </w: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432,643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Pension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788,000</w:t>
            </w: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GM Veba</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2,301,000</w:t>
            </w: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195,198</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IDEX—Transamerica Convertible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Fund</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2,250,000</w:t>
            </w: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190,872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Lehman Brothers, Inc.</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12,000,000</w:t>
            </w: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1,017,984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SB Diversified Arbitrage Strategies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7,881,000</w:t>
            </w: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668,560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SB Enhanced Arbitrage Strategies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1,513,000</w:t>
            </w: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SB Market Neutral Arbitrage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2,285,000</w:t>
            </w: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193,841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SB Multi Strategy Arbitrage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28,235,000</w:t>
            </w: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2,395,231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1752600</wp:posOffset>
            </wp:positionH>
            <wp:positionV relativeFrom="paragraph">
              <wp:posOffset>-1952625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-1952625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-1952625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-1952625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-1952625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-1952625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-1952625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-1952625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52" w:lineRule="exact"/>
        <w:rPr>
          <w:sz w:val="24"/>
          <w:szCs w:val="24"/>
          <w:color w:val="auto"/>
        </w:rPr>
      </w:pPr>
    </w:p>
    <w:p>
      <w:pPr>
        <w:jc w:val="both"/>
        <w:ind w:left="540" w:right="40" w:hanging="532"/>
        <w:spacing w:after="0" w:line="26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conversion of all of the holder's notes at a conversion price of $11.79 per share of common stock. However, this conversion price will be subject to adjustment as described under "Description of the Notes-Conversion Rights." As a result, the amount of common stock issuable upon conversion of the notes may increase or decrease in the future.</w:t>
      </w:r>
    </w:p>
    <w:p>
      <w:pPr>
        <w:spacing w:after="0" w:line="199" w:lineRule="exact"/>
        <w:rPr>
          <w:rFonts w:ascii="Times New Roman" w:cs="Times New Roman" w:eastAsia="Times New Roman" w:hAnsi="Times New Roman"/>
          <w:sz w:val="18"/>
          <w:szCs w:val="18"/>
          <w:color w:val="auto"/>
        </w:rPr>
      </w:pPr>
    </w:p>
    <w:p>
      <w:pPr>
        <w:jc w:val="both"/>
        <w:ind w:left="540" w:right="140" w:hanging="532"/>
        <w:spacing w:after="0" w:line="26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Rule 13d-3(d)(i) of the Exchange Act using 609,446,223 shares of common stock outstanding as of February 5, 2004. In calculating this amount, we treated as outstanding the number of shares of common stock issuable upon conversion of all of that particular holder's notes. However, we did not assume the conversion of any other holder's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4"/>
          <w:szCs w:val="24"/>
          <w:color w:val="auto"/>
        </w:rPr>
      </w:pPr>
    </w:p>
    <w:p>
      <w:pPr>
        <w:ind w:right="420"/>
        <w:spacing w:after="0" w:line="339" w:lineRule="auto"/>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PROSPECTUS SUPPLEMENT DATED FEBRUARY 25, 2004 (To Prospectus filed on September 3, 2003) MICRON TECHNOLOGY, INC $632,500,000</w:t>
        </w:r>
      </w:hyperlink>
      <w:r>
        <w:rPr>
          <w:rFonts w:ascii="Times New Roman" w:cs="Times New Roman" w:eastAsia="Times New Roman" w:hAnsi="Times New Roman"/>
          <w:sz w:val="16"/>
          <w:szCs w:val="16"/>
          <w:u w:val="single" w:color="auto"/>
          <w:color w:val="0000EE"/>
        </w:rPr>
        <w:t xml:space="preserve"> </w:t>
      </w:r>
      <w:hyperlink w:anchor="page1">
        <w:r>
          <w:rPr>
            <w:rFonts w:ascii="Times New Roman" w:cs="Times New Roman" w:eastAsia="Times New Roman" w:hAnsi="Times New Roman"/>
            <w:sz w:val="16"/>
            <w:szCs w:val="16"/>
            <w:u w:val="single" w:color="auto"/>
            <w:color w:val="0000EE"/>
          </w:rPr>
          <w:t>(aggregate principal amount) 2.50% Convertible Subordinated Notes due 2010 and the Common Stock Issuable Upon Conversion of the Notes</w:t>
        </w:r>
      </w:hyperlink>
    </w:p>
    <w:sectPr>
      <w:pgSz w:w="11900" w:h="16838" w:orient="portrait"/>
      <w:cols w:equalWidth="0" w:num="1">
        <w:col w:w="11420"/>
      </w:cols>
      <w:pgMar w:left="240" w:top="4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2019-12-13T13:17:57Z</dcterms:created>
  <dcterms:modified xsi:type="dcterms:W3CDTF">2019-12-13T13:17:57Z</dcterms:modified>
</cp:coreProperties>
</file>