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0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On June 30, 2021, we announced the financial results for our third quarter of fiscal 2021 ended June 3, 2021. The full text of the press release issued in connection with the announcement is attached as Exhibit 99.1 to this Current Report on Form 8-K.</w:t>
      </w:r>
    </w:p>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160" w:type="dxa"/>
            <w:vAlign w:val="bottom"/>
          </w:tcPr>
          <w:p>
            <w:pPr>
              <w:spacing w:after="0"/>
              <w:rPr>
                <w:sz w:val="24"/>
                <w:szCs w:val="24"/>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7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2"/>
        </w:trPr>
        <w:tc>
          <w:tcPr>
            <w:tcW w:w="11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Press Release issued on June 30, 2021</w:t>
              </w:r>
            </w:hyperlink>
          </w:p>
        </w:tc>
        <w:tc>
          <w:tcPr>
            <w:tcW w:w="6640" w:type="dxa"/>
            <w:vAlign w:val="bottom"/>
            <w:gridSpan w:val="2"/>
          </w:tcPr>
          <w:p>
            <w:pPr>
              <w:spacing w:after="0"/>
              <w:rPr>
                <w:sz w:val="15"/>
                <w:szCs w:val="15"/>
                <w:color w:val="auto"/>
              </w:rPr>
            </w:pPr>
          </w:p>
        </w:tc>
      </w:tr>
      <w:tr>
        <w:trPr>
          <w:trHeight w:val="25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754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680" w:type="dxa"/>
            <w:vAlign w:val="bottom"/>
          </w:tcPr>
          <w:p>
            <w:pPr>
              <w:spacing w:after="0"/>
              <w:rPr>
                <w:sz w:val="20"/>
                <w:szCs w:val="20"/>
                <w:color w:val="auto"/>
              </w:rPr>
            </w:pPr>
            <w:r>
              <w:rPr>
                <w:rFonts w:ascii="Arial" w:cs="Arial" w:eastAsia="Arial" w:hAnsi="Arial"/>
                <w:sz w:val="18"/>
                <w:szCs w:val="18"/>
                <w:color w:val="auto"/>
              </w:rPr>
              <w:t>Date:   June 30, 2021</w:t>
            </w:r>
          </w:p>
        </w:tc>
        <w:tc>
          <w:tcPr>
            <w:tcW w:w="2680" w:type="dxa"/>
            <w:vAlign w:val="bottom"/>
          </w:tcPr>
          <w:p>
            <w:pPr>
              <w:ind w:left="17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680" w:type="dxa"/>
            <w:vAlign w:val="bottom"/>
          </w:tcPr>
          <w:p>
            <w:pPr>
              <w:spacing w:after="0"/>
              <w:rPr>
                <w:sz w:val="19"/>
                <w:szCs w:val="19"/>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680" w:type="dxa"/>
            <w:vAlign w:val="bottom"/>
          </w:tcPr>
          <w:p>
            <w:pPr>
              <w:spacing w:after="0"/>
              <w:rPr>
                <w:sz w:val="19"/>
                <w:szCs w:val="19"/>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Strong execution drives robust free cash flow</w:t>
      </w:r>
    </w:p>
    <w:p>
      <w:pPr>
        <w:spacing w:after="0" w:line="23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30, 2021 – Micron Technology, Inc. (Nasdaq: MU) today announced results for its third quarter of fiscal 2021,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 2021.</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2021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$7.42 billion versus $6.24 billion for the prior quarter and $5.44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$1.74 billion, or $1.52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$2.17 billion, or $1.88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$3.56 billion versus $3.06 billion for the prior quarter and $2.02 billion for the same period last year</w:t>
      </w:r>
    </w:p>
    <w:p>
      <w:pPr>
        <w:spacing w:after="0" w:line="23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212121"/>
        </w:rPr>
        <w:t>Micron set multiple market and product revenue records in our third quarter and achieved the largest sequential earnings improvement in</w:t>
      </w:r>
      <w:r>
        <w:rPr>
          <w:rFonts w:ascii="Arial" w:cs="Arial" w:eastAsia="Arial" w:hAnsi="Arial"/>
          <w:sz w:val="18"/>
          <w:szCs w:val="18"/>
          <w:color w:val="auto"/>
        </w:rPr>
        <w:t xml:space="preserve"> </w:t>
      </w:r>
      <w:r>
        <w:rPr>
          <w:rFonts w:ascii="Arial" w:cs="Arial" w:eastAsia="Arial" w:hAnsi="Arial"/>
          <w:sz w:val="18"/>
          <w:szCs w:val="18"/>
          <w:color w:val="212121"/>
        </w:rPr>
        <w:t xml:space="preserve">our history,” </w:t>
      </w:r>
      <w:r>
        <w:rPr>
          <w:rFonts w:ascii="Arial" w:cs="Arial" w:eastAsia="Arial" w:hAnsi="Arial"/>
          <w:sz w:val="18"/>
          <w:szCs w:val="18"/>
          <w:color w:val="000000"/>
        </w:rPr>
        <w:t>said Micron Technology President and CEO Sanjay Mehrotra. “Our industry-lea</w:t>
      </w:r>
      <w:r>
        <w:rPr>
          <w:rFonts w:ascii="Arial" w:cs="Arial" w:eastAsia="Arial" w:hAnsi="Arial"/>
          <w:sz w:val="18"/>
          <w:szCs w:val="18"/>
          <w:color w:val="212121"/>
        </w:rPr>
        <w:t>ding 1α DR</w:t>
      </w:r>
      <w:r>
        <w:rPr>
          <w:rFonts w:ascii="Arial" w:cs="Arial" w:eastAsia="Arial" w:hAnsi="Arial"/>
          <w:sz w:val="18"/>
          <w:szCs w:val="18"/>
          <w:color w:val="000000"/>
        </w:rPr>
        <w:t>AM and 176-layer NAND now</w:t>
      </w:r>
      <w:r>
        <w:rPr>
          <w:rFonts w:ascii="Arial" w:cs="Arial" w:eastAsia="Arial" w:hAnsi="Arial"/>
          <w:sz w:val="18"/>
          <w:szCs w:val="18"/>
          <w:color w:val="212121"/>
        </w:rPr>
        <w:t xml:space="preserve"> </w:t>
      </w:r>
      <w:r>
        <w:rPr>
          <w:rFonts w:ascii="Arial" w:cs="Arial" w:eastAsia="Arial" w:hAnsi="Arial"/>
          <w:sz w:val="18"/>
          <w:szCs w:val="18"/>
          <w:color w:val="000000"/>
        </w:rPr>
        <w:t>represent a meaningful portion of our production, and Micron is in the best position ever to capitalize on the long-term demand trends across the data center, intelligent edge and user devices.”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FQ3-21</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FQ2-21</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FQ3-20</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FQ2-21</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FQ3-20</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7,422</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6,236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7,422</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6,236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5,438</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3,126</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1,649</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3,185</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1,804</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42.1 %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26.4 %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32.4 %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42.9 %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33.2 %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823</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1,799</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2,364</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1,257</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981</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24.2 %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16.3 %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31.9 %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18.0 %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1,735</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603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2,173</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941</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0.82</w:t>
            </w:r>
          </w:p>
        </w:tc>
      </w:tr>
    </w:tbl>
    <w:p>
      <w:pPr>
        <w:spacing w:after="0" w:line="323" w:lineRule="exact"/>
        <w:rPr>
          <w:sz w:val="20"/>
          <w:szCs w:val="20"/>
          <w:color w:val="auto"/>
        </w:rPr>
      </w:pPr>
    </w:p>
    <w:p>
      <w:pPr>
        <w:ind w:right="320"/>
        <w:spacing w:after="0" w:line="211"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$2.04 billion for the third quarter of 2021,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$1.52 billion. Micron ended the quarter with cash, marketable investments, and restricted cash of $9.82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$3.10 billion.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fourth quarter of 2021:</w:t>
            </w:r>
          </w:p>
        </w:tc>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6"/>
        </w:trPr>
        <w:tc>
          <w:tcPr>
            <w:tcW w:w="65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FQ4-21</w:t>
            </w:r>
          </w:p>
        </w:tc>
        <w:tc>
          <w:tcPr>
            <w:tcW w:w="2540" w:type="dxa"/>
            <w:vAlign w:val="bottom"/>
            <w:tcBorders>
              <w:bottom w:val="single" w:sz="8" w:color="0090DA"/>
            </w:tcBorders>
          </w:tcPr>
          <w:p>
            <w:pPr>
              <w:jc w:val="right"/>
              <w:ind w:right="50"/>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18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0"/>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$8.2 billion ± $200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$8.2 billion ± $200 million</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40" w:type="dxa"/>
            <w:vAlign w:val="bottom"/>
          </w:tcPr>
          <w:p>
            <w:pPr>
              <w:jc w:val="right"/>
              <w:ind w:right="50"/>
              <w:spacing w:after="0"/>
              <w:rPr>
                <w:sz w:val="20"/>
                <w:szCs w:val="20"/>
                <w:color w:val="auto"/>
              </w:rPr>
            </w:pPr>
            <w:r>
              <w:rPr>
                <w:rFonts w:ascii="Arial" w:cs="Arial" w:eastAsia="Arial" w:hAnsi="Arial"/>
                <w:sz w:val="18"/>
                <w:szCs w:val="18"/>
                <w:color w:val="auto"/>
              </w:rPr>
              <w:t>46.0% ± 1%</w:t>
            </w:r>
          </w:p>
        </w:tc>
        <w:tc>
          <w:tcPr>
            <w:tcW w:w="2180" w:type="dxa"/>
            <w:vAlign w:val="bottom"/>
          </w:tcPr>
          <w:p>
            <w:pPr>
              <w:jc w:val="right"/>
              <w:spacing w:after="0"/>
              <w:rPr>
                <w:sz w:val="20"/>
                <w:szCs w:val="20"/>
                <w:color w:val="auto"/>
              </w:rPr>
            </w:pPr>
            <w:r>
              <w:rPr>
                <w:rFonts w:ascii="Arial" w:cs="Arial" w:eastAsia="Arial" w:hAnsi="Arial"/>
                <w:sz w:val="18"/>
                <w:szCs w:val="18"/>
                <w:color w:val="auto"/>
              </w:rPr>
              <w:t>47.0% ± 1%</w:t>
            </w:r>
          </w:p>
        </w:tc>
      </w:tr>
      <w:tr>
        <w:trPr>
          <w:trHeight w:val="229"/>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$955 million ± $25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$900 million ± $25 million</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40" w:type="dxa"/>
            <w:vAlign w:val="bottom"/>
          </w:tcPr>
          <w:p>
            <w:pPr>
              <w:jc w:val="right"/>
              <w:ind w:right="50"/>
              <w:spacing w:after="0"/>
              <w:rPr>
                <w:sz w:val="20"/>
                <w:szCs w:val="20"/>
                <w:color w:val="auto"/>
              </w:rPr>
            </w:pPr>
            <w:r>
              <w:rPr>
                <w:rFonts w:ascii="Arial" w:cs="Arial" w:eastAsia="Arial" w:hAnsi="Arial"/>
                <w:sz w:val="18"/>
                <w:szCs w:val="18"/>
                <w:color w:val="auto"/>
              </w:rPr>
              <w:t>$2.23 ± $0.10</w:t>
            </w:r>
          </w:p>
        </w:tc>
        <w:tc>
          <w:tcPr>
            <w:tcW w:w="2180" w:type="dxa"/>
            <w:vAlign w:val="bottom"/>
          </w:tcPr>
          <w:p>
            <w:pPr>
              <w:jc w:val="right"/>
              <w:spacing w:after="0"/>
              <w:rPr>
                <w:sz w:val="20"/>
                <w:szCs w:val="20"/>
                <w:color w:val="auto"/>
              </w:rPr>
            </w:pPr>
            <w:r>
              <w:rPr>
                <w:rFonts w:ascii="Arial" w:cs="Arial" w:eastAsia="Arial" w:hAnsi="Arial"/>
                <w:sz w:val="18"/>
                <w:szCs w:val="18"/>
                <w:color w:val="auto"/>
              </w:rPr>
              <w:t>$2.30 ± $0.10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jc w:val="both"/>
        <w:ind w:right="280"/>
        <w:spacing w:after="0" w:line="250" w:lineRule="auto"/>
        <w:rPr>
          <w:sz w:val="20"/>
          <w:szCs w:val="20"/>
          <w:color w:val="auto"/>
        </w:rPr>
      </w:pPr>
      <w:r>
        <w:rPr>
          <w:rFonts w:ascii="Arial" w:cs="Arial" w:eastAsia="Arial" w:hAnsi="Arial"/>
          <w:sz w:val="18"/>
          <w:szCs w:val="18"/>
          <w:color w:val="auto"/>
        </w:rPr>
        <w:t xml:space="preserve">Micron will host a conference call on Wednesday, June 30, 2021, at 2:30 p.m. MT, to discuss its third quarter financial results and provide forward-looking guidance for its fourth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A webcast replay will be available for one year after the call. For Investor Relations and other company updates, follow @MicronTech on Twitter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67"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Micron, the Micron logo, and all other Micron trademarks are the property of Micron Technology, Inc. All other trademarks are the property of their respective owners.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the completion of and timing for closing the pending sale of our Lehi facility,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0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24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185"/>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50"/>
              <w:spacing w:after="0" w:line="185" w:lineRule="exact"/>
              <w:rPr>
                <w:sz w:val="20"/>
                <w:szCs w:val="20"/>
                <w:color w:val="auto"/>
              </w:rPr>
            </w:pPr>
            <w:r>
              <w:rPr>
                <w:rFonts w:ascii="Arial" w:cs="Arial" w:eastAsia="Arial" w:hAnsi="Arial"/>
                <w:sz w:val="18"/>
                <w:szCs w:val="18"/>
                <w:b w:val="1"/>
                <w:bCs w:val="1"/>
                <w:color w:val="auto"/>
                <w:w w:val="99"/>
              </w:rPr>
              <w:t>June 3,</w:t>
            </w:r>
          </w:p>
        </w:tc>
        <w:tc>
          <w:tcPr>
            <w:tcW w:w="200" w:type="dxa"/>
            <w:vAlign w:val="bottom"/>
          </w:tcPr>
          <w:p>
            <w:pPr>
              <w:spacing w:after="0"/>
              <w:rPr>
                <w:sz w:val="16"/>
                <w:szCs w:val="16"/>
                <w:color w:val="auto"/>
              </w:rPr>
            </w:pPr>
          </w:p>
        </w:tc>
        <w:tc>
          <w:tcPr>
            <w:tcW w:w="112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8"/>
              </w:rPr>
              <w:t>March 4,</w:t>
            </w:r>
          </w:p>
        </w:tc>
        <w:tc>
          <w:tcPr>
            <w:tcW w:w="24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6"/>
                <w:szCs w:val="16"/>
                <w:color w:val="auto"/>
              </w:rPr>
            </w:pPr>
          </w:p>
        </w:tc>
        <w:tc>
          <w:tcPr>
            <w:tcW w:w="1100" w:type="dxa"/>
            <w:vAlign w:val="bottom"/>
          </w:tcPr>
          <w:p>
            <w:pPr>
              <w:jc w:val="right"/>
              <w:ind w:right="270"/>
              <w:spacing w:after="0" w:line="185" w:lineRule="exact"/>
              <w:rPr>
                <w:sz w:val="20"/>
                <w:szCs w:val="20"/>
                <w:color w:val="auto"/>
              </w:rPr>
            </w:pPr>
            <w:r>
              <w:rPr>
                <w:rFonts w:ascii="Arial" w:cs="Arial" w:eastAsia="Arial" w:hAnsi="Arial"/>
                <w:sz w:val="18"/>
                <w:szCs w:val="18"/>
                <w:b w:val="1"/>
                <w:bCs w:val="1"/>
                <w:color w:val="auto"/>
              </w:rPr>
              <w:t>June 3,</w:t>
            </w:r>
          </w:p>
        </w:tc>
        <w:tc>
          <w:tcPr>
            <w:tcW w:w="240" w:type="dxa"/>
            <w:vAlign w:val="bottom"/>
          </w:tcPr>
          <w:p>
            <w:pPr>
              <w:spacing w:after="0"/>
              <w:rPr>
                <w:sz w:val="16"/>
                <w:szCs w:val="16"/>
                <w:color w:val="auto"/>
              </w:rPr>
            </w:pPr>
          </w:p>
        </w:tc>
        <w:tc>
          <w:tcPr>
            <w:tcW w:w="1100" w:type="dxa"/>
            <w:vAlign w:val="bottom"/>
          </w:tcPr>
          <w:p>
            <w:pPr>
              <w:jc w:val="right"/>
              <w:ind w:right="250"/>
              <w:spacing w:after="0" w:line="185" w:lineRule="exact"/>
              <w:rPr>
                <w:sz w:val="20"/>
                <w:szCs w:val="20"/>
                <w:color w:val="auto"/>
              </w:rPr>
            </w:pPr>
            <w:r>
              <w:rPr>
                <w:rFonts w:ascii="Arial" w:cs="Arial" w:eastAsia="Arial" w:hAnsi="Arial"/>
                <w:sz w:val="18"/>
                <w:szCs w:val="18"/>
                <w:b w:val="1"/>
                <w:bCs w:val="1"/>
                <w:color w:val="auto"/>
              </w:rPr>
              <w:t>May 28,</w:t>
            </w:r>
          </w:p>
        </w:tc>
      </w:tr>
      <w:tr>
        <w:trPr>
          <w:trHeight w:val="230"/>
        </w:trPr>
        <w:tc>
          <w:tcPr>
            <w:tcW w:w="460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34"/>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5,438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15,379</w:t>
            </w:r>
          </w:p>
        </w:tc>
      </w:tr>
      <w:tr>
        <w:trPr>
          <w:trHeight w:val="229"/>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w:t>
            </w:r>
          </w:p>
        </w:tc>
      </w:tr>
      <w:tr>
        <w:trPr>
          <w:trHeight w:val="223"/>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4,484</w:t>
            </w:r>
          </w:p>
        </w:tc>
      </w:tr>
      <w:tr>
        <w:trPr>
          <w:trHeight w:val="257"/>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1,846</w:t>
            </w:r>
          </w:p>
        </w:tc>
      </w:tr>
      <w:tr>
        <w:trPr>
          <w:trHeight w:val="257"/>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57"/>
        </w:trPr>
        <w:tc>
          <w:tcPr>
            <w:tcW w:w="46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56"/>
        </w:trPr>
        <w:tc>
          <w:tcPr>
            <w:tcW w:w="46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460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attributable to Micron</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46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r>
      <w:tr>
        <w:trPr>
          <w:trHeight w:val="256"/>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w:t>
            </w:r>
          </w:p>
        </w:tc>
        <w:tc>
          <w:tcPr>
            <w:tcW w:w="22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7,759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6,507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17,279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32,209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31,848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4,427</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4,550</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13,684</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13,472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9,285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9,234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36,452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34,723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42,259</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40,663</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w:t>
            </w:r>
          </w:p>
        </w:tc>
        <w:tc>
          <w:tcPr>
            <w:tcW w:w="26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Noncash restructure and asset impairment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8,584</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Inventory</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was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a $128 million reduction to net income, and an $0.11 reduction to diluted earnings per share for both the second quarter and first nine months of 2021.</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Beginning in the second quarter of 2021, we changed the classification of spare parts for equipment to better align with the manner in which they are used in operations. As a result, we now present spare parts as other current assets and no longer as a component of raw materials inventories. This reclassification was applied on a retrospective basis. As a result, $ 256 million of spare parts were presented in other current assets as of June 3, 2021, and we reclassified spare parts from inventories to other current assets of $270 million and $234 million in the accompanying balance sheets as of March 4, 2021 and September 3,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Lehi, Utah, Fab and 3D XPoint</w:t>
      </w:r>
    </w:p>
    <w:p>
      <w:pPr>
        <w:spacing w:after="0" w:line="27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at scale. Accordingly, we ceased development of 3D XPoint technology and engaged in discussions with potential buyers for the sale of our facility located in Lehi that was dedicated to 3D XPoint production. As a result, we classified the property, plant, and equipment as held-for-sale and ceased depreciating the assets. On June 30, 2021, we announced that we have entered into a definitive agreement to sell our Lehi facility to Texas Instruments for cash consideration of $900 million. The sale is anticipated to close later this calendar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(and a tax benefit of</w:t>
      </w:r>
    </w:p>
    <w:p>
      <w:pPr>
        <w:ind w:right="120"/>
        <w:spacing w:after="0" w:line="238" w:lineRule="auto"/>
        <w:rPr>
          <w:sz w:val="20"/>
          <w:szCs w:val="20"/>
          <w:color w:val="auto"/>
        </w:rPr>
      </w:pPr>
      <w:r>
        <w:rPr>
          <w:rFonts w:ascii="Arial" w:cs="Arial" w:eastAsia="Arial" w:hAnsi="Arial"/>
          <w:sz w:val="18"/>
          <w:szCs w:val="18"/>
          <w:color w:val="auto"/>
        </w:rPr>
        <w:t>$104 million included in income tax (provision) benefit) to write down the assets held for sale to the expected consideration, net of estimated selling costs, to be realized from the sale of these assets and liabilities. The impairment charge was based on Level 3 inputs including expected consideration and the composition of assets included in the sale, which were derived from the agreement with TI. In the second quarter of 2021, we also recognized a charge of $49 million to cost of goods sold to write down 3D XPoint inventory due to our decision to cease further development of this technology.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0" w:type="dxa"/>
            <w:vAlign w:val="bottom"/>
          </w:tcPr>
          <w:p>
            <w:pPr>
              <w:spacing w:after="0"/>
              <w:rPr>
                <w:sz w:val="20"/>
                <w:szCs w:val="20"/>
                <w:color w:val="auto"/>
              </w:rPr>
            </w:pPr>
            <w:r>
              <w:rPr>
                <w:rFonts w:ascii="Arial" w:cs="Arial" w:eastAsia="Arial" w:hAnsi="Arial"/>
                <w:sz w:val="18"/>
                <w:szCs w:val="18"/>
                <w:color w:val="auto"/>
              </w:rPr>
              <w:t>As of June 3, 2021, the significant balances of assets held-for-sale in connection with our Lehi facility were as follows: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3,</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9800" w:type="dxa"/>
            <w:vAlign w:val="bottom"/>
          </w:tcPr>
          <w:p>
            <w:pPr>
              <w:ind w:left="240"/>
              <w:spacing w:after="0"/>
              <w:rPr>
                <w:sz w:val="20"/>
                <w:szCs w:val="20"/>
                <w:color w:val="auto"/>
              </w:rPr>
            </w:pPr>
            <w:r>
              <w:rPr>
                <w:rFonts w:ascii="Arial" w:cs="Arial" w:eastAsia="Arial" w:hAnsi="Arial"/>
                <w:sz w:val="18"/>
                <w:szCs w:val="18"/>
                <w:color w:val="auto"/>
              </w:rPr>
              <w:t>Lehi assets held for sale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of June 3, 2021, we also had a $51 million finance lease obligation included in the current portion of long-term debt and $12 million of other liabilities that we expect to transfer with the sale. The expected cash consideration, net of estimated selling expenses, approximates the carrying value of the net assets and liabilities expected to transfer in the sale, after giving effect to the impairment charge discussed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29" w:right="339" w:bottom="1440" w:gutter="0" w:footer="0" w:header="0"/>
        </w:sectPr>
      </w:pPr>
    </w:p>
    <w:bookmarkStart w:id="9" w:name="page10"/>
    <w:bookmarkEnd w:id="9"/>
    <w:p>
      <w:pPr>
        <w:ind w:left="436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2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3rd Qtr.</w:t>
            </w:r>
          </w:p>
        </w:tc>
      </w:tr>
      <w:tr>
        <w:trPr>
          <w:trHeight w:val="185"/>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3,</w:t>
            </w:r>
          </w:p>
        </w:tc>
        <w:tc>
          <w:tcPr>
            <w:tcW w:w="220" w:type="dxa"/>
            <w:vAlign w:val="bottom"/>
          </w:tcPr>
          <w:p>
            <w:pPr>
              <w:spacing w:after="0"/>
              <w:rPr>
                <w:sz w:val="16"/>
                <w:szCs w:val="16"/>
                <w:color w:val="auto"/>
              </w:rPr>
            </w:pPr>
          </w:p>
        </w:tc>
        <w:tc>
          <w:tcPr>
            <w:tcW w:w="112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8"/>
              </w:rPr>
              <w:t>March 4,</w:t>
            </w:r>
          </w:p>
        </w:tc>
        <w:tc>
          <w:tcPr>
            <w:tcW w:w="240" w:type="dxa"/>
            <w:vAlign w:val="bottom"/>
          </w:tcPr>
          <w:p>
            <w:pPr>
              <w:spacing w:after="0"/>
              <w:rPr>
                <w:sz w:val="16"/>
                <w:szCs w:val="16"/>
                <w:color w:val="auto"/>
              </w:rPr>
            </w:pPr>
          </w:p>
        </w:tc>
        <w:tc>
          <w:tcPr>
            <w:tcW w:w="1120" w:type="dxa"/>
            <w:vAlign w:val="bottom"/>
            <w:gridSpan w:val="2"/>
          </w:tcPr>
          <w:p>
            <w:pPr>
              <w:jc w:val="center"/>
              <w:ind w:right="240"/>
              <w:spacing w:after="0" w:line="185" w:lineRule="exact"/>
              <w:rPr>
                <w:sz w:val="20"/>
                <w:szCs w:val="20"/>
                <w:color w:val="auto"/>
              </w:rPr>
            </w:pPr>
            <w:r>
              <w:rPr>
                <w:rFonts w:ascii="Arial" w:cs="Arial" w:eastAsia="Arial" w:hAnsi="Arial"/>
                <w:sz w:val="18"/>
                <w:szCs w:val="18"/>
                <w:b w:val="1"/>
                <w:bCs w:val="1"/>
                <w:color w:val="auto"/>
                <w:w w:val="98"/>
              </w:rPr>
              <w:t>May 28,</w:t>
            </w:r>
          </w:p>
        </w:tc>
      </w:tr>
      <w:tr>
        <w:trPr>
          <w:trHeight w:val="229"/>
        </w:trPr>
        <w:tc>
          <w:tcPr>
            <w:tcW w:w="72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9"/>
                <w:szCs w:val="19"/>
                <w:color w:val="auto"/>
              </w:rPr>
            </w:pPr>
          </w:p>
        </w:tc>
      </w:tr>
      <w:tr>
        <w:trPr>
          <w:trHeight w:val="3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2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48"/>
        </w:trPr>
        <w:tc>
          <w:tcPr>
            <w:tcW w:w="72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3,185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1,804</w:t>
            </w:r>
          </w:p>
        </w:tc>
        <w:tc>
          <w:tcPr>
            <w:tcW w:w="20" w:type="dxa"/>
            <w:vAlign w:val="bottom"/>
          </w:tcPr>
          <w:p>
            <w:pPr>
              <w:spacing w:after="0"/>
              <w:rPr>
                <w:sz w:val="21"/>
                <w:szCs w:val="21"/>
                <w:color w:val="auto"/>
              </w:rPr>
            </w:pPr>
          </w:p>
        </w:tc>
      </w:tr>
      <w:tr>
        <w:trPr>
          <w:trHeight w:val="20"/>
        </w:trPr>
        <w:tc>
          <w:tcPr>
            <w:tcW w:w="72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net income attributable to Micron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net income attributable to Micron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 and capped calls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20"/>
          </w:cols>
          <w:pgMar w:left="340" w:top="88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0"/>
        </w:trPr>
        <w:tc>
          <w:tcPr>
            <w:tcW w:w="5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r>
      <w:tr>
        <w:trPr>
          <w:trHeight w:val="185"/>
        </w:trPr>
        <w:tc>
          <w:tcPr>
            <w:tcW w:w="5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3,</w:t>
            </w:r>
          </w:p>
        </w:tc>
        <w:tc>
          <w:tcPr>
            <w:tcW w:w="240" w:type="dxa"/>
            <w:vAlign w:val="bottom"/>
          </w:tcPr>
          <w:p>
            <w:pPr>
              <w:spacing w:after="0"/>
              <w:rPr>
                <w:sz w:val="16"/>
                <w:szCs w:val="16"/>
                <w:color w:val="auto"/>
              </w:rPr>
            </w:pPr>
          </w:p>
        </w:tc>
        <w:tc>
          <w:tcPr>
            <w:tcW w:w="1100" w:type="dxa"/>
            <w:vAlign w:val="bottom"/>
          </w:tcPr>
          <w:p>
            <w:pPr>
              <w:jc w:val="center"/>
              <w:ind w:right="90"/>
              <w:spacing w:after="0" w:line="185" w:lineRule="exact"/>
              <w:rPr>
                <w:sz w:val="20"/>
                <w:szCs w:val="20"/>
                <w:color w:val="auto"/>
              </w:rPr>
            </w:pPr>
            <w:r>
              <w:rPr>
                <w:rFonts w:ascii="Arial" w:cs="Arial" w:eastAsia="Arial" w:hAnsi="Arial"/>
                <w:sz w:val="18"/>
                <w:szCs w:val="18"/>
                <w:b w:val="1"/>
                <w:bCs w:val="1"/>
                <w:color w:val="auto"/>
                <w:w w:val="98"/>
              </w:rPr>
              <w:t>March 4,</w:t>
            </w:r>
          </w:p>
        </w:tc>
        <w:tc>
          <w:tcPr>
            <w:tcW w:w="260" w:type="dxa"/>
            <w:vAlign w:val="bottom"/>
          </w:tcPr>
          <w:p>
            <w:pPr>
              <w:spacing w:after="0"/>
              <w:rPr>
                <w:sz w:val="16"/>
                <w:szCs w:val="16"/>
                <w:color w:val="auto"/>
              </w:rPr>
            </w:pPr>
          </w:p>
        </w:tc>
        <w:tc>
          <w:tcPr>
            <w:tcW w:w="1100" w:type="dxa"/>
            <w:vAlign w:val="bottom"/>
          </w:tcPr>
          <w:p>
            <w:pPr>
              <w:jc w:val="center"/>
              <w:ind w:right="150"/>
              <w:spacing w:after="0" w:line="185" w:lineRule="exact"/>
              <w:rPr>
                <w:sz w:val="20"/>
                <w:szCs w:val="20"/>
                <w:color w:val="auto"/>
              </w:rPr>
            </w:pPr>
            <w:r>
              <w:rPr>
                <w:rFonts w:ascii="Arial" w:cs="Arial" w:eastAsia="Arial" w:hAnsi="Arial"/>
                <w:sz w:val="18"/>
                <w:szCs w:val="18"/>
                <w:b w:val="1"/>
                <w:bCs w:val="1"/>
                <w:color w:val="auto"/>
              </w:rPr>
              <w:t>May 28,</w:t>
            </w:r>
          </w:p>
        </w:tc>
      </w:tr>
      <w:tr>
        <w:trPr>
          <w:trHeight w:val="229"/>
        </w:trPr>
        <w:tc>
          <w:tcPr>
            <w:tcW w:w="5660" w:type="dxa"/>
            <w:vAlign w:val="bottom"/>
            <w:tcBorders>
              <w:bottom w:val="single" w:sz="8" w:color="0090DA"/>
            </w:tcBorders>
          </w:tcPr>
          <w:p>
            <w:pPr>
              <w:spacing w:after="0"/>
              <w:rPr>
                <w:sz w:val="19"/>
                <w:szCs w:val="19"/>
                <w:color w:val="auto"/>
              </w:rPr>
            </w:pPr>
          </w:p>
        </w:tc>
        <w:tc>
          <w:tcPr>
            <w:tcW w:w="180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r>
      <w:tr>
        <w:trPr>
          <w:trHeight w:val="34"/>
        </w:trPr>
        <w:tc>
          <w:tcPr>
            <w:tcW w:w="5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6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8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3,057</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Investments in capital expenditures, net</w:t>
            </w:r>
          </w:p>
        </w:tc>
        <w:tc>
          <w:tcPr>
            <w:tcW w:w="1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ind w:left="140"/>
        <w:spacing w:after="0" w:line="229" w:lineRule="auto"/>
        <w:rPr>
          <w:sz w:val="20"/>
          <w:szCs w:val="20"/>
          <w:color w:val="auto"/>
        </w:rPr>
      </w:pPr>
      <w:r>
        <w:rPr>
          <w:rFonts w:ascii="Arial" w:cs="Arial" w:eastAsia="Arial" w:hAnsi="Arial"/>
          <w:sz w:val="17"/>
          <w:szCs w:val="17"/>
          <w:color w:val="auto"/>
        </w:rPr>
        <w:t>Expenditures for property, plant, and equipment, net</w:t>
      </w:r>
      <w:r>
        <w:rPr>
          <w:rFonts w:ascii="Arial" w:cs="Arial" w:eastAsia="Arial" w:hAnsi="Arial"/>
          <w:sz w:val="22"/>
          <w:szCs w:val="22"/>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equipment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funded by partners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free cash flow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(2,185)</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w:t>
            </w:r>
          </w:p>
        </w:tc>
      </w:tr>
      <w:tr>
        <w:trPr>
          <w:trHeight w:val="230"/>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37" w:lineRule="exact"/>
        <w:rPr>
          <w:sz w:val="20"/>
          <w:szCs w:val="20"/>
          <w:color w:val="auto"/>
        </w:rPr>
      </w:pPr>
    </w:p>
    <w:p>
      <w:pPr>
        <w:ind w:left="340" w:right="140" w:hanging="332"/>
        <w:spacing w:after="0" w:line="220" w:lineRule="auto"/>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$74 million for the third quarter of 2021, $18 million for the second quarter of 2021, and $7 million for the third quarter of 2020.</w:t>
      </w:r>
    </w:p>
    <w:tbl>
      <w:tblPr>
        <w:tblLayout w:type="fixed"/>
        <w:tblInd w:w="0" w:type="dxa"/>
        <w:tblCellMar>
          <w:top w:w="0" w:type="dxa"/>
          <w:left w:w="0" w:type="dxa"/>
          <w:bottom w:w="0" w:type="dxa"/>
          <w:right w:w="0" w:type="dxa"/>
        </w:tblCellMar>
      </w:tblPr>
      <w:tr>
        <w:trPr>
          <w:trHeight w:val="203"/>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4500" w:type="dxa"/>
            <w:vAlign w:val="bottom"/>
          </w:tcPr>
          <w:p>
            <w:pPr>
              <w:jc w:val="center"/>
              <w:ind w:left="3110"/>
              <w:spacing w:after="0" w:line="203" w:lineRule="exact"/>
              <w:rPr>
                <w:sz w:val="20"/>
                <w:szCs w:val="20"/>
                <w:color w:val="auto"/>
              </w:rPr>
            </w:pPr>
            <w:r>
              <w:rPr>
                <w:rFonts w:ascii="Arial" w:cs="Arial" w:eastAsia="Arial" w:hAnsi="Arial"/>
                <w:sz w:val="18"/>
                <w:szCs w:val="18"/>
                <w:b w:val="1"/>
                <w:bCs w:val="1"/>
                <w:color w:val="auto"/>
                <w:w w:val="99"/>
              </w:rPr>
              <w:t>June 3,</w:t>
            </w:r>
          </w:p>
        </w:tc>
        <w:tc>
          <w:tcPr>
            <w:tcW w:w="1260" w:type="dxa"/>
            <w:vAlign w:val="bottom"/>
          </w:tcPr>
          <w:p>
            <w:pPr>
              <w:jc w:val="center"/>
              <w:ind w:left="50"/>
              <w:spacing w:after="0" w:line="203" w:lineRule="exact"/>
              <w:rPr>
                <w:sz w:val="20"/>
                <w:szCs w:val="20"/>
                <w:color w:val="auto"/>
              </w:rPr>
            </w:pPr>
            <w:r>
              <w:rPr>
                <w:rFonts w:ascii="Arial" w:cs="Arial" w:eastAsia="Arial" w:hAnsi="Arial"/>
                <w:sz w:val="18"/>
                <w:szCs w:val="18"/>
                <w:b w:val="1"/>
                <w:bCs w:val="1"/>
                <w:color w:val="auto"/>
                <w:w w:val="98"/>
              </w:rPr>
              <w:t>March 4,</w:t>
            </w:r>
          </w:p>
        </w:tc>
        <w:tc>
          <w:tcPr>
            <w:tcW w:w="1440" w:type="dxa"/>
            <w:vAlign w:val="bottom"/>
          </w:tcPr>
          <w:p>
            <w:pPr>
              <w:jc w:val="center"/>
              <w:ind w:left="10"/>
              <w:spacing w:after="0" w:line="203" w:lineRule="exact"/>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0090DA"/>
            </w:tcBorders>
            <w:vMerge w:val="continue"/>
          </w:tcPr>
          <w:p>
            <w:pPr>
              <w:spacing w:after="0"/>
              <w:rPr>
                <w:sz w:val="19"/>
                <w:szCs w:val="19"/>
                <w:color w:val="auto"/>
              </w:rPr>
            </w:pPr>
          </w:p>
        </w:tc>
        <w:tc>
          <w:tcPr>
            <w:tcW w:w="450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8,349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8,142</w:t>
            </w:r>
          </w:p>
        </w:tc>
      </w:tr>
      <w:tr>
        <w:trPr>
          <w:trHeight w:val="230"/>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-479425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-187960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notes and other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5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type w:val="continuous"/>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Non-GAAP diluted shares also include the impact of capped calls, which are anti-dilutive in GAAP earnings per share but are expected to mitigate the dilutive effect of convertible notes, based on the average share price for the period the capped calls were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FQ4-21</w:t>
            </w:r>
          </w:p>
        </w:tc>
        <w:tc>
          <w:tcPr>
            <w:tcW w:w="2660" w:type="dxa"/>
            <w:vAlign w:val="bottom"/>
            <w:gridSpan w:val="3"/>
          </w:tcPr>
          <w:p>
            <w:pPr>
              <w:ind w:left="360"/>
              <w:spacing w:after="0"/>
              <w:rPr>
                <w:sz w:val="20"/>
                <w:szCs w:val="20"/>
                <w:color w:val="auto"/>
              </w:rPr>
            </w:pPr>
            <w:r>
              <w:rPr>
                <w:rFonts w:ascii="Arial" w:cs="Arial" w:eastAsia="Arial" w:hAnsi="Arial"/>
                <w:sz w:val="18"/>
                <w:szCs w:val="18"/>
                <w:b w:val="1"/>
                <w:bCs w:val="1"/>
                <w:color w:val="auto"/>
              </w:rPr>
              <w:t>GAAP Outlook</w:t>
            </w:r>
          </w:p>
        </w:tc>
        <w:tc>
          <w:tcPr>
            <w:tcW w:w="218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8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90DA"/>
            </w:tcBorders>
          </w:tcPr>
          <w:p>
            <w:pPr>
              <w:spacing w:after="0"/>
              <w:rPr>
                <w:sz w:val="2"/>
                <w:szCs w:val="2"/>
                <w:color w:val="auto"/>
              </w:rPr>
            </w:pPr>
          </w:p>
        </w:tc>
        <w:tc>
          <w:tcPr>
            <w:tcW w:w="19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2120" w:type="dxa"/>
            <w:vAlign w:val="bottom"/>
            <w:tcBorders>
              <w:top w:val="single" w:sz="8" w:color="0090DA"/>
            </w:tcBorders>
          </w:tcPr>
          <w:p>
            <w:pPr>
              <w:spacing w:after="0"/>
              <w:rPr>
                <w:sz w:val="2"/>
                <w:szCs w:val="2"/>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60" w:type="dxa"/>
            <w:vAlign w:val="bottom"/>
            <w:gridSpan w:val="3"/>
            <w:shd w:val="clear" w:color="auto" w:fill="D1D2D4"/>
          </w:tcPr>
          <w:p>
            <w:pPr>
              <w:ind w:left="100"/>
              <w:spacing w:after="0"/>
              <w:rPr>
                <w:sz w:val="20"/>
                <w:szCs w:val="20"/>
                <w:color w:val="auto"/>
              </w:rPr>
            </w:pPr>
            <w:r>
              <w:rPr>
                <w:rFonts w:ascii="Arial" w:cs="Arial" w:eastAsia="Arial" w:hAnsi="Arial"/>
                <w:sz w:val="18"/>
                <w:szCs w:val="18"/>
                <w:color w:val="auto"/>
              </w:rPr>
              <w:t>$8.2 billion ± $200 million</w:t>
            </w:r>
          </w:p>
        </w:tc>
        <w:tc>
          <w:tcPr>
            <w:tcW w:w="2180" w:type="dxa"/>
            <w:vAlign w:val="bottom"/>
            <w:gridSpan w:val="3"/>
            <w:shd w:val="clear" w:color="auto" w:fill="D1D2D4"/>
          </w:tcPr>
          <w:p>
            <w:pPr>
              <w:jc w:val="right"/>
              <w:ind w:right="13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 billion ± $200 million</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40" w:type="dxa"/>
            <w:vAlign w:val="bottom"/>
          </w:tcPr>
          <w:p>
            <w:pPr>
              <w:jc w:val="right"/>
              <w:spacing w:after="0"/>
              <w:rPr>
                <w:sz w:val="20"/>
                <w:szCs w:val="20"/>
                <w:color w:val="auto"/>
              </w:rPr>
            </w:pPr>
            <w:r>
              <w:rPr>
                <w:rFonts w:ascii="Arial" w:cs="Arial" w:eastAsia="Arial" w:hAnsi="Arial"/>
                <w:sz w:val="18"/>
                <w:szCs w:val="18"/>
                <w:color w:val="auto"/>
              </w:rPr>
              <w:t>46.0% ± 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right"/>
              <w:ind w:right="114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spacing w:after="0"/>
              <w:rPr>
                <w:sz w:val="20"/>
                <w:szCs w:val="20"/>
                <w:color w:val="auto"/>
              </w:rPr>
            </w:pPr>
            <w:r>
              <w:rPr>
                <w:rFonts w:ascii="Arial" w:cs="Arial" w:eastAsia="Arial" w:hAnsi="Arial"/>
                <w:sz w:val="18"/>
                <w:szCs w:val="18"/>
                <w:color w:val="auto"/>
              </w:rPr>
              <w:t>47.0% ± 1%</w:t>
            </w:r>
          </w:p>
        </w:tc>
      </w:tr>
      <w:tr>
        <w:trPr>
          <w:trHeight w:val="230"/>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660" w:type="dxa"/>
            <w:vAlign w:val="bottom"/>
            <w:gridSpan w:val="3"/>
            <w:shd w:val="clear" w:color="auto" w:fill="D1D2D4"/>
          </w:tcPr>
          <w:p>
            <w:pPr>
              <w:ind w:left="100"/>
              <w:spacing w:after="0"/>
              <w:rPr>
                <w:sz w:val="20"/>
                <w:szCs w:val="20"/>
                <w:color w:val="auto"/>
              </w:rPr>
            </w:pPr>
            <w:r>
              <w:rPr>
                <w:rFonts w:ascii="Arial" w:cs="Arial" w:eastAsia="Arial" w:hAnsi="Arial"/>
                <w:sz w:val="18"/>
                <w:szCs w:val="18"/>
                <w:color w:val="auto"/>
              </w:rPr>
              <w:t>$955 million ± $25 million</w:t>
            </w:r>
          </w:p>
        </w:tc>
        <w:tc>
          <w:tcPr>
            <w:tcW w:w="2180" w:type="dxa"/>
            <w:vAlign w:val="bottom"/>
            <w:gridSpan w:val="3"/>
            <w:shd w:val="clear" w:color="auto" w:fill="D1D2D4"/>
          </w:tcPr>
          <w:p>
            <w:pPr>
              <w:jc w:val="right"/>
              <w:ind w:right="1140"/>
              <w:spacing w:after="0"/>
              <w:rPr>
                <w:sz w:val="20"/>
                <w:szCs w:val="20"/>
                <w:color w:val="auto"/>
              </w:rPr>
            </w:pPr>
            <w:r>
              <w:rPr>
                <w:rFonts w:ascii="Arial" w:cs="Arial" w:eastAsia="Arial" w:hAnsi="Arial"/>
                <w:sz w:val="18"/>
                <w:szCs w:val="18"/>
                <w:color w:val="auto"/>
                <w:w w:val="98"/>
              </w:rPr>
              <w:t>$55 million B</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 million ± $25 million</w:t>
            </w:r>
          </w:p>
        </w:tc>
      </w:tr>
      <w:tr>
        <w:trPr>
          <w:trHeight w:val="301"/>
        </w:trPr>
        <w:tc>
          <w:tcPr>
            <w:tcW w:w="428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40" w:type="dxa"/>
            <w:vAlign w:val="bottom"/>
          </w:tcPr>
          <w:p>
            <w:pPr>
              <w:jc w:val="right"/>
              <w:spacing w:after="0"/>
              <w:rPr>
                <w:sz w:val="20"/>
                <w:szCs w:val="20"/>
                <w:color w:val="auto"/>
              </w:rPr>
            </w:pPr>
            <w:r>
              <w:rPr>
                <w:rFonts w:ascii="Arial" w:cs="Arial" w:eastAsia="Arial" w:hAnsi="Arial"/>
                <w:sz w:val="18"/>
                <w:szCs w:val="18"/>
                <w:color w:val="auto"/>
              </w:rPr>
              <w:t>$2.23 ± $0.10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ind w:right="680"/>
              <w:spacing w:after="0"/>
              <w:rPr>
                <w:sz w:val="20"/>
                <w:szCs w:val="20"/>
                <w:color w:val="auto"/>
              </w:rPr>
            </w:pPr>
            <w:r>
              <w:rPr>
                <w:rFonts w:ascii="Arial" w:cs="Arial" w:eastAsia="Arial" w:hAnsi="Arial"/>
                <w:sz w:val="18"/>
                <w:szCs w:val="18"/>
                <w:color w:val="auto"/>
              </w:rPr>
              <w:t>$0.07 A, B, C</w:t>
            </w:r>
          </w:p>
        </w:tc>
        <w:tc>
          <w:tcPr>
            <w:tcW w:w="2120" w:type="dxa"/>
            <w:vAlign w:val="bottom"/>
          </w:tcPr>
          <w:p>
            <w:pPr>
              <w:jc w:val="right"/>
              <w:spacing w:after="0"/>
              <w:rPr>
                <w:sz w:val="20"/>
                <w:szCs w:val="20"/>
                <w:color w:val="auto"/>
              </w:rPr>
            </w:pPr>
            <w:r>
              <w:rPr>
                <w:rFonts w:ascii="Arial" w:cs="Arial" w:eastAsia="Arial" w:hAnsi="Arial"/>
                <w:sz w:val="18"/>
                <w:szCs w:val="18"/>
                <w:color w:val="auto"/>
              </w:rPr>
              <w:t>$2.30 ± $0.10</w:t>
            </w:r>
          </w:p>
        </w:tc>
      </w:tr>
      <w:tr>
        <w:trPr>
          <w:trHeight w:val="226"/>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42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420" w:type="dxa"/>
            <w:vAlign w:val="bottom"/>
            <w:tcBorders>
              <w:bottom w:val="single" w:sz="8" w:color="0090DA"/>
            </w:tcBorders>
          </w:tcPr>
          <w:p>
            <w:pPr>
              <w:spacing w:after="0"/>
              <w:rPr>
                <w:sz w:val="19"/>
                <w:szCs w:val="19"/>
                <w:color w:val="auto"/>
              </w:rPr>
            </w:pPr>
          </w:p>
        </w:tc>
        <w:tc>
          <w:tcPr>
            <w:tcW w:w="190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r>
      <w:tr>
        <w:trPr>
          <w:trHeight w:val="34"/>
        </w:trPr>
        <w:tc>
          <w:tcPr>
            <w:tcW w:w="4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218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C  Tax effects of the above items and non-cash changes in net deferred income taxes</w:t>
            </w: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2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
        </w:trPr>
        <w:tc>
          <w:tcPr>
            <w:tcW w:w="4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and non-GAAP earnings per share based on approximately 1.15 billion diluted shares.</w:t>
      </w:r>
    </w:p>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2021-06-30T15:05:37Z</dcterms:created>
  <dcterms:modified xsi:type="dcterms:W3CDTF">2021-06-30T15:05:37Z</dcterms:modified>
</cp:coreProperties>
</file>