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Haynesworth Linnie M</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5"/>
        </w:trPr>
        <w:tc>
          <w:tcPr>
            <w:tcW w:w="28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02/15/2021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MICRON TECHNOLOGY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MU</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29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240" w:type="dxa"/>
            <w:vAlign w:val="bottom"/>
          </w:tcPr>
          <w:p>
            <w:pPr>
              <w:ind w:left="240"/>
              <w:spacing w:after="0"/>
              <w:rPr>
                <w:sz w:val="20"/>
                <w:szCs w:val="20"/>
                <w:color w:val="auto"/>
              </w:rPr>
            </w:pPr>
            <w:r>
              <w:rPr>
                <w:rFonts w:ascii="Arial" w:cs="Arial" w:eastAsia="Arial" w:hAnsi="Arial"/>
                <w:sz w:val="15"/>
                <w:szCs w:val="15"/>
                <w:color w:val="auto"/>
              </w:rPr>
              <w:t>(First)</w:t>
            </w:r>
          </w:p>
        </w:tc>
        <w:tc>
          <w:tcPr>
            <w:tcW w:w="1040" w:type="dxa"/>
            <w:vAlign w:val="bottom"/>
          </w:tcPr>
          <w:p>
            <w:pPr>
              <w:ind w:left="40"/>
              <w:spacing w:after="0"/>
              <w:rPr>
                <w:sz w:val="20"/>
                <w:szCs w:val="20"/>
                <w:color w:val="auto"/>
              </w:rPr>
            </w:pPr>
            <w:r>
              <w:rPr>
                <w:rFonts w:ascii="Arial" w:cs="Arial" w:eastAsia="Arial" w:hAnsi="Arial"/>
                <w:sz w:val="15"/>
                <w:szCs w:val="15"/>
                <w:color w:val="auto"/>
              </w:rPr>
              <w:t>(Middle)</w:t>
            </w:r>
          </w:p>
        </w:tc>
      </w:tr>
      <w:tr>
        <w:trPr>
          <w:trHeight w:val="314"/>
        </w:trPr>
        <w:tc>
          <w:tcPr>
            <w:tcW w:w="2060" w:type="dxa"/>
            <w:vAlign w:val="bottom"/>
            <w:gridSpan w:val="2"/>
          </w:tcPr>
          <w:p>
            <w:pPr>
              <w:ind w:left="40"/>
              <w:spacing w:after="0"/>
              <w:rPr>
                <w:sz w:val="20"/>
                <w:szCs w:val="20"/>
                <w:color w:val="auto"/>
              </w:rPr>
            </w:pPr>
            <w:r>
              <w:rPr>
                <w:rFonts w:ascii="Arial" w:cs="Arial" w:eastAsia="Arial" w:hAnsi="Arial"/>
                <w:sz w:val="20"/>
                <w:szCs w:val="20"/>
                <w:color w:val="0000FF"/>
                <w:w w:val="91"/>
              </w:rPr>
              <w:t>8000 S. FEDERAL WAY</w:t>
            </w:r>
          </w:p>
        </w:tc>
        <w:tc>
          <w:tcPr>
            <w:tcW w:w="1040" w:type="dxa"/>
            <w:vAlign w:val="bottom"/>
          </w:tcPr>
          <w:p>
            <w:pPr>
              <w:spacing w:after="0"/>
              <w:rPr>
                <w:sz w:val="24"/>
                <w:szCs w:val="24"/>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124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9"/>
        </w:trPr>
        <w:tc>
          <w:tcPr>
            <w:tcW w:w="820" w:type="dxa"/>
            <w:vAlign w:val="bottom"/>
          </w:tcPr>
          <w:p>
            <w:pPr>
              <w:ind w:left="40"/>
              <w:spacing w:after="0"/>
              <w:rPr>
                <w:sz w:val="20"/>
                <w:szCs w:val="20"/>
                <w:color w:val="auto"/>
              </w:rPr>
            </w:pPr>
            <w:r>
              <w:rPr>
                <w:rFonts w:ascii="Arial" w:cs="Arial" w:eastAsia="Arial" w:hAnsi="Arial"/>
                <w:sz w:val="20"/>
                <w:szCs w:val="20"/>
                <w:color w:val="0000FF"/>
              </w:rPr>
              <w:t>BOISE</w:t>
            </w:r>
          </w:p>
        </w:tc>
        <w:tc>
          <w:tcPr>
            <w:tcW w:w="1240" w:type="dxa"/>
            <w:vAlign w:val="bottom"/>
          </w:tcPr>
          <w:p>
            <w:pPr>
              <w:ind w:left="240"/>
              <w:spacing w:after="0"/>
              <w:rPr>
                <w:sz w:val="20"/>
                <w:szCs w:val="20"/>
                <w:color w:val="auto"/>
              </w:rPr>
            </w:pPr>
            <w:r>
              <w:rPr>
                <w:rFonts w:ascii="Arial" w:cs="Arial" w:eastAsia="Arial" w:hAnsi="Arial"/>
                <w:sz w:val="20"/>
                <w:szCs w:val="20"/>
                <w:color w:val="0000FF"/>
              </w:rPr>
              <w:t>ID</w:t>
            </w:r>
          </w:p>
        </w:tc>
        <w:tc>
          <w:tcPr>
            <w:tcW w:w="1040" w:type="dxa"/>
            <w:vAlign w:val="bottom"/>
          </w:tcPr>
          <w:p>
            <w:pPr>
              <w:ind w:left="40"/>
              <w:spacing w:after="0"/>
              <w:rPr>
                <w:sz w:val="20"/>
                <w:szCs w:val="20"/>
                <w:color w:val="auto"/>
              </w:rPr>
            </w:pPr>
            <w:r>
              <w:rPr>
                <w:rFonts w:ascii="Arial" w:cs="Arial" w:eastAsia="Arial" w:hAnsi="Arial"/>
                <w:sz w:val="20"/>
                <w:szCs w:val="20"/>
                <w:color w:val="0000FF"/>
              </w:rPr>
              <w:t>83716</w:t>
            </w:r>
          </w:p>
        </w:tc>
      </w:tr>
      <w:tr>
        <w:trPr>
          <w:trHeight w:val="177"/>
        </w:trPr>
        <w:tc>
          <w:tcPr>
            <w:tcW w:w="82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r>
      <w:tr>
        <w:trPr>
          <w:trHeight w:val="344"/>
        </w:trPr>
        <w:tc>
          <w:tcPr>
            <w:tcW w:w="820" w:type="dxa"/>
            <w:vAlign w:val="bottom"/>
          </w:tcPr>
          <w:p>
            <w:pPr>
              <w:ind w:left="40"/>
              <w:spacing w:after="0"/>
              <w:rPr>
                <w:sz w:val="20"/>
                <w:szCs w:val="20"/>
                <w:color w:val="auto"/>
              </w:rPr>
            </w:pPr>
            <w:r>
              <w:rPr>
                <w:rFonts w:ascii="Arial" w:cs="Arial" w:eastAsia="Arial" w:hAnsi="Arial"/>
                <w:sz w:val="15"/>
                <w:szCs w:val="15"/>
                <w:color w:val="auto"/>
              </w:rPr>
              <w:t>(City)</w:t>
            </w:r>
          </w:p>
        </w:tc>
        <w:tc>
          <w:tcPr>
            <w:tcW w:w="1240" w:type="dxa"/>
            <w:vAlign w:val="bottom"/>
          </w:tcPr>
          <w:p>
            <w:pPr>
              <w:ind w:left="240"/>
              <w:spacing w:after="0"/>
              <w:rPr>
                <w:sz w:val="20"/>
                <w:szCs w:val="20"/>
                <w:color w:val="auto"/>
              </w:rPr>
            </w:pPr>
            <w:r>
              <w:rPr>
                <w:rFonts w:ascii="Arial" w:cs="Arial" w:eastAsia="Arial" w:hAnsi="Arial"/>
                <w:sz w:val="15"/>
                <w:szCs w:val="15"/>
                <w:color w:val="auto"/>
              </w:rPr>
              <w:t>(State)</w:t>
            </w:r>
          </w:p>
        </w:tc>
        <w:tc>
          <w:tcPr>
            <w:tcW w:w="1040" w:type="dxa"/>
            <w:vAlign w:val="bottom"/>
          </w:tcPr>
          <w:p>
            <w:pPr>
              <w:ind w:left="4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615315</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1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92"/>
              </w:rPr>
              <w:t>Mai Lan Bui, Attorney-in-</w:t>
            </w:r>
          </w:p>
        </w:tc>
        <w:tc>
          <w:tcPr>
            <w:tcW w:w="1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02/17/2021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2019" w:firstLine="702"/>
        <w:spacing w:after="0" w:line="237" w:lineRule="auto"/>
        <w:rPr>
          <w:sz w:val="20"/>
          <w:szCs w:val="20"/>
          <w:color w:val="auto"/>
        </w:rPr>
      </w:pPr>
      <w:r>
        <w:rPr>
          <w:rFonts w:ascii="Courier New" w:cs="Courier New" w:eastAsia="Courier New" w:hAnsi="Courier New"/>
          <w:sz w:val="20"/>
          <w:szCs w:val="20"/>
          <w:color w:val="auto"/>
        </w:rPr>
        <w:t>The undersigned, as a Section 16 reporting person of Micron Technology, Inc. (the "Company"), hereby constitutes and appoints Company employees April Arnzen, Senior Vice President and Chief People Officer; Athar Siddiqee, VP, Global Rewards; Matthew Hendley, Senior Manager, Global Stock; Rob Beard, VP, Legal - Global Ops and Corp; and Mai Lan Bui, Stock Plan Manager, and each of them, the undersigned's true and lawful attorney-in-fact to:</w:t>
      </w:r>
    </w:p>
    <w:p>
      <w:pPr>
        <w:spacing w:after="0" w:line="235" w:lineRule="exact"/>
        <w:rPr>
          <w:sz w:val="20"/>
          <w:szCs w:val="20"/>
          <w:color w:val="auto"/>
        </w:rPr>
      </w:pPr>
    </w:p>
    <w:p>
      <w:pPr>
        <w:ind w:right="2259"/>
        <w:spacing w:after="0" w:line="236"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complete and execute Forms 3, 4 and 5 and other forms, and all amendments thereto, as such attorney-in-fact shall in</w:t>
      </w:r>
    </w:p>
    <w:p>
      <w:pPr>
        <w:spacing w:after="0" w:line="4" w:lineRule="exact"/>
        <w:rPr>
          <w:rFonts w:ascii="Courier New" w:cs="Courier New" w:eastAsia="Courier New" w:hAnsi="Courier New"/>
          <w:sz w:val="20"/>
          <w:szCs w:val="20"/>
          <w:color w:val="auto"/>
        </w:rPr>
      </w:pPr>
    </w:p>
    <w:p>
      <w:pPr>
        <w:ind w:right="319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his or her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34" w:lineRule="exact"/>
        <w:rPr>
          <w:rFonts w:ascii="Courier New" w:cs="Courier New" w:eastAsia="Courier New" w:hAnsi="Courier New"/>
          <w:sz w:val="20"/>
          <w:szCs w:val="20"/>
          <w:color w:val="auto"/>
        </w:rPr>
      </w:pPr>
    </w:p>
    <w:p>
      <w:pPr>
        <w:ind w:right="2259"/>
        <w:spacing w:after="0" w:line="236"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Securities and Exchange Commission, any securities</w:t>
      </w:r>
    </w:p>
    <w:p>
      <w:pPr>
        <w:spacing w:after="0" w:line="4" w:lineRule="exact"/>
        <w:rPr>
          <w:rFonts w:ascii="Courier New" w:cs="Courier New" w:eastAsia="Courier New" w:hAnsi="Courier New"/>
          <w:sz w:val="20"/>
          <w:szCs w:val="20"/>
          <w:color w:val="auto"/>
        </w:rPr>
      </w:pPr>
    </w:p>
    <w:p>
      <w:pPr>
        <w:ind w:right="3299"/>
        <w:spacing w:after="0" w:line="236"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exchange or national association, the Company and such other person or agency as the attorney-in-fact shall deem appropriate to comply with applicable law.</w:t>
      </w:r>
    </w:p>
    <w:p>
      <w:pPr>
        <w:spacing w:after="0" w:line="232" w:lineRule="exact"/>
        <w:rPr>
          <w:sz w:val="20"/>
          <w:szCs w:val="20"/>
          <w:color w:val="auto"/>
        </w:rPr>
      </w:pPr>
    </w:p>
    <w:p>
      <w:pPr>
        <w:ind w:right="2139" w:firstLine="702"/>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5" w:lineRule="exact"/>
        <w:rPr>
          <w:sz w:val="20"/>
          <w:szCs w:val="20"/>
          <w:color w:val="auto"/>
        </w:rPr>
      </w:pPr>
    </w:p>
    <w:p>
      <w:pPr>
        <w:ind w:right="2019" w:firstLine="702"/>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w:t>
      </w:r>
    </w:p>
    <w:p>
      <w:pPr>
        <w:spacing w:after="0" w:line="232" w:lineRule="exact"/>
        <w:rPr>
          <w:sz w:val="20"/>
          <w:szCs w:val="20"/>
          <w:color w:val="auto"/>
        </w:rPr>
      </w:pPr>
    </w:p>
    <w:p>
      <w:pPr>
        <w:ind w:right="2259" w:firstLine="702"/>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15th of February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Signature:/s/ Linnie Haynesworth</w:t>
      </w:r>
    </w:p>
    <w:p>
      <w:pPr>
        <w:spacing w:after="0" w:line="238" w:lineRule="auto"/>
        <w:rPr>
          <w:sz w:val="20"/>
          <w:szCs w:val="20"/>
          <w:color w:val="auto"/>
        </w:rPr>
      </w:pPr>
      <w:r>
        <w:rPr>
          <w:rFonts w:ascii="Courier New" w:cs="Courier New" w:eastAsia="Courier New" w:hAnsi="Courier New"/>
          <w:sz w:val="20"/>
          <w:szCs w:val="20"/>
          <w:color w:val="auto"/>
        </w:rPr>
        <w:t>Print Name: Linnie Haynesworth</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790292" TargetMode="External"/><Relationship Id="rId11"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2021-02-17T16:58:00Z</dcterms:created>
  <dcterms:modified xsi:type="dcterms:W3CDTF">2021-02-17T16:58:00Z</dcterms:modified>
</cp:coreProperties>
</file>