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LEWIS RODERIC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VP Legal Affairs, Gen Counsel </w:t>
      </w:r>
      <w:r>
        <w:rPr>
          <w:rFonts w:ascii="Arial" w:cs="Arial" w:eastAsia="Arial" w:hAnsi="Arial"/>
          <w:sz w:val="21"/>
          <w:szCs w:val="21"/>
          <w:color w:val="000000"/>
        </w:rPr>
        <w:t>/</w:t>
      </w:r>
      <w:r>
        <w:rPr>
          <w:rFonts w:ascii="Arial" w:cs="Arial" w:eastAsia="Arial" w:hAnsi="Arial"/>
          <w:sz w:val="18"/>
          <w:szCs w:val="18"/>
          <w:color w:val="0000FF"/>
        </w:rPr>
        <w:t xml:space="preserve"> &amp;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Corporate Secretary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10/11/2012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13,375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5.76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638,898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 Reid Attorney-in-fact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10/15/2012</w:t>
            </w:r>
          </w:p>
        </w:tc>
      </w:tr>
      <w:tr>
        <w:trPr>
          <w:trHeight w:val="20"/>
        </w:trPr>
        <w:tc>
          <w:tcPr>
            <w:tcW w:w="1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2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2019-12-16T04:10:22Z</dcterms:created>
  <dcterms:modified xsi:type="dcterms:W3CDTF">2019-12-16T04:10:22Z</dcterms:modified>
</cp:coreProperties>
</file>