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300"/>
          </w:cols>
          <w:pgMar w:left="580" w:top="205" w:right="1019" w:bottom="1440" w:gutter="0" w:footer="0" w:header="0"/>
        </w:sectPr>
      </w:pP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68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Exchange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buy these</w:t>
            </w:r>
          </w:p>
        </w:tc>
      </w:tr>
      <w:tr>
        <w:trPr>
          <w:trHeight w:val="139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U.S. Securities and</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soliciting an offer to</w:t>
            </w:r>
          </w:p>
        </w:tc>
      </w:tr>
      <w:tr>
        <w:trPr>
          <w:trHeight w:val="276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to these notes has been filed with the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offer to sell these notes and they are not</w:t>
            </w:r>
          </w:p>
        </w:tc>
      </w:tr>
      <w:tr>
        <w:trPr>
          <w:trHeight w:val="319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be changed. A registration statement relating</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and the accompanying prospectus are not an</w:t>
            </w:r>
          </w:p>
        </w:tc>
      </w:tr>
      <w:tr>
        <w:trPr>
          <w:trHeight w:val="20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71"/>
              </w:rPr>
              <w:t>may</w:t>
            </w:r>
          </w:p>
        </w:tc>
        <w:tc>
          <w:tcPr>
            <w:tcW w:w="1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ind w:left="5800"/>
        <w:spacing w:after="0"/>
        <w:rPr>
          <w:sz w:val="20"/>
          <w:szCs w:val="20"/>
          <w:color w:val="auto"/>
        </w:rPr>
      </w:pPr>
      <w:r>
        <w:rPr>
          <w:rFonts w:ascii="Arial" w:cs="Arial" w:eastAsia="Arial" w:hAnsi="Arial"/>
          <w:sz w:val="22"/>
          <w:szCs w:val="22"/>
          <w:b w:val="1"/>
          <w:bCs w:val="1"/>
          <w:color w:val="auto"/>
        </w:rPr>
        <w:t> Filed pursuant to Rule 424(b)(2)</w:t>
      </w:r>
    </w:p>
    <w:p>
      <w:pPr>
        <w:spacing w:after="0" w:line="12" w:lineRule="exact"/>
        <w:rPr>
          <w:sz w:val="24"/>
          <w:szCs w:val="24"/>
          <w:color w:val="auto"/>
        </w:rPr>
      </w:pPr>
    </w:p>
    <w:p>
      <w:pPr>
        <w:ind w:left="6220"/>
        <w:spacing w:after="0"/>
        <w:rPr>
          <w:sz w:val="20"/>
          <w:szCs w:val="20"/>
          <w:color w:val="auto"/>
        </w:rPr>
      </w:pPr>
      <w:r>
        <w:rPr>
          <w:rFonts w:ascii="Arial" w:cs="Arial" w:eastAsia="Arial" w:hAnsi="Arial"/>
          <w:sz w:val="21"/>
          <w:szCs w:val="21"/>
          <w:b w:val="1"/>
          <w:bCs w:val="1"/>
          <w:color w:val="auto"/>
        </w:rPr>
        <w:t> Registration No. 333-249838​</w:t>
      </w:r>
    </w:p>
    <w:p>
      <w:pPr>
        <w:spacing w:after="0" w:line="7" w:lineRule="exact"/>
        <w:rPr>
          <w:sz w:val="24"/>
          <w:szCs w:val="24"/>
          <w:color w:val="auto"/>
        </w:rPr>
      </w:pPr>
    </w:p>
    <w:p>
      <w:pPr>
        <w:ind w:left="2760"/>
        <w:spacing w:after="0"/>
        <w:rPr>
          <w:sz w:val="20"/>
          <w:szCs w:val="20"/>
          <w:color w:val="auto"/>
        </w:rPr>
      </w:pPr>
      <w:r>
        <w:rPr>
          <w:rFonts w:ascii="Arial" w:cs="Arial" w:eastAsia="Arial" w:hAnsi="Arial"/>
          <w:sz w:val="18"/>
          <w:szCs w:val="18"/>
          <w:b w:val="1"/>
          <w:bCs w:val="1"/>
          <w:color w:val="FC0014"/>
        </w:rPr>
        <w:t>Subject to Completion, dated April 5, 2023</w:t>
      </w:r>
    </w:p>
    <w:p>
      <w:pPr>
        <w:spacing w:after="0" w:line="4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Preliminary Prospectus Supplement</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 Prospectus dated November 4, 2020)</w:t>
      </w:r>
    </w:p>
    <w:p>
      <w:pPr>
        <w:spacing w:after="0" w:line="76"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2038985</wp:posOffset>
            </wp:positionH>
            <wp:positionV relativeFrom="paragraph">
              <wp:posOffset>88900</wp:posOffset>
            </wp:positionV>
            <wp:extent cx="170561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0561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920"/>
        <w:spacing w:after="0"/>
        <w:rPr>
          <w:sz w:val="20"/>
          <w:szCs w:val="20"/>
          <w:color w:val="auto"/>
        </w:rPr>
      </w:pPr>
      <w:r>
        <w:rPr>
          <w:rFonts w:ascii="Arial" w:cs="Arial" w:eastAsia="Arial" w:hAnsi="Arial"/>
          <w:sz w:val="29"/>
          <w:szCs w:val="29"/>
          <w:b w:val="1"/>
          <w:bCs w:val="1"/>
          <w:color w:val="auto"/>
        </w:rPr>
        <w:t>Micron Technology, Inc.</w:t>
      </w:r>
      <w:r>
        <w:rPr>
          <w:rFonts w:ascii="Times New Roman" w:cs="Times New Roman" w:eastAsia="Times New Roman" w:hAnsi="Times New Roman"/>
          <w:sz w:val="39"/>
          <w:szCs w:val="39"/>
          <w:color w:val="auto"/>
        </w:rPr>
        <w:t>​</w:t>
      </w:r>
    </w:p>
    <w:p>
      <w:pPr>
        <w:spacing w:after="0" w:line="80" w:lineRule="exact"/>
        <w:rPr>
          <w:sz w:val="24"/>
          <w:szCs w:val="24"/>
          <w:color w:val="auto"/>
        </w:rPr>
      </w:pPr>
    </w:p>
    <w:p>
      <w:pPr>
        <w:ind w:left="3820" w:hanging="253"/>
        <w:spacing w:after="0"/>
        <w:tabs>
          <w:tab w:leader="none" w:pos="38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Senior Notes due 20</w:t>
      </w:r>
    </w:p>
    <w:p>
      <w:pPr>
        <w:spacing w:after="0" w:line="84" w:lineRule="exact"/>
        <w:rPr>
          <w:rFonts w:ascii="Arial" w:cs="Arial" w:eastAsia="Arial" w:hAnsi="Arial"/>
          <w:sz w:val="22"/>
          <w:szCs w:val="22"/>
          <w:b w:val="1"/>
          <w:bCs w:val="1"/>
          <w:color w:val="auto"/>
        </w:rPr>
      </w:pPr>
    </w:p>
    <w:p>
      <w:pPr>
        <w:ind w:left="3820" w:hanging="253"/>
        <w:spacing w:after="0"/>
        <w:tabs>
          <w:tab w:leader="none" w:pos="38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Senior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97790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3" w:lineRule="exact"/>
        <w:rPr>
          <w:sz w:val="24"/>
          <w:szCs w:val="24"/>
          <w:color w:val="auto"/>
        </w:rPr>
      </w:pPr>
    </w:p>
    <w:p>
      <w:pPr>
        <w:ind w:right="180"/>
        <w:spacing w:after="0" w:line="263" w:lineRule="auto"/>
        <w:rPr>
          <w:sz w:val="20"/>
          <w:szCs w:val="20"/>
          <w:color w:val="auto"/>
        </w:rPr>
      </w:pPr>
      <w:r>
        <w:rPr>
          <w:rFonts w:ascii="Arial" w:cs="Arial" w:eastAsia="Arial" w:hAnsi="Arial"/>
          <w:sz w:val="14"/>
          <w:szCs w:val="14"/>
          <w:color w:val="auto"/>
        </w:rPr>
        <w:t>Micron Technology, Inc. is offering $            in aggregate principal amount of        % senior notes due 20    (the “20    notes”) and $            in aggregate principal amount of        % senior notes due 20    (the “20    notes” and, together with the 20    notes, the “notes”). The 20    notes and the 20    notes are each referred to herein as a series of notes.</w:t>
      </w:r>
    </w:p>
    <w:p>
      <w:pPr>
        <w:spacing w:after="0" w:line="24" w:lineRule="exact"/>
        <w:rPr>
          <w:sz w:val="24"/>
          <w:szCs w:val="24"/>
          <w:color w:val="auto"/>
        </w:rPr>
      </w:pPr>
    </w:p>
    <w:p>
      <w:pPr>
        <w:jc w:val="both"/>
        <w:ind w:right="300"/>
        <w:spacing w:after="0" w:line="314" w:lineRule="auto"/>
        <w:rPr>
          <w:sz w:val="20"/>
          <w:szCs w:val="20"/>
          <w:color w:val="auto"/>
        </w:rPr>
      </w:pPr>
      <w:r>
        <w:rPr>
          <w:rFonts w:ascii="Arial" w:cs="Arial" w:eastAsia="Arial" w:hAnsi="Arial"/>
          <w:sz w:val="13"/>
          <w:szCs w:val="13"/>
          <w:color w:val="auto"/>
        </w:rPr>
        <w:t>The 20    notes will bear interest at the rate of        % per year and the 20    notes will bear interest at the rate of        % per year. Interest on the notes will be payable semi-annually in arrears on                               and                               of each year, beginning                      , 2023.</w:t>
      </w:r>
    </w:p>
    <w:p>
      <w:pPr>
        <w:spacing w:after="0"/>
        <w:rPr>
          <w:sz w:val="20"/>
          <w:szCs w:val="20"/>
          <w:color w:val="auto"/>
        </w:rPr>
      </w:pPr>
      <w:r>
        <w:rPr>
          <w:rFonts w:ascii="Arial" w:cs="Arial" w:eastAsia="Arial" w:hAnsi="Arial"/>
          <w:sz w:val="14"/>
          <w:szCs w:val="14"/>
          <w:color w:val="auto"/>
        </w:rPr>
        <w:t>The 20    notes will mature on                      , 20    and the 20    notes will mature on                      , 20    .</w:t>
      </w:r>
    </w:p>
    <w:p>
      <w:pPr>
        <w:spacing w:after="0" w:line="82" w:lineRule="exact"/>
        <w:rPr>
          <w:sz w:val="24"/>
          <w:szCs w:val="24"/>
          <w:color w:val="auto"/>
        </w:rPr>
      </w:pPr>
    </w:p>
    <w:p>
      <w:pPr>
        <w:ind w:right="300"/>
        <w:spacing w:after="0" w:line="246" w:lineRule="auto"/>
        <w:rPr>
          <w:sz w:val="20"/>
          <w:szCs w:val="20"/>
          <w:color w:val="auto"/>
        </w:rPr>
      </w:pPr>
      <w:r>
        <w:rPr>
          <w:rFonts w:ascii="Arial" w:cs="Arial" w:eastAsia="Arial" w:hAnsi="Arial"/>
          <w:sz w:val="14"/>
          <w:szCs w:val="14"/>
          <w:color w:val="auto"/>
        </w:rPr>
        <w:t>We may redeem some or all of the notes, at any time or from time to time, at a redemption price equal to the greater of (i) a make-whole amount (as described in the section entitled “Description of the Notes — Optional Redemption”) and (ii) 100% of the principal amount of the notes to be redeemed, plus accrued and unpaid interest thereon to, but excluding, the redemption date. In addition, we may redeem the 20    notes, in whole or in part, at any time from or after                      , 20    and the 20    notes, in whole or in part, at any time from or after</w:t>
      </w:r>
    </w:p>
    <w:p>
      <w:pPr>
        <w:spacing w:after="0" w:line="2" w:lineRule="exact"/>
        <w:rPr>
          <w:sz w:val="24"/>
          <w:szCs w:val="24"/>
          <w:color w:val="auto"/>
        </w:rPr>
      </w:pPr>
    </w:p>
    <w:p>
      <w:pPr>
        <w:ind w:right="180"/>
        <w:spacing w:after="0" w:line="246" w:lineRule="auto"/>
        <w:tabs>
          <w:tab w:leader="none" w:pos="80" w:val="left"/>
        </w:tabs>
        <w:numPr>
          <w:ilvl w:val="0"/>
          <w:numId w:val="2"/>
        </w:numPr>
        <w:rPr>
          <w:rFonts w:ascii="Arial" w:cs="Arial" w:eastAsia="Arial" w:hAnsi="Arial"/>
          <w:sz w:val="14"/>
          <w:szCs w:val="14"/>
          <w:color w:val="auto"/>
        </w:rPr>
      </w:pPr>
      <w:r>
        <w:rPr>
          <w:rFonts w:ascii="Arial" w:cs="Arial" w:eastAsia="Arial" w:hAnsi="Arial"/>
          <w:sz w:val="14"/>
          <w:szCs w:val="14"/>
          <w:color w:val="auto"/>
        </w:rPr>
        <w:t>                   , 20    , in each case, at a redemption price equal to 100% of the principal amount of the notes to be redeemed, plus accrued and unpaid interest thereon to, but excluding, the redemption date. See “Description of the Notes — Optional Redemption” in this prospectus supplement for more information. We will be required to make an offer to purchase each series of the notes, at a price equal to 101% of their principal amount, plus accrued and unpaid interest to, but excluding, the date of purchase, upon the occurrence of a Change of Control Triggering Event (as defined herein) with respect to such series. See the section entitled “Description of the Notes — Repurchase of Notes Upon a Change of Control Triggering Event” for more information.</w:t>
      </w:r>
    </w:p>
    <w:p>
      <w:pPr>
        <w:spacing w:after="0" w:line="35" w:lineRule="exact"/>
        <w:rPr>
          <w:sz w:val="24"/>
          <w:szCs w:val="24"/>
          <w:color w:val="auto"/>
        </w:rPr>
      </w:pPr>
    </w:p>
    <w:p>
      <w:pPr>
        <w:ind w:right="180"/>
        <w:spacing w:after="0" w:line="285" w:lineRule="auto"/>
        <w:rPr>
          <w:sz w:val="20"/>
          <w:szCs w:val="20"/>
          <w:color w:val="auto"/>
        </w:rPr>
      </w:pPr>
      <w:r>
        <w:rPr>
          <w:rFonts w:ascii="Arial" w:cs="Arial" w:eastAsia="Arial" w:hAnsi="Arial"/>
          <w:sz w:val="14"/>
          <w:szCs w:val="14"/>
          <w:color w:val="auto"/>
        </w:rPr>
        <w:t>The notes will be our senior unsecured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3175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70" w:lineRule="exact"/>
        <w:rPr>
          <w:sz w:val="24"/>
          <w:szCs w:val="24"/>
          <w:color w:val="auto"/>
        </w:rPr>
      </w:pPr>
    </w:p>
    <w:p>
      <w:pPr>
        <w:ind w:right="540"/>
        <w:spacing w:after="0" w:line="294" w:lineRule="auto"/>
        <w:rPr>
          <w:sz w:val="20"/>
          <w:szCs w:val="20"/>
          <w:color w:val="auto"/>
        </w:rPr>
      </w:pPr>
      <w:r>
        <w:rPr>
          <w:rFonts w:ascii="Arial" w:cs="Arial" w:eastAsia="Arial" w:hAnsi="Arial"/>
          <w:sz w:val="14"/>
          <w:szCs w:val="14"/>
          <w:b w:val="1"/>
          <w:bCs w:val="1"/>
          <w:color w:val="auto"/>
        </w:rPr>
        <w:t xml:space="preserve">Investing in the notes involves risks. See “Risk Factors” beginning on page </w:t>
      </w:r>
      <w:r>
        <w:rPr>
          <w:rFonts w:ascii="Arial" w:cs="Arial" w:eastAsia="Arial" w:hAnsi="Arial"/>
          <w:sz w:val="14"/>
          <w:szCs w:val="14"/>
          <w:b w:val="1"/>
          <w:bCs w:val="1"/>
          <w:u w:val="single" w:color="auto"/>
          <w:color w:val="0000EE"/>
        </w:rPr>
        <w:t>S-5</w:t>
      </w:r>
      <w:r>
        <w:rPr>
          <w:rFonts w:ascii="Arial" w:cs="Arial" w:eastAsia="Arial" w:hAnsi="Arial"/>
          <w:sz w:val="14"/>
          <w:szCs w:val="14"/>
          <w:b w:val="1"/>
          <w:bCs w:val="1"/>
          <w:color w:val="auto"/>
        </w:rPr>
        <w:t xml:space="preserve"> for a discussion of certain risks that should be considered in connection with an investment in the notes.</w:t>
      </w:r>
    </w:p>
    <w:p>
      <w:pPr>
        <w:spacing w:after="0" w:line="11" w:lineRule="exact"/>
        <w:rPr>
          <w:sz w:val="24"/>
          <w:szCs w:val="24"/>
          <w:color w:val="auto"/>
        </w:rPr>
      </w:pPr>
    </w:p>
    <w:p>
      <w:pPr>
        <w:ind w:right="300"/>
        <w:spacing w:after="0" w:line="267" w:lineRule="auto"/>
        <w:rPr>
          <w:sz w:val="20"/>
          <w:szCs w:val="20"/>
          <w:color w:val="auto"/>
        </w:rPr>
      </w:pPr>
      <w:r>
        <w:rPr>
          <w:rFonts w:ascii="Arial" w:cs="Arial" w:eastAsia="Arial" w:hAnsi="Arial"/>
          <w:sz w:val="14"/>
          <w:szCs w:val="14"/>
          <w:b w:val="1"/>
          <w:bCs w:val="1"/>
          <w:color w:val="auto"/>
        </w:rPr>
        <w:t>Neither the U.S.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-635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58" w:lineRule="exact"/>
        <w:rPr>
          <w:sz w:val="24"/>
          <w:szCs w:val="24"/>
          <w:color w:val="auto"/>
        </w:rPr>
      </w:pPr>
    </w:p>
    <w:p>
      <w:pPr>
        <w:sectPr>
          <w:pgSz w:w="11900" w:h="16838" w:orient="portrait"/>
          <w:cols w:equalWidth="0" w:num="2">
            <w:col w:w="740" w:space="400"/>
            <w:col w:w="9160"/>
          </w:cols>
          <w:pgMar w:left="580" w:top="205" w:right="1019" w:bottom="1440" w:gutter="0" w:footer="0" w:header="0"/>
          <w:type w:val="continuous"/>
        </w:sectPr>
      </w:pPr>
    </w:p>
    <w:p>
      <w:pPr>
        <w:spacing w:after="0" w:line="296" w:lineRule="exact"/>
        <w:rPr>
          <w:sz w:val="24"/>
          <w:szCs w:val="24"/>
          <w:color w:val="auto"/>
        </w:rPr>
      </w:pPr>
    </w:p>
    <w:p>
      <w:pPr>
        <w:ind w:left="1140"/>
        <w:spacing w:after="0"/>
        <w:rPr>
          <w:sz w:val="20"/>
          <w:szCs w:val="20"/>
          <w:color w:val="auto"/>
        </w:rPr>
      </w:pP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722630</wp:posOffset>
            </wp:positionH>
            <wp:positionV relativeFrom="paragraph">
              <wp:posOffset>6350</wp:posOffset>
            </wp:positionV>
            <wp:extent cx="5768975"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68975" cy="137160"/>
                    </a:xfrm>
                    <a:prstGeom prst="rect">
                      <a:avLst/>
                    </a:prstGeom>
                    <a:noFill/>
                  </pic:spPr>
                </pic:pic>
              </a:graphicData>
            </a:graphic>
          </wp:anchor>
        </w:drawing>
      </w:r>
    </w:p>
    <w:p>
      <w:pPr>
        <w:spacing w:after="0" w:line="22"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Per 20    Note</w:t>
      </w:r>
    </w:p>
    <w:p>
      <w:pPr>
        <w:spacing w:after="0" w:line="42"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20    Notes Total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722630</wp:posOffset>
            </wp:positionH>
            <wp:positionV relativeFrom="paragraph">
              <wp:posOffset>15240</wp:posOffset>
            </wp:positionV>
            <wp:extent cx="576897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68975" cy="128905"/>
                    </a:xfrm>
                    <a:prstGeom prst="rect">
                      <a:avLst/>
                    </a:prstGeom>
                    <a:noFill/>
                  </pic:spPr>
                </pic:pic>
              </a:graphicData>
            </a:graphic>
          </wp:anchor>
        </w:drawing>
      </w:r>
    </w:p>
    <w:p>
      <w:pPr>
        <w:spacing w:after="0" w:line="22"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Per 20    Note</w:t>
      </w:r>
    </w:p>
    <w:p>
      <w:pPr>
        <w:spacing w:after="0" w:line="42"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20    Notes Total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722630</wp:posOffset>
            </wp:positionH>
            <wp:positionV relativeFrom="paragraph">
              <wp:posOffset>15240</wp:posOffset>
            </wp:positionV>
            <wp:extent cx="576897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68975" cy="128905"/>
                    </a:xfrm>
                    <a:prstGeom prst="rect">
                      <a:avLst/>
                    </a:prstGeom>
                    <a:noFill/>
                  </pic:spPr>
                </pic:pic>
              </a:graphicData>
            </a:graphic>
          </wp:anchor>
        </w:drawing>
      </w:r>
    </w:p>
    <w:p>
      <w:pPr>
        <w:spacing w:after="0" w:line="22"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Total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722630</wp:posOffset>
            </wp:positionH>
            <wp:positionV relativeFrom="paragraph">
              <wp:posOffset>143510</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32" w:lineRule="exact"/>
        <w:rPr>
          <w:sz w:val="24"/>
          <w:szCs w:val="24"/>
          <w:color w:val="auto"/>
        </w:rPr>
      </w:pPr>
    </w:p>
    <w:p>
      <w:pPr>
        <w:ind w:left="1500" w:hanging="360"/>
        <w:spacing w:after="0"/>
        <w:tabs>
          <w:tab w:leader="none" w:pos="1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Plus accrued interest, if any, from                     , 2023.</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160" w:type="dxa"/>
            <w:vAlign w:val="bottom"/>
          </w:tcPr>
          <w:p>
            <w:pPr>
              <w:spacing w:after="0"/>
              <w:rPr>
                <w:sz w:val="11"/>
                <w:szCs w:val="11"/>
                <w:color w:val="auto"/>
              </w:rPr>
            </w:pPr>
          </w:p>
        </w:tc>
        <w:tc>
          <w:tcPr>
            <w:tcW w:w="5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9"/>
              </w:rPr>
              <w:t>Public</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Underwriting</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rPr>
              <w:t>Proceeds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offering</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to us, before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00" w:type="dxa"/>
            <w:vAlign w:val="bottom"/>
            <w:gridSpan w:val="2"/>
          </w:tcPr>
          <w:p>
            <w:pPr>
              <w:spacing w:after="0" w:line="189" w:lineRule="exact"/>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price</w:t>
            </w:r>
            <w:r>
              <w:rPr>
                <w:rFonts w:ascii="Arial" w:cs="Arial" w:eastAsia="Arial" w:hAnsi="Arial"/>
                <w:sz w:val="14"/>
                <w:szCs w:val="14"/>
                <w:b w:val="1"/>
                <w:bCs w:val="1"/>
                <w:color w:val="auto"/>
                <w:vertAlign w:val="superscript"/>
              </w:rPr>
              <w:t>(1)</w:t>
            </w:r>
          </w:p>
        </w:tc>
        <w:tc>
          <w:tcPr>
            <w:tcW w:w="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discount</w:t>
            </w:r>
            <w:r>
              <w:rPr>
                <w:rFonts w:ascii="Arial" w:cs="Arial" w:eastAsia="Arial" w:hAnsi="Arial"/>
                <w:sz w:val="8"/>
                <w:szCs w:val="8"/>
                <w:b w:val="1"/>
                <w:bCs w:val="1"/>
                <w:color w:val="auto"/>
              </w:rPr>
              <w:t>(2)</w:t>
            </w:r>
          </w:p>
        </w:tc>
        <w:tc>
          <w:tcPr>
            <w:tcW w:w="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expenses</w:t>
            </w:r>
            <w:r>
              <w:rPr>
                <w:rFonts w:ascii="Arial" w:cs="Arial" w:eastAsia="Arial" w:hAnsi="Arial"/>
                <w:sz w:val="8"/>
                <w:szCs w:val="8"/>
                <w:b w:val="1"/>
                <w:bCs w:val="1"/>
                <w:color w:val="auto"/>
              </w:rPr>
              <w:t>(1)</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960" w:type="dxa"/>
            <w:vAlign w:val="bottom"/>
            <w:gridSpan w:val="4"/>
          </w:tcPr>
          <w:p>
            <w:pPr>
              <w:jc w:val="right"/>
              <w:spacing w:after="0"/>
              <w:rPr>
                <w:sz w:val="20"/>
                <w:szCs w:val="20"/>
                <w:color w:val="auto"/>
              </w:rPr>
            </w:pPr>
            <w:r>
              <w:rPr>
                <w:rFonts w:ascii="Arial" w:cs="Arial" w:eastAsia="Arial" w:hAnsi="Arial"/>
                <w:sz w:val="14"/>
                <w:szCs w:val="14"/>
                <w:color w:val="auto"/>
              </w:rPr>
              <w:t>​ ​ ​ ​        %​​ ​</w:t>
            </w:r>
          </w:p>
        </w:tc>
        <w:tc>
          <w:tcPr>
            <w:tcW w:w="320" w:type="dxa"/>
            <w:vAlign w:val="bottom"/>
          </w:tcPr>
          <w:p>
            <w:pPr>
              <w:ind w:left="160"/>
              <w:spacing w:after="0"/>
              <w:rPr>
                <w:sz w:val="20"/>
                <w:szCs w:val="20"/>
                <w:color w:val="auto"/>
              </w:rPr>
            </w:pPr>
            <w:r>
              <w:rPr>
                <w:rFonts w:ascii="Arial" w:cs="Arial" w:eastAsia="Arial" w:hAnsi="Arial"/>
                <w:sz w:val="14"/>
                <w:szCs w:val="14"/>
                <w:color w:val="auto"/>
              </w:rPr>
              <w:t>​ ​</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      % ​ ​ ​</w:t>
            </w:r>
          </w:p>
        </w:tc>
        <w:tc>
          <w:tcPr>
            <w:tcW w:w="320" w:type="dxa"/>
            <w:vAlign w:val="bottom"/>
          </w:tcPr>
          <w:p>
            <w:pPr>
              <w:ind w:left="160"/>
              <w:spacing w:after="0"/>
              <w:rPr>
                <w:sz w:val="20"/>
                <w:szCs w:val="20"/>
                <w:color w:val="auto"/>
              </w:rPr>
            </w:pPr>
            <w:r>
              <w:rPr>
                <w:rFonts w:ascii="Arial" w:cs="Arial" w:eastAsia="Arial" w:hAnsi="Arial"/>
                <w:sz w:val="14"/>
                <w:szCs w:val="14"/>
                <w:color w:val="auto"/>
              </w:rPr>
              <w:t>​ ​</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0" w:type="dxa"/>
            <w:vAlign w:val="bottom"/>
          </w:tcPr>
          <w:p>
            <w:pPr>
              <w:spacing w:after="0"/>
              <w:rPr>
                <w:sz w:val="1"/>
                <w:szCs w:val="1"/>
                <w:color w:val="auto"/>
              </w:rPr>
            </w:pPr>
          </w:p>
        </w:tc>
      </w:tr>
      <w:tr>
        <w:trPr>
          <w:trHeight w:val="203"/>
        </w:trPr>
        <w:tc>
          <w:tcPr>
            <w:tcW w:w="700" w:type="dxa"/>
            <w:vAlign w:val="bottom"/>
            <w:gridSpan w:val="2"/>
          </w:tcPr>
          <w:p>
            <w:pPr>
              <w:spacing w:after="0"/>
              <w:rPr>
                <w:sz w:val="20"/>
                <w:szCs w:val="20"/>
                <w:color w:val="auto"/>
              </w:rPr>
            </w:pPr>
            <w:r>
              <w:rPr>
                <w:rFonts w:ascii="Arial" w:cs="Arial" w:eastAsia="Arial" w:hAnsi="Arial"/>
                <w:sz w:val="14"/>
                <w:szCs w:val="14"/>
                <w:color w:val="auto"/>
              </w:rPr>
              <w:t>​ ​ ​$</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00" w:type="dxa"/>
            <w:vAlign w:val="bottom"/>
            <w:gridSpan w:val="2"/>
          </w:tcPr>
          <w:p>
            <w:pPr>
              <w:spacing w:after="0"/>
              <w:rPr>
                <w:sz w:val="20"/>
                <w:szCs w:val="20"/>
                <w:color w:val="auto"/>
              </w:rPr>
            </w:pPr>
            <w:r>
              <w:rPr>
                <w:rFonts w:ascii="Arial" w:cs="Arial" w:eastAsia="Arial" w:hAnsi="Arial"/>
                <w:sz w:val="14"/>
                <w:szCs w:val="14"/>
                <w:color w:val="auto"/>
              </w:rPr>
              <w:t>​ ​ ​ ​</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320" w:type="dxa"/>
            <w:vAlign w:val="bottom"/>
          </w:tcPr>
          <w:p>
            <w:pPr>
              <w:ind w:left="160"/>
              <w:spacing w:after="0"/>
              <w:rPr>
                <w:sz w:val="20"/>
                <w:szCs w:val="20"/>
                <w:color w:val="auto"/>
              </w:rPr>
            </w:pPr>
            <w:r>
              <w:rPr>
                <w:rFonts w:ascii="Arial" w:cs="Arial" w:eastAsia="Arial" w:hAnsi="Arial"/>
                <w:sz w:val="14"/>
                <w:szCs w:val="14"/>
                <w:color w:val="auto"/>
              </w:rPr>
              <w:t>​ ​</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 ​ ​ ​</w:t>
            </w:r>
          </w:p>
        </w:tc>
        <w:tc>
          <w:tcPr>
            <w:tcW w:w="320" w:type="dxa"/>
            <w:vAlign w:val="bottom"/>
          </w:tcPr>
          <w:p>
            <w:pPr>
              <w:ind w:left="160"/>
              <w:spacing w:after="0"/>
              <w:rPr>
                <w:sz w:val="20"/>
                <w:szCs w:val="20"/>
                <w:color w:val="auto"/>
              </w:rPr>
            </w:pPr>
            <w:r>
              <w:rPr>
                <w:rFonts w:ascii="Arial" w:cs="Arial" w:eastAsia="Arial" w:hAnsi="Arial"/>
                <w:sz w:val="14"/>
                <w:szCs w:val="14"/>
                <w:color w:val="auto"/>
              </w:rPr>
              <w:t>​ ​</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3"/>
        </w:trPr>
        <w:tc>
          <w:tcPr>
            <w:tcW w:w="700" w:type="dxa"/>
            <w:vAlign w:val="bottom"/>
            <w:gridSpan w:val="2"/>
          </w:tcPr>
          <w:p>
            <w:pPr>
              <w:spacing w:after="0"/>
              <w:rPr>
                <w:sz w:val="20"/>
                <w:szCs w:val="20"/>
                <w:color w:val="auto"/>
              </w:rPr>
            </w:pPr>
            <w:r>
              <w:rPr>
                <w:rFonts w:ascii="Arial" w:cs="Arial" w:eastAsia="Arial" w:hAnsi="Arial"/>
                <w:sz w:val="14"/>
                <w:szCs w:val="14"/>
                <w:color w:val="auto"/>
              </w:rPr>
              <w:t>​ ​ ​$</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960" w:type="dxa"/>
            <w:vAlign w:val="bottom"/>
            <w:gridSpan w:val="4"/>
          </w:tcPr>
          <w:p>
            <w:pPr>
              <w:jc w:val="right"/>
              <w:spacing w:after="0"/>
              <w:rPr>
                <w:sz w:val="20"/>
                <w:szCs w:val="20"/>
                <w:color w:val="auto"/>
              </w:rPr>
            </w:pPr>
            <w:r>
              <w:rPr>
                <w:rFonts w:ascii="Arial" w:cs="Arial" w:eastAsia="Arial" w:hAnsi="Arial"/>
                <w:sz w:val="14"/>
                <w:szCs w:val="14"/>
                <w:color w:val="auto"/>
              </w:rPr>
              <w:t>​ ​ ​$           ​​ ​</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580" w:type="dxa"/>
            <w:vAlign w:val="bottom"/>
          </w:tcPr>
          <w:p>
            <w:pPr>
              <w:ind w:left="20"/>
              <w:spacing w:after="0"/>
              <w:rPr>
                <w:sz w:val="20"/>
                <w:szCs w:val="20"/>
                <w:color w:val="auto"/>
              </w:rPr>
            </w:pPr>
            <w:r>
              <w:rPr>
                <w:rFonts w:ascii="Arial" w:cs="Arial" w:eastAsia="Arial" w:hAnsi="Arial"/>
                <w:sz w:val="14"/>
                <w:szCs w:val="14"/>
                <w:color w:val="auto"/>
              </w:rPr>
              <w:t xml:space="preserve">         </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580" w:type="dxa"/>
            <w:vAlign w:val="bottom"/>
          </w:tcPr>
          <w:p>
            <w:pPr>
              <w:ind w:left="20"/>
              <w:spacing w:after="0"/>
              <w:rPr>
                <w:sz w:val="20"/>
                <w:szCs w:val="20"/>
                <w:color w:val="auto"/>
              </w:rPr>
            </w:pPr>
            <w:r>
              <w:rPr>
                <w:rFonts w:ascii="Arial" w:cs="Arial" w:eastAsia="Arial" w:hAnsi="Arial"/>
                <w:sz w:val="14"/>
                <w:szCs w:val="14"/>
                <w:color w:val="auto"/>
              </w:rPr>
              <w:t xml:space="preserve">         </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552" w:lineRule="exact"/>
        <w:rPr>
          <w:sz w:val="24"/>
          <w:szCs w:val="24"/>
          <w:color w:val="auto"/>
        </w:rPr>
      </w:pPr>
    </w:p>
    <w:p>
      <w:pPr>
        <w:sectPr>
          <w:pgSz w:w="11900" w:h="16838" w:orient="portrait"/>
          <w:cols w:equalWidth="0" w:num="2">
            <w:col w:w="6500" w:space="720"/>
            <w:col w:w="3080"/>
          </w:cols>
          <w:pgMar w:left="580" w:top="205" w:right="1019" w:bottom="1440" w:gutter="0" w:footer="0" w:header="0"/>
          <w:type w:val="continuous"/>
        </w:sectPr>
      </w:pPr>
    </w:p>
    <w:p>
      <w:pPr>
        <w:ind w:left="1500" w:right="580" w:hanging="360"/>
        <w:spacing w:after="0" w:line="285" w:lineRule="auto"/>
        <w:tabs>
          <w:tab w:leader="none" w:pos="1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underwriters have agreed to reimburse us for certain expenses in connection with the offering. See “Underwriting (Conflicts of Interest).”</w:t>
      </w:r>
    </w:p>
    <w:p>
      <w:pPr>
        <w:spacing w:after="0" w:line="9" w:lineRule="exact"/>
        <w:rPr>
          <w:sz w:val="24"/>
          <w:szCs w:val="24"/>
          <w:color w:val="auto"/>
        </w:rPr>
      </w:pPr>
    </w:p>
    <w:p>
      <w:pPr>
        <w:jc w:val="both"/>
        <w:ind w:left="1140" w:right="100"/>
        <w:spacing w:after="0" w:line="263" w:lineRule="auto"/>
        <w:rPr>
          <w:sz w:val="20"/>
          <w:szCs w:val="20"/>
          <w:color w:val="auto"/>
        </w:rPr>
      </w:pPr>
      <w:r>
        <w:rPr>
          <w:rFonts w:ascii="Arial" w:cs="Arial" w:eastAsia="Arial" w:hAnsi="Arial"/>
          <w:sz w:val="14"/>
          <w:szCs w:val="14"/>
          <w:color w:val="auto"/>
        </w:rPr>
        <w:t>Interest on the notes will accrue from                      , 2023. The notes will be issued in registered, book-entry form only without interest coupons, in minimum denominations of $2,000 and integral multiples of $1,000 in excess thereof. The notes will not be listed on any securities exchange. Currently there is no public market for the notes.</w:t>
      </w:r>
    </w:p>
    <w:p>
      <w:pPr>
        <w:spacing w:after="0" w:line="24" w:lineRule="exact"/>
        <w:rPr>
          <w:sz w:val="24"/>
          <w:szCs w:val="24"/>
          <w:color w:val="auto"/>
        </w:rPr>
      </w:pPr>
    </w:p>
    <w:p>
      <w:pPr>
        <w:ind w:left="1140" w:right="320"/>
        <w:spacing w:after="0" w:line="263" w:lineRule="auto"/>
        <w:rPr>
          <w:sz w:val="20"/>
          <w:szCs w:val="20"/>
          <w:color w:val="auto"/>
        </w:rPr>
      </w:pPr>
      <w:r>
        <w:rPr>
          <w:rFonts w:ascii="Arial" w:cs="Arial" w:eastAsia="Arial" w:hAnsi="Arial"/>
          <w:sz w:val="14"/>
          <w:szCs w:val="14"/>
          <w:color w:val="auto"/>
        </w:rPr>
        <w:t>The underwriters expect to deliver the notes to purchasers through the book-entry delivery system of The Depository Trust Company and its participants, including Euroclear Bank S.A./N.V and Clearstream Banking, S.A., on or about                      , 2023, which will be the third business day from the date of the pricing of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2994660</wp:posOffset>
            </wp:positionH>
            <wp:positionV relativeFrom="paragraph">
              <wp:posOffset>20955</wp:posOffset>
            </wp:positionV>
            <wp:extent cx="123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68" w:lineRule="exact"/>
        <w:rPr>
          <w:sz w:val="24"/>
          <w:szCs w:val="24"/>
          <w:color w:val="auto"/>
        </w:rPr>
      </w:pPr>
    </w:p>
    <w:p>
      <w:pPr>
        <w:jc w:val="center"/>
        <w:ind w:left="640"/>
        <w:spacing w:after="0"/>
        <w:rPr>
          <w:sz w:val="20"/>
          <w:szCs w:val="20"/>
          <w:color w:val="auto"/>
        </w:rPr>
      </w:pPr>
      <w:r>
        <w:rPr>
          <w:rFonts w:ascii="Arial" w:cs="Arial" w:eastAsia="Arial" w:hAnsi="Arial"/>
          <w:sz w:val="14"/>
          <w:szCs w:val="14"/>
          <w:i w:val="1"/>
          <w:iCs w:val="1"/>
          <w:color w:val="auto"/>
        </w:rPr>
        <w:t>Joint Book-Running Managers</w:t>
      </w:r>
    </w:p>
    <w:p>
      <w:pPr>
        <w:spacing w:after="0" w:line="51" w:lineRule="exact"/>
        <w:rPr>
          <w:sz w:val="24"/>
          <w:szCs w:val="24"/>
          <w:color w:val="auto"/>
        </w:rPr>
      </w:pPr>
    </w:p>
    <w:p>
      <w:pPr>
        <w:ind w:left="1140"/>
        <w:spacing w:after="0"/>
        <w:tabs>
          <w:tab w:leader="none" w:pos="5440" w:val="left"/>
          <w:tab w:leader="none" w:pos="8820" w:val="left"/>
        </w:tabs>
        <w:rPr>
          <w:sz w:val="20"/>
          <w:szCs w:val="20"/>
          <w:color w:val="auto"/>
        </w:rPr>
      </w:pPr>
      <w:r>
        <w:rPr>
          <w:rFonts w:ascii="Arial" w:cs="Arial" w:eastAsia="Arial" w:hAnsi="Arial"/>
          <w:sz w:val="25"/>
          <w:szCs w:val="25"/>
          <w:b w:val="1"/>
          <w:bCs w:val="1"/>
          <w:color w:val="auto"/>
        </w:rPr>
        <w:t>Wells Fargo Securities</w:t>
      </w:r>
      <w:r>
        <w:rPr>
          <w:sz w:val="20"/>
          <w:szCs w:val="20"/>
          <w:color w:val="auto"/>
        </w:rPr>
        <w:tab/>
      </w:r>
      <w:r>
        <w:rPr>
          <w:rFonts w:ascii="Arial" w:cs="Arial" w:eastAsia="Arial" w:hAnsi="Arial"/>
          <w:sz w:val="25"/>
          <w:szCs w:val="25"/>
          <w:b w:val="1"/>
          <w:bCs w:val="1"/>
          <w:color w:val="auto"/>
        </w:rPr>
        <w:t>BNP PARIBAS</w:t>
      </w:r>
      <w:r>
        <w:rPr>
          <w:sz w:val="20"/>
          <w:szCs w:val="20"/>
          <w:color w:val="auto"/>
        </w:rPr>
        <w:tab/>
      </w:r>
      <w:r>
        <w:rPr>
          <w:rFonts w:ascii="Arial" w:cs="Arial" w:eastAsia="Arial" w:hAnsi="Arial"/>
          <w:sz w:val="24"/>
          <w:szCs w:val="24"/>
          <w:b w:val="1"/>
          <w:bCs w:val="1"/>
          <w:color w:val="auto"/>
        </w:rPr>
        <w:t>J.P. Morgan</w:t>
      </w:r>
    </w:p>
    <w:p>
      <w:pPr>
        <w:spacing w:after="0" w:line="77" w:lineRule="exact"/>
        <w:rPr>
          <w:sz w:val="24"/>
          <w:szCs w:val="24"/>
          <w:color w:val="auto"/>
        </w:rPr>
      </w:pPr>
    </w:p>
    <w:p>
      <w:pPr>
        <w:ind w:left="1140"/>
        <w:spacing w:after="0"/>
        <w:tabs>
          <w:tab w:leader="none" w:pos="3660" w:val="left"/>
          <w:tab w:leader="none" w:pos="6920" w:val="left"/>
          <w:tab w:leader="none" w:pos="10080" w:val="left"/>
        </w:tabs>
        <w:rPr>
          <w:sz w:val="20"/>
          <w:szCs w:val="20"/>
          <w:color w:val="auto"/>
        </w:rPr>
      </w:pPr>
      <w:r>
        <w:rPr>
          <w:rFonts w:ascii="Arial" w:cs="Arial" w:eastAsia="Arial" w:hAnsi="Arial"/>
          <w:sz w:val="25"/>
          <w:szCs w:val="25"/>
          <w:b w:val="1"/>
          <w:bCs w:val="1"/>
          <w:color w:val="auto"/>
        </w:rPr>
        <w:t> </w:t>
      </w:r>
      <w:r>
        <w:rPr>
          <w:sz w:val="20"/>
          <w:szCs w:val="20"/>
          <w:color w:val="auto"/>
        </w:rPr>
        <w:tab/>
      </w:r>
      <w:r>
        <w:rPr>
          <w:rFonts w:ascii="Arial" w:cs="Arial" w:eastAsia="Arial" w:hAnsi="Arial"/>
          <w:sz w:val="25"/>
          <w:szCs w:val="25"/>
          <w:b w:val="1"/>
          <w:bCs w:val="1"/>
          <w:color w:val="auto"/>
        </w:rPr>
        <w:t>Mizuho</w:t>
      </w:r>
      <w:r>
        <w:rPr>
          <w:sz w:val="20"/>
          <w:szCs w:val="20"/>
          <w:color w:val="auto"/>
        </w:rPr>
        <w:tab/>
      </w:r>
      <w:r>
        <w:rPr>
          <w:rFonts w:ascii="Arial" w:cs="Arial" w:eastAsia="Arial" w:hAnsi="Arial"/>
          <w:sz w:val="25"/>
          <w:szCs w:val="25"/>
          <w:b w:val="1"/>
          <w:bCs w:val="1"/>
          <w:color w:val="auto"/>
        </w:rPr>
        <w:t>MUFG</w:t>
      </w:r>
      <w:r>
        <w:rPr>
          <w:sz w:val="20"/>
          <w:szCs w:val="20"/>
          <w:color w:val="auto"/>
        </w:rPr>
        <w:tab/>
      </w:r>
      <w:r>
        <w:rPr>
          <w:rFonts w:ascii="Arial" w:cs="Arial" w:eastAsia="Arial" w:hAnsi="Arial"/>
          <w:sz w:val="10"/>
          <w:szCs w:val="10"/>
          <w:b w:val="1"/>
          <w:bCs w:val="1"/>
          <w:color w:val="auto"/>
        </w:rPr>
        <w:t> </w:t>
      </w:r>
    </w:p>
    <w:p>
      <w:pPr>
        <w:sectPr>
          <w:pgSz w:w="11900" w:h="16838" w:orient="portrait"/>
          <w:cols w:equalWidth="0" w:num="1">
            <w:col w:w="10300"/>
          </w:cols>
          <w:pgMar w:left="580" w:top="205" w:right="1019" w:bottom="1440" w:gutter="0" w:footer="0" w:header="0"/>
          <w:type w:val="continuous"/>
        </w:sectPr>
      </w:pPr>
    </w:p>
    <w:p>
      <w:pPr>
        <w:spacing w:after="0" w:line="322" w:lineRule="exact"/>
        <w:rPr>
          <w:sz w:val="24"/>
          <w:szCs w:val="24"/>
          <w:color w:val="auto"/>
        </w:rPr>
      </w:pPr>
    </w:p>
    <w:p>
      <w:pPr>
        <w:ind w:left="4880"/>
        <w:spacing w:after="0"/>
        <w:rPr>
          <w:sz w:val="20"/>
          <w:szCs w:val="20"/>
          <w:color w:val="auto"/>
        </w:rPr>
      </w:pPr>
      <w:r>
        <w:rPr>
          <w:rFonts w:ascii="Arial" w:cs="Arial" w:eastAsia="Arial" w:hAnsi="Arial"/>
          <w:sz w:val="13"/>
          <w:szCs w:val="13"/>
          <w:color w:val="auto"/>
        </w:rPr>
        <w:t>                               ,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43815</wp:posOffset>
            </wp:positionV>
            <wp:extent cx="68065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10300"/>
          </w:cols>
          <w:pgMar w:left="580" w:top="205" w:right="101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TABLE OF CONTENTS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Prospectus Supplement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Cautionary Note on Forward-Looking Statements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Summary</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Cash and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the Notes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Material 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Underwriting (Conflicts of Interest)</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Validity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Where You Can Find More Information</w:t>
      </w:r>
    </w:p>
    <w:p>
      <w:pPr>
        <w:spacing w:after="0" w:line="21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Prospectus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0000EE"/>
        </w:rPr>
        <w:t>Where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24765</wp:posOffset>
            </wp:positionV>
            <wp:extent cx="52120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The Company</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Plan of Distribution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Page </w:t>
      </w:r>
      <w:r>
        <w:rPr>
          <w:rFonts w:ascii="Arial" w:cs="Arial" w:eastAsia="Arial" w:hAnsi="Arial"/>
          <w:sz w:val="28"/>
          <w:szCs w:val="28"/>
          <w:b w:val="1"/>
          <w:bCs w:val="1"/>
          <w:color w:val="auto"/>
          <w:vertAlign w:val="subscript"/>
        </w:rPr>
        <w: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S-ii</w:t>
      </w:r>
      <w:r>
        <w:rPr>
          <w:rFonts w:ascii="Arial" w:cs="Arial" w:eastAsia="Arial" w:hAnsi="Arial"/>
          <w:sz w:val="18"/>
          <w:szCs w:val="18"/>
          <w:color w:val="auto"/>
        </w:rPr>
        <w: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S-iii</w:t>
      </w:r>
      <w:r>
        <w:rPr>
          <w:rFonts w:ascii="Arial" w:cs="Arial" w:eastAsia="Arial" w:hAnsi="Arial"/>
          <w:sz w:val="18"/>
          <w:szCs w:val="18"/>
          <w:color w:val="auto"/>
        </w:rPr>
        <w: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S-1</w:t>
      </w:r>
      <w:r>
        <w:rPr>
          <w:rFonts w:ascii="Arial" w:cs="Arial" w:eastAsia="Arial" w:hAnsi="Arial"/>
          <w:sz w:val="18"/>
          <w:szCs w:val="18"/>
          <w:color w:val="auto"/>
        </w:rPr>
        <w: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S-5</w:t>
      </w:r>
      <w:r>
        <w:rPr>
          <w:rFonts w:ascii="Arial" w:cs="Arial" w:eastAsia="Arial" w:hAnsi="Arial"/>
          <w:sz w:val="18"/>
          <w:szCs w:val="18"/>
          <w:color w:val="auto"/>
        </w:rPr>
        <w:t>​</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S-10</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S-11</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S-12</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S-34</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S-39</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S-45</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S-45</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S-45</w:t>
      </w:r>
      <w:r>
        <w:rPr>
          <w:rFonts w:ascii="Arial" w:cs="Arial" w:eastAsia="Arial" w:hAnsi="Arial"/>
          <w:sz w:val="18"/>
          <w:szCs w:val="18"/>
          <w:color w:val="auto"/>
        </w:rPr>
        <w:t>​</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Page </w:t>
      </w:r>
      <w:r>
        <w:rPr>
          <w:rFonts w:ascii="Arial" w:cs="Arial" w:eastAsia="Arial" w:hAnsi="Arial"/>
          <w:sz w:val="28"/>
          <w:szCs w:val="28"/>
          <w:b w:val="1"/>
          <w:bCs w:val="1"/>
          <w:color w:val="auto"/>
          <w:vertAlign w:val="subscript"/>
        </w:rPr>
        <w:t>​</w:t>
      </w:r>
    </w:p>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5</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7</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8</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9</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9</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ectPr>
          <w:pgSz w:w="11900" w:h="16838" w:orient="portrait"/>
          <w:cols w:equalWidth="0" w:num="2">
            <w:col w:w="8120" w:space="720"/>
            <w:col w:w="103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CAUTIONARY NOTE ON FORWARD-</w:t>
      </w:r>
    </w:p>
    <w:p>
      <w:pPr>
        <w:ind w:left="1260"/>
        <w:spacing w:after="0" w:line="224" w:lineRule="auto"/>
        <w:rPr>
          <w:sz w:val="20"/>
          <w:szCs w:val="20"/>
          <w:color w:val="auto"/>
        </w:rPr>
      </w:pPr>
      <w:r>
        <w:rPr>
          <w:rFonts w:ascii="Arial" w:cs="Arial" w:eastAsia="Arial" w:hAnsi="Arial"/>
          <w:sz w:val="40"/>
          <w:szCs w:val="40"/>
          <w:b w:val="1"/>
          <w:bCs w:val="1"/>
          <w:color w:val="auto"/>
        </w:rPr>
        <w:t>LOOKING</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STATEMENTS</w:t>
      </w:r>
      <w:r>
        <w:rPr>
          <w:rFonts w:ascii="Times New Roman" w:cs="Times New Roman" w:eastAsia="Times New Roman" w:hAnsi="Times New Roman"/>
          <w:sz w:val="40"/>
          <w:szCs w:val="40"/>
          <w:color w:val="auto"/>
        </w:rPr>
        <w:t>​</w:t>
      </w:r>
    </w:p>
    <w:p>
      <w:pPr>
        <w:spacing w:after="0" w:line="45" w:lineRule="exact"/>
        <w:rPr>
          <w:sz w:val="20"/>
          <w:szCs w:val="20"/>
          <w:color w:val="auto"/>
        </w:rPr>
      </w:pPr>
    </w:p>
    <w:p>
      <w:pPr>
        <w:ind w:left="1260" w:right="439"/>
        <w:spacing w:after="0" w:line="245" w:lineRule="auto"/>
        <w:rPr>
          <w:sz w:val="20"/>
          <w:szCs w:val="20"/>
          <w:color w:val="auto"/>
        </w:rPr>
      </w:pPr>
      <w:r>
        <w:rPr>
          <w:rFonts w:ascii="Arial" w:cs="Arial" w:eastAsia="Arial" w:hAnsi="Arial"/>
          <w:sz w:val="18"/>
          <w:szCs w:val="18"/>
          <w:color w:val="auto"/>
        </w:rPr>
        <w:t>This prospectus supplement, the accompanying prospectus and the information incorporated herein and therein by reference contain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w:t>
      </w:r>
    </w:p>
    <w:p>
      <w:pPr>
        <w:spacing w:after="0" w:line="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Specific forward-looking statements include, but are not limited to:</w:t>
      </w:r>
    </w:p>
    <w:p>
      <w:pPr>
        <w:spacing w:after="0" w:line="117" w:lineRule="exact"/>
        <w:rPr>
          <w:sz w:val="20"/>
          <w:szCs w:val="20"/>
          <w:color w:val="auto"/>
        </w:rPr>
      </w:pPr>
    </w:p>
    <w:p>
      <w:pPr>
        <w:ind w:left="1800" w:right="639" w:hanging="180"/>
        <w:spacing w:after="0" w:line="28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statements such as those made regarding restructure plans and expected related savings and charges;</w:t>
      </w:r>
    </w:p>
    <w:p>
      <w:pPr>
        <w:spacing w:after="0" w:line="4"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conditions and profitability in our industry;</w:t>
      </w:r>
    </w:p>
    <w:p>
      <w:pPr>
        <w:spacing w:after="0" w:line="76"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write-downs of inventories in future quarters;</w:t>
      </w:r>
    </w:p>
    <w:p>
      <w:pPr>
        <w:spacing w:after="0" w:line="76"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reductions in our wafer starts and the corresponding impact on our costs in 2023;</w:t>
      </w:r>
    </w:p>
    <w:p>
      <w:pPr>
        <w:spacing w:after="0" w:line="76" w:lineRule="exact"/>
        <w:rPr>
          <w:rFonts w:ascii="Arial" w:cs="Arial" w:eastAsia="Arial" w:hAnsi="Arial"/>
          <w:sz w:val="18"/>
          <w:szCs w:val="18"/>
          <w:color w:val="auto"/>
        </w:rPr>
      </w:pPr>
    </w:p>
    <w:p>
      <w:pPr>
        <w:ind w:left="1800" w:right="519" w:hanging="180"/>
        <w:spacing w:after="0" w:line="28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for construction and ramping of production for new memory manufacturing fabs in the United States;</w:t>
      </w:r>
    </w:p>
    <w:p>
      <w:pPr>
        <w:spacing w:after="0" w:line="4"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receipt of government grants and investment tax credits;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sufficiency of our cash and investments;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spending in 2023;</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funding of sustainability-focused projects;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allocation and dispersal of the net proceeds of our 2.703% Senior Notes due April 2032;</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results of tax return examinations;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intended use of proceeds from the offering of notes.</w:t>
      </w:r>
    </w:p>
    <w:p>
      <w:pPr>
        <w:spacing w:after="0" w:line="77" w:lineRule="exact"/>
        <w:rPr>
          <w:sz w:val="20"/>
          <w:szCs w:val="20"/>
          <w:color w:val="auto"/>
        </w:rPr>
      </w:pPr>
    </w:p>
    <w:p>
      <w:pPr>
        <w:ind w:left="1260" w:right="419"/>
        <w:spacing w:after="0" w:line="245" w:lineRule="auto"/>
        <w:rPr>
          <w:sz w:val="20"/>
          <w:szCs w:val="20"/>
          <w:color w:val="auto"/>
        </w:rPr>
      </w:pPr>
      <w:r>
        <w:rPr>
          <w:rFonts w:ascii="Arial" w:cs="Arial" w:eastAsia="Arial" w:hAnsi="Arial"/>
          <w:sz w:val="18"/>
          <w:szCs w:val="18"/>
          <w:color w:val="auto"/>
        </w:rPr>
        <w:t>Our actual results could differ materially from our historical results and those discussed in the forward-looking statements. Factors that could cause actual results to differ materially include, but are not limited to those identified in the section titled “Risk Factors” of this prospectus supplement and in our Annual Report on Form 10-K and our Quarterly Reports on Form 10-Q incorporated by reference herein and as may be updated in this prospectus supplement and in filings we make with the U.S. Securities and Exchange Commission (the “SEC”). The forward-looking statements contained herein are based on information available to us as of the date of this prospectus supplement and are based on management’s current views and assumptions and should not be relied upon as representing our views as of any subsequent date.</w:t>
      </w:r>
    </w:p>
    <w:p>
      <w:pPr>
        <w:spacing w:after="0" w:line="29" w:lineRule="exact"/>
        <w:rPr>
          <w:sz w:val="20"/>
          <w:szCs w:val="20"/>
          <w:color w:val="auto"/>
        </w:rPr>
      </w:pPr>
    </w:p>
    <w:p>
      <w:pPr>
        <w:ind w:left="1260" w:right="419"/>
        <w:spacing w:after="0" w:line="270" w:lineRule="auto"/>
        <w:rPr>
          <w:sz w:val="20"/>
          <w:szCs w:val="20"/>
          <w:color w:val="auto"/>
        </w:rPr>
      </w:pPr>
      <w:r>
        <w:rPr>
          <w:rFonts w:ascii="Arial" w:cs="Arial" w:eastAsia="Arial" w:hAnsi="Arial"/>
          <w:sz w:val="17"/>
          <w:szCs w:val="17"/>
          <w:color w:val="auto"/>
        </w:rPr>
        <w:t>All subsequent written and oral forward-looking statements attributable to us or any person acting on our behalf are expressly qualified in their entirety by the cautionary statements contained or referred to in this prospectus supplement and any other cautionary statements that may accompany such forward-looking statements. We do not undertake any obligation to update any of these forward-looking statements to conform these statements to actual results, unless the securities laws require us to do so.</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Trademarks and Service Marks</w:t>
      </w:r>
    </w:p>
    <w:p>
      <w:pPr>
        <w:spacing w:after="0" w:line="81" w:lineRule="exact"/>
        <w:rPr>
          <w:sz w:val="20"/>
          <w:szCs w:val="20"/>
          <w:color w:val="auto"/>
        </w:rPr>
      </w:pPr>
    </w:p>
    <w:p>
      <w:pPr>
        <w:ind w:left="1260" w:right="499"/>
        <w:spacing w:after="0" w:line="228" w:lineRule="auto"/>
        <w:rPr>
          <w:sz w:val="20"/>
          <w:szCs w:val="20"/>
          <w:color w:val="auto"/>
        </w:rPr>
      </w:pPr>
      <w:r>
        <w:rPr>
          <w:rFonts w:ascii="Arial" w:cs="Arial" w:eastAsia="Arial" w:hAnsi="Arial"/>
          <w:sz w:val="18"/>
          <w:szCs w:val="18"/>
          <w:color w:val="auto"/>
        </w:rPr>
        <w:t xml:space="preserve">We own or have rights to trademarks, service marks or trade names that we use in connection with the operation of our business. Other trademarks, service marks and trade names appearing in this prospectus supplement or the documents incorporated by reference herein are the property of their respective owners. Solely for convenience, the trademarks, service marks, and tradenames referred to in this prospectus supplement may be listed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 symbols, but we will assert, to the</w:t>
      </w:r>
    </w:p>
    <w:p>
      <w:pPr>
        <w:ind w:left="1260" w:right="1319"/>
        <w:spacing w:after="0" w:line="250" w:lineRule="auto"/>
        <w:rPr>
          <w:sz w:val="20"/>
          <w:szCs w:val="20"/>
          <w:color w:val="auto"/>
        </w:rPr>
      </w:pPr>
      <w:r>
        <w:rPr>
          <w:rFonts w:ascii="Arial" w:cs="Arial" w:eastAsia="Arial" w:hAnsi="Arial"/>
          <w:sz w:val="18"/>
          <w:szCs w:val="18"/>
          <w:color w:val="auto"/>
        </w:rPr>
        <w:t>fullest extent under applicable law, our rights or the rights of the applicable licensors to these trademarks, service marks, and tradenames.</w:t>
      </w:r>
    </w:p>
    <w:p>
      <w:pPr>
        <w:sectPr>
          <w:pgSz w:w="11900" w:h="16838" w:orient="portrait"/>
          <w:cols w:equalWidth="0" w:num="1">
            <w:col w:w="9879"/>
          </w:cols>
          <w:pgMar w:left="580" w:top="97" w:right="1440" w:bottom="1440" w:gutter="0" w:footer="0" w:header="0"/>
        </w:sectPr>
      </w:pPr>
    </w:p>
    <w:p>
      <w:pPr>
        <w:spacing w:after="0" w:line="347"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276860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ABOUT THIS PROSPECTUS SUPPLEMENT</w:t>
      </w:r>
    </w:p>
    <w:p>
      <w:pPr>
        <w:spacing w:after="0" w:line="149"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This prospectus supplement and the accompanying prospectus dated November 4, 2020 are part of a registration statement that we filed with the SEC, using a “shelf” registration process. Under this shelf registration process, we may from time to time offer to sell securities, in one or more offerings. We provide information to you about this offering of the notes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 for example, a document incorporated by reference in the accompanying prospectus, 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 “Where You Can Find More Information.”</w:t>
      </w:r>
    </w:p>
    <w:p>
      <w:pPr>
        <w:spacing w:after="0" w:line="124"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supplement, the accompanying prospectus or in any related free writing prospectus filed by us with the SEC. Neither we nor the underwriters have authorized anyone to provide you with different information. This prospectus supplement and the accompanying prospectus do not constitute an offer to sell or the solicitation of an offer to buy our securities other than the notes described in this prospectus supplement or an offer to sell or the solicitation of an offer to buy the notes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or as otherwise specified therein. Our business, financial condition, results of operations and prospects may have changed materially since those dates.</w:t>
      </w:r>
    </w:p>
    <w:p>
      <w:pPr>
        <w:spacing w:after="0" w:line="101" w:lineRule="exact"/>
        <w:rPr>
          <w:sz w:val="20"/>
          <w:szCs w:val="20"/>
          <w:color w:val="auto"/>
        </w:rPr>
      </w:pPr>
    </w:p>
    <w:p>
      <w:pPr>
        <w:ind w:left="1260" w:right="659"/>
        <w:spacing w:after="0" w:line="262"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notes offered by this prospectus supplement.</w:t>
      </w:r>
    </w:p>
    <w:p>
      <w:pPr>
        <w:spacing w:after="0" w:line="109" w:lineRule="exact"/>
        <w:rPr>
          <w:sz w:val="20"/>
          <w:szCs w:val="20"/>
          <w:color w:val="auto"/>
        </w:rPr>
      </w:pPr>
    </w:p>
    <w:p>
      <w:pPr>
        <w:ind w:left="1260" w:right="699"/>
        <w:spacing w:after="0" w:line="268" w:lineRule="auto"/>
        <w:rPr>
          <w:sz w:val="20"/>
          <w:szCs w:val="20"/>
          <w:color w:val="auto"/>
        </w:rPr>
      </w:pPr>
      <w:r>
        <w:rPr>
          <w:rFonts w:ascii="Arial" w:cs="Arial" w:eastAsia="Arial" w:hAnsi="Arial"/>
          <w:sz w:val="18"/>
          <w:szCs w:val="18"/>
          <w:color w:val="auto"/>
        </w:rPr>
        <w:t>Unless the context requires otherwise or unless otherwise specified, references in this prospectus supplement to “Micron,” “we,” “our,” “us” and the “Company” refer to Micron Technology, Inc. and our consolidated subsidiaries.</w:t>
      </w:r>
    </w:p>
    <w:p>
      <w:pPr>
        <w:spacing w:after="0" w:line="103"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We expect that delivery of the notes will be made to investors on or about                                , 2023, which will be the third business day following the date of this prospectus supplement (such settlement being referred to as T+3). Under Rule 15c6-1 under the Securities Exchange Act of 1934, as amended, trades in the secondary market are required to settle in two business days, unless the parties to any such trade expressly agree otherwise. Accordingly, purchasers who wish to trade notes more than two business days prior to                               , 2023 will be required, by virtue of the fact that the notes initially settle in T+3, to specify an alternate settlement arrangement to prevent a failed settlement. Purchasers of the notes who wish to trade the notes more than two business days prior to                               , 2023 should consult their advisors.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76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797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80"/>
        <w:spacing w:after="0"/>
        <w:rPr>
          <w:sz w:val="20"/>
          <w:szCs w:val="20"/>
          <w:color w:val="auto"/>
        </w:rPr>
      </w:pPr>
      <w:r>
        <w:rPr>
          <w:rFonts w:ascii="Arial" w:cs="Arial" w:eastAsia="Arial" w:hAnsi="Arial"/>
          <w:sz w:val="40"/>
          <w:szCs w:val="40"/>
          <w:b w:val="1"/>
          <w:bCs w:val="1"/>
          <w:color w:val="auto"/>
        </w:rPr>
        <w:t>SUMMARY</w:t>
      </w:r>
    </w:p>
    <w:p>
      <w:pPr>
        <w:spacing w:after="0" w:line="219" w:lineRule="exact"/>
        <w:rPr>
          <w:sz w:val="20"/>
          <w:szCs w:val="20"/>
          <w:color w:val="auto"/>
        </w:rPr>
      </w:pPr>
    </w:p>
    <w:p>
      <w:pPr>
        <w:ind w:left="1280" w:right="439"/>
        <w:spacing w:after="0" w:line="264"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This summary highlights selected information contained elsewhere in or incorporated by reference into this prospectus supplement and the accompanying prospectus. Because the following is only a summary, it does not contain all of the information that you should consider before investing in the notes. You should carefully read this entire prospectus supplement as well as the accompanying prospectus, including the factors described under the heading “Risk Factors” included in this prospectus supplement, our </w:t>
      </w:r>
      <w:hyperlink r:id="rId33">
        <w:r>
          <w:rPr>
            <w:rFonts w:ascii="Arial" w:cs="Arial" w:eastAsia="Arial" w:hAnsi="Arial"/>
            <w:sz w:val="18"/>
            <w:szCs w:val="18"/>
            <w:i w:val="1"/>
            <w:iCs w:val="1"/>
            <w:u w:val="single" w:color="auto"/>
            <w:color w:val="0000EE"/>
          </w:rPr>
          <w:t>Annual Report on Form 10-K for the fiscal year ended September 1, 2022</w:t>
        </w:r>
      </w:hyperlink>
      <w:r>
        <w:rPr>
          <w:rFonts w:ascii="Arial" w:cs="Arial" w:eastAsia="Arial" w:hAnsi="Arial"/>
          <w:sz w:val="18"/>
          <w:szCs w:val="18"/>
          <w:i w:val="1"/>
          <w:iCs w:val="1"/>
          <w:color w:val="auto"/>
        </w:rPr>
        <w:t xml:space="preserve">, our </w:t>
      </w:r>
      <w:hyperlink r:id="rId34">
        <w:r>
          <w:rPr>
            <w:rFonts w:ascii="Arial" w:cs="Arial" w:eastAsia="Arial" w:hAnsi="Arial"/>
            <w:sz w:val="18"/>
            <w:szCs w:val="18"/>
            <w:i w:val="1"/>
            <w:iCs w:val="1"/>
            <w:u w:val="single" w:color="auto"/>
            <w:color w:val="0000EE"/>
          </w:rPr>
          <w:t>Quarterly Report on Form 10-Q for the fiscal quarter ended March 2, 2023</w:t>
        </w:r>
      </w:hyperlink>
      <w:r>
        <w:rPr>
          <w:rFonts w:ascii="Arial" w:cs="Arial" w:eastAsia="Arial" w:hAnsi="Arial"/>
          <w:sz w:val="18"/>
          <w:szCs w:val="18"/>
          <w:i w:val="1"/>
          <w:iCs w:val="1"/>
          <w:color w:val="auto"/>
        </w:rPr>
        <w:t>, documents that we subsequently file with the SEC and the financial statements and other information included or incorporated by reference in this prospectus supplement and the accompanying prospectus, before making an investment decision.</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006CB7"/>
        </w:rPr>
        <w:t>Micron Technology, Inc.</w:t>
      </w:r>
    </w:p>
    <w:p>
      <w:pPr>
        <w:spacing w:after="0" w:line="231"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Overview</w:t>
      </w:r>
    </w:p>
    <w:p>
      <w:pPr>
        <w:spacing w:after="0" w:line="142" w:lineRule="exact"/>
        <w:rPr>
          <w:sz w:val="20"/>
          <w:szCs w:val="20"/>
          <w:color w:val="auto"/>
        </w:rPr>
      </w:pPr>
    </w:p>
    <w:p>
      <w:pPr>
        <w:ind w:left="1280" w:right="399"/>
        <w:spacing w:after="0" w:line="251"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Crucial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130" w:lineRule="exact"/>
        <w:rPr>
          <w:sz w:val="20"/>
          <w:szCs w:val="20"/>
          <w:color w:val="auto"/>
        </w:rPr>
      </w:pPr>
    </w:p>
    <w:p>
      <w:pPr>
        <w:ind w:left="1280" w:right="419"/>
        <w:spacing w:after="0" w:line="262" w:lineRule="auto"/>
        <w:rPr>
          <w:sz w:val="20"/>
          <w:szCs w:val="20"/>
          <w:color w:val="auto"/>
        </w:rPr>
      </w:pPr>
      <w:r>
        <w:rPr>
          <w:rFonts w:ascii="Arial" w:cs="Arial" w:eastAsia="Arial" w:hAnsi="Arial"/>
          <w:sz w:val="18"/>
          <w:szCs w:val="18"/>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engineering,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127" w:lineRule="exact"/>
        <w:rPr>
          <w:sz w:val="20"/>
          <w:szCs w:val="20"/>
          <w:color w:val="auto"/>
        </w:rPr>
      </w:pPr>
    </w:p>
    <w:p>
      <w:pPr>
        <w:ind w:left="1280" w:right="739"/>
        <w:spacing w:after="0" w:line="267" w:lineRule="auto"/>
        <w:rPr>
          <w:sz w:val="20"/>
          <w:szCs w:val="20"/>
          <w:color w:val="auto"/>
        </w:rPr>
      </w:pPr>
      <w:r>
        <w:rPr>
          <w:rFonts w:ascii="Arial" w:cs="Arial" w:eastAsia="Arial" w:hAnsi="Arial"/>
          <w:sz w:val="18"/>
          <w:szCs w:val="18"/>
          <w:color w:val="auto"/>
        </w:rPr>
        <w:t>We face intense competition in the semiconductor memory and storage markets and to remain competitive we must continuously develop and implement new products and technologies and decrease manufacturing costs in spite of ongoing inflationary cost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200" w:lineRule="exact"/>
        <w:rPr>
          <w:sz w:val="20"/>
          <w:szCs w:val="20"/>
          <w:color w:val="auto"/>
        </w:rPr>
      </w:pPr>
    </w:p>
    <w:p>
      <w:pPr>
        <w:spacing w:after="0" w:line="227" w:lineRule="exact"/>
        <w:rPr>
          <w:sz w:val="20"/>
          <w:szCs w:val="20"/>
          <w:color w:val="auto"/>
        </w:rPr>
      </w:pPr>
    </w:p>
    <w:p>
      <w:pPr>
        <w:ind w:left="1280" w:right="459"/>
        <w:spacing w:after="0" w:line="267" w:lineRule="auto"/>
        <w:rPr>
          <w:sz w:val="20"/>
          <w:szCs w:val="20"/>
          <w:color w:val="auto"/>
        </w:rPr>
      </w:pPr>
      <w:r>
        <w:rPr>
          <w:rFonts w:ascii="Arial" w:cs="Arial" w:eastAsia="Arial" w:hAnsi="Arial"/>
          <w:sz w:val="18"/>
          <w:szCs w:val="18"/>
          <w:color w:val="auto"/>
        </w:rPr>
        <w:t>Our executive offices are located at 8000 South Federal Way, Boise, Idaho 83716 and our telephone number is (208) 368-4000. Information about us is available at our website www.micron.com. Information contained or referenced on our website is not incorporated by reference and does not form a part of this prospectus supplement or the accompanying prospectus. You should not rely on any such information in making your decision whether to purchase the notes.</w:t>
      </w:r>
    </w:p>
    <w:p>
      <w:pPr>
        <w:sectPr>
          <w:pgSz w:w="11900" w:h="16838" w:orient="portrait"/>
          <w:cols w:equalWidth="0" w:num="1">
            <w:col w:w="9879"/>
          </w:cols>
          <w:pgMar w:left="580" w:top="97" w:right="1440" w:bottom="1440" w:gutter="0" w:footer="0" w:header="0"/>
        </w:sectPr>
      </w:pPr>
    </w:p>
    <w:p>
      <w:pPr>
        <w:spacing w:after="0" w:line="388"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006CB7"/>
        </w:rPr>
        <w:t>The Offering</w:t>
      </w:r>
    </w:p>
    <w:p>
      <w:pPr>
        <w:spacing w:after="0" w:line="231" w:lineRule="exact"/>
        <w:rPr>
          <w:sz w:val="20"/>
          <w:szCs w:val="20"/>
          <w:color w:val="auto"/>
        </w:rPr>
      </w:pPr>
    </w:p>
    <w:p>
      <w:pPr>
        <w:ind w:left="1280" w:right="459"/>
        <w:spacing w:after="0" w:line="247" w:lineRule="auto"/>
        <w:rPr>
          <w:sz w:val="20"/>
          <w:szCs w:val="20"/>
          <w:color w:val="auto"/>
        </w:rPr>
      </w:pPr>
      <w:r>
        <w:rPr>
          <w:rFonts w:ascii="Arial" w:cs="Arial" w:eastAsia="Arial" w:hAnsi="Arial"/>
          <w:sz w:val="18"/>
          <w:szCs w:val="18"/>
          <w:i w:val="1"/>
          <w:iCs w:val="1"/>
          <w:color w:val="auto"/>
        </w:rPr>
        <w:t>The following summary contains basic information about the notes and is not a complete description of the offering. Certain of the terms and conditions described below are subject to important limitations and exceptions. Thus, it does not contain all the information that is important to you. For a more detailed description of the notes you should read the section titled “Description of the Notes” in this prospectus supplement. In this section, references to “Micron,” “us,” “we,” “our” or the “Company” refer only to Micron Technology, Inc. and not to any of its subsidiaries.</w:t>
      </w:r>
    </w:p>
    <w:p>
      <w:pPr>
        <w:spacing w:after="0" w:line="70" w:lineRule="exact"/>
        <w:rPr>
          <w:sz w:val="20"/>
          <w:szCs w:val="20"/>
          <w:color w:val="auto"/>
        </w:rPr>
      </w:pPr>
    </w:p>
    <w:tbl>
      <w:tblPr>
        <w:tblLayout w:type="fixed"/>
        <w:tblInd w:w="1280" w:type="dxa"/>
        <w:tblCellMar>
          <w:top w:w="0" w:type="dxa"/>
          <w:left w:w="0" w:type="dxa"/>
          <w:bottom w:w="0" w:type="dxa"/>
          <w:right w:w="0" w:type="dxa"/>
        </w:tblCellMar>
      </w:tblPr>
      <w:tr>
        <w:trPr>
          <w:trHeight w:val="239"/>
        </w:trPr>
        <w:tc>
          <w:tcPr>
            <w:tcW w:w="2620" w:type="dxa"/>
            <w:vAlign w:val="bottom"/>
          </w:tcPr>
          <w:p>
            <w:pPr>
              <w:spacing w:after="0"/>
              <w:rPr>
                <w:sz w:val="20"/>
                <w:szCs w:val="20"/>
                <w:color w:val="auto"/>
              </w:rPr>
            </w:pPr>
            <w:r>
              <w:rPr>
                <w:rFonts w:ascii="Arial" w:cs="Arial" w:eastAsia="Arial" w:hAnsi="Arial"/>
                <w:sz w:val="18"/>
                <w:szCs w:val="18"/>
                <w:color w:val="auto"/>
              </w:rPr>
              <w:t>Issuer</w:t>
            </w:r>
          </w:p>
        </w:tc>
        <w:tc>
          <w:tcPr>
            <w:tcW w:w="4560" w:type="dxa"/>
            <w:vAlign w:val="bottom"/>
          </w:tcPr>
          <w:p>
            <w:pPr>
              <w:ind w:left="400"/>
              <w:spacing w:after="0"/>
              <w:rPr>
                <w:sz w:val="20"/>
                <w:szCs w:val="20"/>
                <w:color w:val="auto"/>
              </w:rPr>
            </w:pPr>
            <w:r>
              <w:rPr>
                <w:rFonts w:ascii="Arial" w:cs="Arial" w:eastAsia="Arial" w:hAnsi="Arial"/>
                <w:sz w:val="18"/>
                <w:szCs w:val="18"/>
                <w:color w:val="auto"/>
              </w:rPr>
              <w:t>Micron Technology, Inc.</w:t>
            </w:r>
          </w:p>
        </w:tc>
        <w:tc>
          <w:tcPr>
            <w:tcW w:w="1000" w:type="dxa"/>
            <w:vAlign w:val="bottom"/>
          </w:tcPr>
          <w:p>
            <w:pPr>
              <w:spacing w:after="0"/>
              <w:rPr>
                <w:sz w:val="20"/>
                <w:szCs w:val="20"/>
                <w:color w:val="auto"/>
              </w:rPr>
            </w:pPr>
          </w:p>
        </w:tc>
      </w:tr>
      <w:tr>
        <w:trPr>
          <w:trHeight w:val="301"/>
        </w:trPr>
        <w:tc>
          <w:tcPr>
            <w:tcW w:w="2620" w:type="dxa"/>
            <w:vAlign w:val="bottom"/>
          </w:tcPr>
          <w:p>
            <w:pPr>
              <w:spacing w:after="0"/>
              <w:rPr>
                <w:sz w:val="20"/>
                <w:szCs w:val="20"/>
                <w:color w:val="auto"/>
              </w:rPr>
            </w:pPr>
            <w:r>
              <w:rPr>
                <w:rFonts w:ascii="Arial" w:cs="Arial" w:eastAsia="Arial" w:hAnsi="Arial"/>
                <w:sz w:val="18"/>
                <w:szCs w:val="18"/>
                <w:color w:val="auto"/>
              </w:rPr>
              <w:t>Securities Offered</w:t>
            </w:r>
          </w:p>
        </w:tc>
        <w:tc>
          <w:tcPr>
            <w:tcW w:w="5560" w:type="dxa"/>
            <w:vAlign w:val="bottom"/>
            <w:gridSpan w:val="2"/>
          </w:tcPr>
          <w:p>
            <w:pPr>
              <w:ind w:left="400"/>
              <w:spacing w:after="0"/>
              <w:rPr>
                <w:sz w:val="20"/>
                <w:szCs w:val="20"/>
                <w:color w:val="auto"/>
              </w:rPr>
            </w:pPr>
            <w:r>
              <w:rPr>
                <w:rFonts w:ascii="Arial" w:cs="Arial" w:eastAsia="Arial" w:hAnsi="Arial"/>
                <w:sz w:val="18"/>
                <w:szCs w:val="18"/>
                <w:color w:val="auto"/>
                <w:w w:val="99"/>
              </w:rPr>
              <w:t>$            aggregate principal amount of         % Senior Notes due</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Arial" w:cs="Arial" w:eastAsia="Arial" w:hAnsi="Arial"/>
                <w:sz w:val="18"/>
                <w:szCs w:val="18"/>
                <w:color w:val="auto"/>
              </w:rPr>
              <w:t>20    and $            aggregate principal amount of         % Senior</w:t>
            </w:r>
          </w:p>
        </w:tc>
      </w:tr>
      <w:tr>
        <w:trPr>
          <w:trHeight w:val="239"/>
        </w:trPr>
        <w:tc>
          <w:tcPr>
            <w:tcW w:w="2620" w:type="dxa"/>
            <w:vAlign w:val="bottom"/>
          </w:tcPr>
          <w:p>
            <w:pPr>
              <w:spacing w:after="0"/>
              <w:rPr>
                <w:sz w:val="20"/>
                <w:szCs w:val="20"/>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Notes due 20    .</w:t>
            </w:r>
          </w:p>
        </w:tc>
        <w:tc>
          <w:tcPr>
            <w:tcW w:w="1000" w:type="dxa"/>
            <w:vAlign w:val="bottom"/>
          </w:tcPr>
          <w:p>
            <w:pPr>
              <w:spacing w:after="0"/>
              <w:rPr>
                <w:sz w:val="20"/>
                <w:szCs w:val="20"/>
                <w:color w:val="auto"/>
              </w:rPr>
            </w:pPr>
          </w:p>
        </w:tc>
      </w:tr>
      <w:tr>
        <w:trPr>
          <w:trHeight w:val="301"/>
        </w:trPr>
        <w:tc>
          <w:tcPr>
            <w:tcW w:w="2620" w:type="dxa"/>
            <w:vAlign w:val="bottom"/>
          </w:tcPr>
          <w:p>
            <w:pPr>
              <w:spacing w:after="0"/>
              <w:rPr>
                <w:sz w:val="20"/>
                <w:szCs w:val="20"/>
                <w:color w:val="auto"/>
              </w:rPr>
            </w:pPr>
            <w:r>
              <w:rPr>
                <w:rFonts w:ascii="Arial" w:cs="Arial" w:eastAsia="Arial" w:hAnsi="Arial"/>
                <w:sz w:val="18"/>
                <w:szCs w:val="18"/>
                <w:color w:val="auto"/>
              </w:rPr>
              <w:t>Maturity</w:t>
            </w:r>
          </w:p>
        </w:tc>
        <w:tc>
          <w:tcPr>
            <w:tcW w:w="5560" w:type="dxa"/>
            <w:vAlign w:val="bottom"/>
            <w:gridSpan w:val="2"/>
          </w:tcPr>
          <w:p>
            <w:pPr>
              <w:ind w:left="400"/>
              <w:spacing w:after="0"/>
              <w:rPr>
                <w:sz w:val="20"/>
                <w:szCs w:val="20"/>
                <w:color w:val="auto"/>
              </w:rPr>
            </w:pPr>
            <w:r>
              <w:rPr>
                <w:rFonts w:ascii="Arial" w:cs="Arial" w:eastAsia="Arial" w:hAnsi="Arial"/>
                <w:sz w:val="18"/>
                <w:szCs w:val="18"/>
                <w:color w:val="auto"/>
              </w:rPr>
              <w:t xml:space="preserve">The 20    notes will mature on                     , 20    and the 20   </w:t>
            </w:r>
          </w:p>
        </w:tc>
      </w:tr>
      <w:tr>
        <w:trPr>
          <w:trHeight w:val="239"/>
        </w:trPr>
        <w:tc>
          <w:tcPr>
            <w:tcW w:w="2620" w:type="dxa"/>
            <w:vAlign w:val="bottom"/>
          </w:tcPr>
          <w:p>
            <w:pPr>
              <w:spacing w:after="0"/>
              <w:rPr>
                <w:sz w:val="20"/>
                <w:szCs w:val="20"/>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notes will mature on                     , 20    .</w:t>
            </w:r>
          </w:p>
        </w:tc>
        <w:tc>
          <w:tcPr>
            <w:tcW w:w="1000" w:type="dxa"/>
            <w:vAlign w:val="bottom"/>
          </w:tcPr>
          <w:p>
            <w:pPr>
              <w:spacing w:after="0"/>
              <w:rPr>
                <w:sz w:val="20"/>
                <w:szCs w:val="20"/>
                <w:color w:val="auto"/>
              </w:rPr>
            </w:pPr>
          </w:p>
        </w:tc>
      </w:tr>
      <w:tr>
        <w:trPr>
          <w:trHeight w:val="301"/>
        </w:trPr>
        <w:tc>
          <w:tcPr>
            <w:tcW w:w="2620" w:type="dxa"/>
            <w:vAlign w:val="bottom"/>
          </w:tcPr>
          <w:p>
            <w:pPr>
              <w:spacing w:after="0"/>
              <w:rPr>
                <w:sz w:val="20"/>
                <w:szCs w:val="20"/>
                <w:color w:val="auto"/>
              </w:rPr>
            </w:pPr>
            <w:r>
              <w:rPr>
                <w:rFonts w:ascii="Arial" w:cs="Arial" w:eastAsia="Arial" w:hAnsi="Arial"/>
                <w:sz w:val="18"/>
                <w:szCs w:val="18"/>
                <w:color w:val="auto"/>
              </w:rPr>
              <w:t>Interest and Payment Dates</w:t>
            </w:r>
          </w:p>
        </w:tc>
        <w:tc>
          <w:tcPr>
            <w:tcW w:w="4560" w:type="dxa"/>
            <w:vAlign w:val="bottom"/>
          </w:tcPr>
          <w:p>
            <w:pPr>
              <w:ind w:left="400"/>
              <w:spacing w:after="0"/>
              <w:rPr>
                <w:sz w:val="20"/>
                <w:szCs w:val="20"/>
                <w:color w:val="auto"/>
              </w:rPr>
            </w:pPr>
            <w:r>
              <w:rPr>
                <w:rFonts w:ascii="Arial" w:cs="Arial" w:eastAsia="Arial" w:hAnsi="Arial"/>
                <w:sz w:val="18"/>
                <w:szCs w:val="18"/>
                <w:color w:val="auto"/>
              </w:rPr>
              <w:t xml:space="preserve">        % per year on the principal amount of the 20   </w:t>
            </w:r>
          </w:p>
        </w:tc>
        <w:tc>
          <w:tcPr>
            <w:tcW w:w="1000" w:type="dxa"/>
            <w:vAlign w:val="bottom"/>
          </w:tcPr>
          <w:p>
            <w:pPr>
              <w:ind w:left="20"/>
              <w:spacing w:after="0"/>
              <w:rPr>
                <w:sz w:val="20"/>
                <w:szCs w:val="20"/>
                <w:color w:val="auto"/>
              </w:rPr>
            </w:pPr>
            <w:r>
              <w:rPr>
                <w:rFonts w:ascii="Arial" w:cs="Arial" w:eastAsia="Arial" w:hAnsi="Arial"/>
                <w:sz w:val="18"/>
                <w:szCs w:val="18"/>
                <w:color w:val="auto"/>
              </w:rPr>
              <w:t>notes and</w:t>
            </w:r>
          </w:p>
        </w:tc>
      </w:tr>
      <w:tr>
        <w:trPr>
          <w:trHeight w:val="216"/>
        </w:trPr>
        <w:tc>
          <w:tcPr>
            <w:tcW w:w="262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 xml:space="preserve">        % per year on the principal amount of the 20   </w:t>
            </w:r>
          </w:p>
        </w:tc>
        <w:tc>
          <w:tcPr>
            <w:tcW w:w="1000" w:type="dxa"/>
            <w:vAlign w:val="bottom"/>
          </w:tcPr>
          <w:p>
            <w:pPr>
              <w:ind w:left="20"/>
              <w:spacing w:after="0"/>
              <w:rPr>
                <w:sz w:val="20"/>
                <w:szCs w:val="20"/>
                <w:color w:val="auto"/>
              </w:rPr>
            </w:pPr>
            <w:r>
              <w:rPr>
                <w:rFonts w:ascii="Arial" w:cs="Arial" w:eastAsia="Arial" w:hAnsi="Arial"/>
                <w:sz w:val="18"/>
                <w:szCs w:val="18"/>
                <w:color w:val="auto"/>
              </w:rPr>
              <w:t>notes.</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Arial" w:cs="Arial" w:eastAsia="Arial" w:hAnsi="Arial"/>
                <w:sz w:val="18"/>
                <w:szCs w:val="18"/>
                <w:color w:val="auto"/>
              </w:rPr>
              <w:t xml:space="preserve">Interest is payable on the notes on                     and                    </w:t>
            </w:r>
          </w:p>
        </w:tc>
      </w:tr>
      <w:tr>
        <w:trPr>
          <w:trHeight w:val="216"/>
        </w:trPr>
        <w:tc>
          <w:tcPr>
            <w:tcW w:w="262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w w:val="98"/>
              </w:rPr>
              <w:t>of each year after the date of issuance, commencing</w:t>
            </w:r>
          </w:p>
        </w:tc>
        <w:tc>
          <w:tcPr>
            <w:tcW w:w="10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Arial" w:cs="Arial" w:eastAsia="Arial" w:hAnsi="Arial"/>
                <w:sz w:val="18"/>
                <w:szCs w:val="18"/>
                <w:color w:val="auto"/>
              </w:rPr>
              <w:t>                    , 2023. Interest on the notes will accrue from</w:t>
            </w:r>
          </w:p>
        </w:tc>
      </w:tr>
      <w:tr>
        <w:trPr>
          <w:trHeight w:val="239"/>
        </w:trPr>
        <w:tc>
          <w:tcPr>
            <w:tcW w:w="2620" w:type="dxa"/>
            <w:vAlign w:val="bottom"/>
          </w:tcPr>
          <w:p>
            <w:pPr>
              <w:spacing w:after="0"/>
              <w:rPr>
                <w:sz w:val="20"/>
                <w:szCs w:val="20"/>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                    , 2023.</w:t>
            </w:r>
          </w:p>
        </w:tc>
        <w:tc>
          <w:tcPr>
            <w:tcW w:w="1000" w:type="dxa"/>
            <w:vAlign w:val="bottom"/>
          </w:tcPr>
          <w:p>
            <w:pPr>
              <w:spacing w:after="0"/>
              <w:rPr>
                <w:sz w:val="20"/>
                <w:szCs w:val="20"/>
                <w:color w:val="auto"/>
              </w:rPr>
            </w:pPr>
          </w:p>
        </w:tc>
      </w:tr>
      <w:tr>
        <w:trPr>
          <w:trHeight w:val="301"/>
        </w:trPr>
        <w:tc>
          <w:tcPr>
            <w:tcW w:w="2620" w:type="dxa"/>
            <w:vAlign w:val="bottom"/>
          </w:tcPr>
          <w:p>
            <w:pPr>
              <w:spacing w:after="0"/>
              <w:rPr>
                <w:sz w:val="20"/>
                <w:szCs w:val="20"/>
                <w:color w:val="auto"/>
              </w:rPr>
            </w:pPr>
            <w:r>
              <w:rPr>
                <w:rFonts w:ascii="Arial" w:cs="Arial" w:eastAsia="Arial" w:hAnsi="Arial"/>
                <w:sz w:val="18"/>
                <w:szCs w:val="18"/>
                <w:color w:val="auto"/>
              </w:rPr>
              <w:t>Ranking of the Notes</w:t>
            </w:r>
          </w:p>
        </w:tc>
        <w:tc>
          <w:tcPr>
            <w:tcW w:w="5560" w:type="dxa"/>
            <w:vAlign w:val="bottom"/>
            <w:gridSpan w:val="2"/>
          </w:tcPr>
          <w:p>
            <w:pPr>
              <w:ind w:left="400"/>
              <w:spacing w:after="0"/>
              <w:rPr>
                <w:sz w:val="20"/>
                <w:szCs w:val="20"/>
                <w:color w:val="auto"/>
              </w:rPr>
            </w:pPr>
            <w:r>
              <w:rPr>
                <w:rFonts w:ascii="Arial" w:cs="Arial" w:eastAsia="Arial" w:hAnsi="Arial"/>
                <w:sz w:val="18"/>
                <w:szCs w:val="18"/>
                <w:color w:val="auto"/>
              </w:rPr>
              <w:t>The notes will be senior unsecured obligations and will rank</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Arial" w:cs="Arial" w:eastAsia="Arial" w:hAnsi="Arial"/>
                <w:sz w:val="18"/>
                <w:szCs w:val="18"/>
                <w:color w:val="auto"/>
              </w:rPr>
              <w:t>equally with all of our other existing and future unsecured and</w:t>
            </w:r>
          </w:p>
        </w:tc>
      </w:tr>
      <w:tr>
        <w:trPr>
          <w:trHeight w:val="239"/>
        </w:trPr>
        <w:tc>
          <w:tcPr>
            <w:tcW w:w="2620" w:type="dxa"/>
            <w:vAlign w:val="bottom"/>
          </w:tcPr>
          <w:p>
            <w:pPr>
              <w:spacing w:after="0"/>
              <w:rPr>
                <w:sz w:val="20"/>
                <w:szCs w:val="20"/>
                <w:color w:val="auto"/>
              </w:rPr>
            </w:pPr>
          </w:p>
        </w:tc>
        <w:tc>
          <w:tcPr>
            <w:tcW w:w="5560" w:type="dxa"/>
            <w:vAlign w:val="bottom"/>
            <w:gridSpan w:val="2"/>
          </w:tcPr>
          <w:p>
            <w:pPr>
              <w:ind w:left="400"/>
              <w:spacing w:after="0"/>
              <w:rPr>
                <w:sz w:val="20"/>
                <w:szCs w:val="20"/>
                <w:color w:val="auto"/>
              </w:rPr>
            </w:pPr>
            <w:r>
              <w:rPr>
                <w:rFonts w:ascii="Arial" w:cs="Arial" w:eastAsia="Arial" w:hAnsi="Arial"/>
                <w:sz w:val="18"/>
                <w:szCs w:val="18"/>
                <w:color w:val="auto"/>
              </w:rPr>
              <w:t>unsubordinated indebtedness from time to time outstanding.</w:t>
            </w:r>
          </w:p>
        </w:tc>
      </w:tr>
      <w:tr>
        <w:trPr>
          <w:trHeight w:val="364"/>
        </w:trPr>
        <w:tc>
          <w:tcPr>
            <w:tcW w:w="2620" w:type="dxa"/>
            <w:vAlign w:val="bottom"/>
          </w:tcPr>
          <w:p>
            <w:pPr>
              <w:spacing w:after="0"/>
              <w:rPr>
                <w:sz w:val="24"/>
                <w:szCs w:val="24"/>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As of March 2, 2023:</w:t>
            </w:r>
          </w:p>
        </w:tc>
        <w:tc>
          <w:tcPr>
            <w:tcW w:w="1000" w:type="dxa"/>
            <w:vAlign w:val="bottom"/>
          </w:tcPr>
          <w:p>
            <w:pPr>
              <w:spacing w:after="0"/>
              <w:rPr>
                <w:sz w:val="24"/>
                <w:szCs w:val="24"/>
                <w:color w:val="auto"/>
              </w:rPr>
            </w:pPr>
          </w:p>
        </w:tc>
      </w:tr>
      <w:tr>
        <w:trPr>
          <w:trHeight w:val="328"/>
        </w:trPr>
        <w:tc>
          <w:tcPr>
            <w:tcW w:w="2620" w:type="dxa"/>
            <w:vAlign w:val="bottom"/>
          </w:tcPr>
          <w:p>
            <w:pPr>
              <w:spacing w:after="0"/>
              <w:rPr>
                <w:sz w:val="24"/>
                <w:szCs w:val="24"/>
                <w:color w:val="auto"/>
              </w:rPr>
            </w:pPr>
          </w:p>
        </w:tc>
        <w:tc>
          <w:tcPr>
            <w:tcW w:w="5560" w:type="dxa"/>
            <w:vAlign w:val="bottom"/>
            <w:gridSpan w:val="2"/>
          </w:tcPr>
          <w:p>
            <w:pPr>
              <w:ind w:left="400"/>
              <w:spacing w:after="0"/>
              <w:rPr>
                <w:sz w:val="20"/>
                <w:szCs w:val="20"/>
                <w:color w:val="auto"/>
              </w:rPr>
            </w:pPr>
            <w:r>
              <w:rPr>
                <w:rFonts w:ascii="Arial" w:cs="Arial" w:eastAsia="Arial" w:hAnsi="Arial"/>
                <w:sz w:val="18"/>
                <w:szCs w:val="18"/>
                <w:color w:val="auto"/>
              </w:rPr>
              <w:t>•   we had approximately $11.6 billion aggregate principal</w:t>
            </w:r>
          </w:p>
        </w:tc>
      </w:tr>
      <w:tr>
        <w:trPr>
          <w:trHeight w:val="239"/>
        </w:trPr>
        <w:tc>
          <w:tcPr>
            <w:tcW w:w="2620" w:type="dxa"/>
            <w:vAlign w:val="bottom"/>
          </w:tcPr>
          <w:p>
            <w:pPr>
              <w:spacing w:after="0"/>
              <w:rPr>
                <w:sz w:val="20"/>
                <w:szCs w:val="20"/>
                <w:color w:val="auto"/>
              </w:rPr>
            </w:pPr>
          </w:p>
        </w:tc>
        <w:tc>
          <w:tcPr>
            <w:tcW w:w="4560" w:type="dxa"/>
            <w:vAlign w:val="bottom"/>
          </w:tcPr>
          <w:p>
            <w:pPr>
              <w:ind w:left="760"/>
              <w:spacing w:after="0"/>
              <w:rPr>
                <w:sz w:val="20"/>
                <w:szCs w:val="20"/>
                <w:color w:val="auto"/>
              </w:rPr>
            </w:pPr>
            <w:r>
              <w:rPr>
                <w:rFonts w:ascii="Arial" w:cs="Arial" w:eastAsia="Arial" w:hAnsi="Arial"/>
                <w:sz w:val="18"/>
                <w:szCs w:val="18"/>
                <w:color w:val="auto"/>
              </w:rPr>
              <w:t>amount of indebtedness; and</w:t>
            </w:r>
          </w:p>
        </w:tc>
        <w:tc>
          <w:tcPr>
            <w:tcW w:w="1000" w:type="dxa"/>
            <w:vAlign w:val="bottom"/>
          </w:tcPr>
          <w:p>
            <w:pPr>
              <w:spacing w:after="0"/>
              <w:rPr>
                <w:sz w:val="20"/>
                <w:szCs w:val="20"/>
                <w:color w:val="auto"/>
              </w:rPr>
            </w:pPr>
          </w:p>
        </w:tc>
      </w:tr>
      <w:tr>
        <w:trPr>
          <w:trHeight w:val="342"/>
        </w:trPr>
        <w:tc>
          <w:tcPr>
            <w:tcW w:w="2620" w:type="dxa"/>
            <w:vAlign w:val="bottom"/>
          </w:tcPr>
          <w:p>
            <w:pPr>
              <w:spacing w:after="0"/>
              <w:rPr>
                <w:sz w:val="24"/>
                <w:szCs w:val="24"/>
                <w:color w:val="auto"/>
              </w:rPr>
            </w:pPr>
          </w:p>
        </w:tc>
        <w:tc>
          <w:tcPr>
            <w:tcW w:w="5560" w:type="dxa"/>
            <w:vAlign w:val="bottom"/>
            <w:gridSpan w:val="2"/>
          </w:tcPr>
          <w:p>
            <w:pPr>
              <w:ind w:left="400"/>
              <w:spacing w:after="0"/>
              <w:rPr>
                <w:sz w:val="20"/>
                <w:szCs w:val="20"/>
                <w:color w:val="auto"/>
              </w:rPr>
            </w:pPr>
            <w:r>
              <w:rPr>
                <w:rFonts w:ascii="Arial" w:cs="Arial" w:eastAsia="Arial" w:hAnsi="Arial"/>
                <w:sz w:val="18"/>
                <w:szCs w:val="18"/>
                <w:color w:val="auto"/>
              </w:rPr>
              <w:t>•   our subsidiaries had outstanding liabilities (including trade</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760"/>
              <w:spacing w:after="0"/>
              <w:rPr>
                <w:sz w:val="20"/>
                <w:szCs w:val="20"/>
                <w:color w:val="auto"/>
              </w:rPr>
            </w:pPr>
            <w:r>
              <w:rPr>
                <w:rFonts w:ascii="Arial" w:cs="Arial" w:eastAsia="Arial" w:hAnsi="Arial"/>
                <w:sz w:val="18"/>
                <w:szCs w:val="18"/>
                <w:color w:val="auto"/>
              </w:rPr>
              <w:t>payables and indebtedness to third parties at the full stated</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760"/>
              <w:spacing w:after="0"/>
              <w:rPr>
                <w:sz w:val="20"/>
                <w:szCs w:val="20"/>
                <w:color w:val="auto"/>
              </w:rPr>
            </w:pPr>
            <w:r>
              <w:rPr>
                <w:rFonts w:ascii="Arial" w:cs="Arial" w:eastAsia="Arial" w:hAnsi="Arial"/>
                <w:sz w:val="18"/>
                <w:szCs w:val="18"/>
                <w:color w:val="auto"/>
              </w:rPr>
              <w:t>amount thereof but excluding intercompany indebtedness</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760"/>
              <w:spacing w:after="0"/>
              <w:rPr>
                <w:sz w:val="20"/>
                <w:szCs w:val="20"/>
                <w:color w:val="auto"/>
              </w:rPr>
            </w:pPr>
            <w:r>
              <w:rPr>
                <w:rFonts w:ascii="Arial" w:cs="Arial" w:eastAsia="Arial" w:hAnsi="Arial"/>
                <w:sz w:val="18"/>
                <w:szCs w:val="18"/>
                <w:color w:val="auto"/>
              </w:rPr>
              <w:t>and other obligations and liabilities of a type not required to</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760"/>
              <w:spacing w:after="0"/>
              <w:rPr>
                <w:sz w:val="20"/>
                <w:szCs w:val="20"/>
                <w:color w:val="auto"/>
              </w:rPr>
            </w:pPr>
            <w:r>
              <w:rPr>
                <w:rFonts w:ascii="Arial" w:cs="Arial" w:eastAsia="Arial" w:hAnsi="Arial"/>
                <w:sz w:val="18"/>
                <w:szCs w:val="18"/>
                <w:color w:val="auto"/>
              </w:rPr>
              <w:t>be reflected on a balance sheet of such subsidiaries in</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760"/>
              <w:spacing w:after="0"/>
              <w:rPr>
                <w:sz w:val="20"/>
                <w:szCs w:val="20"/>
                <w:color w:val="auto"/>
              </w:rPr>
            </w:pPr>
            <w:r>
              <w:rPr>
                <w:rFonts w:ascii="Arial" w:cs="Arial" w:eastAsia="Arial" w:hAnsi="Arial"/>
                <w:sz w:val="18"/>
                <w:szCs w:val="18"/>
                <w:color w:val="auto"/>
              </w:rPr>
              <w:t>accordance with GAAP) of approximately $5.9 billion, all of</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760"/>
              <w:spacing w:after="0"/>
              <w:rPr>
                <w:sz w:val="20"/>
                <w:szCs w:val="20"/>
                <w:color w:val="auto"/>
              </w:rPr>
            </w:pPr>
            <w:r>
              <w:rPr>
                <w:rFonts w:ascii="Arial" w:cs="Arial" w:eastAsia="Arial" w:hAnsi="Arial"/>
                <w:sz w:val="18"/>
                <w:szCs w:val="18"/>
                <w:color w:val="auto"/>
              </w:rPr>
              <w:t>which will be structurally senior to the notes with respect to</w:t>
            </w:r>
          </w:p>
        </w:tc>
      </w:tr>
      <w:tr>
        <w:trPr>
          <w:trHeight w:val="239"/>
        </w:trPr>
        <w:tc>
          <w:tcPr>
            <w:tcW w:w="2620" w:type="dxa"/>
            <w:vAlign w:val="bottom"/>
          </w:tcPr>
          <w:p>
            <w:pPr>
              <w:spacing w:after="0"/>
              <w:rPr>
                <w:sz w:val="20"/>
                <w:szCs w:val="20"/>
                <w:color w:val="auto"/>
              </w:rPr>
            </w:pPr>
          </w:p>
        </w:tc>
        <w:tc>
          <w:tcPr>
            <w:tcW w:w="5560" w:type="dxa"/>
            <w:vAlign w:val="bottom"/>
            <w:gridSpan w:val="2"/>
          </w:tcPr>
          <w:p>
            <w:pPr>
              <w:ind w:left="760"/>
              <w:spacing w:after="0"/>
              <w:rPr>
                <w:sz w:val="20"/>
                <w:szCs w:val="20"/>
                <w:color w:val="auto"/>
              </w:rPr>
            </w:pPr>
            <w:r>
              <w:rPr>
                <w:rFonts w:ascii="Arial" w:cs="Arial" w:eastAsia="Arial" w:hAnsi="Arial"/>
                <w:sz w:val="18"/>
                <w:szCs w:val="18"/>
                <w:color w:val="auto"/>
              </w:rPr>
              <w:t>claims on the assets and cash flows of our subsidiaries.</w:t>
            </w:r>
          </w:p>
        </w:tc>
      </w:tr>
      <w:tr>
        <w:trPr>
          <w:trHeight w:val="324"/>
        </w:trPr>
        <w:tc>
          <w:tcPr>
            <w:tcW w:w="2620" w:type="dxa"/>
            <w:vAlign w:val="bottom"/>
          </w:tcPr>
          <w:p>
            <w:pPr>
              <w:spacing w:after="0"/>
              <w:rPr>
                <w:sz w:val="20"/>
                <w:szCs w:val="20"/>
                <w:color w:val="auto"/>
              </w:rPr>
            </w:pPr>
            <w:r>
              <w:rPr>
                <w:rFonts w:ascii="Arial" w:cs="Arial" w:eastAsia="Arial" w:hAnsi="Arial"/>
                <w:sz w:val="18"/>
                <w:szCs w:val="18"/>
                <w:color w:val="auto"/>
              </w:rPr>
              <w:t>Sinking Fund</w:t>
            </w:r>
          </w:p>
        </w:tc>
        <w:tc>
          <w:tcPr>
            <w:tcW w:w="4560" w:type="dxa"/>
            <w:vAlign w:val="bottom"/>
          </w:tcPr>
          <w:p>
            <w:pPr>
              <w:ind w:left="400"/>
              <w:spacing w:after="0"/>
              <w:rPr>
                <w:sz w:val="20"/>
                <w:szCs w:val="20"/>
                <w:color w:val="auto"/>
              </w:rPr>
            </w:pPr>
            <w:r>
              <w:rPr>
                <w:rFonts w:ascii="Arial" w:cs="Arial" w:eastAsia="Arial" w:hAnsi="Arial"/>
                <w:sz w:val="18"/>
                <w:szCs w:val="18"/>
                <w:color w:val="auto"/>
              </w:rPr>
              <w:t>None.</w:t>
            </w:r>
          </w:p>
        </w:tc>
        <w:tc>
          <w:tcPr>
            <w:tcW w:w="1000" w:type="dxa"/>
            <w:vAlign w:val="bottom"/>
          </w:tcPr>
          <w:p>
            <w:pPr>
              <w:spacing w:after="0"/>
              <w:rPr>
                <w:sz w:val="24"/>
                <w:szCs w:val="24"/>
                <w:color w:val="auto"/>
              </w:rPr>
            </w:pPr>
          </w:p>
        </w:tc>
      </w:tr>
      <w:tr>
        <w:trPr>
          <w:trHeight w:val="301"/>
        </w:trPr>
        <w:tc>
          <w:tcPr>
            <w:tcW w:w="2620" w:type="dxa"/>
            <w:vAlign w:val="bottom"/>
          </w:tcPr>
          <w:p>
            <w:pPr>
              <w:spacing w:after="0"/>
              <w:rPr>
                <w:sz w:val="20"/>
                <w:szCs w:val="20"/>
                <w:color w:val="auto"/>
              </w:rPr>
            </w:pPr>
            <w:r>
              <w:rPr>
                <w:rFonts w:ascii="Arial" w:cs="Arial" w:eastAsia="Arial" w:hAnsi="Arial"/>
                <w:sz w:val="18"/>
                <w:szCs w:val="18"/>
                <w:color w:val="auto"/>
              </w:rPr>
              <w:t>Optional Redemption</w:t>
            </w:r>
          </w:p>
        </w:tc>
        <w:tc>
          <w:tcPr>
            <w:tcW w:w="5560" w:type="dxa"/>
            <w:vAlign w:val="bottom"/>
            <w:gridSpan w:val="2"/>
          </w:tcPr>
          <w:p>
            <w:pPr>
              <w:ind w:left="400"/>
              <w:spacing w:after="0"/>
              <w:rPr>
                <w:sz w:val="20"/>
                <w:szCs w:val="20"/>
                <w:color w:val="auto"/>
              </w:rPr>
            </w:pPr>
            <w:r>
              <w:rPr>
                <w:rFonts w:ascii="Arial" w:cs="Arial" w:eastAsia="Arial" w:hAnsi="Arial"/>
                <w:sz w:val="18"/>
                <w:szCs w:val="18"/>
                <w:color w:val="auto"/>
                <w:w w:val="99"/>
              </w:rPr>
              <w:t>The notes will be redeemable at our option, in whole or in part, at</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Arial" w:cs="Arial" w:eastAsia="Arial" w:hAnsi="Arial"/>
                <w:sz w:val="18"/>
                <w:szCs w:val="18"/>
                <w:color w:val="auto"/>
              </w:rPr>
              <w:t>any time and from time to time at a redemption price for each</w:t>
            </w:r>
          </w:p>
        </w:tc>
      </w:tr>
      <w:tr>
        <w:trPr>
          <w:trHeight w:val="234"/>
        </w:trPr>
        <w:tc>
          <w:tcPr>
            <w:tcW w:w="2620" w:type="dxa"/>
            <w:vAlign w:val="bottom"/>
          </w:tcPr>
          <w:p>
            <w:pPr>
              <w:spacing w:after="0"/>
              <w:rPr>
                <w:sz w:val="20"/>
                <w:szCs w:val="20"/>
                <w:color w:val="auto"/>
              </w:rPr>
            </w:pPr>
          </w:p>
        </w:tc>
        <w:tc>
          <w:tcPr>
            <w:tcW w:w="5560" w:type="dxa"/>
            <w:vAlign w:val="bottom"/>
            <w:gridSpan w:val="2"/>
          </w:tcPr>
          <w:p>
            <w:pPr>
              <w:ind w:left="400"/>
              <w:spacing w:after="0"/>
              <w:rPr>
                <w:sz w:val="20"/>
                <w:szCs w:val="20"/>
                <w:color w:val="auto"/>
              </w:rPr>
            </w:pPr>
            <w:r>
              <w:rPr>
                <w:rFonts w:ascii="Arial" w:cs="Arial" w:eastAsia="Arial" w:hAnsi="Arial"/>
                <w:sz w:val="18"/>
                <w:szCs w:val="18"/>
                <w:color w:val="auto"/>
                <w:w w:val="99"/>
              </w:rPr>
              <w:t>series of notes equal to the greater of (i) the make-whole amount</w:t>
            </w:r>
          </w:p>
        </w:tc>
      </w:tr>
    </w:tbl>
    <w:p>
      <w:pPr>
        <w:ind w:left="4300" w:right="499"/>
        <w:spacing w:after="0" w:line="250" w:lineRule="auto"/>
        <w:rPr>
          <w:sz w:val="20"/>
          <w:szCs w:val="20"/>
          <w:color w:val="auto"/>
        </w:rPr>
      </w:pPr>
      <w:r>
        <w:rPr>
          <w:rFonts w:ascii="Arial" w:cs="Arial" w:eastAsia="Arial" w:hAnsi="Arial"/>
          <w:sz w:val="18"/>
          <w:szCs w:val="18"/>
          <w:color w:val="auto"/>
        </w:rPr>
        <w:t>(as described in the section entitled “Description of the Notes —  Optional Redemption”) and (ii) 100% of the principal amount of the notes to be redeemed, plus accrued and unpaid interest thereon to, but excluding, the redemption date. In addition, on or after                    , 20    in the case of the 20    notes</w:t>
      </w:r>
    </w:p>
    <w:p>
      <w:pPr>
        <w:spacing w:after="0" w:line="2" w:lineRule="exact"/>
        <w:rPr>
          <w:sz w:val="20"/>
          <w:szCs w:val="20"/>
          <w:color w:val="auto"/>
        </w:rPr>
      </w:pPr>
    </w:p>
    <w:p>
      <w:pPr>
        <w:ind w:left="4300" w:right="559"/>
        <w:spacing w:after="0" w:line="265" w:lineRule="auto"/>
        <w:rPr>
          <w:sz w:val="20"/>
          <w:szCs w:val="20"/>
          <w:color w:val="auto"/>
        </w:rPr>
      </w:pPr>
      <w:r>
        <w:rPr>
          <w:rFonts w:ascii="Arial" w:cs="Arial" w:eastAsia="Arial" w:hAnsi="Arial"/>
          <w:sz w:val="17"/>
          <w:szCs w:val="17"/>
          <w:color w:val="auto"/>
        </w:rPr>
        <w:t>(            months prior to the maturity date of the 20    notes) and on or after                    , 20    in the case of the 20    notes</w:t>
      </w:r>
    </w:p>
    <w:p>
      <w:pPr>
        <w:ind w:left="4300" w:right="459"/>
        <w:spacing w:after="0" w:line="272" w:lineRule="auto"/>
        <w:rPr>
          <w:sz w:val="20"/>
          <w:szCs w:val="20"/>
          <w:color w:val="auto"/>
        </w:rPr>
      </w:pPr>
      <w:r>
        <w:rPr>
          <w:rFonts w:ascii="Arial" w:cs="Arial" w:eastAsia="Arial" w:hAnsi="Arial"/>
          <w:sz w:val="17"/>
          <w:szCs w:val="17"/>
          <w:color w:val="auto"/>
        </w:rPr>
        <w:t>(                    months prior to the maturity date of the 20    notes), in each case, we may redeem the notes at a redemption price equal to 100% of the principal amount thereof plus accrued and unpaid interest to, but excluding, the date of redemption. See “Description of the Notes — Optional Redemption.”</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933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60" w:hanging="179"/>
        <w:spacing w:after="0" w:line="284" w:lineRule="auto"/>
        <w:rPr>
          <w:sz w:val="20"/>
          <w:szCs w:val="20"/>
          <w:color w:val="auto"/>
        </w:rPr>
      </w:pPr>
      <w:r>
        <w:rPr>
          <w:rFonts w:ascii="Arial" w:cs="Arial" w:eastAsia="Arial" w:hAnsi="Arial"/>
          <w:sz w:val="18"/>
          <w:szCs w:val="18"/>
          <w:color w:val="auto"/>
        </w:rPr>
        <w:t>Mandatory Offer to Repurchase Upon a Change of Control Triggering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Certain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No Prior Market; No 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79"/>
        <w:spacing w:after="0" w:line="255" w:lineRule="auto"/>
        <w:rPr>
          <w:sz w:val="20"/>
          <w:szCs w:val="20"/>
          <w:color w:val="auto"/>
        </w:rPr>
      </w:pPr>
      <w:r>
        <w:rPr>
          <w:rFonts w:ascii="Arial" w:cs="Arial" w:eastAsia="Arial" w:hAnsi="Arial"/>
          <w:sz w:val="18"/>
          <w:szCs w:val="18"/>
          <w:color w:val="auto"/>
        </w:rPr>
        <w:t>Upon the occurrence of a Change of Control Triggering Event (as defined elsewhere in this prospectus supplement) with respect to a series of notes, we will be required to make an offer to purchase the notes of such series at a price equal to 101% of their principal amount plus accrued and unpaid interest to, but excluding, the date of purchase. See “Description of the Notes —  Repurchase of Notes Upon a Change of Control Triggering Event.”</w:t>
      </w:r>
    </w:p>
    <w:p>
      <w:pPr>
        <w:spacing w:after="0" w:line="77" w:lineRule="exact"/>
        <w:rPr>
          <w:sz w:val="20"/>
          <w:szCs w:val="20"/>
          <w:color w:val="auto"/>
        </w:rPr>
      </w:pPr>
    </w:p>
    <w:p>
      <w:pPr>
        <w:ind w:right="499"/>
        <w:spacing w:after="0" w:line="257" w:lineRule="auto"/>
        <w:rPr>
          <w:sz w:val="20"/>
          <w:szCs w:val="20"/>
          <w:color w:val="auto"/>
        </w:rPr>
      </w:pPr>
      <w:r>
        <w:rPr>
          <w:rFonts w:ascii="Arial" w:cs="Arial" w:eastAsia="Arial" w:hAnsi="Arial"/>
          <w:sz w:val="18"/>
          <w:szCs w:val="18"/>
          <w:color w:val="auto"/>
        </w:rPr>
        <w:t>The indenture that will govern each series of notes contains covenants that, subject to significant exceptions, limit our ability and/or the ability of our restricted subsidiaries (which are generally domestic subsidiaries in which we own at least 80% of the voting stock and which own Principal Property (as defined herein)) to:</w:t>
      </w:r>
    </w:p>
    <w:p>
      <w:pPr>
        <w:spacing w:after="0" w:line="128" w:lineRule="exact"/>
        <w:rPr>
          <w:sz w:val="20"/>
          <w:szCs w:val="20"/>
          <w:color w:val="auto"/>
        </w:rPr>
      </w:pPr>
    </w:p>
    <w:p>
      <w:pPr>
        <w:ind w:left="360" w:right="499" w:hanging="358"/>
        <w:spacing w:after="0" w:line="262"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or incur certain liens on Principal Property owned by us or a restricted subsidiary and shares of capital stock of any restricted subsidiary and enter into sale and lease-back transactions with respect to Principal Property; and</w:t>
      </w:r>
    </w:p>
    <w:p>
      <w:pPr>
        <w:spacing w:after="0" w:line="122" w:lineRule="exact"/>
        <w:rPr>
          <w:rFonts w:ascii="Arial" w:cs="Arial" w:eastAsia="Arial" w:hAnsi="Arial"/>
          <w:sz w:val="18"/>
          <w:szCs w:val="18"/>
          <w:color w:val="auto"/>
        </w:rPr>
      </w:pPr>
    </w:p>
    <w:p>
      <w:pPr>
        <w:jc w:val="both"/>
        <w:ind w:left="360" w:right="459" w:hanging="358"/>
        <w:spacing w:after="0" w:line="318" w:lineRule="auto"/>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consolidate with or merge with or into, or convey, transfer or lease all or substantially all of our assets, to another person.</w:t>
      </w:r>
    </w:p>
    <w:p>
      <w:pPr>
        <w:spacing w:after="0" w:line="62" w:lineRule="exact"/>
        <w:rPr>
          <w:sz w:val="20"/>
          <w:szCs w:val="20"/>
          <w:color w:val="auto"/>
        </w:rPr>
      </w:pPr>
    </w:p>
    <w:p>
      <w:pPr>
        <w:ind w:right="439"/>
        <w:spacing w:after="0" w:line="276" w:lineRule="auto"/>
        <w:rPr>
          <w:sz w:val="20"/>
          <w:szCs w:val="20"/>
          <w:color w:val="auto"/>
        </w:rPr>
      </w:pPr>
      <w:r>
        <w:rPr>
          <w:rFonts w:ascii="Arial" w:cs="Arial" w:eastAsia="Arial" w:hAnsi="Arial"/>
          <w:sz w:val="18"/>
          <w:szCs w:val="18"/>
          <w:color w:val="auto"/>
        </w:rPr>
        <w:t>These covenants are subject to a number of important limitations and exceptions as described under “Description of the Notes Certain Covenants.”</w:t>
      </w:r>
    </w:p>
    <w:p>
      <w:pPr>
        <w:spacing w:after="0" w:line="69" w:lineRule="exact"/>
        <w:rPr>
          <w:sz w:val="20"/>
          <w:szCs w:val="20"/>
          <w:color w:val="auto"/>
        </w:rPr>
      </w:pPr>
    </w:p>
    <w:p>
      <w:pPr>
        <w:ind w:right="419"/>
        <w:spacing w:after="0" w:line="254" w:lineRule="auto"/>
        <w:rPr>
          <w:sz w:val="20"/>
          <w:szCs w:val="20"/>
          <w:color w:val="auto"/>
        </w:rPr>
      </w:pPr>
      <w:r>
        <w:rPr>
          <w:rFonts w:ascii="Arial" w:cs="Arial" w:eastAsia="Arial" w:hAnsi="Arial"/>
          <w:sz w:val="18"/>
          <w:szCs w:val="18"/>
          <w:color w:val="auto"/>
        </w:rPr>
        <w:t>Each series of notes will be a new issue of securities for which there is currently no established public market. Although the underwriters have informed us that they intend to make a market in the notes, they are not obligated to do so and may discontinue market-making with respect to the notes at any time without notice. Accordingly, a liquid market for the notes may not develop or be maintained. See “Risk Factors — Risks Related to the Notes — Your ability to transfer the notes may be limited by the absence of an active trading market, and an active trading market may not develop for the notes.”</w:t>
      </w:r>
    </w:p>
    <w:p>
      <w:pPr>
        <w:spacing w:after="0" w:line="118" w:lineRule="exact"/>
        <w:rPr>
          <w:sz w:val="20"/>
          <w:szCs w:val="20"/>
          <w:color w:val="auto"/>
        </w:rPr>
      </w:pPr>
    </w:p>
    <w:p>
      <w:pPr>
        <w:jc w:val="both"/>
        <w:ind w:right="919"/>
        <w:spacing w:after="0" w:line="276" w:lineRule="auto"/>
        <w:rPr>
          <w:sz w:val="20"/>
          <w:szCs w:val="20"/>
          <w:color w:val="auto"/>
        </w:rPr>
      </w:pPr>
      <w:r>
        <w:rPr>
          <w:rFonts w:ascii="Arial" w:cs="Arial" w:eastAsia="Arial" w:hAnsi="Arial"/>
          <w:sz w:val="18"/>
          <w:szCs w:val="18"/>
          <w:color w:val="auto"/>
        </w:rPr>
        <w:t>We do not intend to apply for the listing of the notes on any securities exchange or for the quotation of the notes in any dealer quotation system.</w:t>
      </w:r>
    </w:p>
    <w:p>
      <w:pPr>
        <w:spacing w:after="0" w:line="69" w:lineRule="exact"/>
        <w:rPr>
          <w:sz w:val="20"/>
          <w:szCs w:val="20"/>
          <w:color w:val="auto"/>
        </w:rPr>
      </w:pPr>
    </w:p>
    <w:p>
      <w:pPr>
        <w:ind w:right="459"/>
        <w:spacing w:after="0" w:line="255" w:lineRule="auto"/>
        <w:rPr>
          <w:sz w:val="20"/>
          <w:szCs w:val="20"/>
          <w:color w:val="auto"/>
        </w:rPr>
      </w:pPr>
      <w:r>
        <w:rPr>
          <w:rFonts w:ascii="Arial" w:cs="Arial" w:eastAsia="Arial" w:hAnsi="Arial"/>
          <w:sz w:val="18"/>
          <w:szCs w:val="18"/>
          <w:color w:val="auto"/>
        </w:rPr>
        <w:t>We estimate net proceeds from the sale of the notes, after deducting underwriter discounts and other estimated offering expenses, will be approximately $            . We intend to use a portion of the net proceeds from the sale of the notes to repay $            principal amount of the outstanding borrowings under our senior term loan due October 2024 (the “2024 Term Loan A”) and the remainder of the net proceeds for general corporate purposes. See “Use of Proceeds.”</w:t>
      </w:r>
    </w:p>
    <w:p>
      <w:pPr>
        <w:spacing w:after="0" w:line="77" w:lineRule="exact"/>
        <w:rPr>
          <w:sz w:val="20"/>
          <w:szCs w:val="20"/>
          <w:color w:val="auto"/>
        </w:rPr>
      </w:pPr>
    </w:p>
    <w:p>
      <w:pPr>
        <w:ind w:right="519"/>
        <w:spacing w:after="0" w:line="282" w:lineRule="auto"/>
        <w:rPr>
          <w:sz w:val="20"/>
          <w:szCs w:val="20"/>
          <w:color w:val="auto"/>
        </w:rPr>
      </w:pPr>
      <w:r>
        <w:rPr>
          <w:rFonts w:ascii="Arial" w:cs="Arial" w:eastAsia="Arial" w:hAnsi="Arial"/>
          <w:sz w:val="17"/>
          <w:szCs w:val="17"/>
          <w:color w:val="auto"/>
        </w:rPr>
        <w:t>You should carefully consider all of the information set forth in this prospectus supplement and the accompanying prospectus and the documents, including the information incorporated by reference, and, in particular, should evaluate the specific factors</w:t>
      </w:r>
    </w:p>
    <w:p>
      <w:pPr>
        <w:spacing w:after="0" w:line="200" w:lineRule="exact"/>
        <w:rPr>
          <w:sz w:val="20"/>
          <w:szCs w:val="20"/>
          <w:color w:val="auto"/>
        </w:rPr>
      </w:pPr>
    </w:p>
    <w:p>
      <w:pPr>
        <w:sectPr>
          <w:pgSz w:w="11900" w:h="16838" w:orient="portrait"/>
          <w:cols w:equalWidth="0" w:num="2">
            <w:col w:w="3780" w:space="520"/>
            <w:col w:w="5579"/>
          </w:cols>
          <w:pgMar w:left="580" w:top="97" w:right="1440" w:bottom="1440" w:gutter="0" w:footer="0" w:header="0"/>
          <w:type w:val="continuous"/>
        </w:sectPr>
      </w:pPr>
    </w:p>
    <w:p>
      <w:pPr>
        <w:spacing w:after="0" w:line="15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300" w:right="579"/>
        <w:spacing w:after="0" w:line="268" w:lineRule="auto"/>
        <w:rPr>
          <w:sz w:val="20"/>
          <w:szCs w:val="20"/>
          <w:color w:val="auto"/>
        </w:rPr>
      </w:pPr>
      <w:r>
        <w:rPr>
          <w:rFonts w:ascii="Arial" w:cs="Arial" w:eastAsia="Arial" w:hAnsi="Arial"/>
          <w:sz w:val="18"/>
          <w:szCs w:val="18"/>
          <w:color w:val="auto"/>
        </w:rPr>
        <w:t>set forth in this prospectus supplement under “Risk Factors” for an explanation of certain risks you should consider before investing in the notes.</w:t>
      </w:r>
    </w:p>
    <w:p>
      <w:pPr>
        <w:spacing w:after="0" w:line="63"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Form and Denomination</w:t>
      </w:r>
      <w:r>
        <w:rPr>
          <w:sz w:val="20"/>
          <w:szCs w:val="20"/>
          <w:color w:val="auto"/>
        </w:rPr>
        <w:tab/>
      </w:r>
      <w:r>
        <w:rPr>
          <w:rFonts w:ascii="Arial" w:cs="Arial" w:eastAsia="Arial" w:hAnsi="Arial"/>
          <w:sz w:val="17"/>
          <w:szCs w:val="17"/>
          <w:color w:val="auto"/>
        </w:rPr>
        <w:t>Each series of notes will be issued in the form of one or more</w:t>
      </w:r>
    </w:p>
    <w:p>
      <w:pPr>
        <w:spacing w:after="0" w:line="27" w:lineRule="exact"/>
        <w:rPr>
          <w:sz w:val="20"/>
          <w:szCs w:val="20"/>
          <w:color w:val="auto"/>
        </w:rPr>
      </w:pPr>
    </w:p>
    <w:p>
      <w:pPr>
        <w:ind w:left="4300" w:right="399"/>
        <w:spacing w:after="0" w:line="251" w:lineRule="auto"/>
        <w:rPr>
          <w:sz w:val="20"/>
          <w:szCs w:val="20"/>
          <w:color w:val="auto"/>
        </w:rPr>
      </w:pPr>
      <w:r>
        <w:rPr>
          <w:rFonts w:ascii="Arial" w:cs="Arial" w:eastAsia="Arial" w:hAnsi="Arial"/>
          <w:sz w:val="18"/>
          <w:szCs w:val="18"/>
          <w:color w:val="auto"/>
        </w:rPr>
        <w:t>fully registered global securities, without coupons, in denominations of $2,000 in principal amount and integral multiples of $1,000 in excess thereof. These global notes will be deposited with the trustee as custodian for, and registered in the name of, a nominee of The Depository Trust Company (“DTC”). Except in the limited circumstances described under “Description of the Notes — Book-Entry, Form, Denomination and Delivery of Notes,” notes in certificated form will not be issued or exchanged for interests in global securities. Investors may hold their interests in a global note directly through Euroclear Bank S.A./N.V, as operator of the Euroclear System (“Euroclear”), and Clearstream Banking, S.A.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8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Trustee, Registrar and Paying</w:t>
      </w:r>
    </w:p>
    <w:p>
      <w:pPr>
        <w:spacing w:after="0" w:line="27" w:lineRule="exact"/>
        <w:rPr>
          <w:sz w:val="20"/>
          <w:szCs w:val="20"/>
          <w:color w:val="auto"/>
        </w:rPr>
      </w:pPr>
    </w:p>
    <w:p>
      <w:pPr>
        <w:ind w:left="1460"/>
        <w:spacing w:after="0"/>
        <w:tabs>
          <w:tab w:leader="none" w:pos="4280" w:val="left"/>
        </w:tabs>
        <w:rPr>
          <w:sz w:val="20"/>
          <w:szCs w:val="20"/>
          <w:color w:val="auto"/>
        </w:rPr>
      </w:pPr>
      <w:r>
        <w:rPr>
          <w:rFonts w:ascii="Arial" w:cs="Arial" w:eastAsia="Arial" w:hAnsi="Arial"/>
          <w:sz w:val="18"/>
          <w:szCs w:val="18"/>
          <w:color w:val="auto"/>
        </w:rPr>
        <w:t>Agent</w:t>
      </w:r>
      <w:r>
        <w:rPr>
          <w:sz w:val="20"/>
          <w:szCs w:val="20"/>
          <w:color w:val="auto"/>
        </w:rPr>
        <w:tab/>
      </w:r>
      <w:r>
        <w:rPr>
          <w:rFonts w:ascii="Arial" w:cs="Arial" w:eastAsia="Arial" w:hAnsi="Arial"/>
          <w:sz w:val="18"/>
          <w:szCs w:val="18"/>
          <w:color w:val="auto"/>
        </w:rPr>
        <w:t>U.S. Bank Trust Company, National Association.</w:t>
      </w:r>
    </w:p>
    <w:p>
      <w:pPr>
        <w:spacing w:after="0" w:line="99"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Governing Law</w:t>
      </w:r>
      <w:r>
        <w:rPr>
          <w:sz w:val="20"/>
          <w:szCs w:val="20"/>
          <w:color w:val="auto"/>
        </w:rPr>
        <w:tab/>
      </w:r>
      <w:r>
        <w:rPr>
          <w:rFonts w:ascii="Arial" w:cs="Arial" w:eastAsia="Arial" w:hAnsi="Arial"/>
          <w:sz w:val="17"/>
          <w:szCs w:val="17"/>
          <w:color w:val="auto"/>
        </w:rPr>
        <w:t>The indenture and the notes will be governed by the laws of the</w:t>
      </w:r>
    </w:p>
    <w:p>
      <w:pPr>
        <w:spacing w:after="0" w:line="27"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State of New York.</w:t>
      </w:r>
    </w:p>
    <w:p>
      <w:pPr>
        <w:spacing w:after="0" w:line="99"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Conflicts of Interest</w:t>
      </w:r>
      <w:r>
        <w:rPr>
          <w:sz w:val="20"/>
          <w:szCs w:val="20"/>
          <w:color w:val="auto"/>
        </w:rPr>
        <w:tab/>
      </w:r>
      <w:r>
        <w:rPr>
          <w:rFonts w:ascii="Arial" w:cs="Arial" w:eastAsia="Arial" w:hAnsi="Arial"/>
          <w:sz w:val="17"/>
          <w:szCs w:val="17"/>
          <w:color w:val="auto"/>
        </w:rPr>
        <w:t>Affiliates of certain underwriters will receive at least 5% of the net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proceeds of this offering in connection with the repayment of</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principal amount of the outstanding borrowings under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our 2024 Term Loan A. See “Use of Proceeds.” Accordingly, this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offering is being made in compliance with the requirements of</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Rule 5121 of the Financial Industry Regulation Authority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(“FINRA”). Because the notes to be offered will be rated</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investment grade, pursuant to Rule 5121, the appointment of a</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qualified independent underwriter is not necessary.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underwriters subject to Rule 5121 may not confirm sales of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notes to any account over which they exercise discretionary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authority without the prior written approval of the customer.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RISK FACTORS</w:t>
      </w:r>
    </w:p>
    <w:p>
      <w:pPr>
        <w:spacing w:after="0" w:line="151" w:lineRule="exact"/>
        <w:rPr>
          <w:sz w:val="20"/>
          <w:szCs w:val="20"/>
          <w:color w:val="auto"/>
        </w:rPr>
      </w:pPr>
    </w:p>
    <w:p>
      <w:pPr>
        <w:ind w:left="1260" w:right="459"/>
        <w:spacing w:after="0" w:line="247" w:lineRule="auto"/>
        <w:rPr>
          <w:rFonts w:ascii="Arial" w:cs="Arial" w:eastAsia="Arial" w:hAnsi="Arial"/>
          <w:sz w:val="18"/>
          <w:szCs w:val="18"/>
          <w:i w:val="1"/>
          <w:iCs w:val="1"/>
          <w:color w:val="0000EE"/>
        </w:rPr>
      </w:pPr>
      <w:r>
        <w:rPr>
          <w:rFonts w:ascii="Arial" w:cs="Arial" w:eastAsia="Arial" w:hAnsi="Arial"/>
          <w:sz w:val="18"/>
          <w:szCs w:val="18"/>
          <w:i w:val="1"/>
          <w:iCs w:val="1"/>
          <w:color w:val="auto"/>
        </w:rPr>
        <w:t xml:space="preserve">In considering whether to purchase the notes, you should carefully consider all the information contained or incorporated by reference in this prospectus supplement and the accompanying </w:t>
      </w:r>
      <w:hyperlink r:id="rId34">
        <w:r>
          <w:rPr>
            <w:rFonts w:ascii="Arial" w:cs="Arial" w:eastAsia="Arial" w:hAnsi="Arial"/>
            <w:sz w:val="18"/>
            <w:szCs w:val="18"/>
            <w:i w:val="1"/>
            <w:iCs w:val="1"/>
            <w:color w:val="auto"/>
          </w:rPr>
          <w:t xml:space="preserve">prospectus. In particular, you should carefully consider the risk factors in our </w:t>
        </w:r>
        <w:r>
          <w:rPr>
            <w:rFonts w:ascii="Arial" w:cs="Arial" w:eastAsia="Arial" w:hAnsi="Arial"/>
            <w:sz w:val="18"/>
            <w:szCs w:val="18"/>
            <w:i w:val="1"/>
            <w:iCs w:val="1"/>
            <w:u w:val="single" w:color="auto"/>
            <w:color w:val="0000EE"/>
          </w:rPr>
          <w:t>Quarterly Report on Form</w:t>
        </w:r>
      </w:hyperlink>
      <w:r>
        <w:rPr>
          <w:rFonts w:ascii="Arial" w:cs="Arial" w:eastAsia="Arial" w:hAnsi="Arial"/>
          <w:sz w:val="18"/>
          <w:szCs w:val="18"/>
          <w:i w:val="1"/>
          <w:iCs w:val="1"/>
          <w:color w:val="auto"/>
        </w:rPr>
        <w:t xml:space="preserve"> </w:t>
      </w:r>
      <w:hyperlink r:id="rId34">
        <w:r>
          <w:rPr>
            <w:rFonts w:ascii="Arial" w:cs="Arial" w:eastAsia="Arial" w:hAnsi="Arial"/>
            <w:sz w:val="18"/>
            <w:szCs w:val="18"/>
            <w:i w:val="1"/>
            <w:iCs w:val="1"/>
            <w:u w:val="single" w:color="auto"/>
            <w:color w:val="0000EE"/>
          </w:rPr>
          <w:t>10-Q for the quarter ended March 2, 2023</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as well as the risk factors described below, which are not</w:t>
        </w:r>
      </w:hyperlink>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exhaustive. In this section, references to “Micron,” “us,” “we,” or “our” refer only to Micron Technology, Inc. and not to any of its subsidiaries.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Risks Related to Our Business</w:t>
      </w:r>
    </w:p>
    <w:p>
      <w:pPr>
        <w:spacing w:after="0" w:line="148"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We hereby incorporate by reference the risk factors in Item 1A of our Quarterly Report on Form 10-Q for the fiscal quarter ended March 2, 2023, except that the risk factor set forth immediately below in this “Risks Related to Our Business” section supersedes the similarly captioned risk factor in our Form 10-Q.</w:t>
      </w:r>
    </w:p>
    <w:p>
      <w:pPr>
        <w:spacing w:after="0" w:line="186" w:lineRule="exact"/>
        <w:rPr>
          <w:sz w:val="20"/>
          <w:szCs w:val="20"/>
          <w:color w:val="auto"/>
        </w:rPr>
      </w:pPr>
    </w:p>
    <w:p>
      <w:pPr>
        <w:jc w:val="both"/>
        <w:ind w:left="1260" w:right="759"/>
        <w:spacing w:after="0" w:line="256" w:lineRule="auto"/>
        <w:rPr>
          <w:sz w:val="20"/>
          <w:szCs w:val="20"/>
          <w:color w:val="auto"/>
        </w:rPr>
      </w:pPr>
      <w:r>
        <w:rPr>
          <w:rFonts w:ascii="Arial" w:cs="Arial" w:eastAsia="Arial" w:hAnsi="Arial"/>
          <w:sz w:val="18"/>
          <w:szCs w:val="18"/>
          <w:b w:val="1"/>
          <w:bCs w:val="1"/>
          <w:i w:val="1"/>
          <w:iCs w:val="1"/>
          <w:color w:val="auto"/>
        </w:rPr>
        <w:t>Government actions and regulations, such as export restrictions, tariffs, investigations, and trade protection measures, may limit our ability to sell our products to certain customers or markets, or could otherwise restrict our ability to conduct operations.</w:t>
      </w:r>
    </w:p>
    <w:p>
      <w:pPr>
        <w:spacing w:after="0" w:line="92" w:lineRule="exact"/>
        <w:rPr>
          <w:sz w:val="20"/>
          <w:szCs w:val="20"/>
          <w:color w:val="auto"/>
        </w:rPr>
      </w:pPr>
    </w:p>
    <w:p>
      <w:pPr>
        <w:ind w:left="1260" w:right="439"/>
        <w:spacing w:after="0" w:line="261" w:lineRule="auto"/>
        <w:rPr>
          <w:sz w:val="20"/>
          <w:szCs w:val="20"/>
          <w:color w:val="auto"/>
        </w:rPr>
      </w:pPr>
      <w:r>
        <w:rPr>
          <w:rFonts w:ascii="Arial" w:cs="Arial" w:eastAsia="Arial" w:hAnsi="Arial"/>
          <w:sz w:val="17"/>
          <w:szCs w:val="17"/>
          <w:color w:val="auto"/>
        </w:rPr>
        <w:t>International trade disputes, geopolitical tensions, and military conflicts have led, and continue to lead, to new and increasing export restrictions, trade barriers, tariffs, and other trade measures that can increase our manufacturing costs, make our products less competitive, reduce demand for our products, limit our ability to sell to certain customers or markets, limit our ability to procure, or increase our costs for, components or raw materials, impede or slow the movement of our goods across borders, impede our ability to perform R&amp;D activities, or otherwise restrict our ability to conduct operations. Increasing protectionism, economic nationalism, and national security concerns may lead to further changes in trade policy, domestic sourcing initiatives, or other formal and informal measures that could make it more difficult to sell our products in, or restrict our access to, some markets and/or customers.</w:t>
      </w:r>
    </w:p>
    <w:p>
      <w:pPr>
        <w:spacing w:after="0" w:line="98"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On March 31, 2023, China’s Cyberspace Administration (the “CAC”) notified us that it will conduct a cybersecurity review of products sold by us in China. As disclosed in our Annual Report on Form 10-K for the fiscal year ended September 1, 2022, our direct sales to customers headquartered in mainland China accounted for approximately 11% of our fiscal year 2022 revenue, and direct sales to customers headquartered in Hong Kong accounted for approximately 5% of our fiscal year 2022 revenue. In addition, our products sold to distributors are incorporated by third parties into their own products. These third-party products, in many cases, may be manufactured in whole or in part in China. While we do not report these indirect sales of our products by geography, these indirect sales are less than our direct sales to our customers headquartered in mainland China and Hong Kong. In some cases, we also ship our products directly to locations within China for customers that are headquartered outside China.</w:t>
      </w:r>
    </w:p>
    <w:p>
      <w:pPr>
        <w:spacing w:after="0" w:line="111" w:lineRule="exact"/>
        <w:rPr>
          <w:sz w:val="20"/>
          <w:szCs w:val="20"/>
          <w:color w:val="auto"/>
        </w:rPr>
      </w:pPr>
    </w:p>
    <w:p>
      <w:pPr>
        <w:ind w:left="1260" w:right="439"/>
        <w:spacing w:after="0" w:line="246" w:lineRule="auto"/>
        <w:rPr>
          <w:sz w:val="20"/>
          <w:szCs w:val="20"/>
          <w:color w:val="auto"/>
        </w:rPr>
      </w:pPr>
      <w:r>
        <w:rPr>
          <w:rFonts w:ascii="Arial" w:cs="Arial" w:eastAsia="Arial" w:hAnsi="Arial"/>
          <w:sz w:val="18"/>
          <w:szCs w:val="18"/>
          <w:color w:val="auto"/>
        </w:rPr>
        <w:t>We are cooperating with the review by the CAC. To the extent that the review is lengthy or results in decisions by the CAC that are adverse to us, it may negatively impact direct sales of our products into China and Hong Kong, as well as the sales of our products through distributors to third parties. There can be no assurance that the CAC’s review will not prevent us from participating in the China market, in whole or in part, cause harm to our relationships with our customers, or otherwise adversely impact us, any of which could result in a material adverse effect on our business, results of operations, or financial condition.</w:t>
      </w:r>
    </w:p>
    <w:p>
      <w:pPr>
        <w:spacing w:after="0" w:line="108" w:lineRule="exact"/>
        <w:rPr>
          <w:sz w:val="20"/>
          <w:szCs w:val="20"/>
          <w:color w:val="auto"/>
        </w:rPr>
      </w:pPr>
    </w:p>
    <w:p>
      <w:pPr>
        <w:ind w:left="1260" w:right="419"/>
        <w:spacing w:after="0" w:line="244" w:lineRule="auto"/>
        <w:rPr>
          <w:sz w:val="20"/>
          <w:szCs w:val="20"/>
          <w:color w:val="auto"/>
        </w:rPr>
      </w:pPr>
      <w:r>
        <w:rPr>
          <w:rFonts w:ascii="Arial" w:cs="Arial" w:eastAsia="Arial" w:hAnsi="Arial"/>
          <w:sz w:val="18"/>
          <w:szCs w:val="18"/>
          <w:color w:val="auto"/>
        </w:rPr>
        <w:t>We cannot predict what further actions may ultimately be taken with respect to export regulations, tariffs, or other trade regulations between the United States and other countries, what products or companies may be subject to such actions, or what actions may be taken by other countries in retaliation. Further changes in trade policy, tariffs,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Such changes may also result in reputational harm to us, the development or adoption of technologies that compete with our products, long-term changes in global trade and technology supply chains, or</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negative impacts on our customers’ products which incorporate our solutions. Any of the effects described in this risk factor could have a material adverse effect on our business, results of operations, or financial condition.</w:t>
      </w:r>
    </w:p>
    <w:p>
      <w:pPr>
        <w:spacing w:after="0" w:line="103" w:lineRule="exact"/>
        <w:rPr>
          <w:sz w:val="20"/>
          <w:szCs w:val="20"/>
          <w:color w:val="auto"/>
        </w:rPr>
      </w:pPr>
    </w:p>
    <w:p>
      <w:pPr>
        <w:ind w:left="1260" w:right="559"/>
        <w:spacing w:after="0" w:line="256" w:lineRule="auto"/>
        <w:rPr>
          <w:sz w:val="20"/>
          <w:szCs w:val="20"/>
          <w:color w:val="auto"/>
        </w:rPr>
      </w:pPr>
      <w:r>
        <w:rPr>
          <w:rFonts w:ascii="Arial" w:cs="Arial" w:eastAsia="Arial" w:hAnsi="Arial"/>
          <w:sz w:val="18"/>
          <w:szCs w:val="18"/>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Risks Related to the Notes</w:t>
      </w:r>
    </w:p>
    <w:p>
      <w:pPr>
        <w:spacing w:after="0" w:line="231" w:lineRule="exact"/>
        <w:rPr>
          <w:sz w:val="20"/>
          <w:szCs w:val="20"/>
          <w:color w:val="auto"/>
        </w:rPr>
      </w:pPr>
    </w:p>
    <w:p>
      <w:pPr>
        <w:ind w:left="1260" w:right="699"/>
        <w:spacing w:after="0" w:line="294" w:lineRule="auto"/>
        <w:rPr>
          <w:sz w:val="20"/>
          <w:szCs w:val="20"/>
          <w:color w:val="auto"/>
        </w:rPr>
      </w:pPr>
      <w:r>
        <w:rPr>
          <w:rFonts w:ascii="Arial" w:cs="Arial" w:eastAsia="Arial" w:hAnsi="Arial"/>
          <w:sz w:val="18"/>
          <w:szCs w:val="18"/>
          <w:b w:val="1"/>
          <w:bCs w:val="1"/>
          <w:i w:val="1"/>
          <w:iCs w:val="1"/>
          <w:color w:val="auto"/>
        </w:rPr>
        <w:t>We may not be able to generate sufficient cash to service our debt obligations, including our obligations under the notes.</w:t>
      </w:r>
    </w:p>
    <w:p>
      <w:pPr>
        <w:spacing w:after="0" w:line="58"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color w:val="auto"/>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level of cash flows from operating activities sufficient to permit us to pay the principal, premium, if any, and interest on our indebtedness, including the notes.</w:t>
      </w:r>
    </w:p>
    <w:p>
      <w:pPr>
        <w:spacing w:after="0" w:line="112"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and capital expenditures, or to sell assets, seek additional capital or restructure or refinance our indebtedness, including the notes. These alternative measures may not be successful and may not permit us to meet our scheduled debt service obligations. We cannot assure you that we would be able to implement any of these alternatives on satisfactory terms or at all. In the absence of such operating results and resources,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w:t>
      </w:r>
    </w:p>
    <w:p>
      <w:pPr>
        <w:spacing w:after="0" w:line="118" w:lineRule="exact"/>
        <w:rPr>
          <w:sz w:val="20"/>
          <w:szCs w:val="20"/>
          <w:color w:val="auto"/>
        </w:rPr>
      </w:pPr>
    </w:p>
    <w:p>
      <w:pPr>
        <w:ind w:left="1260" w:right="899"/>
        <w:spacing w:after="0" w:line="257" w:lineRule="auto"/>
        <w:rPr>
          <w:sz w:val="20"/>
          <w:szCs w:val="20"/>
          <w:color w:val="auto"/>
        </w:rPr>
      </w:pPr>
      <w:r>
        <w:rPr>
          <w:rFonts w:ascii="Arial" w:cs="Arial" w:eastAsia="Arial" w:hAnsi="Arial"/>
          <w:sz w:val="18"/>
          <w:szCs w:val="18"/>
          <w:color w:val="auto"/>
        </w:rPr>
        <w:t>If we are unable to service our debt obligations from cash flows, we may need to refinance all or a portion of our debt obligations prior to maturity. Our ability to refinance or restructure our debt will depend upon the condition of the capital markets and our financial condition at such time. Any refinancing of our debt could be at higher interest rates and may require us to comply with more onerous covenants, which could further restrict our business operations. We may not be able to refinance any of our indebtedness on commercially reasonable terms or at all.</w:t>
      </w:r>
    </w:p>
    <w:p>
      <w:pPr>
        <w:spacing w:after="0" w:line="184" w:lineRule="exact"/>
        <w:rPr>
          <w:sz w:val="20"/>
          <w:szCs w:val="20"/>
          <w:color w:val="auto"/>
        </w:rPr>
      </w:pPr>
    </w:p>
    <w:p>
      <w:pPr>
        <w:ind w:left="1260" w:right="699"/>
        <w:spacing w:after="0" w:line="294" w:lineRule="auto"/>
        <w:rPr>
          <w:sz w:val="20"/>
          <w:szCs w:val="20"/>
          <w:color w:val="auto"/>
        </w:rPr>
      </w:pPr>
      <w:r>
        <w:rPr>
          <w:rFonts w:ascii="Arial" w:cs="Arial" w:eastAsia="Arial" w:hAnsi="Arial"/>
          <w:sz w:val="18"/>
          <w:szCs w:val="18"/>
          <w:b w:val="1"/>
          <w:bCs w:val="1"/>
          <w:i w:val="1"/>
          <w:iCs w:val="1"/>
          <w:color w:val="auto"/>
        </w:rPr>
        <w:t>Despite current indebtedness levels, we are able to incur substantially more debt. This could further exacerbate the risks described herein.</w:t>
      </w:r>
    </w:p>
    <w:p>
      <w:pPr>
        <w:spacing w:after="0" w:line="58" w:lineRule="exact"/>
        <w:rPr>
          <w:sz w:val="20"/>
          <w:szCs w:val="20"/>
          <w:color w:val="auto"/>
        </w:rPr>
      </w:pPr>
    </w:p>
    <w:p>
      <w:pPr>
        <w:ind w:left="1260" w:right="439"/>
        <w:spacing w:after="0" w:line="270" w:lineRule="auto"/>
        <w:rPr>
          <w:sz w:val="20"/>
          <w:szCs w:val="20"/>
          <w:color w:val="auto"/>
        </w:rPr>
      </w:pPr>
      <w:r>
        <w:rPr>
          <w:rFonts w:ascii="Arial" w:cs="Arial" w:eastAsia="Arial" w:hAnsi="Arial"/>
          <w:sz w:val="17"/>
          <w:szCs w:val="17"/>
          <w:color w:val="auto"/>
        </w:rPr>
        <w:t xml:space="preserve">We and our subsidiaries are able to incur substantial additional indebtedness in the future, including secured indebtedness, and the terms of the indenture governing each series of notes offered hereby will not fully prohibit us or our subsidiaries from incurring secured indebtedness. If we incur any secured indebtedness without equally and ratably securing the notes offered hereby (as is permitted in certain circumstances), the holders of any such additional secured indebtedness would have payment priority, to the extent of the value of the assets securing such indebtedness (but not the notes), in connection with any insolvency, liquidation, reorganization, dissolution or other winding up of us. These payment priorities may have the effect of reducing the amount of proceeds paid to you. If we incur any additional indebtedness that ranks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the holders of that debt will be entitled to share ratably with you in any proceeds distributed in connection with any insolvency, liquidation, reorganization, dissolution or other winding-up of us. If new debt is added to our current debt levels, the related risks that we and our subsidiaries now face could intensify. See “Description of the Notes.”</w:t>
      </w:r>
    </w:p>
    <w:p>
      <w:pPr>
        <w:spacing w:after="0" w:line="35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right="579"/>
        <w:spacing w:after="0" w:line="294" w:lineRule="auto"/>
        <w:rPr>
          <w:sz w:val="20"/>
          <w:szCs w:val="20"/>
          <w:color w:val="auto"/>
        </w:rPr>
      </w:pPr>
      <w:r>
        <w:rPr>
          <w:rFonts w:ascii="Arial" w:cs="Arial" w:eastAsia="Arial" w:hAnsi="Arial"/>
          <w:sz w:val="18"/>
          <w:szCs w:val="18"/>
          <w:b w:val="1"/>
          <w:bCs w:val="1"/>
          <w:i w:val="1"/>
          <w:iCs w:val="1"/>
          <w:color w:val="auto"/>
        </w:rPr>
        <w:t>The indenture governing each series of notes will contain negative covenants that may have a limited effect but these covenants may still restrict the operation of our business.</w:t>
      </w:r>
    </w:p>
    <w:p>
      <w:pPr>
        <w:spacing w:after="0" w:line="58" w:lineRule="exact"/>
        <w:rPr>
          <w:sz w:val="20"/>
          <w:szCs w:val="20"/>
          <w:color w:val="auto"/>
        </w:rPr>
      </w:pPr>
    </w:p>
    <w:p>
      <w:pPr>
        <w:ind w:left="1260" w:right="439"/>
        <w:spacing w:after="0" w:line="258" w:lineRule="auto"/>
        <w:rPr>
          <w:sz w:val="20"/>
          <w:szCs w:val="20"/>
          <w:color w:val="auto"/>
        </w:rPr>
      </w:pPr>
      <w:r>
        <w:rPr>
          <w:rFonts w:ascii="Arial" w:cs="Arial" w:eastAsia="Arial" w:hAnsi="Arial"/>
          <w:sz w:val="17"/>
          <w:szCs w:val="17"/>
          <w:color w:val="auto"/>
        </w:rPr>
        <w:t>The indenture governing each series of notes will contain limited covenants. These covenants will restrict our ability and/or the ability of our restricted subsidiaries (which are generally domestic subsidiaries in which we own at least 80% of the voting stock and which own Principal Property) to create certain liens on Principal Property owned by us or a restricted subsidiary and shares of capital stock of any restricted subsidiary, enter into certain sale and lease-back transactions with respect to Principal Property and consolidate or merge with or into, or sell substantially all of our assets to, another person. A substantial portion of our assets are owned by and a substantial portion of our operations are conducted through our foreign subsidiaries, none of which are subject to these restrictions. In addition, these limited covenants contain exceptions that will allow us and our restricted subsidiaries to incur liens on Principal Property owned by us or a restricted subsidiary and shares of capital stock of a restricted subsidiary and to enter into sale and lease-back transactions with respect to Principal Property. See “Description of the Notes — Certain Covenants.” In light of these exceptions, holders of the notes may be structurally or contractually subordinated to new lenders or other creditors.</w:t>
      </w:r>
    </w:p>
    <w:p>
      <w:pPr>
        <w:spacing w:after="0" w:line="103" w:lineRule="exact"/>
        <w:rPr>
          <w:sz w:val="20"/>
          <w:szCs w:val="20"/>
          <w:color w:val="auto"/>
        </w:rPr>
      </w:pPr>
    </w:p>
    <w:p>
      <w:pPr>
        <w:ind w:left="1260" w:right="439"/>
        <w:spacing w:after="0" w:line="260" w:lineRule="auto"/>
        <w:rPr>
          <w:sz w:val="20"/>
          <w:szCs w:val="20"/>
          <w:color w:val="auto"/>
        </w:rPr>
      </w:pPr>
      <w:r>
        <w:rPr>
          <w:rFonts w:ascii="Arial" w:cs="Arial" w:eastAsia="Arial" w:hAnsi="Arial"/>
          <w:sz w:val="17"/>
          <w:szCs w:val="17"/>
          <w:color w:val="auto"/>
        </w:rPr>
        <w:t>Despite the limited effect of the covenants in the indenture governing each series of notes, existing or additional indebtedness that we incur in the future may subject us to other restrictions or covenants. Our failure to comply with these restrictions or covenants could result in a default under the agreements governing the relevant indebtedness. If a default under the indenture or any such debt agreement is not cured or waived, the default could result in the acceleration of debt under our debt agreements that contain cross-acceleration or cross-default provisions, which could require us to repurchase or repay debt prior to the date it is otherwise due and that could adversely affect our financial condition. The indenture governing each series of notes does not have cross-acceleration or cross-default provisions.</w:t>
      </w:r>
    </w:p>
    <w:p>
      <w:pPr>
        <w:spacing w:after="0" w:line="101" w:lineRule="exact"/>
        <w:rPr>
          <w:sz w:val="20"/>
          <w:szCs w:val="20"/>
          <w:color w:val="auto"/>
        </w:rPr>
      </w:pPr>
    </w:p>
    <w:p>
      <w:pPr>
        <w:ind w:left="1260" w:right="419"/>
        <w:spacing w:after="0" w:line="245" w:lineRule="auto"/>
        <w:rPr>
          <w:sz w:val="20"/>
          <w:szCs w:val="20"/>
          <w:color w:val="auto"/>
        </w:rPr>
      </w:pPr>
      <w:r>
        <w:rPr>
          <w:rFonts w:ascii="Arial" w:cs="Arial" w:eastAsia="Arial" w:hAnsi="Arial"/>
          <w:sz w:val="18"/>
          <w:szCs w:val="18"/>
          <w:color w:val="auto"/>
        </w:rPr>
        <w:t>Our ability to comply with covenants contained in the indenture and any other debt agreements to which we may become a party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w:t>
      </w:r>
    </w:p>
    <w:p>
      <w:pPr>
        <w:spacing w:after="0" w:line="192" w:lineRule="exact"/>
        <w:rPr>
          <w:sz w:val="20"/>
          <w:szCs w:val="20"/>
          <w:color w:val="auto"/>
        </w:rPr>
      </w:pPr>
    </w:p>
    <w:p>
      <w:pPr>
        <w:ind w:left="1260" w:right="1479"/>
        <w:spacing w:after="0" w:line="294" w:lineRule="auto"/>
        <w:rPr>
          <w:sz w:val="20"/>
          <w:szCs w:val="20"/>
          <w:color w:val="auto"/>
        </w:rPr>
      </w:pPr>
      <w:r>
        <w:rPr>
          <w:rFonts w:ascii="Arial" w:cs="Arial" w:eastAsia="Arial" w:hAnsi="Arial"/>
          <w:sz w:val="18"/>
          <w:szCs w:val="18"/>
          <w:b w:val="1"/>
          <w:bCs w:val="1"/>
          <w:i w:val="1"/>
          <w:iCs w:val="1"/>
          <w:color w:val="auto"/>
        </w:rPr>
        <w:t>Claims of noteholders will be structurally subordinated to claims of creditors of our subsidiaries.</w:t>
      </w:r>
    </w:p>
    <w:p>
      <w:pPr>
        <w:spacing w:after="0" w:line="58" w:lineRule="exact"/>
        <w:rPr>
          <w:sz w:val="20"/>
          <w:szCs w:val="20"/>
          <w:color w:val="auto"/>
        </w:rPr>
      </w:pPr>
    </w:p>
    <w:p>
      <w:pPr>
        <w:ind w:left="1260" w:right="419"/>
        <w:spacing w:after="0" w:line="242" w:lineRule="auto"/>
        <w:rPr>
          <w:sz w:val="20"/>
          <w:szCs w:val="20"/>
          <w:color w:val="auto"/>
        </w:rPr>
      </w:pPr>
      <w:r>
        <w:rPr>
          <w:rFonts w:ascii="Arial" w:cs="Arial" w:eastAsia="Arial" w:hAnsi="Arial"/>
          <w:sz w:val="18"/>
          <w:szCs w:val="18"/>
          <w:color w:val="auto"/>
        </w:rPr>
        <w:t>The notes are not required to be guaranteed by any of our subsidiaries. Accordingly, claims of holders of the notes generally will be structurally subordinated to the claims of creditors of our subsidiaries, including trade creditors. The indenture governing each series of notes does not restrict the ability of our subsidiaries to incur additional unsecured indebtedness, and does not contain any limitations on the amount of other liabilities (such as trade payables) that may be incurred by our subsidiaries. All obligations of our subsidiaries will have to be satisfied before any of the assets of these subsidiaries would be available for distribution, upon a liquidation or otherwise, to us. In the event of the liquidation, dissolution, reorganization, bankruptcy or similar proceeding of the business of a subsidiary, creditors of that subsidiary would generally have the right to be paid in full before any distribution is made to us or the holders of the notes. In any of these events, the assets of that subsidiary that are available to us may not be sufficient to pay amounts due on the notes. As of March 2, 2023, 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$5.9 billion, all of which will be structurally senior to the notes with respect to claims on the assets and cash flows of our subsidiaries.</w:t>
      </w:r>
    </w:p>
    <w:p>
      <w:pPr>
        <w:spacing w:after="0" w:line="200" w:lineRule="exact"/>
        <w:rPr>
          <w:sz w:val="20"/>
          <w:szCs w:val="20"/>
          <w:color w:val="auto"/>
        </w:rPr>
      </w:pPr>
    </w:p>
    <w:p>
      <w:pPr>
        <w:ind w:left="1260" w:right="639"/>
        <w:spacing w:after="0" w:line="256" w:lineRule="auto"/>
        <w:rPr>
          <w:sz w:val="20"/>
          <w:szCs w:val="20"/>
          <w:color w:val="auto"/>
        </w:rPr>
      </w:pPr>
      <w:r>
        <w:rPr>
          <w:rFonts w:ascii="Arial" w:cs="Arial" w:eastAsia="Arial" w:hAnsi="Arial"/>
          <w:sz w:val="18"/>
          <w:szCs w:val="18"/>
          <w:b w:val="1"/>
          <w:bCs w:val="1"/>
          <w:i w:val="1"/>
          <w:iCs w:val="1"/>
          <w:color w:val="auto"/>
        </w:rPr>
        <w:t>The notes will be unsecured and effectively subordinated to our existing and future secured indebtedness to the extent of the collateral securing such indebtedness (unless the notes are equally and ratably secured with such indebtedness).</w:t>
      </w:r>
    </w:p>
    <w:p>
      <w:pPr>
        <w:spacing w:after="0" w:line="92" w:lineRule="exact"/>
        <w:rPr>
          <w:sz w:val="20"/>
          <w:szCs w:val="20"/>
          <w:color w:val="auto"/>
        </w:rPr>
      </w:pPr>
    </w:p>
    <w:p>
      <w:pPr>
        <w:ind w:left="1260" w:right="419"/>
        <w:spacing w:after="0" w:line="287" w:lineRule="auto"/>
        <w:rPr>
          <w:sz w:val="20"/>
          <w:szCs w:val="20"/>
          <w:color w:val="auto"/>
        </w:rPr>
      </w:pPr>
      <w:r>
        <w:rPr>
          <w:rFonts w:ascii="Arial" w:cs="Arial" w:eastAsia="Arial" w:hAnsi="Arial"/>
          <w:sz w:val="18"/>
          <w:szCs w:val="18"/>
          <w:color w:val="auto"/>
        </w:rPr>
        <w:t>The notes will be general unsecured obligations ranking effectively junior in right of payment to all of our existing and future secured indebtedness to the extent of the collateral securing such indebtedness</w:t>
      </w:r>
    </w:p>
    <w:p>
      <w:pPr>
        <w:sectPr>
          <w:pgSz w:w="11900" w:h="16838" w:orient="portrait"/>
          <w:cols w:equalWidth="0" w:num="1">
            <w:col w:w="9879"/>
          </w:cols>
          <w:pgMar w:left="580" w:top="97" w:right="1440" w:bottom="1440" w:gutter="0" w:footer="0" w:header="0"/>
        </w:sectPr>
      </w:pPr>
    </w:p>
    <w:p>
      <w:pPr>
        <w:spacing w:after="0" w:line="31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(unless the notes are equally and ratably secured with such indebtedness). Additionally, the indenture governing each series of notes does not restrict our foreign subsidiaries, joint ventures or certain domestic subsidiaries from incurring secured indebtedness in the future. Additionally, the indenture permits us and our restricted subsidiaries to incur certain kinds of additional secured indebtedness without equally and ratably securing the notes. In the event that we are declared bankrupt, become insolvent or are liquidated or reorganized, any secured indebtedness that is effectively senior to the notes will be entitled to be paid in full from our assets securing such indebtedness before any payment may be made with respect to the notes.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Changes in our credit rating may adversely affect your investment in the notes.</w:t>
      </w:r>
    </w:p>
    <w:p>
      <w:pPr>
        <w:spacing w:after="0" w:line="156"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Our credit rating, any rating that may be assigned to the notes, and the credit ratings assigned to our outstanding debt, including our outstanding senior notes, reflect the rating agencies’ assessments of our ability to make payments on our debt when due. Actual or anticipated changes or downgrades in our credit ratings or those of the notes if issued, including any announcement that our ratings are under further review for a downgrade, with respect to the issuance of the notes or our other outstanding debt could increase our corporate borrowing costs and affect the market value of your notes. Also, our credit ratings may not reflect the potential impact of risks related to structure, market or other factors related to the value of the notes.</w:t>
      </w:r>
    </w:p>
    <w:p>
      <w:pPr>
        <w:spacing w:after="0" w:line="117"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A rating is not a recommendation to buy, sell or hold the notes, and there is no assurance that any rating will apply for any given period of time or that a rating may not be adjusted or withdrawn. We cannot be sure that rating agencies will rate the notes or maintain their ratings once issued. Neither we nor any underwriter undertakes any obligation to obtain a rating, maintain the ratings once issued or to advise holders of the notes of any change in ratings.</w:t>
      </w:r>
    </w:p>
    <w:p>
      <w:pPr>
        <w:spacing w:after="0" w:line="181" w:lineRule="exact"/>
        <w:rPr>
          <w:sz w:val="20"/>
          <w:szCs w:val="20"/>
          <w:color w:val="auto"/>
        </w:rPr>
      </w:pPr>
    </w:p>
    <w:p>
      <w:pPr>
        <w:ind w:left="1260" w:right="439"/>
        <w:spacing w:after="0" w:line="294" w:lineRule="auto"/>
        <w:rPr>
          <w:sz w:val="20"/>
          <w:szCs w:val="20"/>
          <w:color w:val="auto"/>
        </w:rPr>
      </w:pPr>
      <w:r>
        <w:rPr>
          <w:rFonts w:ascii="Arial" w:cs="Arial" w:eastAsia="Arial" w:hAnsi="Arial"/>
          <w:sz w:val="18"/>
          <w:szCs w:val="18"/>
          <w:b w:val="1"/>
          <w:bCs w:val="1"/>
          <w:i w:val="1"/>
          <w:iCs w:val="1"/>
          <w:color w:val="auto"/>
        </w:rPr>
        <w:t>Your ability to transfer the notes may be limited by the absence of an active trading market, and an active trading market may not develop for the notes.</w:t>
      </w:r>
    </w:p>
    <w:p>
      <w:pPr>
        <w:spacing w:after="0" w:line="58"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Each series of notes is a new issue of securities for which there is no established trading market. We do not intend to have the notes listed on a national securities exchange or to arrange for quotation on any automated dealer quotation systems. The underwriters have advised us that they intend to make a market in the notes, as permitted by applicable laws and regulations; however, the underwriters are not obligated to make a market in the notes, and they may discontinue their market-making activities with respect to the notes at any time, for any reason or for no reason, and without notice. If the underwriters cease to act as market makers for the notes, we cannot assure you that another firm or person will make a market in the notes. Therefore, we cannot assure you as to the development or liquidity of any trading market for the notes. The liquidity of any market for the notes will depend on a number of factors, including:</w:t>
      </w:r>
    </w:p>
    <w:p>
      <w:pPr>
        <w:spacing w:after="0" w:line="77" w:lineRule="exact"/>
        <w:rPr>
          <w:sz w:val="20"/>
          <w:szCs w:val="20"/>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holders of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performance and financial condition;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in the notes;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158" w:lineRule="exact"/>
        <w:rPr>
          <w:sz w:val="20"/>
          <w:szCs w:val="20"/>
          <w:color w:val="auto"/>
        </w:rPr>
      </w:pPr>
    </w:p>
    <w:p>
      <w:pPr>
        <w:ind w:left="1260" w:right="419"/>
        <w:spacing w:after="0" w:line="275" w:lineRule="auto"/>
        <w:rPr>
          <w:sz w:val="20"/>
          <w:szCs w:val="20"/>
          <w:color w:val="auto"/>
        </w:rPr>
      </w:pPr>
      <w:r>
        <w:rPr>
          <w:rFonts w:ascii="Arial" w:cs="Arial" w:eastAsia="Arial" w:hAnsi="Arial"/>
          <w:sz w:val="17"/>
          <w:szCs w:val="17"/>
          <w:color w:val="auto"/>
        </w:rPr>
        <w:t>Historically, the market for investment grade debt has been subject to disruptions that have caused volatility in the prices of securities similar to the notes. The market, if any, for the notes may face similar disruptions that may adversely affect the prices at which you may sell your notes. For instance, an increase in market interest rates may lead potential purchasers of our securities to demand a higher annual yield, which could adversely affect the market price of the notes. Therefore, you may not be able to sell your notes at a particular time and the price that you receive when you sell may not be favorable.</w:t>
      </w:r>
    </w:p>
    <w:p>
      <w:pPr>
        <w:sectPr>
          <w:pgSz w:w="11900" w:h="16838" w:orient="portrait"/>
          <w:cols w:equalWidth="0" w:num="1">
            <w:col w:w="9879"/>
          </w:cols>
          <w:pgMar w:left="580" w:top="97" w:right="1440" w:bottom="1440" w:gutter="0" w:footer="0" w:header="0"/>
        </w:sectPr>
      </w:pPr>
    </w:p>
    <w:p>
      <w:pPr>
        <w:spacing w:after="0" w:line="34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right="679"/>
        <w:spacing w:after="0" w:line="272" w:lineRule="auto"/>
        <w:rPr>
          <w:sz w:val="20"/>
          <w:szCs w:val="20"/>
          <w:color w:val="auto"/>
        </w:rPr>
      </w:pPr>
      <w:r>
        <w:rPr>
          <w:rFonts w:ascii="Arial" w:cs="Arial" w:eastAsia="Arial" w:hAnsi="Arial"/>
          <w:sz w:val="18"/>
          <w:szCs w:val="18"/>
          <w:b w:val="1"/>
          <w:bCs w:val="1"/>
          <w:i w:val="1"/>
          <w:iCs w:val="1"/>
          <w:color w:val="auto"/>
        </w:rPr>
        <w:t>Upon a Change of Control Triggering Event, we may not have the funds necessary to finance the change of control offer required by the indenture governing each series of notes, which would violate the terms of such indenture.</w:t>
      </w:r>
    </w:p>
    <w:p>
      <w:pPr>
        <w:spacing w:after="0" w:line="91" w:lineRule="exact"/>
        <w:rPr>
          <w:sz w:val="20"/>
          <w:szCs w:val="20"/>
          <w:color w:val="auto"/>
        </w:rPr>
      </w:pPr>
    </w:p>
    <w:p>
      <w:pPr>
        <w:ind w:left="1260" w:right="419"/>
        <w:spacing w:after="0" w:line="269" w:lineRule="auto"/>
        <w:rPr>
          <w:sz w:val="20"/>
          <w:szCs w:val="20"/>
          <w:color w:val="auto"/>
        </w:rPr>
      </w:pPr>
      <w:r>
        <w:rPr>
          <w:rFonts w:ascii="Arial" w:cs="Arial" w:eastAsia="Arial" w:hAnsi="Arial"/>
          <w:sz w:val="17"/>
          <w:szCs w:val="17"/>
          <w:color w:val="auto"/>
        </w:rPr>
        <w:t>Upon the occurrence of a Change of Control Triggering Event (as defined in the indenture governing each series of notes) with respect to a series of notes, holders of such series of notes will have the right to require us to purchase such notes at a price equal to 101% of the principal amount, plus accrued and unpaid interest, if any, to but excluding the date of purchase as described in “Description of the Notes — Repurchase of Notes upon a Change of Control Triggering Event.” The indenture governing our existing senior notes and certain other agreements governing our other indebtedness contain a similar provision and agreements governing indebtedness that we may incur in the future may contain similar provisions or provide that a change of control will be a default that permits the lenders to accelerate the maturity of the borrowings thereunder. We may not have sufficient financial resources available to satisfy all of our obligations under the notes of a series in the event of a change of control. Our failure to purchase the notes as required under the indenture would result in a default under such indenture, which could have material adverse consequences for us and the holders of the notes. See “Description of the Notes — Repurchase of Notes upon a Change of Control Triggering Event.”</w:t>
      </w:r>
    </w:p>
    <w:p>
      <w:pPr>
        <w:spacing w:after="0" w:line="178" w:lineRule="exact"/>
        <w:rPr>
          <w:sz w:val="20"/>
          <w:szCs w:val="20"/>
          <w:color w:val="auto"/>
        </w:rPr>
      </w:pPr>
    </w:p>
    <w:p>
      <w:pPr>
        <w:ind w:left="1260" w:right="1059"/>
        <w:spacing w:after="0" w:line="294" w:lineRule="auto"/>
        <w:rPr>
          <w:sz w:val="20"/>
          <w:szCs w:val="20"/>
          <w:color w:val="auto"/>
        </w:rPr>
      </w:pPr>
      <w:r>
        <w:rPr>
          <w:rFonts w:ascii="Arial" w:cs="Arial" w:eastAsia="Arial" w:hAnsi="Arial"/>
          <w:sz w:val="18"/>
          <w:szCs w:val="18"/>
          <w:b w:val="1"/>
          <w:bCs w:val="1"/>
          <w:i w:val="1"/>
          <w:iCs w:val="1"/>
          <w:color w:val="auto"/>
        </w:rPr>
        <w:t>The provisions of the notes will not necessarily protect you in the event of certain highly leveraged transactions.</w:t>
      </w:r>
    </w:p>
    <w:p>
      <w:pPr>
        <w:spacing w:after="0" w:line="71"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Upon the occurrence of a Change of Control Triggering Event with respect to a series of notes, you will have the right to require us to purchase the notes of such series as provided in the indenture governing each series of notes, and on the terms set forth in the notes. However, the Change of Control Triggering Event provisions will not afford you protection in the event of certain highly leveraged transactions that may adversely affect you. For example, any leveraged recapitalization, refinancing, restructuring or acquisition initiated by us generally will not constitute a Change of Control that would potentially lead to a Change of Control Triggering Event. As a result, we could enter into any such transaction even though the transaction could increase the total amount of our outstanding indebtedness, adversely affect our capital structure or credit rating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were to occur, the value of your notes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USE OF PROCEEDS</w:t>
      </w:r>
    </w:p>
    <w:p>
      <w:pPr>
        <w:spacing w:after="0" w:line="149" w:lineRule="exact"/>
        <w:rPr>
          <w:sz w:val="20"/>
          <w:szCs w:val="20"/>
          <w:color w:val="auto"/>
        </w:rPr>
      </w:pPr>
    </w:p>
    <w:p>
      <w:pPr>
        <w:ind w:left="1260" w:right="639"/>
        <w:spacing w:after="0" w:line="287" w:lineRule="auto"/>
        <w:rPr>
          <w:sz w:val="20"/>
          <w:szCs w:val="20"/>
          <w:color w:val="auto"/>
        </w:rPr>
      </w:pPr>
      <w:r>
        <w:rPr>
          <w:rFonts w:ascii="Arial" w:cs="Arial" w:eastAsia="Arial" w:hAnsi="Arial"/>
          <w:sz w:val="18"/>
          <w:szCs w:val="18"/>
          <w:color w:val="auto"/>
        </w:rPr>
        <w:t>We estimate net proceeds from the sale of the notes, after deducting underwriter discounts and other estimated offering expenses, will be approximately $            .</w:t>
      </w:r>
    </w:p>
    <w:p>
      <w:pPr>
        <w:spacing w:after="0" w:line="85" w:lineRule="exact"/>
        <w:rPr>
          <w:sz w:val="20"/>
          <w:szCs w:val="20"/>
          <w:color w:val="auto"/>
        </w:rPr>
      </w:pPr>
    </w:p>
    <w:p>
      <w:pPr>
        <w:ind w:left="1260" w:right="619"/>
        <w:spacing w:after="0" w:line="256" w:lineRule="auto"/>
        <w:rPr>
          <w:sz w:val="20"/>
          <w:szCs w:val="20"/>
          <w:color w:val="auto"/>
        </w:rPr>
      </w:pPr>
      <w:r>
        <w:rPr>
          <w:rFonts w:ascii="Arial" w:cs="Arial" w:eastAsia="Arial" w:hAnsi="Arial"/>
          <w:sz w:val="18"/>
          <w:szCs w:val="18"/>
          <w:color w:val="auto"/>
        </w:rPr>
        <w:t>We intend to use a portion of the net proceeds from the sale of the notes to repay $              principal amount of the outstanding borrowings under our 2024 Term Loan A. As of March 2, 2023, approximately $1.2 billion in principal amount of the 2024 Term Loan A was outstanding. Amounts borrowed under the 2024 Term Loan A bear interest at a rate equal to LIBOR plus 0.625% to 1.375% based on our current corporate credit ratings, which interest rate as of April 4, 2023 was 5.55% per annum. Borrowings under the 2024 Term Loan A mature on October 30, 2024 and may be repaid at any time without penalty.</w:t>
      </w:r>
    </w:p>
    <w:p>
      <w:pPr>
        <w:spacing w:after="0" w:line="102" w:lineRule="exact"/>
        <w:rPr>
          <w:sz w:val="20"/>
          <w:szCs w:val="20"/>
          <w:color w:val="auto"/>
        </w:rPr>
      </w:pPr>
    </w:p>
    <w:p>
      <w:pPr>
        <w:ind w:left="1260" w:right="419"/>
        <w:spacing w:after="0" w:line="274" w:lineRule="auto"/>
        <w:rPr>
          <w:sz w:val="20"/>
          <w:szCs w:val="20"/>
          <w:color w:val="auto"/>
        </w:rPr>
      </w:pPr>
      <w:r>
        <w:rPr>
          <w:rFonts w:ascii="Arial" w:cs="Arial" w:eastAsia="Arial" w:hAnsi="Arial"/>
          <w:sz w:val="17"/>
          <w:szCs w:val="17"/>
          <w:color w:val="auto"/>
        </w:rPr>
        <w:t>Affiliates of certain underwriters will receive at least 5% of the net proceeds of this offering in connection with the repayment of $              principal amount of the outstanding borrowings under our 2024 Term Loan A. Accordingly, this offering is being made in compliance with the requirements of Rule 5121 of FINRA. Because the notes to be offered will be rated investment grade, pursuant to Rule 5121, the appointment of a qualified independent underwriter is not necessary. The underwriters subject to Rule 5121 may not confirm sales of the notes to any account over which they exercise discretionary authority without the prior written approval of the customer. See “Underwriting (Conflicts of Interest).”</w:t>
      </w:r>
    </w:p>
    <w:p>
      <w:pPr>
        <w:spacing w:after="0" w:line="98" w:lineRule="exact"/>
        <w:rPr>
          <w:sz w:val="20"/>
          <w:szCs w:val="20"/>
          <w:color w:val="auto"/>
        </w:rPr>
      </w:pPr>
    </w:p>
    <w:p>
      <w:pPr>
        <w:ind w:left="1260" w:right="759"/>
        <w:spacing w:after="0" w:line="287" w:lineRule="auto"/>
        <w:rPr>
          <w:sz w:val="20"/>
          <w:szCs w:val="20"/>
          <w:color w:val="auto"/>
        </w:rPr>
      </w:pPr>
      <w:r>
        <w:rPr>
          <w:rFonts w:ascii="Arial" w:cs="Arial" w:eastAsia="Arial" w:hAnsi="Arial"/>
          <w:sz w:val="18"/>
          <w:szCs w:val="18"/>
          <w:color w:val="auto"/>
        </w:rPr>
        <w:t>We intend to use the remainder of the net proceeds from the sale of the notes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CASH AND CAPITALIZATION</w:t>
      </w:r>
    </w:p>
    <w:p>
      <w:pPr>
        <w:spacing w:after="0" w:line="149" w:lineRule="exact"/>
        <w:rPr>
          <w:sz w:val="20"/>
          <w:szCs w:val="20"/>
          <w:color w:val="auto"/>
        </w:rPr>
      </w:pPr>
    </w:p>
    <w:p>
      <w:pPr>
        <w:ind w:left="1260" w:right="1079"/>
        <w:spacing w:after="0" w:line="301" w:lineRule="auto"/>
        <w:rPr>
          <w:sz w:val="20"/>
          <w:szCs w:val="20"/>
          <w:color w:val="auto"/>
        </w:rPr>
      </w:pPr>
      <w:r>
        <w:rPr>
          <w:rFonts w:ascii="Arial" w:cs="Arial" w:eastAsia="Arial" w:hAnsi="Arial"/>
          <w:sz w:val="17"/>
          <w:szCs w:val="17"/>
          <w:color w:val="auto"/>
        </w:rPr>
        <w:t>The following table sets forth a summary of our consolidated cash, cash equivalents, short-term investments and long-term marketable investments and capitalization as of March 2, 2023:</w:t>
      </w:r>
    </w:p>
    <w:p>
      <w:pPr>
        <w:spacing w:after="0" w:line="23" w:lineRule="exact"/>
        <w:rPr>
          <w:sz w:val="20"/>
          <w:szCs w:val="20"/>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03" w:lineRule="exact"/>
        <w:rPr>
          <w:rFonts w:ascii="Arial" w:cs="Arial" w:eastAsia="Arial" w:hAnsi="Arial"/>
          <w:sz w:val="18"/>
          <w:szCs w:val="18"/>
          <w:color w:val="auto"/>
        </w:rPr>
      </w:pPr>
    </w:p>
    <w:p>
      <w:pPr>
        <w:ind w:left="1800" w:right="559" w:hanging="180"/>
        <w:spacing w:after="0" w:line="262"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 as adjusted basis to give effect to (i) the issuance of the notes offered by this prospectus supplement as if the offering had occurred on March 2, 2023 and (ii) the application of a portion of the net proceeds therefrom as described in “Use of Proceeds” to repay $              principal amount of the outstanding borrowings under the 2024 Term Loan A.</w:t>
      </w:r>
    </w:p>
    <w:p>
      <w:pPr>
        <w:spacing w:after="0" w:line="109" w:lineRule="exact"/>
        <w:rPr>
          <w:sz w:val="20"/>
          <w:szCs w:val="20"/>
          <w:color w:val="auto"/>
        </w:rPr>
      </w:pPr>
    </w:p>
    <w:p>
      <w:pPr>
        <w:ind w:left="1260" w:right="819"/>
        <w:spacing w:after="0" w:line="271" w:lineRule="auto"/>
        <w:rPr>
          <w:sz w:val="20"/>
          <w:szCs w:val="20"/>
          <w:color w:val="auto"/>
        </w:rPr>
      </w:pPr>
      <w:r>
        <w:rPr>
          <w:rFonts w:ascii="Arial" w:cs="Arial" w:eastAsia="Arial" w:hAnsi="Arial"/>
          <w:sz w:val="18"/>
          <w:szCs w:val="18"/>
          <w:color w:val="auto"/>
        </w:rPr>
        <w:t>This table should be read in conjunction with our consolidated financial statements incorporated by reference in this prospectus supplement.</w:t>
      </w:r>
    </w:p>
    <w:p>
      <w:pPr>
        <w:spacing w:after="0" w:line="69" w:lineRule="exact"/>
        <w:rPr>
          <w:sz w:val="20"/>
          <w:szCs w:val="20"/>
          <w:color w:val="auto"/>
        </w:rPr>
      </w:pPr>
    </w:p>
    <w:tbl>
      <w:tblPr>
        <w:tblLayout w:type="fixed"/>
        <w:tblInd w:w="1260" w:type="dxa"/>
        <w:tblCellMar>
          <w:top w:w="0" w:type="dxa"/>
          <w:left w:w="0" w:type="dxa"/>
          <w:bottom w:w="0" w:type="dxa"/>
          <w:right w:w="0" w:type="dxa"/>
        </w:tblCellMar>
      </w:tblPr>
      <w:tr>
        <w:trPr>
          <w:trHeight w:val="198"/>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378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4"/>
                <w:szCs w:val="14"/>
                <w:b w:val="1"/>
                <w:bCs w:val="1"/>
                <w:color w:val="auto"/>
              </w:rPr>
              <w:t>​ ​</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March 2, 2023</w:t>
            </w:r>
          </w:p>
        </w:tc>
        <w:tc>
          <w:tcPr>
            <w:tcW w:w="140" w:type="dxa"/>
            <w:vAlign w:val="bottom"/>
            <w:tcBorders>
              <w:bottom w:val="single" w:sz="8" w:color="auto"/>
            </w:tcBorders>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3780" w:type="dxa"/>
            <w:vAlign w:val="bottom"/>
          </w:tcPr>
          <w:p>
            <w:pPr>
              <w:spacing w:after="0"/>
              <w:rPr>
                <w:sz w:val="18"/>
                <w:szCs w:val="18"/>
                <w:color w:val="auto"/>
              </w:rPr>
            </w:pPr>
          </w:p>
        </w:tc>
        <w:tc>
          <w:tcPr>
            <w:tcW w:w="2020" w:type="dxa"/>
            <w:vAlign w:val="bottom"/>
            <w:gridSpan w:val="9"/>
          </w:tcPr>
          <w:p>
            <w:pPr>
              <w:ind w:left="60"/>
              <w:spacing w:after="0" w:line="210"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Actual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As Adjusted</w:t>
            </w:r>
            <w:r>
              <w:rPr>
                <w:rFonts w:ascii="Arial" w:cs="Arial" w:eastAsia="Arial" w:hAnsi="Arial"/>
                <w:sz w:val="24"/>
                <w:szCs w:val="24"/>
                <w:b w:val="1"/>
                <w:bCs w:val="1"/>
                <w:color w:val="auto"/>
                <w:vertAlign w:val="subscript"/>
              </w:rPr>
              <w:t>​</w:t>
            </w:r>
          </w:p>
        </w:tc>
        <w:tc>
          <w:tcPr>
            <w:tcW w:w="0" w:type="dxa"/>
            <w:vAlign w:val="bottom"/>
          </w:tcPr>
          <w:p>
            <w:pPr>
              <w:spacing w:after="0"/>
              <w:rPr>
                <w:sz w:val="1"/>
                <w:szCs w:val="1"/>
                <w:color w:val="auto"/>
              </w:rPr>
            </w:pPr>
          </w:p>
        </w:tc>
      </w:tr>
      <w:tr>
        <w:trPr>
          <w:trHeight w:val="210"/>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37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4"/>
                <w:szCs w:val="14"/>
                <w:b w:val="1"/>
                <w:bCs w:val="1"/>
                <w:color w:val="auto"/>
              </w:rPr>
              <w:t>​ ​</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top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37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9,798​​ ​</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46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3780" w:type="dxa"/>
            <w:vAlign w:val="bottom"/>
          </w:tcPr>
          <w:p>
            <w:pPr>
              <w:spacing w:after="0"/>
              <w:rPr>
                <w:sz w:val="21"/>
                <w:szCs w:val="21"/>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 ​​ ​ 1,020​​ ​</w:t>
            </w:r>
          </w:p>
        </w:tc>
        <w:tc>
          <w:tcPr>
            <w:tcW w:w="640" w:type="dxa"/>
            <w:vAlign w:val="bottom"/>
            <w:gridSpan w:val="3"/>
          </w:tcPr>
          <w:p>
            <w:pPr>
              <w:ind w:left="80"/>
              <w:spacing w:after="0"/>
              <w:rPr>
                <w:sz w:val="20"/>
                <w:szCs w:val="20"/>
                <w:color w:val="auto"/>
              </w:rPr>
            </w:pPr>
            <w:r>
              <w:rPr>
                <w:rFonts w:ascii="Arial" w:cs="Arial" w:eastAsia="Arial" w:hAnsi="Arial"/>
                <w:sz w:val="18"/>
                <w:szCs w:val="18"/>
                <w:color w:val="auto"/>
              </w:rPr>
              <w:t>​ ​1,020</w:t>
            </w:r>
          </w:p>
        </w:tc>
        <w:tc>
          <w:tcPr>
            <w:tcW w:w="1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marketable investments</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 ​ 1,212​​ ​</w:t>
            </w:r>
          </w:p>
        </w:tc>
        <w:tc>
          <w:tcPr>
            <w:tcW w:w="6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​1,212</w:t>
            </w:r>
          </w:p>
        </w:tc>
        <w:tc>
          <w:tcPr>
            <w:tcW w:w="140" w:type="dxa"/>
            <w:vAlign w:val="bottom"/>
            <w:tcBorders>
              <w:right w:val="single" w:sz="8" w:color="CCEEFF"/>
            </w:tcBorders>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300" w:type="dxa"/>
            <w:vAlign w:val="bottom"/>
            <w:gridSpan w:val="2"/>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40" w:type="dxa"/>
            <w:vAlign w:val="bottom"/>
            <w:gridSpan w:val="3"/>
          </w:tcPr>
          <w:p>
            <w:pPr>
              <w:ind w:left="180"/>
              <w:spacing w:after="0" w:line="204" w:lineRule="exact"/>
              <w:rPr>
                <w:sz w:val="20"/>
                <w:szCs w:val="20"/>
                <w:color w:val="auto"/>
              </w:rPr>
            </w:pPr>
            <w:r>
              <w:rPr>
                <w:rFonts w:ascii="Arial" w:cs="Arial" w:eastAsia="Arial" w:hAnsi="Arial"/>
                <w:sz w:val="18"/>
                <w:szCs w:val="18"/>
                <w:color w:val="auto"/>
              </w:rPr>
              <w:t>Cash and equivalents, short-term investments and long-term marketable</w:t>
            </w:r>
          </w:p>
        </w:tc>
        <w:tc>
          <w:tcPr>
            <w:tcW w:w="1180" w:type="dxa"/>
            <w:vAlign w:val="bottom"/>
            <w:gridSpan w:val="4"/>
            <w:vMerge w:val="restart"/>
          </w:tcPr>
          <w:p>
            <w:pPr>
              <w:jc w:val="right"/>
              <w:spacing w:after="0"/>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u w:val="single" w:color="auto"/>
                <w:color w:val="auto"/>
              </w:rPr>
              <w:t>$</w:t>
            </w:r>
            <w:r>
              <w:rPr>
                <w:rFonts w:ascii="Arial" w:cs="Arial" w:eastAsia="Arial" w:hAnsi="Arial"/>
                <w:sz w:val="18"/>
                <w:szCs w:val="18"/>
                <w:color w:val="auto"/>
              </w:rPr>
              <w:t>12,030</w:t>
            </w:r>
            <w:r>
              <w:rPr>
                <w:rFonts w:ascii="Arial" w:cs="Arial" w:eastAsia="Arial" w:hAnsi="Arial"/>
                <w:sz w:val="35"/>
                <w:szCs w:val="35"/>
                <w:color w:val="auto"/>
                <w:vertAlign w:val="subscript"/>
              </w:rPr>
              <w:t>​​ ​</w:t>
            </w:r>
          </w:p>
        </w:tc>
        <w:tc>
          <w:tcPr>
            <w:tcW w:w="280" w:type="dxa"/>
            <w:vAlign w:val="bottom"/>
            <w:gridSpan w:val="2"/>
            <w:vMerge w:val="restart"/>
          </w:tcPr>
          <w:p>
            <w:pPr>
              <w:ind w:left="8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460" w:type="dxa"/>
            <w:vAlign w:val="bottom"/>
            <w:gridSpan w:val="2"/>
          </w:tcPr>
          <w:p>
            <w:pPr>
              <w:ind w:left="360"/>
              <w:spacing w:after="0"/>
              <w:rPr>
                <w:sz w:val="20"/>
                <w:szCs w:val="20"/>
                <w:color w:val="auto"/>
              </w:rPr>
            </w:pPr>
            <w:r>
              <w:rPr>
                <w:rFonts w:ascii="Arial" w:cs="Arial" w:eastAsia="Arial" w:hAnsi="Arial"/>
                <w:sz w:val="18"/>
                <w:szCs w:val="18"/>
                <w:color w:val="auto"/>
              </w:rPr>
              <w:t>investments</w:t>
            </w:r>
          </w:p>
        </w:tc>
        <w:tc>
          <w:tcPr>
            <w:tcW w:w="378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debt:</w:t>
            </w:r>
          </w:p>
        </w:tc>
        <w:tc>
          <w:tcPr>
            <w:tcW w:w="37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ind w:left="60"/>
              <w:spacing w:after="0" w:line="223" w:lineRule="exact"/>
              <w:rPr>
                <w:sz w:val="20"/>
                <w:szCs w:val="20"/>
                <w:color w:val="auto"/>
              </w:rPr>
            </w:pPr>
            <w:r>
              <w:rPr>
                <w:rFonts w:ascii="Arial" w:cs="Arial" w:eastAsia="Arial" w:hAnsi="Arial"/>
                <w:sz w:val="14"/>
                <w:szCs w:val="14"/>
                <w:color w:val="auto"/>
              </w:rPr>
              <w:t>​ ​​</w:t>
            </w:r>
            <w:r>
              <w:rPr>
                <w:rFonts w:ascii="Arial" w:cs="Arial" w:eastAsia="Arial" w:hAnsi="Arial"/>
                <w:sz w:val="25"/>
                <w:szCs w:val="25"/>
                <w:color w:val="auto"/>
                <w:vertAlign w:val="superscript"/>
              </w:rPr>
              <w:t>$</w:t>
            </w:r>
          </w:p>
        </w:tc>
        <w:tc>
          <w:tcPr>
            <w:tcW w:w="780" w:type="dxa"/>
            <w:vAlign w:val="bottom"/>
            <w:gridSpan w:val="2"/>
            <w:shd w:val="clear" w:color="auto" w:fill="CCEEFF"/>
          </w:tcPr>
          <w:p>
            <w:pPr>
              <w:jc w:val="right"/>
              <w:spacing w:after="0" w:line="223" w:lineRule="exact"/>
              <w:rPr>
                <w:sz w:val="20"/>
                <w:szCs w:val="20"/>
                <w:color w:val="auto"/>
              </w:rPr>
            </w:pPr>
            <w:r>
              <w:rPr>
                <w:rFonts w:ascii="Arial" w:cs="Arial" w:eastAsia="Arial" w:hAnsi="Arial"/>
                <w:sz w:val="14"/>
                <w:szCs w:val="14"/>
                <w:color w:val="auto"/>
              </w:rPr>
              <w:t>237</w:t>
            </w:r>
            <w:r>
              <w:rPr>
                <w:rFonts w:ascii="Arial" w:cs="Arial" w:eastAsia="Arial" w:hAnsi="Arial"/>
                <w:sz w:val="25"/>
                <w:szCs w:val="25"/>
                <w:color w:val="auto"/>
                <w:vertAlign w:val="subscript"/>
              </w:rPr>
              <w:t>​​ ​</w:t>
            </w:r>
          </w:p>
        </w:tc>
        <w:tc>
          <w:tcPr>
            <w:tcW w:w="280" w:type="dxa"/>
            <w:vAlign w:val="bottom"/>
            <w:gridSpan w:val="2"/>
            <w:shd w:val="clear" w:color="auto" w:fill="CCEEFF"/>
          </w:tcPr>
          <w:p>
            <w:pPr>
              <w:ind w:left="8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Borders>
              <w:right w:val="single" w:sz="8" w:color="CCEEFF"/>
            </w:tcBorders>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Long-term debt and finance lease obligations, excluding current portion:</w:t>
            </w:r>
          </w:p>
        </w:tc>
        <w:tc>
          <w:tcPr>
            <w:tcW w:w="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gridSpan w:val="3"/>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      % senior notes due 20   </w:t>
            </w:r>
          </w:p>
        </w:tc>
        <w:tc>
          <w:tcPr>
            <w:tcW w:w="3780" w:type="dxa"/>
            <w:vAlign w:val="bottom"/>
            <w:shd w:val="clear" w:color="auto" w:fill="CCEEFF"/>
          </w:tcPr>
          <w:p>
            <w:pPr>
              <w:jc w:val="center"/>
              <w:ind w:right="2450"/>
              <w:spacing w:after="0"/>
              <w:rPr>
                <w:sz w:val="20"/>
                <w:szCs w:val="20"/>
                <w:color w:val="auto"/>
              </w:rPr>
            </w:pPr>
            <w:r>
              <w:rPr>
                <w:rFonts w:ascii="Arial" w:cs="Arial" w:eastAsia="Arial" w:hAnsi="Arial"/>
                <w:sz w:val="18"/>
                <w:szCs w:val="18"/>
                <w:color w:val="auto"/>
                <w:w w:val="99"/>
              </w:rPr>
              <w:t>offered hereby</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 xml:space="preserve">      % senior notes due 20   </w:t>
            </w:r>
          </w:p>
        </w:tc>
        <w:tc>
          <w:tcPr>
            <w:tcW w:w="3780" w:type="dxa"/>
            <w:vAlign w:val="bottom"/>
          </w:tcPr>
          <w:p>
            <w:pPr>
              <w:jc w:val="center"/>
              <w:ind w:right="2450"/>
              <w:spacing w:after="0"/>
              <w:rPr>
                <w:sz w:val="20"/>
                <w:szCs w:val="20"/>
                <w:color w:val="auto"/>
              </w:rPr>
            </w:pPr>
            <w:r>
              <w:rPr>
                <w:rFonts w:ascii="Arial" w:cs="Arial" w:eastAsia="Arial" w:hAnsi="Arial"/>
                <w:sz w:val="18"/>
                <w:szCs w:val="18"/>
                <w:color w:val="auto"/>
                <w:w w:val="99"/>
              </w:rPr>
              <w:t>offered hereby</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2024 Term Loan A</w:t>
            </w:r>
          </w:p>
        </w:tc>
        <w:tc>
          <w:tcPr>
            <w:tcW w:w="3780" w:type="dxa"/>
            <w:vAlign w:val="bottom"/>
            <w:shd w:val="clear" w:color="auto" w:fill="CCEEFF"/>
          </w:tcPr>
          <w:p>
            <w:pPr>
              <w:spacing w:after="0"/>
              <w:rPr>
                <w:sz w:val="21"/>
                <w:szCs w:val="21"/>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 ​ 1,187​​ ​</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2025 Term Loan A</w:t>
            </w:r>
          </w:p>
        </w:tc>
        <w:tc>
          <w:tcPr>
            <w:tcW w:w="3780" w:type="dxa"/>
            <w:vAlign w:val="bottom"/>
          </w:tcPr>
          <w:p>
            <w:pPr>
              <w:spacing w:after="0"/>
              <w:rPr>
                <w:sz w:val="21"/>
                <w:szCs w:val="21"/>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 ​​ ​ 1,050​​ ​</w:t>
            </w:r>
          </w:p>
        </w:tc>
        <w:tc>
          <w:tcPr>
            <w:tcW w:w="640" w:type="dxa"/>
            <w:vAlign w:val="bottom"/>
            <w:gridSpan w:val="3"/>
          </w:tcPr>
          <w:p>
            <w:pPr>
              <w:ind w:left="80"/>
              <w:spacing w:after="0"/>
              <w:rPr>
                <w:sz w:val="20"/>
                <w:szCs w:val="20"/>
                <w:color w:val="auto"/>
              </w:rPr>
            </w:pPr>
            <w:r>
              <w:rPr>
                <w:rFonts w:ascii="Arial" w:cs="Arial" w:eastAsia="Arial" w:hAnsi="Arial"/>
                <w:sz w:val="18"/>
                <w:szCs w:val="18"/>
                <w:color w:val="auto"/>
              </w:rPr>
              <w:t>​ ​1,050</w:t>
            </w:r>
          </w:p>
        </w:tc>
        <w:tc>
          <w:tcPr>
            <w:tcW w:w="1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2026 Term Loan A</w:t>
            </w:r>
          </w:p>
        </w:tc>
        <w:tc>
          <w:tcPr>
            <w:tcW w:w="37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 ​</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4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2027 Term Loan A</w:t>
            </w:r>
          </w:p>
        </w:tc>
        <w:tc>
          <w:tcPr>
            <w:tcW w:w="3780" w:type="dxa"/>
            <w:vAlign w:val="bottom"/>
          </w:tcPr>
          <w:p>
            <w:pPr>
              <w:spacing w:after="0"/>
              <w:rPr>
                <w:sz w:val="21"/>
                <w:szCs w:val="21"/>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 ​​ ​ 1,092​​ ​</w:t>
            </w:r>
          </w:p>
        </w:tc>
        <w:tc>
          <w:tcPr>
            <w:tcW w:w="640" w:type="dxa"/>
            <w:vAlign w:val="bottom"/>
            <w:gridSpan w:val="3"/>
          </w:tcPr>
          <w:p>
            <w:pPr>
              <w:ind w:left="80"/>
              <w:spacing w:after="0"/>
              <w:rPr>
                <w:sz w:val="20"/>
                <w:szCs w:val="20"/>
                <w:color w:val="auto"/>
              </w:rPr>
            </w:pPr>
            <w:r>
              <w:rPr>
                <w:rFonts w:ascii="Arial" w:cs="Arial" w:eastAsia="Arial" w:hAnsi="Arial"/>
                <w:sz w:val="18"/>
                <w:szCs w:val="18"/>
                <w:color w:val="auto"/>
              </w:rPr>
              <w:t>​ ​1,092</w:t>
            </w:r>
          </w:p>
        </w:tc>
        <w:tc>
          <w:tcPr>
            <w:tcW w:w="1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2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4.975% senior notes due 2026</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 ​</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4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6240" w:type="dxa"/>
            <w:vAlign w:val="bottom"/>
            <w:gridSpan w:val="3"/>
          </w:tcPr>
          <w:p>
            <w:pPr>
              <w:ind w:left="180"/>
              <w:spacing w:after="0"/>
              <w:rPr>
                <w:sz w:val="20"/>
                <w:szCs w:val="20"/>
                <w:color w:val="auto"/>
              </w:rPr>
            </w:pPr>
            <w:r>
              <w:rPr>
                <w:rFonts w:ascii="Arial" w:cs="Arial" w:eastAsia="Arial" w:hAnsi="Arial"/>
                <w:sz w:val="18"/>
                <w:szCs w:val="18"/>
                <w:color w:val="auto"/>
              </w:rPr>
              <w:t>4.185% senior notes due 2027</w:t>
            </w:r>
            <w:r>
              <w:rPr>
                <w:rFonts w:ascii="Arial" w:cs="Arial" w:eastAsia="Arial" w:hAnsi="Arial"/>
                <w:sz w:val="23"/>
                <w:szCs w:val="23"/>
                <w:color w:val="auto"/>
                <w:vertAlign w:val="superscript"/>
              </w:rPr>
              <w:t>(1)</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783​​ ​</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2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5.327% senior notes due 2029</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 ​</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4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240" w:type="dxa"/>
            <w:vAlign w:val="bottom"/>
            <w:gridSpan w:val="3"/>
          </w:tcPr>
          <w:p>
            <w:pPr>
              <w:ind w:left="180"/>
              <w:spacing w:after="0"/>
              <w:rPr>
                <w:sz w:val="20"/>
                <w:szCs w:val="20"/>
                <w:color w:val="auto"/>
              </w:rPr>
            </w:pPr>
            <w:r>
              <w:rPr>
                <w:rFonts w:ascii="Arial" w:cs="Arial" w:eastAsia="Arial" w:hAnsi="Arial"/>
                <w:sz w:val="18"/>
                <w:szCs w:val="18"/>
                <w:color w:val="auto"/>
              </w:rPr>
              <w:t>6.750% senior notes due 2029</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 ​​ ​ 1,264​​ ​</w:t>
            </w:r>
          </w:p>
        </w:tc>
        <w:tc>
          <w:tcPr>
            <w:tcW w:w="640" w:type="dxa"/>
            <w:vAlign w:val="bottom"/>
            <w:gridSpan w:val="3"/>
          </w:tcPr>
          <w:p>
            <w:pPr>
              <w:ind w:left="80"/>
              <w:spacing w:after="0"/>
              <w:rPr>
                <w:sz w:val="20"/>
                <w:szCs w:val="20"/>
                <w:color w:val="auto"/>
              </w:rPr>
            </w:pPr>
            <w:r>
              <w:rPr>
                <w:rFonts w:ascii="Arial" w:cs="Arial" w:eastAsia="Arial" w:hAnsi="Arial"/>
                <w:sz w:val="18"/>
                <w:szCs w:val="18"/>
                <w:color w:val="auto"/>
              </w:rPr>
              <w:t>​ ​1,264</w:t>
            </w:r>
          </w:p>
        </w:tc>
        <w:tc>
          <w:tcPr>
            <w:tcW w:w="1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2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4.663% senior notes due 2030</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 ​</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4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240" w:type="dxa"/>
            <w:vAlign w:val="bottom"/>
            <w:gridSpan w:val="3"/>
          </w:tcPr>
          <w:p>
            <w:pPr>
              <w:ind w:left="180"/>
              <w:spacing w:after="0"/>
              <w:rPr>
                <w:sz w:val="20"/>
                <w:szCs w:val="20"/>
                <w:color w:val="auto"/>
              </w:rPr>
            </w:pPr>
            <w:r>
              <w:rPr>
                <w:rFonts w:ascii="Arial" w:cs="Arial" w:eastAsia="Arial" w:hAnsi="Arial"/>
                <w:sz w:val="18"/>
                <w:szCs w:val="18"/>
                <w:color w:val="auto"/>
              </w:rPr>
              <w:t>2.703% senior notes due 2032</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995​​ ​</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62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5.875% senior notes due 2033</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 ​</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40" w:type="dxa"/>
            <w:vAlign w:val="bottom"/>
            <w:tcBorders>
              <w:right w:val="single" w:sz="8" w:color="CCEEFF"/>
            </w:tcBorders>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6240" w:type="dxa"/>
            <w:vAlign w:val="bottom"/>
            <w:gridSpan w:val="3"/>
          </w:tcPr>
          <w:p>
            <w:pPr>
              <w:ind w:left="180"/>
              <w:spacing w:after="0"/>
              <w:rPr>
                <w:sz w:val="20"/>
                <w:szCs w:val="20"/>
                <w:color w:val="auto"/>
              </w:rPr>
            </w:pPr>
            <w:r>
              <w:rPr>
                <w:rFonts w:ascii="Arial" w:cs="Arial" w:eastAsia="Arial" w:hAnsi="Arial"/>
                <w:sz w:val="18"/>
                <w:szCs w:val="18"/>
                <w:color w:val="auto"/>
              </w:rPr>
              <w:t>3.366% senior notes due 2041</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497​​ ​</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497</w:t>
            </w:r>
          </w:p>
        </w:tc>
        <w:tc>
          <w:tcPr>
            <w:tcW w:w="14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62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3.477% senior notes due 2051</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 ​</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Borders>
              <w:right w:val="single" w:sz="8" w:color="CCEEFF"/>
            </w:tcBorders>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Finance lease obligations</w:t>
            </w:r>
          </w:p>
        </w:tc>
        <w:tc>
          <w:tcPr>
            <w:tcW w:w="3780" w:type="dxa"/>
            <w:vAlign w:val="bottom"/>
          </w:tcPr>
          <w:p>
            <w:pPr>
              <w:spacing w:after="0"/>
              <w:rPr>
                <w:sz w:val="23"/>
                <w:szCs w:val="23"/>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940​​ ​</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940</w:t>
            </w:r>
          </w:p>
        </w:tc>
        <w:tc>
          <w:tcPr>
            <w:tcW w:w="14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1"/>
        </w:trPr>
        <w:tc>
          <w:tcPr>
            <w:tcW w:w="6240" w:type="dxa"/>
            <w:vAlign w:val="bottom"/>
            <w:tcBorders>
              <w:top w:val="single" w:sz="8" w:color="CCEEFF"/>
            </w:tcBorders>
            <w:gridSpan w:val="3"/>
            <w:shd w:val="clear" w:color="auto" w:fill="CCEEFF"/>
          </w:tcPr>
          <w:p>
            <w:pPr>
              <w:jc w:val="center"/>
              <w:ind w:right="30"/>
              <w:spacing w:after="0"/>
              <w:rPr>
                <w:sz w:val="20"/>
                <w:szCs w:val="20"/>
                <w:color w:val="auto"/>
              </w:rPr>
            </w:pPr>
            <w:r>
              <w:rPr>
                <w:rFonts w:ascii="Arial" w:cs="Arial" w:eastAsia="Arial" w:hAnsi="Arial"/>
                <w:sz w:val="18"/>
                <w:szCs w:val="18"/>
                <w:color w:val="auto"/>
                <w:w w:val="99"/>
              </w:rPr>
              <w:t>Total long-term debt and finance lease obligations, excluding current</w:t>
            </w:r>
          </w:p>
        </w:tc>
        <w:tc>
          <w:tcPr>
            <w:tcW w:w="240" w:type="dxa"/>
            <w:vAlign w:val="bottom"/>
            <w:tcBorders>
              <w:top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portion</w:t>
            </w:r>
          </w:p>
        </w:tc>
        <w:tc>
          <w:tcPr>
            <w:tcW w:w="3780" w:type="dxa"/>
            <w:vAlign w:val="bottom"/>
            <w:shd w:val="clear" w:color="auto" w:fill="CCEEFF"/>
          </w:tcPr>
          <w:p>
            <w:pPr>
              <w:spacing w:after="0"/>
              <w:rPr>
                <w:sz w:val="20"/>
                <w:szCs w:val="20"/>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 ​12,037​​ ​</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246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3780" w:type="dxa"/>
            <w:vAlign w:val="bottom"/>
          </w:tcPr>
          <w:p>
            <w:pPr>
              <w:spacing w:after="0"/>
              <w:rPr>
                <w:sz w:val="23"/>
                <w:szCs w:val="23"/>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 ​​ ​47,257​​ ​</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3780" w:type="dxa"/>
            <w:vAlign w:val="bottom"/>
            <w:shd w:val="clear" w:color="auto" w:fill="CCEEFF"/>
          </w:tcPr>
          <w:p>
            <w:pPr>
              <w:spacing w:after="0"/>
              <w:rPr>
                <w:sz w:val="23"/>
                <w:szCs w:val="23"/>
                <w:color w:val="auto"/>
              </w:rPr>
            </w:pPr>
          </w:p>
        </w:tc>
        <w:tc>
          <w:tcPr>
            <w:tcW w:w="1180" w:type="dxa"/>
            <w:vAlign w:val="bottom"/>
            <w:gridSpan w:val="4"/>
            <w:shd w:val="clear" w:color="auto" w:fill="CCEEFF"/>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5"/>
                <w:szCs w:val="15"/>
                <w:u w:val="single" w:color="auto"/>
                <w:color w:val="auto"/>
              </w:rPr>
              <w:t>$</w:t>
            </w:r>
            <w:r>
              <w:rPr>
                <w:rFonts w:ascii="Arial" w:cs="Arial" w:eastAsia="Arial" w:hAnsi="Arial"/>
                <w:sz w:val="15"/>
                <w:szCs w:val="15"/>
                <w:color w:val="auto"/>
              </w:rPr>
              <w:t>59,294</w:t>
            </w:r>
            <w:r>
              <w:rPr>
                <w:rFonts w:ascii="Arial" w:cs="Arial" w:eastAsia="Arial" w:hAnsi="Arial"/>
                <w:sz w:val="27"/>
                <w:szCs w:val="27"/>
                <w:color w:val="auto"/>
                <w:vertAlign w:val="subscript"/>
              </w:rPr>
              <w:t>​​ ​</w:t>
            </w:r>
          </w:p>
        </w:tc>
        <w:tc>
          <w:tcPr>
            <w:tcW w:w="280" w:type="dxa"/>
            <w:vAlign w:val="bottom"/>
            <w:gridSpan w:val="2"/>
            <w:shd w:val="clear" w:color="auto" w:fill="CCEEFF"/>
          </w:tcPr>
          <w:p>
            <w:pPr>
              <w:ind w:left="80"/>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36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940" w:type="dxa"/>
            <w:vAlign w:val="bottom"/>
            <w:tcBorders>
              <w:bottom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3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-273685</wp:posOffset>
            </wp:positionV>
            <wp:extent cx="5212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-753745</wp:posOffset>
            </wp:positionV>
            <wp:extent cx="52120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-4525645</wp:posOffset>
            </wp:positionV>
            <wp:extent cx="137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96" w:lineRule="exact"/>
        <w:rPr>
          <w:sz w:val="20"/>
          <w:szCs w:val="20"/>
          <w:color w:val="auto"/>
        </w:rPr>
      </w:pPr>
    </w:p>
    <w:p>
      <w:pPr>
        <w:ind w:left="1620" w:right="479" w:hanging="360"/>
        <w:spacing w:after="0" w:line="25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2021, we entered into fixed-to-floating interest rate swaps on the 4.185% senior notes due 2027 with an aggregate $900 million notional amount equal to the principal amount of the 4.185% senior notes due 2027. The resulting variable interest paid is at a rate equal to the Secured Overnight Financing Rate plus approximately 3.33%. The fixed-to-floating interest rate swaps are accounted for as fair value hedges, and as a result, the carrying values of our 4.185% senior notes due 2027 reflect adjustments in fair value.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DESCRIPTION OF THE NOTES</w:t>
      </w:r>
    </w:p>
    <w:p>
      <w:pPr>
        <w:spacing w:after="0" w:line="151" w:lineRule="exact"/>
        <w:rPr>
          <w:sz w:val="20"/>
          <w:szCs w:val="20"/>
          <w:color w:val="auto"/>
        </w:rPr>
      </w:pPr>
    </w:p>
    <w:p>
      <w:pPr>
        <w:ind w:left="1260" w:right="459"/>
        <w:spacing w:after="0" w:line="247" w:lineRule="auto"/>
        <w:rPr>
          <w:sz w:val="20"/>
          <w:szCs w:val="20"/>
          <w:color w:val="auto"/>
        </w:rPr>
      </w:pPr>
      <w:r>
        <w:rPr>
          <w:rFonts w:ascii="Arial" w:cs="Arial" w:eastAsia="Arial" w:hAnsi="Arial"/>
          <w:sz w:val="18"/>
          <w:szCs w:val="18"/>
          <w:i w:val="1"/>
          <w:iCs w:val="1"/>
          <w:color w:val="auto"/>
        </w:rPr>
        <w:t>The notes will be issued under a base indenture (the “Base Indenture”), dated as of February 6, 2019, between Micron Technology, Inc. and U.S. Bank Trust Company, National Association (as successor in interest to U.S. Bank National Association), as trustee (the “Trustee”), as supplemented by a supplemental indenture, to be dated                      , 2023, with respect to the notes (the “Supplemental Indenture” and, together with the Base Indenture, the “Indenture”).</w:t>
      </w:r>
    </w:p>
    <w:p>
      <w:pPr>
        <w:spacing w:after="0" w:line="109"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i w:val="1"/>
          <w:iCs w:val="1"/>
          <w:color w:val="auto"/>
        </w:rPr>
        <w:t>The following description is a summary of the material provisions of the Indenture, and does not restate the terms of the Indenture in its entirety. We urge you to read the Indenture because it, and not this description, defines your rights as holders of the notes. Defined terms used but not defined in this description have the meanings assigned to them in the Indenture.</w:t>
      </w:r>
    </w:p>
    <w:p>
      <w:pPr>
        <w:spacing w:after="0" w:line="106" w:lineRule="exact"/>
        <w:rPr>
          <w:sz w:val="20"/>
          <w:szCs w:val="20"/>
          <w:color w:val="auto"/>
        </w:rPr>
      </w:pPr>
    </w:p>
    <w:p>
      <w:pPr>
        <w:ind w:left="1260" w:right="1139"/>
        <w:spacing w:after="0" w:line="285" w:lineRule="auto"/>
        <w:rPr>
          <w:sz w:val="20"/>
          <w:szCs w:val="20"/>
          <w:color w:val="auto"/>
        </w:rPr>
      </w:pPr>
      <w:r>
        <w:rPr>
          <w:rFonts w:ascii="Arial" w:cs="Arial" w:eastAsia="Arial" w:hAnsi="Arial"/>
          <w:sz w:val="18"/>
          <w:szCs w:val="18"/>
          <w:i w:val="1"/>
          <w:iCs w:val="1"/>
          <w:color w:val="auto"/>
        </w:rPr>
        <w:t>The registered holder of a note will be treated as the owner of such note for all purposes. Only registered holders will have rights under the Indenture.</w:t>
      </w:r>
    </w:p>
    <w:p>
      <w:pPr>
        <w:spacing w:after="0" w:line="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The definition of certain terms used in this description are summarized under the subheading</w:t>
      </w:r>
    </w:p>
    <w:p>
      <w:pPr>
        <w:spacing w:after="0" w:line="12" w:lineRule="exact"/>
        <w:rPr>
          <w:sz w:val="20"/>
          <w:szCs w:val="20"/>
          <w:color w:val="auto"/>
        </w:rPr>
      </w:pPr>
    </w:p>
    <w:p>
      <w:pPr>
        <w:ind w:left="1260" w:right="659"/>
        <w:spacing w:after="0" w:line="250" w:lineRule="auto"/>
        <w:rPr>
          <w:sz w:val="20"/>
          <w:szCs w:val="20"/>
          <w:color w:val="auto"/>
        </w:rPr>
      </w:pPr>
      <w:r>
        <w:rPr>
          <w:rFonts w:ascii="Arial" w:cs="Arial" w:eastAsia="Arial" w:hAnsi="Arial"/>
          <w:sz w:val="18"/>
          <w:szCs w:val="18"/>
          <w:i w:val="1"/>
          <w:iCs w:val="1"/>
          <w:color w:val="auto"/>
        </w:rPr>
        <w:t>“— Certain Definitions.” In this description, references to “Micron,” “us,” “we,” “our” or the “Company” refer only to Micron Technology, Inc. and not to any of its subsidiaries.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General</w:t>
      </w:r>
    </w:p>
    <w:p>
      <w:pPr>
        <w:spacing w:after="0" w:line="148" w:lineRule="exact"/>
        <w:rPr>
          <w:sz w:val="20"/>
          <w:szCs w:val="20"/>
          <w:color w:val="auto"/>
        </w:rPr>
      </w:pPr>
    </w:p>
    <w:p>
      <w:pPr>
        <w:ind w:left="1260" w:right="999"/>
        <w:spacing w:after="0" w:line="271" w:lineRule="auto"/>
        <w:rPr>
          <w:sz w:val="20"/>
          <w:szCs w:val="20"/>
          <w:color w:val="auto"/>
        </w:rPr>
      </w:pPr>
      <w:r>
        <w:rPr>
          <w:rFonts w:ascii="Arial" w:cs="Arial" w:eastAsia="Arial" w:hAnsi="Arial"/>
          <w:sz w:val="18"/>
          <w:szCs w:val="18"/>
          <w:color w:val="auto"/>
        </w:rPr>
        <w:t>We will issue $            aggregate principal amount of 20    notes. The 20    notes will mature on             , 20    . Interest on the 20    notes will accrue at the rate of     % per annum.</w:t>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will issue $            aggregate principal amount of 20    notes. The 20    notes will mature on</w:t>
      </w:r>
    </w:p>
    <w:p>
      <w:pPr>
        <w:spacing w:after="0" w:line="14" w:lineRule="exact"/>
        <w:rPr>
          <w:sz w:val="20"/>
          <w:szCs w:val="20"/>
          <w:color w:val="auto"/>
        </w:rPr>
      </w:pPr>
    </w:p>
    <w:p>
      <w:pPr>
        <w:ind w:left="1260" w:right="2039"/>
        <w:spacing w:after="0" w:line="428" w:lineRule="auto"/>
        <w:tabs>
          <w:tab w:leader="none" w:pos="13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 20    . Interest on the 20    notes will accrue at the rate of     % per annum. The 20    notes and the 20    notes are collectively referred to as the “notes.”</w:t>
      </w:r>
    </w:p>
    <w:p>
      <w:pPr>
        <w:ind w:left="1260" w:right="479"/>
        <w:spacing w:after="0" w:line="243" w:lineRule="auto"/>
        <w:rPr>
          <w:sz w:val="20"/>
          <w:szCs w:val="20"/>
          <w:color w:val="auto"/>
        </w:rPr>
      </w:pPr>
      <w:r>
        <w:rPr>
          <w:rFonts w:ascii="Arial" w:cs="Arial" w:eastAsia="Arial" w:hAnsi="Arial"/>
          <w:sz w:val="18"/>
          <w:szCs w:val="18"/>
          <w:color w:val="auto"/>
        </w:rPr>
        <w:t>The notes will be senior unsecured obligations and will rank on the same basis with all of our other senior unsecured indebtedness from time to time outstanding. Each series of the notes will be a separate series of senior debt securities under the Indenture. The Indenture does not limit the aggregate principal amount of securities that may be issued under the Indenture. Without the consent of the holders, we may increase the aggregate principal amount of the notes of any series in the future on the same terms and conditions (except for issuance date, price and, in some cases, the initial interest payment date) as the notes of the series being offered hereby. Securities may be issued under the Indenture from time to time as a single series or in two or more separate series up to the aggregate principal amount authorized by us from time to time for the notes of any series. Additional notes of a series may only bear the same CUSIP number if they would be fungible for United States federal tax purposes with the existing notes of that series.</w:t>
      </w:r>
    </w:p>
    <w:p>
      <w:pPr>
        <w:spacing w:after="0" w:line="111" w:lineRule="exact"/>
        <w:rPr>
          <w:sz w:val="20"/>
          <w:szCs w:val="20"/>
          <w:color w:val="auto"/>
        </w:rPr>
      </w:pPr>
    </w:p>
    <w:p>
      <w:pPr>
        <w:ind w:left="1260" w:right="479"/>
        <w:spacing w:after="0" w:line="248" w:lineRule="auto"/>
        <w:rPr>
          <w:sz w:val="20"/>
          <w:szCs w:val="20"/>
          <w:color w:val="auto"/>
        </w:rPr>
      </w:pPr>
      <w:r>
        <w:rPr>
          <w:rFonts w:ascii="Arial" w:cs="Arial" w:eastAsia="Arial" w:hAnsi="Arial"/>
          <w:sz w:val="18"/>
          <w:szCs w:val="18"/>
          <w:color w:val="auto"/>
        </w:rPr>
        <w:t>If the maturity date of any notes falls on a day that is not a Business Day, payment of principal, premium, if any, and interest for such notes then due will be paid on the next Business Day. No interest on that payment will accrue from and after the maturity date. Payments of principal, premium, if any, and interest on the notes will be made by us through the Trustee to DTC. Each series of notes will be issued in the form of one or more fully registered global securities in minimum denominations of $2,000 and integral multiples of $1,000 in excess thereof.</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Interest</w:t>
      </w:r>
    </w:p>
    <w:p>
      <w:pPr>
        <w:spacing w:after="0" w:line="162" w:lineRule="exact"/>
        <w:rPr>
          <w:sz w:val="20"/>
          <w:szCs w:val="20"/>
          <w:color w:val="auto"/>
        </w:rPr>
      </w:pPr>
    </w:p>
    <w:p>
      <w:pPr>
        <w:ind w:left="1260" w:right="439"/>
        <w:spacing w:after="0" w:line="246" w:lineRule="auto"/>
        <w:rPr>
          <w:sz w:val="20"/>
          <w:szCs w:val="20"/>
          <w:color w:val="auto"/>
        </w:rPr>
      </w:pPr>
      <w:r>
        <w:rPr>
          <w:rFonts w:ascii="Arial" w:cs="Arial" w:eastAsia="Arial" w:hAnsi="Arial"/>
          <w:sz w:val="18"/>
          <w:szCs w:val="18"/>
          <w:color w:val="auto"/>
        </w:rPr>
        <w:t>The 20    notes will accrue interest at a rate of     % per annum and the 20    notes will accrue interest at a rate of     % per annum. Interest on the notes will accrue from           , 2023, or from the most recent interest payment date to which interest has been paid or provided for, to, but excluding, the relevant interest payment date. The Company will make interest payments on the notes semi-annually in arrears on           and             of each year, beginning on             , 2023, to the Person in whose name such notes are registered at the close of business on the immediately preceding             or             , as applicable.</w:t>
      </w:r>
    </w:p>
    <w:p>
      <w:pPr>
        <w:spacing w:after="0" w:line="35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Interest on the notes will be computed on the basis of a 360-day year of twelve 30-day months.</w:t>
      </w:r>
    </w:p>
    <w:p>
      <w:pPr>
        <w:spacing w:after="0" w:line="158" w:lineRule="exact"/>
        <w:rPr>
          <w:sz w:val="20"/>
          <w:szCs w:val="20"/>
          <w:color w:val="auto"/>
        </w:rPr>
      </w:pPr>
    </w:p>
    <w:p>
      <w:pPr>
        <w:ind w:left="1260" w:right="639"/>
        <w:spacing w:after="0" w:line="262" w:lineRule="auto"/>
        <w:rPr>
          <w:sz w:val="20"/>
          <w:szCs w:val="20"/>
          <w:color w:val="auto"/>
        </w:rPr>
      </w:pPr>
      <w:r>
        <w:rPr>
          <w:rFonts w:ascii="Arial" w:cs="Arial" w:eastAsia="Arial" w:hAnsi="Arial"/>
          <w:sz w:val="18"/>
          <w:szCs w:val="18"/>
          <w:color w:val="auto"/>
        </w:rPr>
        <w:t>If an interest payment date for an applicable series of notes falls on a day that is not a Business Day, the interest payment shall be postponed to the next succeeding Business Day as if made on the date such payment was due, and no interest on such payment shall accrue for the period from and after such interest payment date.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Optional Redemption</w:t>
      </w:r>
    </w:p>
    <w:p>
      <w:pPr>
        <w:spacing w:after="0" w:line="148"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Prior to the applicable Par Call Date, the Company may redeem the notes of each series at its option, in whole or in part, at any time and from time to time, at a redemption price (expressed as a percentage of principal amount and rounded to three decimal places) equal to the greater of:</w:t>
      </w:r>
    </w:p>
    <w:p>
      <w:pPr>
        <w:spacing w:after="0" w:line="63" w:lineRule="exact"/>
        <w:rPr>
          <w:sz w:val="20"/>
          <w:szCs w:val="20"/>
          <w:color w:val="auto"/>
        </w:rPr>
      </w:pPr>
    </w:p>
    <w:p>
      <w:pPr>
        <w:ind w:left="1800" w:right="499" w:hanging="180"/>
        <w:spacing w:after="0" w:line="255"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 the sum of the present values of the remaining scheduled payments of principal and interest thereon discounted to the redemption date (assuming the notes of such series matured on the applicable Par Call Date) on a semi-annual basis (assuming a 360-day year consisting of twelve 30-day months) at the Treasury Rate plus             basis points for the 20    notes and          </w:t>
      </w:r>
    </w:p>
    <w:p>
      <w:pPr>
        <w:spacing w:after="0" w:line="2" w:lineRule="exact"/>
        <w:rPr>
          <w:rFonts w:ascii="Arial" w:cs="Arial" w:eastAsia="Arial" w:hAnsi="Arial"/>
          <w:sz w:val="18"/>
          <w:szCs w:val="18"/>
          <w:color w:val="auto"/>
        </w:rPr>
      </w:pPr>
    </w:p>
    <w:p>
      <w:pPr>
        <w:ind w:left="1800"/>
        <w:spacing w:after="0"/>
        <w:rPr>
          <w:rFonts w:ascii="Arial" w:cs="Arial" w:eastAsia="Arial" w:hAnsi="Arial"/>
          <w:sz w:val="18"/>
          <w:szCs w:val="18"/>
          <w:color w:val="auto"/>
        </w:rPr>
      </w:pPr>
      <w:r>
        <w:rPr>
          <w:rFonts w:ascii="Arial" w:cs="Arial" w:eastAsia="Arial" w:hAnsi="Arial"/>
          <w:sz w:val="18"/>
          <w:szCs w:val="18"/>
          <w:color w:val="auto"/>
        </w:rPr>
        <w:t>basis points for the 20    notes, less (ii) interest accrued to the date of redemption, and</w:t>
      </w:r>
    </w:p>
    <w:p>
      <w:pPr>
        <w:spacing w:after="0" w:line="112"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of the principal amount of the notes of that series to be redeemed,</w:t>
      </w:r>
    </w:p>
    <w:p>
      <w:pPr>
        <w:spacing w:after="0" w:line="144" w:lineRule="exact"/>
        <w:rPr>
          <w:sz w:val="20"/>
          <w:szCs w:val="20"/>
          <w:color w:val="auto"/>
        </w:rPr>
      </w:pPr>
    </w:p>
    <w:p>
      <w:pPr>
        <w:ind w:left="1260" w:right="1239"/>
        <w:spacing w:after="0" w:line="287" w:lineRule="auto"/>
        <w:rPr>
          <w:sz w:val="20"/>
          <w:szCs w:val="20"/>
          <w:color w:val="auto"/>
        </w:rPr>
      </w:pPr>
      <w:r>
        <w:rPr>
          <w:rFonts w:ascii="Arial" w:cs="Arial" w:eastAsia="Arial" w:hAnsi="Arial"/>
          <w:sz w:val="18"/>
          <w:szCs w:val="18"/>
          <w:color w:val="auto"/>
        </w:rPr>
        <w:t>plus, in each case, accrued and unpaid interest, if any, on the amount being redeemed to, but excluding, the date of redemption. We will calculate the redemption price.</w:t>
      </w:r>
    </w:p>
    <w:p>
      <w:pPr>
        <w:spacing w:after="0" w:line="85" w:lineRule="exact"/>
        <w:rPr>
          <w:sz w:val="20"/>
          <w:szCs w:val="20"/>
          <w:color w:val="auto"/>
        </w:rPr>
      </w:pPr>
    </w:p>
    <w:p>
      <w:pPr>
        <w:ind w:left="1260" w:right="619"/>
        <w:spacing w:after="0" w:line="262" w:lineRule="auto"/>
        <w:rPr>
          <w:sz w:val="20"/>
          <w:szCs w:val="20"/>
          <w:color w:val="auto"/>
        </w:rPr>
      </w:pPr>
      <w:r>
        <w:rPr>
          <w:rFonts w:ascii="Arial" w:cs="Arial" w:eastAsia="Arial" w:hAnsi="Arial"/>
          <w:sz w:val="18"/>
          <w:szCs w:val="18"/>
          <w:color w:val="auto"/>
        </w:rPr>
        <w:t>On or after the applicable Par Call Date for a series of notes, the Company may, at its option, redeem the notes of such series, in whole or in part, at any time and from time to time, at a redemption price equal to 100% of the principal amount of the notes redeemed, plus accrued and unpaid interest thereon, if any, to, but excluding, the date of redemption.</w:t>
      </w:r>
    </w:p>
    <w:p>
      <w:pPr>
        <w:spacing w:after="0" w:line="109" w:lineRule="exact"/>
        <w:rPr>
          <w:sz w:val="20"/>
          <w:szCs w:val="20"/>
          <w:color w:val="auto"/>
        </w:rPr>
      </w:pPr>
    </w:p>
    <w:p>
      <w:pPr>
        <w:ind w:left="1260" w:right="739"/>
        <w:spacing w:after="0" w:line="268" w:lineRule="auto"/>
        <w:rPr>
          <w:sz w:val="20"/>
          <w:szCs w:val="20"/>
          <w:color w:val="auto"/>
        </w:rPr>
      </w:pPr>
      <w:r>
        <w:rPr>
          <w:rFonts w:ascii="Arial" w:cs="Arial" w:eastAsia="Arial" w:hAnsi="Arial"/>
          <w:sz w:val="18"/>
          <w:szCs w:val="18"/>
          <w:color w:val="auto"/>
        </w:rPr>
        <w:t>“Par Call Date” means             , 20    , with respect to any 20    notes (            months prior to the maturity date of the 20    notes) and             , 20    , with respect to any 20    notes (            months prior to the maturity date of the 20    notes).</w:t>
      </w:r>
    </w:p>
    <w:p>
      <w:pPr>
        <w:spacing w:after="0" w:line="90"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of the series to be redeemed (with a copy to the Trustee). Unless the Company defaults in payment of the redemption price, on and after the redemption date, interest will cease to accrue on the notes or portions thereof called for redemption. On or before a redemption date, the Company will deposit with a paying agent (or the Trustee) money sufficient to pay the redemption price of and accrued interest on the notes to be redeemed on that date. In the case of a partial redemption of the notes of a series, selection of the notes of such series for redemption will be made pro rata, by lot or by such other method as the Trustee deems fair and appropriate. No notes of a principal amount of $2,000 or less will be redeemed in part. If any note of a series is to be redeemed in part only, the notice of redemption that relates to the note of such series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of each series are held by The Depository Trust Company (“DTC”), Euroclear or Clearstream (or another depositary), the redemption of the notes of each series shall be done in accordance with the policies and procedures of the depositary. Any redemption or notice of redemption may, at the Company’s discretion, be subject to one or more conditions precedent.</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Mandatory Redemption; Offers to Purchase; Open Market Purchases</w:t>
      </w:r>
    </w:p>
    <w:p>
      <w:pPr>
        <w:spacing w:after="0" w:line="148"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The Company is not required to make any mandatory redemption or sinking fund payments with respect to the notes. However, under certain circumstances, the Company may be required to offer to purchase each series of notes as described under the caption “— Repurchase of Notes upon a Change of Control Triggering Event.” The Company may at any time, and from time to time, purchase notes in the open market or otherwise.</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Ranking</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notes are general unsecured obligations of the Company. As a result, the notes rank:</w:t>
      </w:r>
    </w:p>
    <w:p>
      <w:pPr>
        <w:spacing w:after="0" w:line="104" w:lineRule="exact"/>
        <w:rPr>
          <w:sz w:val="20"/>
          <w:szCs w:val="20"/>
          <w:color w:val="auto"/>
        </w:rPr>
      </w:pPr>
    </w:p>
    <w:p>
      <w:pPr>
        <w:ind w:left="1800" w:right="1459" w:hanging="180"/>
        <w:spacing w:after="0" w:line="28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all existing and future unsecured unsubordinated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of the Company;</w:t>
      </w:r>
    </w:p>
    <w:p>
      <w:pPr>
        <w:spacing w:after="0" w:line="44" w:lineRule="exact"/>
        <w:rPr>
          <w:rFonts w:ascii="Arial" w:cs="Arial" w:eastAsia="Arial" w:hAnsi="Arial"/>
          <w:sz w:val="18"/>
          <w:szCs w:val="18"/>
          <w:color w:val="auto"/>
        </w:rPr>
      </w:pPr>
    </w:p>
    <w:p>
      <w:pPr>
        <w:ind w:left="1800" w:right="639" w:hanging="180"/>
        <w:spacing w:after="0" w:line="268"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effectively subordinated to secured indebtedness of the Company, to the extent of the value of the assets securing such indebtedness or other obligations (unless the notes are equally and ratably secured with such indebtedness); and</w:t>
      </w:r>
    </w:p>
    <w:p>
      <w:pPr>
        <w:spacing w:after="0" w:line="49"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structurally subordinated to any indebtedness and other liabilities of the Company’s Subsidiaries.</w:t>
      </w:r>
    </w:p>
    <w:p>
      <w:pPr>
        <w:spacing w:after="0" w:line="169" w:lineRule="exact"/>
        <w:rPr>
          <w:sz w:val="20"/>
          <w:szCs w:val="20"/>
          <w:color w:val="auto"/>
        </w:rPr>
      </w:pPr>
    </w:p>
    <w:p>
      <w:pPr>
        <w:ind w:left="1260" w:right="499"/>
        <w:spacing w:after="0" w:line="244" w:lineRule="auto"/>
        <w:rPr>
          <w:sz w:val="20"/>
          <w:szCs w:val="20"/>
          <w:color w:val="auto"/>
        </w:rPr>
      </w:pPr>
      <w:r>
        <w:rPr>
          <w:rFonts w:ascii="Arial" w:cs="Arial" w:eastAsia="Arial" w:hAnsi="Arial"/>
          <w:sz w:val="18"/>
          <w:szCs w:val="18"/>
          <w:color w:val="auto"/>
        </w:rPr>
        <w:t>A substantial portion of our assets are owned by and a substantial portion of our operations are conducted through our Subsidiaries, particularly our Foreign Subsidiaries. The Company’s existing and future Subsidiaries will not guarantee the notes. Claims of creditors of such Subsidiaries, including trade creditors, and creditors holding debt and guarantees issued by those Subsidiaries, and claims of preferred stockholders (if any) of those Subsidiaries generally will have priority with respect to the assets and earnings of those Subsidiaries over the claims of creditors of the Company, including holders of the notes. Accordingly, the notes are effectively subordinated to the claims of such creditors and preferred stockholders, if any, of the Company’s Subsidiaries.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Repurchase of Notes upon a Change of Control Triggering Event</w:t>
      </w:r>
    </w:p>
    <w:p>
      <w:pPr>
        <w:spacing w:after="0" w:line="148" w:lineRule="exact"/>
        <w:rPr>
          <w:sz w:val="20"/>
          <w:szCs w:val="20"/>
          <w:color w:val="auto"/>
        </w:rPr>
      </w:pPr>
    </w:p>
    <w:p>
      <w:pPr>
        <w:ind w:left="1260" w:right="419"/>
        <w:spacing w:after="0" w:line="247" w:lineRule="auto"/>
        <w:rPr>
          <w:sz w:val="20"/>
          <w:szCs w:val="20"/>
          <w:color w:val="auto"/>
        </w:rPr>
      </w:pPr>
      <w:r>
        <w:rPr>
          <w:rFonts w:ascii="Arial" w:cs="Arial" w:eastAsia="Arial" w:hAnsi="Arial"/>
          <w:sz w:val="18"/>
          <w:szCs w:val="18"/>
          <w:color w:val="auto"/>
        </w:rPr>
        <w:t>Not later than 60 days following a Change of Control Triggering Event with respect to a series of notes, unless the Company has exercised its right to redeem all of the notes of such series as described under “— Optional Redemption,” the Company will make an Offer to Purchase all of the outstanding notes of such series at a purchase price equal to 101% of the principal amount thereof plus accrued and unpaid interest, if any, to, but excluding, the date of purchase.</w:t>
      </w:r>
    </w:p>
    <w:p>
      <w:pPr>
        <w:spacing w:after="0" w:line="109" w:lineRule="exact"/>
        <w:rPr>
          <w:sz w:val="20"/>
          <w:szCs w:val="20"/>
          <w:color w:val="auto"/>
        </w:rPr>
      </w:pPr>
    </w:p>
    <w:p>
      <w:pPr>
        <w:ind w:left="1260" w:right="519"/>
        <w:spacing w:after="0" w:line="246" w:lineRule="auto"/>
        <w:rPr>
          <w:sz w:val="20"/>
          <w:szCs w:val="20"/>
          <w:color w:val="auto"/>
        </w:rPr>
      </w:pPr>
      <w:r>
        <w:rPr>
          <w:rFonts w:ascii="Arial" w:cs="Arial" w:eastAsia="Arial" w:hAnsi="Arial"/>
          <w:sz w:val="18"/>
          <w:szCs w:val="18"/>
          <w:color w:val="auto"/>
        </w:rPr>
        <w:t>An “Offer to Purchase”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will also contain instructions and materials necessary to enable holders to tender notes pursuant to the offer. The offer shall, if delivered prior to the date of consummation of the Change of Control, state that the Offer to Purchase is conditioned on the Change of Control Triggering Event occurring on or prior to the purchase date.</w:t>
      </w:r>
    </w:p>
    <w:p>
      <w:pPr>
        <w:spacing w:after="0" w:line="112" w:lineRule="exact"/>
        <w:rPr>
          <w:sz w:val="20"/>
          <w:szCs w:val="20"/>
          <w:color w:val="auto"/>
        </w:rPr>
      </w:pPr>
    </w:p>
    <w:p>
      <w:pPr>
        <w:ind w:left="1260" w:right="459"/>
        <w:spacing w:after="0" w:line="246" w:lineRule="auto"/>
        <w:rPr>
          <w:sz w:val="20"/>
          <w:szCs w:val="20"/>
          <w:color w:val="auto"/>
        </w:rPr>
      </w:pPr>
      <w:r>
        <w:rPr>
          <w:rFonts w:ascii="Arial" w:cs="Arial" w:eastAsia="Arial" w:hAnsi="Arial"/>
          <w:sz w:val="18"/>
          <w:szCs w:val="18"/>
          <w:color w:val="auto"/>
        </w:rPr>
        <w:t>A holder may tender all or any portion of its notes pursuant to an Offer to Purchase, subject to the requirement that any portion of a note tendered must be in a minimum denomination of $2,000 and integral multiples of $1,000 in excess thereof. Holders are entitled to withdraw notes tendered up to the close of business on the expiration date. On the purchase date the purchase price will become due and payable on each note accepted for purchase pursuant to the Offer to Purchase, and, unless the Company defaults in the payment of the purchase price, interest on notes purchased will cease to accrue on and after the purchase date.</w:t>
      </w:r>
    </w:p>
    <w:p>
      <w:pPr>
        <w:spacing w:after="0" w:line="108" w:lineRule="exact"/>
        <w:rPr>
          <w:sz w:val="20"/>
          <w:szCs w:val="20"/>
          <w:color w:val="auto"/>
        </w:rPr>
      </w:pPr>
    </w:p>
    <w:p>
      <w:pPr>
        <w:jc w:val="both"/>
        <w:ind w:left="1260" w:right="799"/>
        <w:spacing w:after="0" w:line="253" w:lineRule="auto"/>
        <w:rPr>
          <w:sz w:val="20"/>
          <w:szCs w:val="20"/>
          <w:color w:val="auto"/>
        </w:rPr>
      </w:pPr>
      <w:r>
        <w:rPr>
          <w:rFonts w:ascii="Arial" w:cs="Arial" w:eastAsia="Arial" w:hAnsi="Arial"/>
          <w:sz w:val="18"/>
          <w:szCs w:val="18"/>
          <w:color w:val="auto"/>
        </w:rPr>
        <w:t>The Company will comply with Rule 14e-1 under the Exchange Act and all other applicable laws in making any Offer to Purchase, and the above procedures will be deemed modified as necessary to permit such compliance.</w:t>
      </w:r>
    </w:p>
    <w:p>
      <w:pPr>
        <w:spacing w:after="0" w:line="101" w:lineRule="exact"/>
        <w:rPr>
          <w:sz w:val="20"/>
          <w:szCs w:val="20"/>
          <w:color w:val="auto"/>
        </w:rPr>
      </w:pPr>
    </w:p>
    <w:p>
      <w:pPr>
        <w:ind w:left="1260" w:right="459"/>
        <w:spacing w:after="0" w:line="245" w:lineRule="auto"/>
        <w:rPr>
          <w:sz w:val="20"/>
          <w:szCs w:val="20"/>
          <w:color w:val="auto"/>
        </w:rPr>
      </w:pPr>
      <w:r>
        <w:rPr>
          <w:rFonts w:ascii="Arial" w:cs="Arial" w:eastAsia="Arial" w:hAnsi="Arial"/>
          <w:sz w:val="18"/>
          <w:szCs w:val="18"/>
          <w:color w:val="auto"/>
        </w:rPr>
        <w:t>The Company will not be required to make an Offer to Purchase following a Change of Control Triggering Event with respect to the notes of a series if (1) a third party makes the Offer to Purchase in the manner, at the times and otherwise in compliance with the requirements set forth in the Indenture applicable to an Offer to Purchase made by the Company and purchases all such notes validly tendered and not withdrawn under such Offer to Purchase or (2) a notice of redemption has been given pursuant to the Indenture as described above under the caption “— Optional Redemption.” 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45" w:lineRule="auto"/>
        <w:rPr>
          <w:sz w:val="20"/>
          <w:szCs w:val="20"/>
          <w:color w:val="auto"/>
        </w:rPr>
      </w:pPr>
      <w:r>
        <w:rPr>
          <w:rFonts w:ascii="Arial" w:cs="Arial" w:eastAsia="Arial" w:hAnsi="Arial"/>
          <w:sz w:val="18"/>
          <w:szCs w:val="18"/>
          <w:color w:val="auto"/>
        </w:rPr>
        <w:t>If holders of not less than 90% in aggregate principal amount of the outstanding notes of a series validly tender and do not withdraw such notes in a change of control offer and the Company, or any third party approved in writing by the Company making a change of control offer in lieu of the Company as described above, purchases all of the notes of such series validly tendered and not withdrawn by such holders, the Company or such third party will have the right, upon not less than 10 nor more than</w:t>
      </w:r>
    </w:p>
    <w:p>
      <w:pPr>
        <w:spacing w:after="0" w:line="1" w:lineRule="exact"/>
        <w:rPr>
          <w:sz w:val="20"/>
          <w:szCs w:val="20"/>
          <w:color w:val="auto"/>
        </w:rPr>
      </w:pPr>
    </w:p>
    <w:p>
      <w:pPr>
        <w:ind w:left="1260" w:right="499"/>
        <w:spacing w:after="0" w:line="242" w:lineRule="auto"/>
        <w:rPr>
          <w:sz w:val="20"/>
          <w:szCs w:val="20"/>
          <w:color w:val="auto"/>
        </w:rPr>
      </w:pPr>
      <w:r>
        <w:rPr>
          <w:rFonts w:ascii="Arial" w:cs="Arial" w:eastAsia="Arial" w:hAnsi="Arial"/>
          <w:sz w:val="18"/>
          <w:szCs w:val="18"/>
          <w:color w:val="auto"/>
        </w:rPr>
        <w:t>60 days’ prior notice, given not more than 30 days following such purchase pursuant to the Offer to Purchase, to redeem (with respect to the Company) or purchase (with respect to a third party) all notes of such series that remain outstanding following such purchase on a date (the “second change of control payment date”) at a purchase price equal to 101% of the principal amount thereof plus accrued and unpaid interest, if any, to, but excluding, the second change of control payment date.</w:t>
      </w:r>
    </w:p>
    <w:p>
      <w:pPr>
        <w:spacing w:after="0" w:line="113" w:lineRule="exact"/>
        <w:rPr>
          <w:sz w:val="20"/>
          <w:szCs w:val="20"/>
          <w:color w:val="auto"/>
        </w:rPr>
      </w:pPr>
    </w:p>
    <w:p>
      <w:pPr>
        <w:ind w:left="1260" w:right="419"/>
        <w:spacing w:after="0" w:line="244" w:lineRule="auto"/>
        <w:rPr>
          <w:sz w:val="20"/>
          <w:szCs w:val="20"/>
          <w:color w:val="auto"/>
        </w:rPr>
      </w:pPr>
      <w:r>
        <w:rPr>
          <w:rFonts w:ascii="Arial" w:cs="Arial" w:eastAsia="Arial" w:hAnsi="Arial"/>
          <w:sz w:val="18"/>
          <w:szCs w:val="18"/>
          <w:color w:val="auto"/>
        </w:rPr>
        <w:t>Other indebtedness to which the Company or its Subsidiaries are or may in the future be subject to may have prohibitions on changes of control or provide that a change of control event is an event of default or the trigger of another right of repayment. If the exercise by the holders of their right to require the Company to repurchase the notes upon a Change of Control Triggering Event occurred at the same time as a change of control event under one or more of the Company’s other debt agreements, the Company’s ability to pay cash to the holders upon a repurchase may be further limited by the Company’s then-existing financial resources. See “Risk Factors — Risks Related to the Notes — Upon a Change of Control Triggering Event, we may not have the funds necessary to finance the change of control offer required by the indenture governing each series of notes, which would violate the terms of such indenture.”</w:t>
      </w:r>
    </w:p>
    <w:p>
      <w:pPr>
        <w:spacing w:after="0" w:line="110" w:lineRule="exact"/>
        <w:rPr>
          <w:sz w:val="20"/>
          <w:szCs w:val="20"/>
          <w:color w:val="auto"/>
        </w:rPr>
      </w:pPr>
    </w:p>
    <w:p>
      <w:pPr>
        <w:ind w:left="1260" w:right="419"/>
        <w:spacing w:after="0" w:line="244" w:lineRule="auto"/>
        <w:rPr>
          <w:sz w:val="20"/>
          <w:szCs w:val="20"/>
          <w:color w:val="auto"/>
        </w:rPr>
      </w:pPr>
      <w:r>
        <w:rPr>
          <w:rFonts w:ascii="Arial" w:cs="Arial" w:eastAsia="Arial" w:hAnsi="Arial"/>
          <w:sz w:val="18"/>
          <w:szCs w:val="18"/>
          <w:color w:val="auto"/>
        </w:rPr>
        <w:t>The phrase “all or substantially all,” as used with respect to the assets of the Company in the definition of “Change of Control” and in the covenant summarized below under “— Certain Covenants —  Consolidation, Merger and Conveyance, Transfer and Lease of All or Substantially All Assets,” is subject to interpretation under applicable state law, and its applicability in a given instance would depend upon the facts and circumstances. As a result, there may be a degree of uncertainty in ascertaining whether a sale or transfer of “all or substantially all” the assets of the Company has occurred in a particular instance, in which case a holder’s ability to obtain the benefit of these provisions could be unclear.</w:t>
      </w:r>
    </w:p>
    <w:p>
      <w:pPr>
        <w:spacing w:after="0" w:line="112"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The Change of Control purchase feature of the notes may in certain circumstances make more difficult or discourage a sale or takeover of the Company and, thus, the removal of incumbent management. The Change of Control purchase feature is a result of negotiations between the underwriters and the Company.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additional secured Indebtedness are contained in the covenants described under “— Certain Covenants — Limitation on Liens” and “— Certain Covenants — Limitation on Sale and Lease-Back Transactions.” Such restrictions in the Indenture can be waived with respect to a series of notes only with the consent of the holders of a majority in principal amount of such series of notes then outstanding. Except for the limitations contained in such covenants, however, the Indenture will not contain any covenants or provisions that may afford holders of the notes protection in the event of a highly leveraged transaction.</w:t>
      </w:r>
    </w:p>
    <w:p>
      <w:pPr>
        <w:spacing w:after="0" w:line="117" w:lineRule="exact"/>
        <w:rPr>
          <w:sz w:val="20"/>
          <w:szCs w:val="20"/>
          <w:color w:val="auto"/>
        </w:rPr>
      </w:pPr>
    </w:p>
    <w:p>
      <w:pPr>
        <w:ind w:left="1260" w:right="459"/>
        <w:spacing w:after="0" w:line="275" w:lineRule="auto"/>
        <w:rPr>
          <w:sz w:val="20"/>
          <w:szCs w:val="20"/>
          <w:color w:val="auto"/>
        </w:rPr>
      </w:pPr>
      <w:r>
        <w:rPr>
          <w:rFonts w:ascii="Arial" w:cs="Arial" w:eastAsia="Arial" w:hAnsi="Arial"/>
          <w:sz w:val="17"/>
          <w:szCs w:val="17"/>
          <w:color w:val="auto"/>
        </w:rPr>
        <w:t>The provisions under the Indenture relating to the Company’s obligation to make an offer to repurchase the notes of a series as a result of a Change of Control Triggering Event may be waived or modified with the written consent of the holders of a majority in principal amount of the notes of such series.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Exchange and Transfer</w:t>
      </w:r>
    </w:p>
    <w:p>
      <w:pPr>
        <w:spacing w:after="0" w:line="148" w:lineRule="exact"/>
        <w:rPr>
          <w:sz w:val="20"/>
          <w:szCs w:val="20"/>
          <w:color w:val="auto"/>
        </w:rPr>
      </w:pPr>
    </w:p>
    <w:p>
      <w:pPr>
        <w:ind w:left="1260" w:right="659"/>
        <w:spacing w:after="0" w:line="271" w:lineRule="auto"/>
        <w:rPr>
          <w:sz w:val="20"/>
          <w:szCs w:val="20"/>
          <w:color w:val="auto"/>
        </w:rPr>
      </w:pPr>
      <w:r>
        <w:rPr>
          <w:rFonts w:ascii="Arial" w:cs="Arial" w:eastAsia="Arial" w:hAnsi="Arial"/>
          <w:sz w:val="18"/>
          <w:szCs w:val="18"/>
          <w:color w:val="auto"/>
        </w:rPr>
        <w:t>Holders of notes of a series generally will be able to exchange notes of such series for other notes of such series with the same total principal amount and the same terms.</w:t>
      </w:r>
    </w:p>
    <w:p>
      <w:pPr>
        <w:spacing w:after="0" w:line="86" w:lineRule="exact"/>
        <w:rPr>
          <w:sz w:val="20"/>
          <w:szCs w:val="20"/>
          <w:color w:val="auto"/>
        </w:rPr>
      </w:pPr>
    </w:p>
    <w:p>
      <w:pPr>
        <w:ind w:left="1260" w:right="539"/>
        <w:spacing w:after="0" w:line="283" w:lineRule="auto"/>
        <w:rPr>
          <w:sz w:val="20"/>
          <w:szCs w:val="20"/>
          <w:color w:val="auto"/>
        </w:rPr>
      </w:pPr>
      <w:r>
        <w:rPr>
          <w:rFonts w:ascii="Arial" w:cs="Arial" w:eastAsia="Arial" w:hAnsi="Arial"/>
          <w:sz w:val="17"/>
          <w:szCs w:val="17"/>
          <w:color w:val="auto"/>
        </w:rPr>
        <w:t>Holders may present notes for exchange or for registration of transfer at the office of the registrar or at the office of any transfer agent designated by the Company for that purpose. The registrar or designated transfer agent will exchange or transfer the notes if it is satisfied with the documents of title</w:t>
      </w:r>
    </w:p>
    <w:p>
      <w:pPr>
        <w:spacing w:after="0" w:line="33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59"/>
        <w:spacing w:after="0" w:line="259" w:lineRule="auto"/>
        <w:rPr>
          <w:sz w:val="20"/>
          <w:szCs w:val="20"/>
          <w:color w:val="auto"/>
        </w:rPr>
      </w:pPr>
      <w:r>
        <w:rPr>
          <w:rFonts w:ascii="Arial" w:cs="Arial" w:eastAsia="Arial" w:hAnsi="Arial"/>
          <w:sz w:val="18"/>
          <w:szCs w:val="18"/>
          <w:color w:val="auto"/>
        </w:rPr>
        <w:t>and identity of the Person making the request. The Company will not charge a service charge for any exchange or registration of transfer of notes. However, the Company and the registrar may require payment of a sum sufficient to cover any tax or other governmental charge payable for the registration of transfer or exchange. The Company has initially appointed the Trustee as registrar. At any time the Company may:</w:t>
      </w:r>
    </w:p>
    <w:p>
      <w:pPr>
        <w:spacing w:after="0" w:line="71" w:lineRule="exact"/>
        <w:rPr>
          <w:sz w:val="20"/>
          <w:szCs w:val="20"/>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designate additional transfer agents;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rescind the designation of any transfer agent;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approve a change in the office of any transfer agent.</w:t>
      </w:r>
    </w:p>
    <w:p>
      <w:pPr>
        <w:spacing w:after="0" w:line="144" w:lineRule="exact"/>
        <w:rPr>
          <w:sz w:val="20"/>
          <w:szCs w:val="20"/>
          <w:color w:val="auto"/>
        </w:rPr>
      </w:pPr>
    </w:p>
    <w:p>
      <w:pPr>
        <w:ind w:left="1260" w:right="559"/>
        <w:spacing w:after="0" w:line="287" w:lineRule="auto"/>
        <w:rPr>
          <w:sz w:val="20"/>
          <w:szCs w:val="20"/>
          <w:color w:val="auto"/>
        </w:rPr>
      </w:pPr>
      <w:r>
        <w:rPr>
          <w:rFonts w:ascii="Arial" w:cs="Arial" w:eastAsia="Arial" w:hAnsi="Arial"/>
          <w:sz w:val="18"/>
          <w:szCs w:val="18"/>
          <w:color w:val="auto"/>
        </w:rPr>
        <w:t>However, the Company is required to maintain a transfer agent in each place of payment for the notes at all times.</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If the Company elects to redeem the notes of a series or makes an Offer to Purchase, neither the</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Company nor the Trustee will be required to:</w:t>
      </w:r>
    </w:p>
    <w:p>
      <w:pPr>
        <w:spacing w:after="0" w:line="99" w:lineRule="exact"/>
        <w:rPr>
          <w:sz w:val="20"/>
          <w:szCs w:val="20"/>
          <w:color w:val="auto"/>
        </w:rPr>
      </w:pPr>
    </w:p>
    <w:p>
      <w:pPr>
        <w:jc w:val="both"/>
        <w:ind w:left="1800" w:right="459" w:hanging="180"/>
        <w:spacing w:after="0" w:line="262"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register the transfer of or exchange any notes of such series during the period beginning at the opening of business 15 days before the day the Company sends the notice of redemption or makes the Offer to Purchase and ending at the close of business on the day the notice is sent or the Offer to Purchase is made;</w:t>
      </w:r>
    </w:p>
    <w:p>
      <w:pPr>
        <w:spacing w:after="0" w:line="68" w:lineRule="exact"/>
        <w:rPr>
          <w:rFonts w:ascii="Arial" w:cs="Arial" w:eastAsia="Arial" w:hAnsi="Arial"/>
          <w:sz w:val="18"/>
          <w:szCs w:val="18"/>
          <w:color w:val="auto"/>
        </w:rPr>
      </w:pPr>
    </w:p>
    <w:p>
      <w:pPr>
        <w:ind w:left="1800" w:right="419" w:hanging="180"/>
        <w:spacing w:after="0" w:line="268"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register the transfer or exchange of any note of such series so selected for redemption or subject to purchase in such Offer to Purchase, except for any portion not to be redeemed or subject to purchase; or</w:t>
      </w:r>
    </w:p>
    <w:p>
      <w:pPr>
        <w:spacing w:after="0" w:line="62" w:lineRule="exact"/>
        <w:rPr>
          <w:rFonts w:ascii="Arial" w:cs="Arial" w:eastAsia="Arial" w:hAnsi="Arial"/>
          <w:sz w:val="18"/>
          <w:szCs w:val="18"/>
          <w:color w:val="auto"/>
        </w:rPr>
      </w:pPr>
    </w:p>
    <w:p>
      <w:pPr>
        <w:ind w:left="1800" w:right="419" w:hanging="180"/>
        <w:spacing w:after="0" w:line="262"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a redemption or a purchase date pursuant to an Offer to Purchase occurring after a regular record date but on or before the corresponding interest payment date, register the transfer or exchange of any note of such series on or after the regular record date and before the date of redemption or purchase.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Payment and Paying Agents</w:t>
      </w:r>
    </w:p>
    <w:p>
      <w:pPr>
        <w:spacing w:after="0" w:line="162" w:lineRule="exact"/>
        <w:rPr>
          <w:sz w:val="20"/>
          <w:szCs w:val="20"/>
          <w:color w:val="auto"/>
        </w:rPr>
      </w:pPr>
    </w:p>
    <w:p>
      <w:pPr>
        <w:ind w:left="1260" w:right="459"/>
        <w:spacing w:after="0" w:line="262" w:lineRule="auto"/>
        <w:rPr>
          <w:sz w:val="20"/>
          <w:szCs w:val="20"/>
          <w:color w:val="auto"/>
        </w:rPr>
      </w:pPr>
      <w:r>
        <w:rPr>
          <w:rFonts w:ascii="Arial" w:cs="Arial" w:eastAsia="Arial" w:hAnsi="Arial"/>
          <w:sz w:val="18"/>
          <w:szCs w:val="18"/>
          <w:color w:val="auto"/>
        </w:rPr>
        <w:t>Under the Indenture, the Company will pay interest on the notes to the Persons in whose names the notes are registered at the close of business on the regular record date for each interest payment. However, the Company will pay the interest payable on the notes at their stated maturity to the Persons to whom the Company pays the principal amount of the notes.</w:t>
      </w:r>
    </w:p>
    <w:p>
      <w:pPr>
        <w:spacing w:after="0" w:line="95" w:lineRule="exact"/>
        <w:rPr>
          <w:sz w:val="20"/>
          <w:szCs w:val="20"/>
          <w:color w:val="auto"/>
        </w:rPr>
      </w:pPr>
    </w:p>
    <w:p>
      <w:pPr>
        <w:ind w:left="1260" w:right="919"/>
        <w:spacing w:after="0" w:line="268" w:lineRule="auto"/>
        <w:rPr>
          <w:sz w:val="20"/>
          <w:szCs w:val="20"/>
          <w:color w:val="auto"/>
        </w:rPr>
      </w:pPr>
      <w:r>
        <w:rPr>
          <w:rFonts w:ascii="Arial" w:cs="Arial" w:eastAsia="Arial" w:hAnsi="Arial"/>
          <w:sz w:val="18"/>
          <w:szCs w:val="18"/>
          <w:color w:val="auto"/>
        </w:rPr>
        <w:t>The Company will pay principal, premium, if any, and interest on the notes at the offices of the designated paying agents. However, except in the case of a global security, the Company will pay interest by:</w:t>
      </w:r>
    </w:p>
    <w:p>
      <w:pPr>
        <w:spacing w:after="0" w:line="63" w:lineRule="exact"/>
        <w:rPr>
          <w:sz w:val="20"/>
          <w:szCs w:val="20"/>
          <w:color w:val="auto"/>
        </w:rPr>
      </w:pPr>
    </w:p>
    <w:p>
      <w:pPr>
        <w:ind w:left="1800" w:right="659" w:hanging="180"/>
        <w:spacing w:after="0" w:line="28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pacing w:after="0" w:line="44" w:lineRule="exact"/>
        <w:rPr>
          <w:rFonts w:ascii="Arial" w:cs="Arial" w:eastAsia="Arial" w:hAnsi="Arial"/>
          <w:sz w:val="18"/>
          <w:szCs w:val="18"/>
          <w:color w:val="auto"/>
        </w:rPr>
      </w:pPr>
    </w:p>
    <w:p>
      <w:pPr>
        <w:ind w:left="1800" w:right="539" w:hanging="180"/>
        <w:spacing w:after="0" w:line="262"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109" w:lineRule="exact"/>
        <w:rPr>
          <w:sz w:val="20"/>
          <w:szCs w:val="20"/>
          <w:color w:val="auto"/>
        </w:rPr>
      </w:pPr>
    </w:p>
    <w:p>
      <w:pPr>
        <w:ind w:left="1260" w:right="479"/>
        <w:spacing w:after="0" w:line="262" w:lineRule="auto"/>
        <w:rPr>
          <w:sz w:val="20"/>
          <w:szCs w:val="20"/>
          <w:color w:val="auto"/>
        </w:rPr>
      </w:pPr>
      <w:r>
        <w:rPr>
          <w:rFonts w:ascii="Arial" w:cs="Arial" w:eastAsia="Arial" w:hAnsi="Arial"/>
          <w:sz w:val="18"/>
          <w:szCs w:val="18"/>
          <w:color w:val="auto"/>
        </w:rPr>
        <w:t>The Company will initially designate the Trustee as the sole paying agent for each series of notes. At any time, the Company may designate additional paying agents or rescind the designation of any paying agents. However, the Company is required to maintain a paying agent in each place of payment for the notes at all times.</w:t>
      </w:r>
    </w:p>
    <w:p>
      <w:pPr>
        <w:spacing w:after="0" w:line="109"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Subject to applicable abandoned property law, any money deposited with the Trustee or any paying agent for the payment of principal, premium, if any, and interest on the notes that remains unclaimed for two years after the date the payments became due, may be repaid to the Company upon its request. After the Company has been repaid, holders entitled to those payments may only look to the Company for payment as its unsecured general creditors. Neither the Trustee nor any paying agent will be liable for those payments after the Company has been repaid.</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Certain Covenants</w:t>
      </w:r>
    </w:p>
    <w:p>
      <w:pPr>
        <w:spacing w:after="0" w:line="23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56" w:lineRule="exact"/>
        <w:rPr>
          <w:sz w:val="20"/>
          <w:szCs w:val="20"/>
          <w:color w:val="auto"/>
        </w:rPr>
      </w:pPr>
    </w:p>
    <w:p>
      <w:pPr>
        <w:ind w:left="1260" w:right="479"/>
        <w:spacing w:after="0" w:line="244" w:lineRule="auto"/>
        <w:rPr>
          <w:sz w:val="20"/>
          <w:szCs w:val="20"/>
          <w:color w:val="auto"/>
        </w:rPr>
      </w:pPr>
      <w:r>
        <w:rPr>
          <w:rFonts w:ascii="Arial" w:cs="Arial" w:eastAsia="Arial" w:hAnsi="Arial"/>
          <w:sz w:val="18"/>
          <w:szCs w:val="18"/>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of each series then outstanding (together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112"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Notwithstanding the foregoing, the Company or any Restricted Subsidiary of the Company may, without equally and ratably securing the notes of each series then outstanding, create or incur Liens which would otherwise be subject to the restrictions set forth in the preceding paragraph, if after giving effect thereto, Aggregate Debt does not exceed an amount equal to the greater of (a) $5.6 billion, and</w:t>
      </w:r>
    </w:p>
    <w:p>
      <w:pPr>
        <w:spacing w:after="0" w:line="3" w:lineRule="exact"/>
        <w:rPr>
          <w:sz w:val="20"/>
          <w:szCs w:val="20"/>
          <w:color w:val="auto"/>
        </w:rPr>
      </w:pPr>
    </w:p>
    <w:p>
      <w:pPr>
        <w:ind w:left="1260" w:right="439"/>
        <w:spacing w:after="0" w:line="241" w:lineRule="auto"/>
        <w:tabs>
          <w:tab w:leader="none" w:pos="15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15% of Consolidated Net Tangible Assets of the Company immediately preceding the date of the creation or incurrence of the Lien. The Company or any Restricted Subsidiary of the Company also may, without equally and ratably securing the notes of each series,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this or the preceding sentence.</w:t>
      </w:r>
    </w:p>
    <w:p>
      <w:pPr>
        <w:spacing w:after="0" w:line="120" w:lineRule="exact"/>
        <w:rPr>
          <w:sz w:val="20"/>
          <w:szCs w:val="20"/>
          <w:color w:val="auto"/>
        </w:rPr>
      </w:pPr>
    </w:p>
    <w:p>
      <w:pPr>
        <w:ind w:left="1260" w:right="459"/>
        <w:spacing w:after="0" w:line="242" w:lineRule="auto"/>
        <w:rPr>
          <w:sz w:val="20"/>
          <w:szCs w:val="20"/>
          <w:color w:val="auto"/>
        </w:rPr>
      </w:pPr>
      <w:r>
        <w:rPr>
          <w:rFonts w:ascii="Arial" w:cs="Arial" w:eastAsia="Arial" w:hAnsi="Arial"/>
          <w:sz w:val="18"/>
          <w:szCs w:val="18"/>
          <w:color w:val="auto"/>
        </w:rPr>
        <w:t>For purposes of the foregoing covenant,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the immediately preceding paragraph,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117" w:lineRule="exact"/>
        <w:rPr>
          <w:sz w:val="20"/>
          <w:szCs w:val="20"/>
          <w:color w:val="auto"/>
        </w:rPr>
      </w:pPr>
    </w:p>
    <w:p>
      <w:pPr>
        <w:ind w:left="1260" w:right="559"/>
        <w:spacing w:after="0" w:line="252" w:lineRule="auto"/>
        <w:rPr>
          <w:sz w:val="20"/>
          <w:szCs w:val="20"/>
          <w:color w:val="auto"/>
        </w:rPr>
      </w:pPr>
      <w:r>
        <w:rPr>
          <w:rFonts w:ascii="Arial" w:cs="Arial" w:eastAsia="Arial" w:hAnsi="Arial"/>
          <w:sz w:val="18"/>
          <w:szCs w:val="18"/>
          <w:color w:val="auto"/>
        </w:rPr>
        <w:t>Any Lien created for the benefit of the holders of the notes of a series pursuant to the first paragraph under this covenant may provide by its terms that such Lien shall be automatically and unconditionally released and discharged upon the release and discharge of the Lien that gave rise to the obligation to secure the notes of such series.</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156" w:lineRule="exact"/>
        <w:rPr>
          <w:sz w:val="20"/>
          <w:szCs w:val="20"/>
          <w:color w:val="auto"/>
        </w:rPr>
      </w:pPr>
    </w:p>
    <w:p>
      <w:pPr>
        <w:ind w:left="1260" w:right="579"/>
        <w:spacing w:after="0" w:line="253" w:lineRule="auto"/>
        <w:rPr>
          <w:sz w:val="20"/>
          <w:szCs w:val="20"/>
          <w:color w:val="auto"/>
        </w:rPr>
      </w:pPr>
      <w:r>
        <w:rPr>
          <w:rFonts w:ascii="Arial" w:cs="Arial" w:eastAsia="Arial" w:hAnsi="Arial"/>
          <w:sz w:val="18"/>
          <w:szCs w:val="18"/>
          <w:color w:val="auto"/>
        </w:rPr>
        <w:t>The Company will not, and will not permit any of its Restricted Subsidiaries, to enter into any Sale and Lease-Back Transaction with respect to any Principal Property owned by the Company or any Restricted Subsidiary, whether now owned or hereafter acquired, unless:</w:t>
      </w:r>
    </w:p>
    <w:p>
      <w:pPr>
        <w:spacing w:after="0" w:line="7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such transaction was entered into prior to the Issue Date;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439" w:hanging="180"/>
        <w:spacing w:after="0" w:line="28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 Restricted Subsidiary by the Company or any Subsidiary of any Principal Property;</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transaction involves a lease of a Principal Property executed by the time of or within</w:t>
      </w:r>
    </w:p>
    <w:p>
      <w:pPr>
        <w:spacing w:after="0" w:line="27" w:lineRule="exact"/>
        <w:rPr>
          <w:rFonts w:ascii="Arial" w:cs="Arial" w:eastAsia="Arial" w:hAnsi="Arial"/>
          <w:sz w:val="18"/>
          <w:szCs w:val="18"/>
          <w:color w:val="auto"/>
        </w:rPr>
      </w:pPr>
    </w:p>
    <w:p>
      <w:pPr>
        <w:ind w:left="1800" w:right="539"/>
        <w:spacing w:after="0" w:line="275" w:lineRule="auto"/>
        <w:rPr>
          <w:rFonts w:ascii="Arial" w:cs="Arial" w:eastAsia="Arial" w:hAnsi="Arial"/>
          <w:sz w:val="18"/>
          <w:szCs w:val="18"/>
          <w:color w:val="auto"/>
        </w:rPr>
      </w:pPr>
      <w:r>
        <w:rPr>
          <w:rFonts w:ascii="Arial" w:cs="Arial" w:eastAsia="Arial" w:hAnsi="Arial"/>
          <w:sz w:val="17"/>
          <w:szCs w:val="17"/>
          <w:color w:val="auto"/>
        </w:rPr>
        <w:t>24 months after the later of (i) the acquisition or the completion of any such development, operation, construction, alteration, repair or improvement of such property, assets or equipment or (ii) the placing into commercial operation of such Principal Property after the acquisition or completion of any such development, operation, construction, alteration, repair or improvement;</w:t>
      </w:r>
    </w:p>
    <w:p>
      <w:pPr>
        <w:spacing w:after="0" w:line="58" w:lineRule="exact"/>
        <w:rPr>
          <w:rFonts w:ascii="Arial" w:cs="Arial" w:eastAsia="Arial" w:hAnsi="Arial"/>
          <w:sz w:val="18"/>
          <w:szCs w:val="18"/>
          <w:color w:val="auto"/>
        </w:rPr>
      </w:pPr>
    </w:p>
    <w:p>
      <w:pPr>
        <w:ind w:left="1800" w:right="559" w:hanging="180"/>
        <w:spacing w:after="0" w:line="260"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the applicable Restricted Subsidiary within a period of not more than</w:t>
      </w:r>
    </w:p>
    <w:p>
      <w:pPr>
        <w:spacing w:after="0" w:line="1" w:lineRule="exact"/>
        <w:rPr>
          <w:rFonts w:ascii="Arial" w:cs="Arial" w:eastAsia="Arial" w:hAnsi="Arial"/>
          <w:sz w:val="18"/>
          <w:szCs w:val="18"/>
          <w:color w:val="auto"/>
        </w:rPr>
      </w:pPr>
    </w:p>
    <w:p>
      <w:pPr>
        <w:ind w:left="1800"/>
        <w:spacing w:after="0"/>
        <w:rPr>
          <w:rFonts w:ascii="Arial" w:cs="Arial" w:eastAsia="Arial" w:hAnsi="Arial"/>
          <w:sz w:val="18"/>
          <w:szCs w:val="18"/>
          <w:color w:val="auto"/>
        </w:rPr>
      </w:pPr>
      <w:r>
        <w:rPr>
          <w:rFonts w:ascii="Arial" w:cs="Arial" w:eastAsia="Arial" w:hAnsi="Arial"/>
          <w:sz w:val="18"/>
          <w:szCs w:val="18"/>
          <w:color w:val="auto"/>
        </w:rPr>
        <w:t>three years);</w:t>
      </w:r>
    </w:p>
    <w:p>
      <w:pPr>
        <w:spacing w:after="0" w:line="99" w:lineRule="exact"/>
        <w:rPr>
          <w:rFonts w:ascii="Arial" w:cs="Arial" w:eastAsia="Arial" w:hAnsi="Arial"/>
          <w:sz w:val="18"/>
          <w:szCs w:val="18"/>
          <w:color w:val="auto"/>
        </w:rPr>
      </w:pPr>
    </w:p>
    <w:p>
      <w:pPr>
        <w:ind w:left="1800" w:right="459" w:hanging="180"/>
        <w:spacing w:after="0" w:line="262"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would be entitled to incur Indebtedness secured by a Lien on the property to be leased in an amount equal to Attributable Debt with respect to such Sale and Lease-Back Transaction without equally and ratably securing the notes pursuant to the first paragraph of “— Limitation on Liens” above; or</w:t>
      </w:r>
    </w:p>
    <w:p>
      <w:pPr>
        <w:spacing w:after="0" w:line="68" w:lineRule="exact"/>
        <w:rPr>
          <w:rFonts w:ascii="Arial" w:cs="Arial" w:eastAsia="Arial" w:hAnsi="Arial"/>
          <w:sz w:val="18"/>
          <w:szCs w:val="18"/>
          <w:color w:val="auto"/>
        </w:rPr>
      </w:pPr>
    </w:p>
    <w:p>
      <w:pPr>
        <w:ind w:left="1800" w:right="499" w:hanging="180"/>
        <w:spacing w:after="0" w:line="25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w:t>
      </w:r>
    </w:p>
    <w:p>
      <w:pPr>
        <w:spacing w:after="0" w:line="1" w:lineRule="exact"/>
        <w:rPr>
          <w:rFonts w:ascii="Arial" w:cs="Arial" w:eastAsia="Arial" w:hAnsi="Arial"/>
          <w:sz w:val="18"/>
          <w:szCs w:val="18"/>
          <w:color w:val="auto"/>
        </w:rPr>
      </w:pPr>
    </w:p>
    <w:p>
      <w:pPr>
        <w:ind w:left="1800" w:right="619"/>
        <w:spacing w:after="0" w:line="254" w:lineRule="auto"/>
        <w:rPr>
          <w:rFonts w:ascii="Arial" w:cs="Arial" w:eastAsia="Arial" w:hAnsi="Arial"/>
          <w:sz w:val="18"/>
          <w:szCs w:val="18"/>
          <w:color w:val="auto"/>
        </w:rPr>
      </w:pPr>
      <w:r>
        <w:rPr>
          <w:rFonts w:ascii="Arial" w:cs="Arial" w:eastAsia="Arial" w:hAnsi="Arial"/>
          <w:sz w:val="18"/>
          <w:szCs w:val="18"/>
          <w:color w:val="auto"/>
        </w:rPr>
        <w:t>365 calendar days before or after the effective date of any such Sale and Lease-Back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102" w:lineRule="exact"/>
        <w:rPr>
          <w:sz w:val="20"/>
          <w:szCs w:val="20"/>
          <w:color w:val="auto"/>
        </w:rPr>
      </w:pPr>
    </w:p>
    <w:p>
      <w:pPr>
        <w:ind w:left="1260" w:right="699"/>
        <w:spacing w:after="0" w:line="251" w:lineRule="auto"/>
        <w:rPr>
          <w:sz w:val="20"/>
          <w:szCs w:val="20"/>
          <w:color w:val="auto"/>
        </w:rPr>
      </w:pPr>
      <w:r>
        <w:rPr>
          <w:rFonts w:ascii="Arial" w:cs="Arial" w:eastAsia="Arial" w:hAnsi="Arial"/>
          <w:sz w:val="18"/>
          <w:szCs w:val="18"/>
          <w:color w:val="auto"/>
        </w:rPr>
        <w:t>Notwithstanding the foregoing, the Company and its Restricted Subsidiaries may enter into any Sale and Lease-Back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Lease-Back Transaction.</w:t>
      </w:r>
    </w:p>
    <w:p>
      <w:pPr>
        <w:spacing w:after="0" w:line="175" w:lineRule="exact"/>
        <w:rPr>
          <w:sz w:val="20"/>
          <w:szCs w:val="20"/>
          <w:color w:val="auto"/>
        </w:rPr>
      </w:pPr>
    </w:p>
    <w:p>
      <w:pPr>
        <w:ind w:left="1620" w:right="959"/>
        <w:spacing w:after="0" w:line="278" w:lineRule="auto"/>
        <w:rPr>
          <w:sz w:val="20"/>
          <w:szCs w:val="20"/>
          <w:color w:val="auto"/>
        </w:rPr>
      </w:pPr>
      <w:r>
        <w:rPr>
          <w:rFonts w:ascii="Arial" w:cs="Arial" w:eastAsia="Arial" w:hAnsi="Arial"/>
          <w:sz w:val="18"/>
          <w:szCs w:val="18"/>
          <w:b w:val="1"/>
          <w:bCs w:val="1"/>
          <w:i w:val="1"/>
          <w:iCs w:val="1"/>
          <w:color w:val="auto"/>
        </w:rPr>
        <w:t>Consolidation, Merger and Conveyance, Transfer and Lease of All or Substantially All Assets</w:t>
      </w:r>
    </w:p>
    <w:p>
      <w:pPr>
        <w:spacing w:after="0" w:line="72" w:lineRule="exact"/>
        <w:rPr>
          <w:sz w:val="20"/>
          <w:szCs w:val="20"/>
          <w:color w:val="auto"/>
        </w:rPr>
      </w:pPr>
    </w:p>
    <w:p>
      <w:pPr>
        <w:ind w:left="1260" w:right="1119"/>
        <w:spacing w:after="0" w:line="287" w:lineRule="auto"/>
        <w:rPr>
          <w:sz w:val="20"/>
          <w:szCs w:val="20"/>
          <w:color w:val="auto"/>
        </w:rPr>
      </w:pPr>
      <w:r>
        <w:rPr>
          <w:rFonts w:ascii="Arial" w:cs="Arial" w:eastAsia="Arial" w:hAnsi="Arial"/>
          <w:sz w:val="18"/>
          <w:szCs w:val="18"/>
          <w:color w:val="auto"/>
        </w:rPr>
        <w:t>The Company may not consolidate with or merge with or into, or convey, transfer or lease all or substantially all of its properties and assets to, any person (a “successor person”) unless:</w:t>
      </w:r>
    </w:p>
    <w:p>
      <w:pPr>
        <w:spacing w:after="0" w:line="58" w:lineRule="exact"/>
        <w:rPr>
          <w:sz w:val="20"/>
          <w:szCs w:val="20"/>
          <w:color w:val="auto"/>
        </w:rPr>
      </w:pPr>
    </w:p>
    <w:p>
      <w:pPr>
        <w:ind w:left="1980" w:right="459" w:hanging="360"/>
        <w:spacing w:after="0" w:line="262"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is the surviving corporation or the successor person (if other than the Company) is a corporation organized and validly existing under the laws of any U.S. domestic jurisdiction and expressly assumes by a supplemental indenture the Company’s obligations on the notes and under the Indenture;</w:t>
      </w:r>
    </w:p>
    <w:p>
      <w:pPr>
        <w:spacing w:after="0" w:line="108" w:lineRule="exact"/>
        <w:rPr>
          <w:rFonts w:ascii="Arial" w:cs="Arial" w:eastAsia="Arial" w:hAnsi="Arial"/>
          <w:sz w:val="18"/>
          <w:szCs w:val="18"/>
          <w:color w:val="auto"/>
        </w:rPr>
      </w:pPr>
    </w:p>
    <w:p>
      <w:pPr>
        <w:jc w:val="both"/>
        <w:ind w:left="1980" w:right="439" w:hanging="360"/>
        <w:spacing w:after="0" w:line="268"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89" w:lineRule="exact"/>
        <w:rPr>
          <w:rFonts w:ascii="Arial" w:cs="Arial" w:eastAsia="Arial" w:hAnsi="Arial"/>
          <w:sz w:val="18"/>
          <w:szCs w:val="18"/>
          <w:color w:val="auto"/>
        </w:rPr>
      </w:pPr>
    </w:p>
    <w:p>
      <w:pPr>
        <w:ind w:left="1980" w:hanging="360"/>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158"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color w:val="auto"/>
        </w:rPr>
        <w:t>Notwithstanding the above, any Subsidiary of the Company may consolidate with or merge into the Company if the Company is the surviving corporation and any Subsidiary of the Company may transfer all or part of its properties to the Company.</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Provision of Financial Information</w:t>
      </w:r>
    </w:p>
    <w:p>
      <w:pPr>
        <w:spacing w:after="0" w:line="148"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The Company will file with the Trustee, within 15 days after it has filed the same with the SEC, copies of the annual reports and of the information, documents and other reports (or copies of such portions of any of the foregoing as the SEC may prescribe) that it may be required to file with the SEC pursuant to Section 13 or Section 15(d) of the Exchange Act (other than confidential filings, documents subject to confidential treatment and correspondence with the SEC) and the Company shall comply with the</w:t>
      </w:r>
    </w:p>
    <w:p>
      <w:pPr>
        <w:sectPr>
          <w:pgSz w:w="11900" w:h="16838" w:orient="portrait"/>
          <w:cols w:equalWidth="0" w:num="1">
            <w:col w:w="9879"/>
          </w:cols>
          <w:pgMar w:left="580" w:top="97" w:right="1440" w:bottom="1440" w:gutter="0" w:footer="0" w:header="0"/>
        </w:sectPr>
      </w:pPr>
    </w:p>
    <w:p>
      <w:pPr>
        <w:spacing w:after="0" w:line="34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59"/>
        <w:spacing w:after="0" w:line="265" w:lineRule="auto"/>
        <w:rPr>
          <w:sz w:val="20"/>
          <w:szCs w:val="20"/>
          <w:color w:val="auto"/>
        </w:rPr>
      </w:pPr>
      <w:r>
        <w:rPr>
          <w:rFonts w:ascii="Arial" w:cs="Arial" w:eastAsia="Arial" w:hAnsi="Arial"/>
          <w:sz w:val="17"/>
          <w:szCs w:val="17"/>
          <w:color w:val="auto"/>
        </w:rPr>
        <w:t>provisions of Section 314(a) of the Trust Indenture Act of 1939, as amended (the “Trust Indenture Act”); provided that the delivery of materials to the Trustee by electronic means or filing of documents via the EDGAR system (or any successor electronic filing system) shall be deemed to be filed with the Trustee as of the time such documents are filed via EDGAR (or such successor system), it being understood that the Trustee shall have no responsibility whatsoever to determine if such filings have been made, and that the Trustee shall not be deemed to have knowledge of the information contained therein.</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Certain Definitions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44"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“Aggregate Debt” means the sum of the following as of the date of determination: (1) the then aggregate outstanding amount of the Indebtedness of the Company and its Restricted Subsidiaries, without duplication, incurred after the Issue Date and secured by Liens not otherwise permitted by the first paragraph under “— Certain Covenants — Limitation on Liens” above (determined in accordance with such covenant); and (2) the then existing Attributable Debt of the Company and its Restricted Subsidiaries in respect of Sale and Lease-Back Transactions, without duplication, entered into after the Issue Date pursuant to the second paragraph of “— Certain Covenants — Limitation on Sale and Lease-Back Transactions” above; provided that any such Attributable Debt will be excluded from this clause (2) to the extent that Indebtedness relating thereto is included in clause (1) of this definition, provided 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the covenant entitled “— Certain Covenants — Limitation on Liens”),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123" w:lineRule="exact"/>
        <w:rPr>
          <w:sz w:val="20"/>
          <w:szCs w:val="20"/>
          <w:color w:val="auto"/>
        </w:rPr>
      </w:pPr>
    </w:p>
    <w:p>
      <w:pPr>
        <w:ind w:left="1260" w:right="559"/>
        <w:spacing w:after="0" w:line="245" w:lineRule="auto"/>
        <w:rPr>
          <w:sz w:val="20"/>
          <w:szCs w:val="20"/>
          <w:color w:val="auto"/>
        </w:rPr>
      </w:pPr>
      <w:r>
        <w:rPr>
          <w:rFonts w:ascii="Arial" w:cs="Arial" w:eastAsia="Arial" w:hAnsi="Arial"/>
          <w:sz w:val="18"/>
          <w:szCs w:val="18"/>
          <w:color w:val="auto"/>
        </w:rPr>
        <w:t>“Attributable Debt”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09" w:lineRule="exact"/>
        <w:rPr>
          <w:sz w:val="20"/>
          <w:szCs w:val="20"/>
          <w:color w:val="auto"/>
        </w:rPr>
      </w:pPr>
    </w:p>
    <w:p>
      <w:pPr>
        <w:ind w:left="1260" w:right="459"/>
        <w:spacing w:after="0" w:line="267" w:lineRule="auto"/>
        <w:rPr>
          <w:sz w:val="20"/>
          <w:szCs w:val="20"/>
          <w:color w:val="auto"/>
        </w:rPr>
      </w:pPr>
      <w:r>
        <w:rPr>
          <w:rFonts w:ascii="Arial" w:cs="Arial" w:eastAsia="Arial" w:hAnsi="Arial"/>
          <w:sz w:val="17"/>
          <w:szCs w:val="17"/>
          <w:color w:val="auto"/>
        </w:rPr>
        <w:t>“Below Investment Grade Rating Event” means, with respect to each series of the notes, the rating on such series of notes is lowered by two or more of the Rating Agencies within 60 days from the earlier of</w:t>
      </w:r>
    </w:p>
    <w:p>
      <w:pPr>
        <w:ind w:left="1520" w:hanging="260"/>
        <w:spacing w:after="0" w:line="236" w:lineRule="auto"/>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of the first public notice of an arrangement that could result in a Change of Control or</w:t>
      </w:r>
    </w:p>
    <w:p>
      <w:pPr>
        <w:ind w:left="1520" w:hanging="260"/>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occurrence of a Change of Control (which period shall be extended so long as the rating of such</w:t>
      </w:r>
    </w:p>
    <w:p>
      <w:pPr>
        <w:spacing w:after="0" w:line="9" w:lineRule="exact"/>
        <w:rPr>
          <w:sz w:val="20"/>
          <w:szCs w:val="20"/>
          <w:color w:val="auto"/>
        </w:rPr>
      </w:pPr>
    </w:p>
    <w:p>
      <w:pPr>
        <w:ind w:left="1260" w:right="539"/>
        <w:spacing w:after="0" w:line="264" w:lineRule="auto"/>
        <w:rPr>
          <w:sz w:val="20"/>
          <w:szCs w:val="20"/>
          <w:color w:val="auto"/>
        </w:rPr>
      </w:pPr>
      <w:r>
        <w:rPr>
          <w:rFonts w:ascii="Arial" w:cs="Arial" w:eastAsia="Arial" w:hAnsi="Arial"/>
          <w:sz w:val="17"/>
          <w:szCs w:val="17"/>
          <w:color w:val="auto"/>
        </w:rPr>
        <w:t>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w:t>
      </w:r>
    </w:p>
    <w:p>
      <w:pPr>
        <w:spacing w:after="0" w:line="34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99"/>
        <w:spacing w:after="0" w:line="246" w:lineRule="auto"/>
        <w:rPr>
          <w:sz w:val="20"/>
          <w:szCs w:val="20"/>
          <w:color w:val="auto"/>
        </w:rPr>
      </w:pPr>
      <w:r>
        <w:rPr>
          <w:rFonts w:ascii="Arial" w:cs="Arial" w:eastAsia="Arial" w:hAnsi="Arial"/>
          <w:sz w:val="18"/>
          <w:szCs w:val="18"/>
          <w:color w:val="auto"/>
        </w:rPr>
        <w:t>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applicable series of notes is rated Investment Grade by two or more of the Rating Agencies.</w:t>
      </w:r>
    </w:p>
    <w:p>
      <w:pPr>
        <w:spacing w:after="0" w:line="112" w:lineRule="exact"/>
        <w:rPr>
          <w:sz w:val="20"/>
          <w:szCs w:val="20"/>
          <w:color w:val="auto"/>
        </w:rPr>
      </w:pPr>
    </w:p>
    <w:p>
      <w:pPr>
        <w:ind w:left="1260" w:right="1019"/>
        <w:spacing w:after="0" w:line="271" w:lineRule="auto"/>
        <w:rPr>
          <w:sz w:val="20"/>
          <w:szCs w:val="20"/>
          <w:color w:val="auto"/>
        </w:rPr>
      </w:pPr>
      <w:r>
        <w:rPr>
          <w:rFonts w:ascii="Arial" w:cs="Arial" w:eastAsia="Arial" w:hAnsi="Arial"/>
          <w:sz w:val="18"/>
          <w:szCs w:val="18"/>
          <w:color w:val="auto"/>
        </w:rPr>
        <w:t>“Board of Directors” means the board of directors of the Company or any committee thereof duly authorized to act on behalf of such board.</w:t>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“Business Day” means each day that is not a Legal Holiday.</w:t>
      </w:r>
    </w:p>
    <w:p>
      <w:pPr>
        <w:spacing w:after="0" w:line="158"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“Capital Stock”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“Change of Control” means:</w:t>
      </w:r>
    </w:p>
    <w:p>
      <w:pPr>
        <w:spacing w:after="0" w:line="144" w:lineRule="exact"/>
        <w:rPr>
          <w:sz w:val="20"/>
          <w:szCs w:val="20"/>
          <w:color w:val="auto"/>
        </w:rPr>
      </w:pPr>
    </w:p>
    <w:p>
      <w:pPr>
        <w:ind w:left="1980" w:right="419" w:hanging="360"/>
        <w:spacing w:after="0" w:line="252"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108" w:lineRule="exact"/>
        <w:rPr>
          <w:rFonts w:ascii="Arial" w:cs="Arial" w:eastAsia="Arial" w:hAnsi="Arial"/>
          <w:sz w:val="18"/>
          <w:szCs w:val="18"/>
          <w:color w:val="auto"/>
        </w:rPr>
      </w:pPr>
    </w:p>
    <w:p>
      <w:pPr>
        <w:ind w:left="1980" w:right="419" w:hanging="360"/>
        <w:spacing w:after="0" w:line="256"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15" w:lineRule="exact"/>
        <w:rPr>
          <w:rFonts w:ascii="Arial" w:cs="Arial" w:eastAsia="Arial" w:hAnsi="Arial"/>
          <w:sz w:val="18"/>
          <w:szCs w:val="18"/>
          <w:color w:val="auto"/>
        </w:rPr>
      </w:pPr>
    </w:p>
    <w:p>
      <w:pPr>
        <w:ind w:left="1980" w:hanging="360"/>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158" w:lineRule="exact"/>
        <w:rPr>
          <w:sz w:val="20"/>
          <w:szCs w:val="20"/>
          <w:color w:val="auto"/>
        </w:rPr>
      </w:pPr>
    </w:p>
    <w:p>
      <w:pPr>
        <w:ind w:left="1260" w:right="579"/>
        <w:spacing w:after="0" w:line="271" w:lineRule="auto"/>
        <w:rPr>
          <w:sz w:val="20"/>
          <w:szCs w:val="20"/>
          <w:color w:val="auto"/>
        </w:rPr>
      </w:pPr>
      <w:r>
        <w:rPr>
          <w:rFonts w:ascii="Arial" w:cs="Arial" w:eastAsia="Arial" w:hAnsi="Arial"/>
          <w:sz w:val="18"/>
          <w:szCs w:val="18"/>
          <w:color w:val="auto"/>
        </w:rPr>
        <w:t>“Change of Control Triggering Event” means the occurrence of both a Change of Control and a Below Investment Grade Rating Event.</w:t>
      </w:r>
    </w:p>
    <w:p>
      <w:pPr>
        <w:spacing w:after="0" w:line="86" w:lineRule="exact"/>
        <w:rPr>
          <w:sz w:val="20"/>
          <w:szCs w:val="20"/>
          <w:color w:val="auto"/>
        </w:rPr>
      </w:pPr>
    </w:p>
    <w:p>
      <w:pPr>
        <w:ind w:left="1260" w:right="419"/>
        <w:spacing w:after="0" w:line="271" w:lineRule="auto"/>
        <w:rPr>
          <w:sz w:val="20"/>
          <w:szCs w:val="20"/>
          <w:color w:val="auto"/>
        </w:rPr>
      </w:pPr>
      <w:r>
        <w:rPr>
          <w:rFonts w:ascii="Arial" w:cs="Arial" w:eastAsia="Arial" w:hAnsi="Arial"/>
          <w:sz w:val="17"/>
          <w:szCs w:val="17"/>
          <w:color w:val="auto"/>
        </w:rPr>
        <w:t>“Consolidated Net Tangible Assets”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color w:val="auto"/>
        </w:rPr>
        <w:t>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12" w:lineRule="exact"/>
        <w:rPr>
          <w:sz w:val="20"/>
          <w:szCs w:val="20"/>
          <w:color w:val="auto"/>
        </w:rPr>
      </w:pPr>
    </w:p>
    <w:p>
      <w:pPr>
        <w:jc w:val="both"/>
        <w:ind w:left="1260" w:right="739"/>
        <w:spacing w:after="0" w:line="253" w:lineRule="auto"/>
        <w:rPr>
          <w:sz w:val="20"/>
          <w:szCs w:val="20"/>
          <w:color w:val="auto"/>
        </w:rPr>
      </w:pPr>
      <w:r>
        <w:rPr>
          <w:rFonts w:ascii="Arial" w:cs="Arial" w:eastAsia="Arial" w:hAnsi="Arial"/>
          <w:sz w:val="18"/>
          <w:szCs w:val="18"/>
          <w:color w:val="auto"/>
        </w:rPr>
        <w:t>“Consolidated Subsidiaries” means, as of any date of determination and with respect to any Person, those subsidiaries of that Person whose financial data is, in accordance with GAAP, reflected in that Person’s consolidated financial statements.</w:t>
      </w:r>
    </w:p>
    <w:p>
      <w:pPr>
        <w:spacing w:after="0" w:line="101" w:lineRule="exact"/>
        <w:rPr>
          <w:sz w:val="20"/>
          <w:szCs w:val="20"/>
          <w:color w:val="auto"/>
        </w:rPr>
      </w:pPr>
    </w:p>
    <w:p>
      <w:pPr>
        <w:ind w:left="1260" w:right="599"/>
        <w:spacing w:after="0" w:line="287" w:lineRule="auto"/>
        <w:rPr>
          <w:sz w:val="20"/>
          <w:szCs w:val="20"/>
          <w:color w:val="auto"/>
        </w:rPr>
      </w:pPr>
      <w:r>
        <w:rPr>
          <w:rFonts w:ascii="Arial" w:cs="Arial" w:eastAsia="Arial" w:hAnsi="Arial"/>
          <w:sz w:val="18"/>
          <w:szCs w:val="18"/>
          <w:color w:val="auto"/>
        </w:rPr>
        <w:t>“Equity Interests” means all Capital Stock and all warrants or options with respect to, or other rights to purchase, Capital Stock, but excluding Indebtedness convertible into or exchangeable for equity.</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“Fitch” means Fitch Ratings Inc. and any successor to its rating agency business.</w:t>
      </w:r>
    </w:p>
    <w:p>
      <w:pPr>
        <w:spacing w:after="0" w:line="144"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color w:val="auto"/>
        </w:rPr>
        <w:t>“Foreign Subsidiary” means, with respect to any Person, any Subsidiary of such Person other than one that is organized or existing under the laws of the United States, any state thereof or the District of Columbia.</w:t>
      </w:r>
    </w:p>
    <w:p>
      <w:pPr>
        <w:spacing w:after="0" w:line="94" w:lineRule="exact"/>
        <w:rPr>
          <w:sz w:val="20"/>
          <w:szCs w:val="20"/>
          <w:color w:val="auto"/>
        </w:rPr>
      </w:pPr>
    </w:p>
    <w:p>
      <w:pPr>
        <w:jc w:val="both"/>
        <w:ind w:left="1260" w:right="419"/>
        <w:spacing w:after="0" w:line="252" w:lineRule="auto"/>
        <w:rPr>
          <w:sz w:val="20"/>
          <w:szCs w:val="20"/>
          <w:color w:val="auto"/>
        </w:rPr>
      </w:pPr>
      <w:r>
        <w:rPr>
          <w:rFonts w:ascii="Arial" w:cs="Arial" w:eastAsia="Arial" w:hAnsi="Arial"/>
          <w:sz w:val="18"/>
          <w:szCs w:val="18"/>
          <w:color w:val="auto"/>
        </w:rPr>
        <w:t>“GAAP”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03"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color w:val="auto"/>
        </w:rPr>
        <w:t>“Indebtedness”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31" w:lineRule="exact"/>
        <w:rPr>
          <w:sz w:val="20"/>
          <w:szCs w:val="20"/>
          <w:color w:val="auto"/>
        </w:rPr>
      </w:pPr>
    </w:p>
    <w:p>
      <w:pPr>
        <w:ind w:left="1980" w:right="499" w:hanging="360"/>
        <w:spacing w:after="0" w:line="28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that does not require the current payment of interest;</w:t>
      </w:r>
    </w:p>
    <w:p>
      <w:pPr>
        <w:spacing w:after="0" w:line="58" w:lineRule="exact"/>
        <w:rPr>
          <w:rFonts w:ascii="Arial" w:cs="Arial" w:eastAsia="Arial" w:hAnsi="Arial"/>
          <w:sz w:val="18"/>
          <w:szCs w:val="18"/>
          <w:color w:val="auto"/>
        </w:rPr>
      </w:pPr>
    </w:p>
    <w:p>
      <w:pPr>
        <w:ind w:left="1980" w:hanging="360"/>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44" w:lineRule="exact"/>
        <w:rPr>
          <w:rFonts w:ascii="Arial" w:cs="Arial" w:eastAsia="Arial" w:hAnsi="Arial"/>
          <w:sz w:val="18"/>
          <w:szCs w:val="18"/>
          <w:color w:val="auto"/>
        </w:rPr>
      </w:pPr>
    </w:p>
    <w:p>
      <w:pPr>
        <w:ind w:left="1980" w:right="499" w:hanging="360"/>
        <w:spacing w:after="0" w:line="262"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95" w:lineRule="exact"/>
        <w:rPr>
          <w:sz w:val="20"/>
          <w:szCs w:val="20"/>
          <w:color w:val="auto"/>
        </w:rPr>
      </w:pPr>
    </w:p>
    <w:p>
      <w:pPr>
        <w:ind w:left="1260" w:right="1079"/>
        <w:spacing w:after="0" w:line="287"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the Indenture.</w:t>
      </w:r>
    </w:p>
    <w:p>
      <w:pPr>
        <w:spacing w:after="0" w:line="72" w:lineRule="exact"/>
        <w:rPr>
          <w:sz w:val="20"/>
          <w:szCs w:val="20"/>
          <w:color w:val="auto"/>
        </w:rPr>
      </w:pPr>
    </w:p>
    <w:p>
      <w:pPr>
        <w:ind w:left="1260" w:right="719"/>
        <w:spacing w:after="0" w:line="247" w:lineRule="auto"/>
        <w:rPr>
          <w:sz w:val="20"/>
          <w:szCs w:val="20"/>
          <w:color w:val="auto"/>
        </w:rPr>
      </w:pPr>
      <w:r>
        <w:rPr>
          <w:rFonts w:ascii="Arial" w:cs="Arial" w:eastAsia="Arial" w:hAnsi="Arial"/>
          <w:sz w:val="18"/>
          <w:szCs w:val="18"/>
          <w:color w:val="auto"/>
        </w:rPr>
        <w:t>“Investment Grade” means a rating of BBB- or better by Fitch (or its equivalent under any successor rating categories of Fitch), Baa3 or better by Moody’s (or its equivalent under any successor rating categories of Moody’s) and a rating of BBB- or better by S&amp;P (or its equivalent under any successor rating categories of S&amp;P) or the equivalent investment grade credit rating from any additional Rating Agency or Rating Agencies selected by us.</w:t>
      </w:r>
    </w:p>
    <w:p>
      <w:pPr>
        <w:spacing w:after="0" w:line="109" w:lineRule="exact"/>
        <w:rPr>
          <w:sz w:val="20"/>
          <w:szCs w:val="20"/>
          <w:color w:val="auto"/>
        </w:rPr>
      </w:pPr>
    </w:p>
    <w:p>
      <w:pPr>
        <w:ind w:left="1260" w:right="499"/>
        <w:spacing w:after="0" w:line="271" w:lineRule="auto"/>
        <w:rPr>
          <w:sz w:val="20"/>
          <w:szCs w:val="20"/>
          <w:color w:val="auto"/>
        </w:rPr>
      </w:pPr>
      <w:r>
        <w:rPr>
          <w:rFonts w:ascii="Arial" w:cs="Arial" w:eastAsia="Arial" w:hAnsi="Arial"/>
          <w:sz w:val="18"/>
          <w:szCs w:val="18"/>
          <w:color w:val="auto"/>
        </w:rPr>
        <w:t>“Issue Date” means, with respect to a series of notes, the date of original issuance of the notes of such series under the Indenture.</w:t>
      </w:r>
    </w:p>
    <w:p>
      <w:pPr>
        <w:spacing w:after="0" w:line="86"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color w:val="auto"/>
        </w:rPr>
        <w:t>“Joint Venture” means, with respect to any Person, any partnership, corporation or other entity in which up to and including 50% of the Equity Interests is owned, directly or indirectly, by such Person and/or one or more of its Subsidiaries.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79"/>
        <w:spacing w:after="0" w:line="318" w:lineRule="auto"/>
        <w:rPr>
          <w:sz w:val="20"/>
          <w:szCs w:val="20"/>
          <w:color w:val="auto"/>
        </w:rPr>
      </w:pPr>
      <w:r>
        <w:rPr>
          <w:rFonts w:ascii="Arial" w:cs="Arial" w:eastAsia="Arial" w:hAnsi="Arial"/>
          <w:sz w:val="17"/>
          <w:szCs w:val="17"/>
          <w:color w:val="auto"/>
        </w:rPr>
        <w:t>“Legal Holiday” means a Saturday, a Sunday or a day on which commercial banking institutions or the corporate trust office are not required to be open in the State of New York or the place of payment.</w:t>
      </w:r>
    </w:p>
    <w:p>
      <w:pPr>
        <w:spacing w:after="0" w:line="49" w:lineRule="exact"/>
        <w:rPr>
          <w:sz w:val="20"/>
          <w:szCs w:val="20"/>
          <w:color w:val="auto"/>
        </w:rPr>
      </w:pPr>
    </w:p>
    <w:p>
      <w:pPr>
        <w:ind w:left="1260" w:right="539"/>
        <w:spacing w:after="0" w:line="275" w:lineRule="auto"/>
        <w:rPr>
          <w:sz w:val="20"/>
          <w:szCs w:val="20"/>
          <w:color w:val="auto"/>
        </w:rPr>
      </w:pPr>
      <w:r>
        <w:rPr>
          <w:rFonts w:ascii="Arial" w:cs="Arial" w:eastAsia="Arial" w:hAnsi="Arial"/>
          <w:sz w:val="17"/>
          <w:szCs w:val="17"/>
          <w:color w:val="auto"/>
        </w:rPr>
        <w:t>“Lien”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“Moody’s” means Moody’s Investors Service, Inc. and any successor to its rating agency business.</w:t>
      </w:r>
    </w:p>
    <w:p>
      <w:pPr>
        <w:spacing w:after="0" w:line="158" w:lineRule="exact"/>
        <w:rPr>
          <w:sz w:val="20"/>
          <w:szCs w:val="20"/>
          <w:color w:val="auto"/>
        </w:rPr>
      </w:pPr>
    </w:p>
    <w:p>
      <w:pPr>
        <w:ind w:left="1260" w:right="499"/>
        <w:spacing w:after="0" w:line="246" w:lineRule="auto"/>
        <w:rPr>
          <w:sz w:val="20"/>
          <w:szCs w:val="20"/>
          <w:color w:val="auto"/>
        </w:rPr>
      </w:pPr>
      <w:r>
        <w:rPr>
          <w:rFonts w:ascii="Arial" w:cs="Arial" w:eastAsia="Arial" w:hAnsi="Arial"/>
          <w:sz w:val="18"/>
          <w:szCs w:val="18"/>
          <w:color w:val="auto"/>
        </w:rPr>
        <w:t>“Nonrecourse Obligation”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“Permitted Liens” means:</w:t>
      </w:r>
    </w:p>
    <w:p>
      <w:pPr>
        <w:spacing w:after="0" w:line="117" w:lineRule="exact"/>
        <w:rPr>
          <w:sz w:val="20"/>
          <w:szCs w:val="20"/>
          <w:color w:val="auto"/>
        </w:rPr>
      </w:pPr>
    </w:p>
    <w:p>
      <w:pPr>
        <w:ind w:left="1800" w:right="559" w:hanging="180"/>
        <w:spacing w:after="0" w:line="28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w:t>
      </w:r>
    </w:p>
    <w:p>
      <w:pPr>
        <w:spacing w:after="0" w:line="44" w:lineRule="exact"/>
        <w:rPr>
          <w:rFonts w:ascii="Arial" w:cs="Arial" w:eastAsia="Arial" w:hAnsi="Arial"/>
          <w:sz w:val="18"/>
          <w:szCs w:val="18"/>
          <w:color w:val="auto"/>
        </w:rPr>
      </w:pPr>
    </w:p>
    <w:p>
      <w:pPr>
        <w:ind w:left="1800" w:right="959" w:hanging="180"/>
        <w:spacing w:after="0" w:line="28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respect to a series of notes, Liens granted after the Issue Date created in favor of the holders of such series of notes;</w:t>
      </w:r>
    </w:p>
    <w:p>
      <w:pPr>
        <w:spacing w:after="0" w:line="31" w:lineRule="exact"/>
        <w:rPr>
          <w:rFonts w:ascii="Arial" w:cs="Arial" w:eastAsia="Arial" w:hAnsi="Arial"/>
          <w:sz w:val="18"/>
          <w:szCs w:val="18"/>
          <w:color w:val="auto"/>
        </w:rPr>
      </w:pPr>
    </w:p>
    <w:p>
      <w:pPr>
        <w:ind w:left="1800" w:right="479" w:hanging="180"/>
        <w:spacing w:after="0" w:line="255"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72" w:lineRule="exact"/>
        <w:rPr>
          <w:rFonts w:ascii="Arial" w:cs="Arial" w:eastAsia="Arial" w:hAnsi="Arial"/>
          <w:sz w:val="18"/>
          <w:szCs w:val="18"/>
          <w:color w:val="auto"/>
        </w:rPr>
      </w:pPr>
    </w:p>
    <w:p>
      <w:pPr>
        <w:ind w:left="1800" w:right="459" w:hanging="180"/>
        <w:spacing w:after="0" w:line="254"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77" w:lineRule="exact"/>
        <w:rPr>
          <w:rFonts w:ascii="Arial" w:cs="Arial" w:eastAsia="Arial" w:hAnsi="Arial"/>
          <w:sz w:val="18"/>
          <w:szCs w:val="18"/>
          <w:color w:val="auto"/>
        </w:rPr>
      </w:pPr>
    </w:p>
    <w:p>
      <w:pPr>
        <w:ind w:left="1800" w:right="419" w:hanging="180"/>
        <w:spacing w:after="0" w:line="267"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w:t>
      </w:r>
    </w:p>
    <w:p>
      <w:pPr>
        <w:spacing w:after="0" w:line="6" w:lineRule="exact"/>
        <w:rPr>
          <w:rFonts w:ascii="Arial" w:cs="Arial" w:eastAsia="Arial" w:hAnsi="Arial"/>
          <w:sz w:val="17"/>
          <w:szCs w:val="17"/>
          <w:color w:val="auto"/>
        </w:rPr>
      </w:pPr>
    </w:p>
    <w:p>
      <w:pPr>
        <w:ind w:left="1800" w:right="559"/>
        <w:spacing w:after="0" w:line="258" w:lineRule="auto"/>
        <w:rPr>
          <w:rFonts w:ascii="Arial" w:cs="Arial" w:eastAsia="Arial" w:hAnsi="Arial"/>
          <w:sz w:val="17"/>
          <w:szCs w:val="17"/>
          <w:color w:val="auto"/>
        </w:rPr>
      </w:pPr>
      <w:r>
        <w:rPr>
          <w:rFonts w:ascii="Arial" w:cs="Arial" w:eastAsia="Arial" w:hAnsi="Arial"/>
          <w:sz w:val="18"/>
          <w:szCs w:val="18"/>
          <w:color w:val="auto"/>
        </w:rPr>
        <w:t>(a) and (b), such Liens do not extend to other Principal Property owned by the Company or any Restricted Subsidiary or shares of Capital Stock of a Restricted Subsidiary that, in each case, were not previously encumbered by such Liens;</w:t>
      </w:r>
    </w:p>
    <w:p>
      <w:pPr>
        <w:spacing w:after="0" w:line="70" w:lineRule="exact"/>
        <w:rPr>
          <w:rFonts w:ascii="Arial" w:cs="Arial" w:eastAsia="Arial" w:hAnsi="Arial"/>
          <w:sz w:val="17"/>
          <w:szCs w:val="17"/>
          <w:color w:val="auto"/>
        </w:rPr>
      </w:pPr>
    </w:p>
    <w:p>
      <w:pPr>
        <w:ind w:left="1800" w:right="459" w:hanging="180"/>
        <w:spacing w:after="0" w:line="318"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Liens securing Indebtedness of up to 5.0% of Consolidated Net Tangible Assets of the Company to any strategic partner of the Company and/or one or more of its Subsidiaries incurred in</w:t>
      </w:r>
    </w:p>
    <w:p>
      <w:pPr>
        <w:sectPr>
          <w:pgSz w:w="11900" w:h="16838" w:orient="portrait"/>
          <w:cols w:equalWidth="0" w:num="1">
            <w:col w:w="9879"/>
          </w:cols>
          <w:pgMar w:left="580" w:top="97" w:right="1440" w:bottom="1440" w:gutter="0" w:footer="0" w:header="0"/>
        </w:sectPr>
      </w:pPr>
    </w:p>
    <w:p>
      <w:pPr>
        <w:spacing w:after="0" w:line="31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659"/>
        <w:spacing w:after="0" w:line="287" w:lineRule="auto"/>
        <w:rPr>
          <w:sz w:val="20"/>
          <w:szCs w:val="20"/>
          <w:color w:val="auto"/>
        </w:rPr>
      </w:pPr>
      <w:r>
        <w:rPr>
          <w:rFonts w:ascii="Arial" w:cs="Arial" w:eastAsia="Arial" w:hAnsi="Arial"/>
          <w:sz w:val="18"/>
          <w:szCs w:val="18"/>
          <w:color w:val="auto"/>
        </w:rPr>
        <w:t>connection with joint technology efforts between such partner and the Company and/or one or more of its Subsidiaries and/or the financing of manufacturing of products;</w:t>
      </w:r>
    </w:p>
    <w:p>
      <w:pPr>
        <w:spacing w:after="0" w:line="31" w:lineRule="exact"/>
        <w:rPr>
          <w:sz w:val="20"/>
          <w:szCs w:val="20"/>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in favor of the Company or a Restricted Subsidiary of the Company;</w:t>
      </w:r>
    </w:p>
    <w:p>
      <w:pPr>
        <w:spacing w:after="0" w:line="103" w:lineRule="exact"/>
        <w:rPr>
          <w:rFonts w:ascii="Arial" w:cs="Arial" w:eastAsia="Arial" w:hAnsi="Arial"/>
          <w:sz w:val="18"/>
          <w:szCs w:val="18"/>
          <w:color w:val="auto"/>
        </w:rPr>
      </w:pPr>
    </w:p>
    <w:p>
      <w:pPr>
        <w:ind w:left="1800" w:right="639" w:hanging="180"/>
        <w:spacing w:after="0" w:line="262"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68" w:lineRule="exact"/>
        <w:rPr>
          <w:rFonts w:ascii="Arial" w:cs="Arial" w:eastAsia="Arial" w:hAnsi="Arial"/>
          <w:sz w:val="18"/>
          <w:szCs w:val="18"/>
          <w:color w:val="auto"/>
        </w:rPr>
      </w:pPr>
    </w:p>
    <w:p>
      <w:pPr>
        <w:ind w:left="1800" w:right="479" w:hanging="180"/>
        <w:spacing w:after="0" w:line="268"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62" w:lineRule="exact"/>
        <w:rPr>
          <w:rFonts w:ascii="Arial" w:cs="Arial" w:eastAsia="Arial" w:hAnsi="Arial"/>
          <w:sz w:val="18"/>
          <w:szCs w:val="18"/>
          <w:color w:val="auto"/>
        </w:rPr>
      </w:pPr>
    </w:p>
    <w:p>
      <w:pPr>
        <w:ind w:left="1800" w:right="499" w:hanging="180"/>
        <w:spacing w:after="0" w:line="255"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76" w:lineRule="exact"/>
        <w:rPr>
          <w:rFonts w:ascii="Arial" w:cs="Arial" w:eastAsia="Arial" w:hAnsi="Arial"/>
          <w:sz w:val="18"/>
          <w:szCs w:val="18"/>
          <w:color w:val="auto"/>
        </w:rPr>
      </w:pPr>
    </w:p>
    <w:p>
      <w:pPr>
        <w:ind w:left="1800" w:right="479" w:hanging="180"/>
        <w:spacing w:after="0" w:line="25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60" w:lineRule="exact"/>
        <w:rPr>
          <w:rFonts w:ascii="Arial" w:cs="Arial" w:eastAsia="Arial" w:hAnsi="Arial"/>
          <w:sz w:val="18"/>
          <w:szCs w:val="18"/>
          <w:color w:val="auto"/>
        </w:rPr>
      </w:pPr>
    </w:p>
    <w:p>
      <w:pPr>
        <w:ind w:left="1800" w:right="419" w:hanging="180"/>
        <w:spacing w:after="0" w:line="291" w:lineRule="auto"/>
        <w:tabs>
          <w:tab w:leader="none" w:pos="1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p>
    <w:p>
      <w:pPr>
        <w:spacing w:after="0" w:line="44" w:lineRule="exact"/>
        <w:rPr>
          <w:rFonts w:ascii="Arial" w:cs="Arial" w:eastAsia="Arial" w:hAnsi="Arial"/>
          <w:sz w:val="17"/>
          <w:szCs w:val="17"/>
          <w:color w:val="auto"/>
        </w:rPr>
      </w:pPr>
    </w:p>
    <w:p>
      <w:pPr>
        <w:ind w:left="1800" w:right="499" w:hanging="180"/>
        <w:spacing w:after="0" w:line="28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created in connection with the acquisition of assets or a project financed with, and created to secure a Nonrecourse Obligation; and</w:t>
      </w:r>
    </w:p>
    <w:p>
      <w:pPr>
        <w:spacing w:after="0" w:line="44" w:lineRule="exact"/>
        <w:rPr>
          <w:rFonts w:ascii="Arial" w:cs="Arial" w:eastAsia="Arial" w:hAnsi="Arial"/>
          <w:sz w:val="18"/>
          <w:szCs w:val="18"/>
          <w:color w:val="auto"/>
        </w:rPr>
      </w:pPr>
    </w:p>
    <w:p>
      <w:pPr>
        <w:ind w:left="1800" w:right="439" w:hanging="180"/>
        <w:spacing w:after="0" w:line="254"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extension, renewal, substitution, reinstatement or replacement (or successive extensions, renewals, substitutions, reinstatements or replacements), in whole or in part, of any Lien referred to in this or the preceding bullet points,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bullet points.</w:t>
      </w:r>
    </w:p>
    <w:p>
      <w:pPr>
        <w:spacing w:after="0" w:line="118" w:lineRule="exact"/>
        <w:rPr>
          <w:sz w:val="20"/>
          <w:szCs w:val="20"/>
          <w:color w:val="auto"/>
        </w:rPr>
      </w:pPr>
    </w:p>
    <w:p>
      <w:pPr>
        <w:ind w:left="1260" w:right="619"/>
        <w:spacing w:after="0" w:line="271"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86" w:lineRule="exact"/>
        <w:rPr>
          <w:sz w:val="20"/>
          <w:szCs w:val="20"/>
          <w:color w:val="auto"/>
        </w:rPr>
      </w:pPr>
    </w:p>
    <w:p>
      <w:pPr>
        <w:jc w:val="both"/>
        <w:ind w:left="1260" w:right="879"/>
        <w:spacing w:after="0" w:line="261" w:lineRule="auto"/>
        <w:rPr>
          <w:sz w:val="20"/>
          <w:szCs w:val="20"/>
          <w:color w:val="auto"/>
        </w:rPr>
      </w:pPr>
      <w:r>
        <w:rPr>
          <w:rFonts w:ascii="Arial" w:cs="Arial" w:eastAsia="Arial" w:hAnsi="Arial"/>
          <w:sz w:val="18"/>
          <w:szCs w:val="18"/>
          <w:color w:val="auto"/>
        </w:rPr>
        <w:t>“Person” means any individual, corporation, partnership, joint venture, association, limited liability company, joint-stock company, trust, unincorporated organization or government or any agency or political subdivision thereof.</w:t>
      </w:r>
    </w:p>
    <w:p>
      <w:pPr>
        <w:spacing w:after="0" w:line="94" w:lineRule="exact"/>
        <w:rPr>
          <w:sz w:val="20"/>
          <w:szCs w:val="20"/>
          <w:color w:val="auto"/>
        </w:rPr>
      </w:pPr>
    </w:p>
    <w:p>
      <w:pPr>
        <w:ind w:left="1260" w:right="539"/>
        <w:spacing w:after="0" w:line="258" w:lineRule="auto"/>
        <w:rPr>
          <w:sz w:val="20"/>
          <w:szCs w:val="20"/>
          <w:color w:val="auto"/>
        </w:rPr>
      </w:pPr>
      <w:r>
        <w:rPr>
          <w:rFonts w:ascii="Arial" w:cs="Arial" w:eastAsia="Arial" w:hAnsi="Arial"/>
          <w:sz w:val="17"/>
          <w:szCs w:val="17"/>
          <w:color w:val="auto"/>
        </w:rPr>
        <w:t>“Principal Property”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w:t>
      </w:r>
    </w:p>
    <w:p>
      <w:pPr>
        <w:spacing w:after="0" w:line="1" w:lineRule="exact"/>
        <w:rPr>
          <w:sz w:val="20"/>
          <w:szCs w:val="20"/>
          <w:color w:val="auto"/>
        </w:rPr>
      </w:pPr>
    </w:p>
    <w:p>
      <w:pPr>
        <w:ind w:left="1260" w:right="519"/>
        <w:spacing w:after="0" w:line="279" w:lineRule="auto"/>
        <w:tabs>
          <w:tab w:leader="none" w:pos="1528" w:val="left"/>
        </w:tabs>
        <w:numPr>
          <w:ilvl w:val="0"/>
          <w:numId w:val="24"/>
        </w:numPr>
        <w:rPr>
          <w:rFonts w:ascii="Arial" w:cs="Arial" w:eastAsia="Arial" w:hAnsi="Arial"/>
          <w:sz w:val="17"/>
          <w:szCs w:val="17"/>
          <w:color w:val="auto"/>
        </w:rPr>
      </w:pPr>
      <w:r>
        <w:rPr>
          <w:rFonts w:ascii="Arial" w:cs="Arial" w:eastAsia="Arial" w:hAnsi="Arial"/>
          <w:sz w:val="17"/>
          <w:szCs w:val="17"/>
          <w:color w:val="auto"/>
        </w:rPr>
        <w:t>having a net book value, as of the date of determination, in excess of 1% of Consolidated Net Tangible Assets of the Company. Notwithstanding the foregoing, (i) Principal Property does not include</w:t>
      </w:r>
    </w:p>
    <w:p>
      <w:pPr>
        <w:sectPr>
          <w:pgSz w:w="11900" w:h="16838" w:orient="portrait"/>
          <w:cols w:equalWidth="0" w:num="1">
            <w:col w:w="9879"/>
          </w:cols>
          <w:pgMar w:left="580" w:top="97" w:right="1440" w:bottom="1440" w:gutter="0" w:footer="0" w:header="0"/>
        </w:sectPr>
      </w:pPr>
    </w:p>
    <w:p>
      <w:pPr>
        <w:spacing w:after="0" w:line="33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79"/>
        <w:spacing w:after="0" w:line="252" w:lineRule="auto"/>
        <w:rPr>
          <w:sz w:val="20"/>
          <w:szCs w:val="20"/>
          <w:color w:val="auto"/>
        </w:rPr>
      </w:pPr>
      <w:r>
        <w:rPr>
          <w:rFonts w:ascii="Arial" w:cs="Arial" w:eastAsia="Arial" w:hAnsi="Arial"/>
          <w:sz w:val="18"/>
          <w:szCs w:val="18"/>
          <w:color w:val="auto"/>
        </w:rPr>
        <w:t>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103" w:lineRule="exact"/>
        <w:rPr>
          <w:sz w:val="20"/>
          <w:szCs w:val="20"/>
          <w:color w:val="auto"/>
        </w:rPr>
      </w:pPr>
    </w:p>
    <w:p>
      <w:pPr>
        <w:ind w:left="1260" w:right="639"/>
        <w:spacing w:after="0" w:line="251" w:lineRule="auto"/>
        <w:rPr>
          <w:sz w:val="20"/>
          <w:szCs w:val="20"/>
          <w:color w:val="auto"/>
        </w:rPr>
      </w:pPr>
      <w:r>
        <w:rPr>
          <w:rFonts w:ascii="Arial" w:cs="Arial" w:eastAsia="Arial" w:hAnsi="Arial"/>
          <w:sz w:val="18"/>
          <w:szCs w:val="18"/>
          <w:color w:val="auto"/>
        </w:rPr>
        <w:t>“Rating Agency”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3(a)(62) of the Exchange Act, selected by the Company as a replacement agency for Fitch, Moody’s or S&amp;P, or all of them, as the case may be.</w:t>
      </w:r>
    </w:p>
    <w:p>
      <w:pPr>
        <w:spacing w:after="0" w:line="106" w:lineRule="exact"/>
        <w:rPr>
          <w:sz w:val="20"/>
          <w:szCs w:val="20"/>
          <w:color w:val="auto"/>
        </w:rPr>
      </w:pPr>
    </w:p>
    <w:p>
      <w:pPr>
        <w:ind w:left="1260" w:right="659"/>
        <w:spacing w:after="0" w:line="261" w:lineRule="auto"/>
        <w:rPr>
          <w:sz w:val="20"/>
          <w:szCs w:val="20"/>
          <w:color w:val="auto"/>
        </w:rPr>
      </w:pPr>
      <w:r>
        <w:rPr>
          <w:rFonts w:ascii="Arial" w:cs="Arial" w:eastAsia="Arial" w:hAnsi="Arial"/>
          <w:sz w:val="17"/>
          <w:szCs w:val="17"/>
          <w:color w:val="auto"/>
        </w:rPr>
        <w:t>“Restricted Subsidiary” shall mean each Subsidiary of the Company (1) that is organized or existing under the laws of the United States, any state thereof or the District of Columbia other than any such Subsidiary that is a direct or indirect Subsidiary of one or more Foreign Subsidiaries of the Company,</w:t>
      </w:r>
    </w:p>
    <w:p>
      <w:pPr>
        <w:spacing w:after="0" w:line="1" w:lineRule="exact"/>
        <w:rPr>
          <w:sz w:val="20"/>
          <w:szCs w:val="20"/>
          <w:color w:val="auto"/>
        </w:rPr>
      </w:pPr>
    </w:p>
    <w:p>
      <w:pPr>
        <w:jc w:val="both"/>
        <w:ind w:left="1260" w:right="619"/>
        <w:spacing w:after="0" w:line="242" w:lineRule="auto"/>
        <w:tabs>
          <w:tab w:leader="none" w:pos="15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11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“S&amp;P” means S&amp;P Global Ratings, and any successor to its rating agency business.</w:t>
      </w:r>
    </w:p>
    <w:p>
      <w:pPr>
        <w:spacing w:after="0" w:line="158"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color w:val="auto"/>
        </w:rPr>
        <w:t>“Sale and Lease-Back Transaction”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us or our Subsidiary to such lender or investor or to any person to whom funds have been or are to be advanced by such lender on the security of such Principal Property.</w:t>
      </w:r>
    </w:p>
    <w:p>
      <w:pPr>
        <w:spacing w:after="0" w:line="112"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“Senior Officer” of any specified Person means the chief executive officer, any president, any vice president, the chief financial officer, the treasurer, any assistant treasurer, the secretary or any assistant secretary.</w:t>
      </w:r>
    </w:p>
    <w:p>
      <w:pPr>
        <w:spacing w:after="0" w:line="101" w:lineRule="exact"/>
        <w:rPr>
          <w:sz w:val="20"/>
          <w:szCs w:val="20"/>
          <w:color w:val="auto"/>
        </w:rPr>
      </w:pPr>
    </w:p>
    <w:p>
      <w:pPr>
        <w:ind w:left="1260" w:right="639"/>
        <w:spacing w:after="0" w:line="252" w:lineRule="auto"/>
        <w:rPr>
          <w:sz w:val="20"/>
          <w:szCs w:val="20"/>
          <w:color w:val="auto"/>
        </w:rPr>
      </w:pPr>
      <w:r>
        <w:rPr>
          <w:rFonts w:ascii="Arial" w:cs="Arial" w:eastAsia="Arial" w:hAnsi="Arial"/>
          <w:sz w:val="18"/>
          <w:szCs w:val="18"/>
          <w:color w:val="auto"/>
        </w:rPr>
        <w:t>“Subsidiary”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103" w:lineRule="exact"/>
        <w:rPr>
          <w:sz w:val="20"/>
          <w:szCs w:val="20"/>
          <w:color w:val="auto"/>
        </w:rPr>
      </w:pPr>
    </w:p>
    <w:p>
      <w:pPr>
        <w:ind w:left="1260" w:right="599"/>
        <w:spacing w:after="0" w:line="287" w:lineRule="auto"/>
        <w:rPr>
          <w:sz w:val="20"/>
          <w:szCs w:val="20"/>
          <w:color w:val="auto"/>
        </w:rPr>
      </w:pPr>
      <w:r>
        <w:rPr>
          <w:rFonts w:ascii="Arial" w:cs="Arial" w:eastAsia="Arial" w:hAnsi="Arial"/>
          <w:sz w:val="18"/>
          <w:szCs w:val="18"/>
          <w:color w:val="auto"/>
        </w:rPr>
        <w:t>“Treasury Rate” means, with respect to any redemption date, the yield determined by the Company in the manner set forth below:</w:t>
      </w:r>
    </w:p>
    <w:p>
      <w:pPr>
        <w:spacing w:after="0" w:line="72" w:lineRule="exact"/>
        <w:rPr>
          <w:sz w:val="20"/>
          <w:szCs w:val="20"/>
          <w:color w:val="auto"/>
        </w:rPr>
      </w:pPr>
    </w:p>
    <w:p>
      <w:pPr>
        <w:ind w:left="1260" w:right="479"/>
        <w:spacing w:after="0" w:line="257" w:lineRule="auto"/>
        <w:rPr>
          <w:sz w:val="20"/>
          <w:szCs w:val="20"/>
          <w:color w:val="auto"/>
        </w:rPr>
      </w:pPr>
      <w:r>
        <w:rPr>
          <w:rFonts w:ascii="Arial" w:cs="Arial" w:eastAsia="Arial" w:hAnsi="Arial"/>
          <w:sz w:val="17"/>
          <w:szCs w:val="17"/>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Company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w:t>
      </w:r>
    </w:p>
    <w:p>
      <w:pPr>
        <w:spacing w:after="0" w:line="35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03" w:lineRule="exact"/>
        <w:rPr>
          <w:sz w:val="20"/>
          <w:szCs w:val="20"/>
          <w:color w:val="auto"/>
        </w:rPr>
      </w:pPr>
    </w:p>
    <w:p>
      <w:pPr>
        <w:ind w:left="1260" w:right="439"/>
        <w:spacing w:after="0" w:line="242" w:lineRule="auto"/>
        <w:rPr>
          <w:sz w:val="20"/>
          <w:szCs w:val="20"/>
          <w:color w:val="auto"/>
        </w:rPr>
      </w:pPr>
      <w:r>
        <w:rPr>
          <w:rFonts w:ascii="Arial" w:cs="Arial" w:eastAsia="Arial" w:hAnsi="Arial"/>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18" w:lineRule="exact"/>
        <w:rPr>
          <w:sz w:val="20"/>
          <w:szCs w:val="20"/>
          <w:color w:val="auto"/>
        </w:rPr>
      </w:pPr>
    </w:p>
    <w:p>
      <w:pPr>
        <w:jc w:val="both"/>
        <w:ind w:left="1260" w:right="699"/>
        <w:spacing w:after="0" w:line="261" w:lineRule="auto"/>
        <w:rPr>
          <w:sz w:val="20"/>
          <w:szCs w:val="20"/>
          <w:color w:val="auto"/>
        </w:rPr>
      </w:pPr>
      <w:r>
        <w:rPr>
          <w:rFonts w:ascii="Arial" w:cs="Arial" w:eastAsia="Arial" w:hAnsi="Arial"/>
          <w:sz w:val="18"/>
          <w:szCs w:val="18"/>
          <w:color w:val="auto"/>
        </w:rPr>
        <w:t>“Voting Stock”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Events of Default</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Each of the following will be an event of default under the Indenture for each series of notes:</w:t>
      </w:r>
    </w:p>
    <w:p>
      <w:pPr>
        <w:spacing w:after="0" w:line="117" w:lineRule="exact"/>
        <w:rPr>
          <w:sz w:val="20"/>
          <w:szCs w:val="20"/>
          <w:color w:val="auto"/>
        </w:rPr>
      </w:pPr>
    </w:p>
    <w:p>
      <w:pPr>
        <w:ind w:left="1800" w:right="799" w:hanging="180"/>
        <w:spacing w:after="0" w:line="28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default in the payment of any interest upon any note of that series when it becomes due and payable, and continuance of that default for a period of 30 days;</w:t>
      </w:r>
    </w:p>
    <w:p>
      <w:pPr>
        <w:spacing w:after="0" w:line="44" w:lineRule="exact"/>
        <w:rPr>
          <w:rFonts w:ascii="Arial" w:cs="Arial" w:eastAsia="Arial" w:hAnsi="Arial"/>
          <w:sz w:val="18"/>
          <w:szCs w:val="18"/>
          <w:color w:val="auto"/>
        </w:rPr>
      </w:pPr>
    </w:p>
    <w:p>
      <w:pPr>
        <w:ind w:left="1800" w:right="1019" w:hanging="180"/>
        <w:spacing w:after="0" w:line="28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on any note of that series when due and payable;</w:t>
      </w:r>
    </w:p>
    <w:p>
      <w:pPr>
        <w:spacing w:after="0" w:line="44" w:lineRule="exact"/>
        <w:rPr>
          <w:rFonts w:ascii="Arial" w:cs="Arial" w:eastAsia="Arial" w:hAnsi="Arial"/>
          <w:sz w:val="18"/>
          <w:szCs w:val="18"/>
          <w:color w:val="auto"/>
        </w:rPr>
      </w:pPr>
    </w:p>
    <w:p>
      <w:pPr>
        <w:jc w:val="both"/>
        <w:ind w:left="1800" w:right="999" w:hanging="180"/>
        <w:spacing w:after="0" w:line="268"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by the Company to comply with the requirement to make an Offer to Purchase with respect to notes of that series in connection with a Change of Control Triggering Event for 30 calendar days;</w:t>
      </w:r>
    </w:p>
    <w:p>
      <w:pPr>
        <w:spacing w:after="0" w:line="62" w:lineRule="exact"/>
        <w:rPr>
          <w:rFonts w:ascii="Arial" w:cs="Arial" w:eastAsia="Arial" w:hAnsi="Arial"/>
          <w:sz w:val="18"/>
          <w:szCs w:val="18"/>
          <w:color w:val="auto"/>
        </w:rPr>
      </w:pPr>
    </w:p>
    <w:p>
      <w:pPr>
        <w:ind w:left="1800" w:right="599" w:hanging="180"/>
        <w:spacing w:after="0" w:line="259"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or warranty of the Company in the Indenture, which default continues uncured for a period of 90 days after the Company receives written notice from the Trustee or the Company and the Trustee receive written notice from the holders of not less than 25% in principal amount of the outstanding notes of that series as provided in the Indenture; and</w:t>
      </w:r>
    </w:p>
    <w:p>
      <w:pPr>
        <w:spacing w:after="0" w:line="57" w:lineRule="exact"/>
        <w:rPr>
          <w:rFonts w:ascii="Arial" w:cs="Arial" w:eastAsia="Arial" w:hAnsi="Arial"/>
          <w:sz w:val="18"/>
          <w:szCs w:val="18"/>
          <w:color w:val="auto"/>
        </w:rPr>
      </w:pPr>
    </w:p>
    <w:p>
      <w:pPr>
        <w:ind w:left="1800" w:right="999" w:hanging="180"/>
        <w:spacing w:after="0" w:line="28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voluntary and involuntary events of bankruptcy, insolvency or reorganization of the Company.</w:t>
      </w:r>
    </w:p>
    <w:p>
      <w:pPr>
        <w:spacing w:after="0" w:line="85" w:lineRule="exact"/>
        <w:rPr>
          <w:sz w:val="20"/>
          <w:szCs w:val="20"/>
          <w:color w:val="auto"/>
        </w:rPr>
      </w:pPr>
    </w:p>
    <w:p>
      <w:pPr>
        <w:ind w:left="1260" w:right="739"/>
        <w:spacing w:after="0" w:line="247" w:lineRule="auto"/>
        <w:rPr>
          <w:sz w:val="20"/>
          <w:szCs w:val="20"/>
          <w:color w:val="auto"/>
        </w:rPr>
      </w:pPr>
      <w:r>
        <w:rPr>
          <w:rFonts w:ascii="Arial" w:cs="Arial" w:eastAsia="Arial" w:hAnsi="Arial"/>
          <w:sz w:val="18"/>
          <w:szCs w:val="18"/>
          <w:color w:val="auto"/>
        </w:rPr>
        <w:t>No event of default with respect to a series of notes (except as to certain events of bankruptcy, insolvency or reorganization involving the Company) necessarily constitutes an event of default with respect to any other series of notes. The occurrence of certain events of default or an acceleration under the Indenture may constitute an event of default under certain of our other indebtedness outstanding from time to time.</w:t>
      </w:r>
    </w:p>
    <w:p>
      <w:pPr>
        <w:spacing w:after="0" w:line="109" w:lineRule="exact"/>
        <w:rPr>
          <w:sz w:val="20"/>
          <w:szCs w:val="20"/>
          <w:color w:val="auto"/>
        </w:rPr>
      </w:pPr>
    </w:p>
    <w:p>
      <w:pPr>
        <w:jc w:val="both"/>
        <w:ind w:left="1260" w:right="459"/>
        <w:spacing w:after="0" w:line="283" w:lineRule="auto"/>
        <w:rPr>
          <w:sz w:val="20"/>
          <w:szCs w:val="20"/>
          <w:color w:val="auto"/>
        </w:rPr>
      </w:pPr>
      <w:r>
        <w:rPr>
          <w:rFonts w:ascii="Arial" w:cs="Arial" w:eastAsia="Arial" w:hAnsi="Arial"/>
          <w:sz w:val="17"/>
          <w:szCs w:val="17"/>
          <w:color w:val="auto"/>
        </w:rPr>
        <w:t>If an event of default with respect to notes of a series at the time outstanding occurs and is continuing, then the Trustee or the holders of not less than 25% in principal amount of the outstanding notes of that series may, by a notice in writing to the Company (and to the Trustee if given by the holders), declare</w:t>
      </w:r>
    </w:p>
    <w:p>
      <w:pPr>
        <w:sectPr>
          <w:pgSz w:w="11900" w:h="16838" w:orient="portrait"/>
          <w:cols w:equalWidth="0" w:num="1">
            <w:col w:w="9879"/>
          </w:cols>
          <w:pgMar w:left="580" w:top="97" w:right="1440" w:bottom="1440" w:gutter="0" w:footer="0" w:header="0"/>
        </w:sectPr>
      </w:pPr>
    </w:p>
    <w:p>
      <w:pPr>
        <w:spacing w:after="0" w:line="33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color w:val="auto"/>
        </w:rPr>
        <w:t>to be due and payable immediately the principal of and accrued and unpaid interest, if any, on all notes of that series. In the case of an event of default resulting from certain events of bankruptcy, insolvency or reorganization, the principal of and accrued and unpaid interest, if any, on all outstanding notes of a series will become and be immediately due and payable without any declaration or other act on the part of the Trustee or any holder of the outstanding notes of such series. At any time after a declaration of acceleration with respect to notes of any series has been made, but before a judgment or decree for payment of the money due has been obtained by the Trustee, the holders of a majority in principal amount of the outstanding notes of that series may rescind and annul the acceleration if all events of default, other than the nonpayment of the principal and interest with respect to the notes of that series which have become due solely by such declaration of acceleration, have been cured or waived as provided in the Indenture and the Trustee’s fees and expenses have been paid in full.</w:t>
      </w:r>
    </w:p>
    <w:p>
      <w:pPr>
        <w:spacing w:after="0" w:line="115" w:lineRule="exact"/>
        <w:rPr>
          <w:sz w:val="20"/>
          <w:szCs w:val="20"/>
          <w:color w:val="auto"/>
        </w:rPr>
      </w:pPr>
    </w:p>
    <w:p>
      <w:pPr>
        <w:ind w:left="1260" w:right="439"/>
        <w:spacing w:after="0" w:line="245" w:lineRule="auto"/>
        <w:rPr>
          <w:sz w:val="20"/>
          <w:szCs w:val="20"/>
          <w:color w:val="auto"/>
        </w:rPr>
      </w:pPr>
      <w:r>
        <w:rPr>
          <w:rFonts w:ascii="Arial" w:cs="Arial" w:eastAsia="Arial" w:hAnsi="Arial"/>
          <w:sz w:val="18"/>
          <w:szCs w:val="18"/>
          <w:color w:val="auto"/>
        </w:rPr>
        <w:t>The Indenture provides that the Trustee will be under no obligation to exercise any of its rights or powers under the Indenture unless the Trustee receives security or indemnity satisfactory to it against any loss, cost, liability or expense. Subject to certain rights of the Trustee, the holders of a majority in principal amount of the outstanding notes of any series will have the right to direct the time, method and place of conducting any proceeding for any remedy available to the Trustee or exercising any trust or power conferred on the Trustee with respect to the notes of that series.</w:t>
      </w:r>
    </w:p>
    <w:p>
      <w:pPr>
        <w:spacing w:after="0" w:line="109"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color w:val="auto"/>
        </w:rPr>
        <w:t>No holder of any note of any series will have any right to institute any proceeding, judicial or otherwise, with respect to the Indenture or for the appointment of a receiver or trustee, or for any remedy under the Indenture, unless:</w:t>
      </w:r>
    </w:p>
    <w:p>
      <w:pPr>
        <w:spacing w:after="0" w:line="94" w:lineRule="exact"/>
        <w:rPr>
          <w:sz w:val="20"/>
          <w:szCs w:val="20"/>
          <w:color w:val="auto"/>
        </w:rPr>
      </w:pPr>
    </w:p>
    <w:p>
      <w:pPr>
        <w:ind w:left="1980" w:right="639" w:hanging="360"/>
        <w:spacing w:after="0" w:line="287"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the notes of that series; and</w:t>
      </w:r>
    </w:p>
    <w:p>
      <w:pPr>
        <w:spacing w:after="0" w:line="71" w:lineRule="exact"/>
        <w:rPr>
          <w:rFonts w:ascii="Arial" w:cs="Arial" w:eastAsia="Arial" w:hAnsi="Arial"/>
          <w:sz w:val="18"/>
          <w:szCs w:val="18"/>
          <w:color w:val="auto"/>
        </w:rPr>
      </w:pPr>
    </w:p>
    <w:p>
      <w:pPr>
        <w:ind w:left="1980" w:right="439" w:hanging="360"/>
        <w:spacing w:after="0" w:line="259"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of that series have made written request, and offered reasonable indemnity, to the Trustee to institute the proceeding as Trustee, and after receipt of such request the Trustee has not received from the holders of a majority in principal amount of the outstanding notes of that series a direction inconsistent with that request and has failed to institute the proceeding within 60 days.</w:t>
      </w:r>
    </w:p>
    <w:p>
      <w:pPr>
        <w:spacing w:after="0" w:line="112" w:lineRule="exact"/>
        <w:rPr>
          <w:sz w:val="20"/>
          <w:szCs w:val="20"/>
          <w:color w:val="auto"/>
        </w:rPr>
      </w:pPr>
    </w:p>
    <w:p>
      <w:pPr>
        <w:ind w:left="1260" w:right="539"/>
        <w:spacing w:after="0" w:line="247" w:lineRule="auto"/>
        <w:rPr>
          <w:sz w:val="20"/>
          <w:szCs w:val="20"/>
          <w:color w:val="auto"/>
        </w:rPr>
      </w:pPr>
      <w:r>
        <w:rPr>
          <w:rFonts w:ascii="Arial" w:cs="Arial" w:eastAsia="Arial" w:hAnsi="Arial"/>
          <w:sz w:val="18"/>
          <w:szCs w:val="18"/>
          <w:color w:val="auto"/>
        </w:rPr>
        <w:t>Notwithstanding the foregoing, the holder of any note will have an absolute and unconditional right to receive payment of the principal of, any premium and any interest on that note on or after the due date expressed in that note (or, in the case of redemption, on the redemption date) and to institute suit for the enforcement of any such payment, and such rights shall not be impaired without the consent of such holder.</w:t>
      </w:r>
    </w:p>
    <w:p>
      <w:pPr>
        <w:spacing w:after="0" w:line="109"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The Indenture provides that the Trustee may withhold notice to the holders of the notes of any series of any default or event of default (except in payment on any notes of that series) with respect to the notes of that series if it in good faith determines that withholding notice is in the interest of the holders of those notes. Additionally, 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provided that the Company is not required to deliver such notice if such default or event of default has been cured.</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Modification and Waiver</w:t>
      </w:r>
    </w:p>
    <w:p>
      <w:pPr>
        <w:spacing w:after="0" w:line="162" w:lineRule="exact"/>
        <w:rPr>
          <w:sz w:val="20"/>
          <w:szCs w:val="20"/>
          <w:color w:val="auto"/>
        </w:rPr>
      </w:pPr>
    </w:p>
    <w:p>
      <w:pPr>
        <w:ind w:left="1260" w:right="739"/>
        <w:spacing w:after="0" w:line="301" w:lineRule="auto"/>
        <w:rPr>
          <w:sz w:val="20"/>
          <w:szCs w:val="20"/>
          <w:color w:val="auto"/>
        </w:rPr>
      </w:pPr>
      <w:r>
        <w:rPr>
          <w:rFonts w:ascii="Arial" w:cs="Arial" w:eastAsia="Arial" w:hAnsi="Arial"/>
          <w:sz w:val="17"/>
          <w:szCs w:val="17"/>
          <w:color w:val="auto"/>
        </w:rPr>
        <w:t>The Company or the Trustee may amend or supplement the Indenture or the notes of one or more series without the consent of the holders of the outstanding notes of any series under the Indenture:</w:t>
      </w:r>
    </w:p>
    <w:p>
      <w:pPr>
        <w:spacing w:after="0" w:line="23" w:lineRule="exact"/>
        <w:rPr>
          <w:sz w:val="20"/>
          <w:szCs w:val="20"/>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cure any ambiguity, defect or inconsistency under the Indenture or notes of such series;</w:t>
      </w:r>
    </w:p>
    <w:p>
      <w:pPr>
        <w:spacing w:after="0" w:line="117" w:lineRule="exact"/>
        <w:rPr>
          <w:rFonts w:ascii="Arial" w:cs="Arial" w:eastAsia="Arial" w:hAnsi="Arial"/>
          <w:sz w:val="18"/>
          <w:szCs w:val="18"/>
          <w:color w:val="auto"/>
        </w:rPr>
      </w:pPr>
    </w:p>
    <w:p>
      <w:pPr>
        <w:ind w:left="1800" w:right="659" w:hanging="180"/>
        <w:spacing w:after="0" w:line="268"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Company or successive successions and the assumption of the covenants, agreements and obligations of the Company by a successor;</w:t>
      </w:r>
    </w:p>
    <w:p>
      <w:pPr>
        <w:spacing w:after="0" w:line="49"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add guarantees with respect to notes of any series or secure the notes of any series;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the Indenture;</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notes of such series;</w:t>
      </w:r>
    </w:p>
    <w:p>
      <w:pPr>
        <w:spacing w:after="0" w:line="117" w:lineRule="exact"/>
        <w:rPr>
          <w:rFonts w:ascii="Arial" w:cs="Arial" w:eastAsia="Arial" w:hAnsi="Arial"/>
          <w:sz w:val="18"/>
          <w:szCs w:val="18"/>
          <w:color w:val="auto"/>
        </w:rPr>
      </w:pPr>
    </w:p>
    <w:p>
      <w:pPr>
        <w:ind w:left="1800" w:right="899" w:hanging="180"/>
        <w:spacing w:after="0" w:line="28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notes of such series;</w:t>
      </w:r>
    </w:p>
    <w:p>
      <w:pPr>
        <w:spacing w:after="0" w:line="44" w:lineRule="exact"/>
        <w:rPr>
          <w:rFonts w:ascii="Arial" w:cs="Arial" w:eastAsia="Arial" w:hAnsi="Arial"/>
          <w:sz w:val="18"/>
          <w:szCs w:val="18"/>
          <w:color w:val="auto"/>
        </w:rPr>
      </w:pPr>
    </w:p>
    <w:p>
      <w:pPr>
        <w:ind w:left="1800" w:right="699" w:hanging="180"/>
        <w:spacing w:after="0" w:line="28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notes of any series as permitted by the Indenture;</w:t>
      </w:r>
    </w:p>
    <w:p>
      <w:pPr>
        <w:spacing w:after="0" w:line="44" w:lineRule="exact"/>
        <w:rPr>
          <w:rFonts w:ascii="Arial" w:cs="Arial" w:eastAsia="Arial" w:hAnsi="Arial"/>
          <w:sz w:val="18"/>
          <w:szCs w:val="18"/>
          <w:color w:val="auto"/>
        </w:rPr>
      </w:pPr>
    </w:p>
    <w:p>
      <w:pPr>
        <w:ind w:left="1800" w:right="459" w:hanging="180"/>
        <w:spacing w:after="0" w:line="262"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evidence and provide for the acceptance of an appointment hereunder by a successor trustee with respect to the notes of one or more series and to add to or change any of the provisions of the Indenture as shall be necessary to provide for or facilitate the administration of the trusts under the Indenture by more than one trustee;</w:t>
      </w:r>
    </w:p>
    <w:p>
      <w:pPr>
        <w:spacing w:after="0" w:line="68" w:lineRule="exact"/>
        <w:rPr>
          <w:rFonts w:ascii="Arial" w:cs="Arial" w:eastAsia="Arial" w:hAnsi="Arial"/>
          <w:sz w:val="18"/>
          <w:szCs w:val="18"/>
          <w:color w:val="auto"/>
        </w:rPr>
      </w:pPr>
    </w:p>
    <w:p>
      <w:pPr>
        <w:ind w:left="1800" w:right="419" w:hanging="180"/>
        <w:spacing w:after="0" w:line="262"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 to, change or eliminate any provisions of the Indenture in accordance with the Trust Indenture Act, or to comply with the provisions of the DTC, Euroclear or Clearstream or the Trustee with respect to provisions of the Indenture or the notes relating to transfers or exchanges of notes or beneficial interests in the notes; or</w:t>
      </w:r>
    </w:p>
    <w:p>
      <w:pPr>
        <w:spacing w:after="0" w:line="68" w:lineRule="exact"/>
        <w:rPr>
          <w:rFonts w:ascii="Arial" w:cs="Arial" w:eastAsia="Arial" w:hAnsi="Arial"/>
          <w:sz w:val="18"/>
          <w:szCs w:val="18"/>
          <w:color w:val="auto"/>
        </w:rPr>
      </w:pPr>
    </w:p>
    <w:p>
      <w:pPr>
        <w:ind w:left="1800" w:right="1119" w:hanging="180"/>
        <w:spacing w:after="0" w:line="28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conform any provision of the Indenture, insofar as it relates to a series of notes, to the description of such series of notes in this “Description of the Notes.”</w:t>
      </w:r>
    </w:p>
    <w:p>
      <w:pPr>
        <w:spacing w:after="0" w:line="85"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In addition, the Company may modify and amend the Indenture as to all other matters with the consent of the holders of at least a majority in principal amount of the outstanding notes of each series affected by the modifications or amendments, provided however that the Company may not make any modification or amendment without the consent of the holders of each affected note then outstanding if that amendment:</w:t>
      </w:r>
    </w:p>
    <w:p>
      <w:pPr>
        <w:spacing w:after="0" w:line="71" w:lineRule="exact"/>
        <w:rPr>
          <w:sz w:val="20"/>
          <w:szCs w:val="20"/>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reduces the rates of or extends the time for payment of interest on any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reduces the principal amount of, or changes the stated maturity of, any notes;</w:t>
      </w:r>
    </w:p>
    <w:p>
      <w:pPr>
        <w:spacing w:after="0" w:line="117" w:lineRule="exact"/>
        <w:rPr>
          <w:rFonts w:ascii="Arial" w:cs="Arial" w:eastAsia="Arial" w:hAnsi="Arial"/>
          <w:sz w:val="18"/>
          <w:szCs w:val="18"/>
          <w:color w:val="auto"/>
        </w:rPr>
      </w:pPr>
    </w:p>
    <w:p>
      <w:pPr>
        <w:jc w:val="both"/>
        <w:ind w:left="1800" w:right="419" w:hanging="180"/>
        <w:spacing w:after="0" w:line="268"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reduces the redemption price, including upon a Change of Control Triggering Event, of any notes or amends or modifies in any manner adverse to the holders thereof the Company’s obligation to make such payments;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the currency of payment of principal, premium, if any, or interest;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reduces the quorum requirements under the Indenture;</w:t>
      </w:r>
    </w:p>
    <w:p>
      <w:pPr>
        <w:spacing w:after="0" w:line="117" w:lineRule="exact"/>
        <w:rPr>
          <w:rFonts w:ascii="Arial" w:cs="Arial" w:eastAsia="Arial" w:hAnsi="Arial"/>
          <w:sz w:val="18"/>
          <w:szCs w:val="18"/>
          <w:color w:val="auto"/>
        </w:rPr>
      </w:pPr>
    </w:p>
    <w:p>
      <w:pPr>
        <w:ind w:left="1800" w:right="1279" w:hanging="180"/>
        <w:spacing w:after="0" w:line="28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reduces the principal amount of notes whose holders must consent to an amendment, supplement or waiver;</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adversely affects the ranking of the notes;</w:t>
      </w:r>
    </w:p>
    <w:p>
      <w:pPr>
        <w:spacing w:after="0" w:line="117" w:lineRule="exact"/>
        <w:rPr>
          <w:rFonts w:ascii="Arial" w:cs="Arial" w:eastAsia="Arial" w:hAnsi="Arial"/>
          <w:sz w:val="18"/>
          <w:szCs w:val="18"/>
          <w:color w:val="auto"/>
        </w:rPr>
      </w:pPr>
    </w:p>
    <w:p>
      <w:pPr>
        <w:ind w:left="1800" w:right="419" w:hanging="180"/>
        <w:spacing w:after="0" w:line="262"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waives any default or event of default in the payment of principal, premium, if any, or interest (except a rescission of acceleration of notes of any series by the holders of at least a majority in principal amount of the outstanding notes of such series and a waiver of the payment default that resulted from such acceleration); or</w:t>
      </w:r>
    </w:p>
    <w:p>
      <w:pPr>
        <w:spacing w:after="0" w:line="68"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impairs the right to institute suit for the enforcement of any payment on the notes.</w:t>
      </w:r>
    </w:p>
    <w:p>
      <w:pPr>
        <w:spacing w:after="0" w:line="144"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notes of any series may on behalf of the holders of all notes of that series waive the Company’s compliance with provisions of the Indenture. The holders of a majority in principal amount of the outstanding notes of any series may on behalf of the holders of all the notes of such series waive any past default under the Indenture with respect to that series and its consequences, except a default in the payment of the principal of, any premium or any interest on any note of that series; provided, however, that the holders of a majority in principal amount of the outstanding notes of any series may rescind an acceleration and its consequences, including any related payment default that resulted from the acceleration.</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Defeasance of Notes and Certain Covenants in Certain Circumstances</w:t>
      </w:r>
    </w:p>
    <w:p>
      <w:pPr>
        <w:spacing w:after="0" w:line="162"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i w:val="1"/>
          <w:iCs w:val="1"/>
          <w:color w:val="auto"/>
        </w:rPr>
        <w:t xml:space="preserve">Legal Defeasance. </w:t>
      </w:r>
      <w:r>
        <w:rPr>
          <w:rFonts w:ascii="Arial" w:cs="Arial" w:eastAsia="Arial" w:hAnsi="Arial"/>
          <w:sz w:val="18"/>
          <w:szCs w:val="18"/>
          <w:color w:val="auto"/>
        </w:rPr>
        <w:t>The Indenture provides that the Company may be discharged from any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in respect of the notes of any series (except for certain obligations, including to register the transfer or exchange of notes of such series, to replace stolen, lost or mutilated notes of such series, and to maintain paying agencies and certain provisions relating to the treatment of funds held by paying agents). The Company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the notes of that series on the stated maturity of those payments in accordance with the terms of the Indenture and those notes.</w:t>
      </w:r>
    </w:p>
    <w:p>
      <w:pPr>
        <w:spacing w:after="0" w:line="110" w:lineRule="exact"/>
        <w:rPr>
          <w:sz w:val="20"/>
          <w:szCs w:val="20"/>
          <w:color w:val="auto"/>
        </w:rPr>
      </w:pPr>
    </w:p>
    <w:p>
      <w:pPr>
        <w:ind w:left="1260" w:right="559"/>
        <w:spacing w:after="0" w:line="243" w:lineRule="auto"/>
        <w:rPr>
          <w:sz w:val="20"/>
          <w:szCs w:val="20"/>
          <w:color w:val="auto"/>
        </w:rPr>
      </w:pPr>
      <w:r>
        <w:rPr>
          <w:rFonts w:ascii="Arial" w:cs="Arial" w:eastAsia="Arial" w:hAnsi="Arial"/>
          <w:sz w:val="18"/>
          <w:szCs w:val="18"/>
          <w:color w:val="auto"/>
        </w:rPr>
        <w:t>This discharge may occur only if, among other things, the Company has delivered to the Trustee an opinion of counsel stating that it has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notes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12" w:lineRule="exact"/>
        <w:rPr>
          <w:sz w:val="20"/>
          <w:szCs w:val="20"/>
          <w:color w:val="auto"/>
        </w:rPr>
      </w:pPr>
    </w:p>
    <w:p>
      <w:pPr>
        <w:ind w:left="1260" w:right="1119"/>
        <w:spacing w:after="0" w:line="287" w:lineRule="auto"/>
        <w:rPr>
          <w:sz w:val="20"/>
          <w:szCs w:val="20"/>
          <w:color w:val="auto"/>
        </w:rPr>
      </w:pPr>
      <w:r>
        <w:rPr>
          <w:rFonts w:ascii="Arial" w:cs="Arial" w:eastAsia="Arial" w:hAnsi="Arial"/>
          <w:sz w:val="18"/>
          <w:szCs w:val="18"/>
          <w:i w:val="1"/>
          <w:iCs w:val="1"/>
          <w:color w:val="auto"/>
        </w:rPr>
        <w:t xml:space="preserve">Defeasance of Certain Covenants. </w:t>
      </w:r>
      <w:r>
        <w:rPr>
          <w:rFonts w:ascii="Arial" w:cs="Arial" w:eastAsia="Arial" w:hAnsi="Arial"/>
          <w:sz w:val="18"/>
          <w:szCs w:val="18"/>
          <w:color w:val="auto"/>
        </w:rPr>
        <w:t>The Indenture provides that, upon compliance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w:t>
      </w:r>
    </w:p>
    <w:p>
      <w:pPr>
        <w:spacing w:after="0" w:line="58" w:lineRule="exact"/>
        <w:rPr>
          <w:sz w:val="20"/>
          <w:szCs w:val="20"/>
          <w:color w:val="auto"/>
        </w:rPr>
      </w:pPr>
    </w:p>
    <w:p>
      <w:pPr>
        <w:ind w:left="1980" w:right="479" w:hanging="360"/>
        <w:spacing w:after="0" w:line="268"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may omit to comply with the covenants described under the heading “— Certain Covenants” and “— Repurchase of Notes upon a Change of Control Triggering Event” and certain other covenants set forth in the Indenture; and</w:t>
      </w:r>
    </w:p>
    <w:p>
      <w:pPr>
        <w:spacing w:after="0" w:line="103" w:lineRule="exact"/>
        <w:rPr>
          <w:rFonts w:ascii="Arial" w:cs="Arial" w:eastAsia="Arial" w:hAnsi="Arial"/>
          <w:sz w:val="18"/>
          <w:szCs w:val="18"/>
          <w:color w:val="auto"/>
        </w:rPr>
      </w:pPr>
    </w:p>
    <w:p>
      <w:pPr>
        <w:ind w:left="1980" w:right="439" w:hanging="360"/>
        <w:spacing w:after="0" w:line="287"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notes of that series (“covenant defeasance”).</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conditions include:</w:t>
      </w:r>
    </w:p>
    <w:p>
      <w:pPr>
        <w:spacing w:after="0" w:line="144" w:lineRule="exact"/>
        <w:rPr>
          <w:sz w:val="20"/>
          <w:szCs w:val="20"/>
          <w:color w:val="auto"/>
        </w:rPr>
      </w:pPr>
    </w:p>
    <w:p>
      <w:pPr>
        <w:ind w:left="1980" w:right="439" w:hanging="360"/>
        <w:spacing w:after="0" w:line="257"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the notes of that series on the stated maturity of those payments in accordance with the terms of the Indenture and those notes; and</w:t>
      </w:r>
    </w:p>
    <w:p>
      <w:pPr>
        <w:spacing w:after="0" w:line="114" w:lineRule="exact"/>
        <w:rPr>
          <w:rFonts w:ascii="Arial" w:cs="Arial" w:eastAsia="Arial" w:hAnsi="Arial"/>
          <w:sz w:val="18"/>
          <w:szCs w:val="18"/>
          <w:color w:val="auto"/>
        </w:rPr>
      </w:pPr>
    </w:p>
    <w:p>
      <w:pPr>
        <w:ind w:left="1980" w:right="439" w:hanging="360"/>
        <w:spacing w:after="0" w:line="278" w:lineRule="auto"/>
        <w:tabs>
          <w:tab w:leader="none" w:pos="1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delivering to the Trustee an opinion of counsel stating that the holders of the notes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83" w:lineRule="exact"/>
        <w:rPr>
          <w:sz w:val="20"/>
          <w:szCs w:val="20"/>
          <w:color w:val="auto"/>
        </w:rPr>
      </w:pPr>
    </w:p>
    <w:p>
      <w:pPr>
        <w:jc w:val="both"/>
        <w:ind w:left="1260" w:right="559"/>
        <w:spacing w:after="0" w:line="261" w:lineRule="auto"/>
        <w:rPr>
          <w:sz w:val="20"/>
          <w:szCs w:val="20"/>
          <w:color w:val="auto"/>
        </w:rPr>
      </w:pPr>
      <w:r>
        <w:rPr>
          <w:rFonts w:ascii="Arial" w:cs="Arial" w:eastAsia="Arial" w:hAnsi="Arial"/>
          <w:sz w:val="17"/>
          <w:szCs w:val="17"/>
          <w:i w:val="1"/>
          <w:iCs w:val="1"/>
          <w:color w:val="auto"/>
        </w:rPr>
        <w:t xml:space="preserve">Covenant Defeasance and Events of Default. </w:t>
      </w:r>
      <w:r>
        <w:rPr>
          <w:rFonts w:ascii="Arial" w:cs="Arial" w:eastAsia="Arial" w:hAnsi="Arial"/>
          <w:sz w:val="17"/>
          <w:szCs w:val="17"/>
          <w:color w:val="auto"/>
        </w:rPr>
        <w:t>In the event the Company exercises its option to effect</w:t>
      </w:r>
      <w:r>
        <w:rPr>
          <w:rFonts w:ascii="Arial" w:cs="Arial" w:eastAsia="Arial" w:hAnsi="Arial"/>
          <w:sz w:val="17"/>
          <w:szCs w:val="17"/>
          <w:i w:val="1"/>
          <w:iCs w:val="1"/>
          <w:color w:val="auto"/>
        </w:rPr>
        <w:t xml:space="preserve"> </w:t>
      </w:r>
      <w:r>
        <w:rPr>
          <w:rFonts w:ascii="Arial" w:cs="Arial" w:eastAsia="Arial" w:hAnsi="Arial"/>
          <w:sz w:val="17"/>
          <w:szCs w:val="17"/>
          <w:color w:val="auto"/>
        </w:rPr>
        <w:t>covenant defeasance with respect to any series of notes and the notes of that series are declared due and payable because of the occurrence of any event of default, the amount of money and/or U.S.</w:t>
      </w:r>
    </w:p>
    <w:p>
      <w:pPr>
        <w:spacing w:after="0" w:line="1" w:lineRule="exact"/>
        <w:rPr>
          <w:sz w:val="20"/>
          <w:szCs w:val="20"/>
          <w:color w:val="auto"/>
        </w:rPr>
      </w:pPr>
    </w:p>
    <w:p>
      <w:pPr>
        <w:ind w:left="1260" w:right="539"/>
        <w:spacing w:after="0" w:line="245" w:lineRule="auto"/>
        <w:rPr>
          <w:sz w:val="20"/>
          <w:szCs w:val="20"/>
          <w:color w:val="auto"/>
        </w:rPr>
      </w:pPr>
      <w:r>
        <w:rPr>
          <w:rFonts w:ascii="Arial" w:cs="Arial" w:eastAsia="Arial" w:hAnsi="Arial"/>
          <w:sz w:val="18"/>
          <w:szCs w:val="18"/>
          <w:color w:val="auto"/>
        </w:rPr>
        <w:t>Government Obligations on deposit with the Trustee should be sufficient to pay amounts due on the notes of that series at the time of their stated maturity but may not be sufficient to pay amounts due on the notes of that series at the time of the acceleration resulting from the event of default. However, the Company shall remain liable for those payments.</w:t>
      </w:r>
    </w:p>
    <w:p>
      <w:pPr>
        <w:spacing w:after="0" w:line="109" w:lineRule="exact"/>
        <w:rPr>
          <w:sz w:val="20"/>
          <w:szCs w:val="20"/>
          <w:color w:val="auto"/>
        </w:rPr>
      </w:pPr>
    </w:p>
    <w:p>
      <w:pPr>
        <w:ind w:left="1260" w:right="619"/>
        <w:spacing w:after="0" w:line="28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Government Obligations</w:t>
      </w:r>
      <w:r>
        <w:rPr>
          <w:rFonts w:ascii="Arial" w:cs="Arial" w:eastAsia="Arial" w:hAnsi="Arial"/>
          <w:sz w:val="17"/>
          <w:szCs w:val="17"/>
          <w:color w:val="auto"/>
        </w:rPr>
        <w:t>” means securities that are direct obligations of, or guaranteed by, the United States for the payment of which its full faith and credit is pledged and which are not callable or redeemable at the option of the issuer thereof, and shall also include a depository receipt issued by a</w:t>
      </w:r>
    </w:p>
    <w:p>
      <w:pPr>
        <w:spacing w:after="0" w:line="33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39"/>
        <w:spacing w:after="0" w:line="248" w:lineRule="auto"/>
        <w:rPr>
          <w:sz w:val="20"/>
          <w:szCs w:val="20"/>
          <w:color w:val="auto"/>
        </w:rPr>
      </w:pPr>
      <w:r>
        <w:rPr>
          <w:rFonts w:ascii="Arial" w:cs="Arial" w:eastAsia="Arial" w:hAnsi="Arial"/>
          <w:sz w:val="18"/>
          <w:szCs w:val="18"/>
          <w:color w:val="auto"/>
        </w:rPr>
        <w:t>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Satisfaction and Discharge</w:t>
      </w:r>
    </w:p>
    <w:p>
      <w:pPr>
        <w:spacing w:after="0" w:line="162" w:lineRule="exact"/>
        <w:rPr>
          <w:sz w:val="20"/>
          <w:szCs w:val="20"/>
          <w:color w:val="auto"/>
        </w:rPr>
      </w:pPr>
    </w:p>
    <w:p>
      <w:pPr>
        <w:ind w:left="1260" w:right="459"/>
        <w:spacing w:after="0" w:line="259" w:lineRule="auto"/>
        <w:rPr>
          <w:sz w:val="20"/>
          <w:szCs w:val="20"/>
          <w:color w:val="auto"/>
        </w:rPr>
      </w:pPr>
      <w:r>
        <w:rPr>
          <w:rFonts w:ascii="Arial" w:cs="Arial" w:eastAsia="Arial" w:hAnsi="Arial"/>
          <w:sz w:val="17"/>
          <w:szCs w:val="17"/>
          <w:color w:val="auto"/>
        </w:rPr>
        <w:t>The Company has the right at any time to satisfy and discharge its obligations, other than certain specified obligations, under all notes of a series under the Indenture by depositing in trust with the Trustee money and/or U.S. Government Obligations. The Company’s exercise of this right is subject to certain conditions including that either (1) all notes of a series under the Indenture (subject to certain exceptions) have been delivered to the Trustee for cancellation or (2) all notes of a series under the Indenture not previously delivered to the Trustee for cancellation have become due and payable by reason of a notice of redemption or otherwise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99"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7"/>
          <w:szCs w:val="17"/>
          <w:color w:val="auto"/>
        </w:rPr>
        <w:t>If such deposit is sufficient (as determined by the Company), for the purpose of paying and discharging each installment of principal of and interest on all the notes of a series on the dates such installments of principal or interest are due, all the obligations of the Company under the Indenture with respect to such notes of a series will be discharged and terminated except as otherwise provided in the Indenture.</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Book-Entry, Form, Denomination and Delivery of Notes</w:t>
      </w:r>
    </w:p>
    <w:p>
      <w:pPr>
        <w:spacing w:after="0" w:line="148" w:lineRule="exact"/>
        <w:rPr>
          <w:sz w:val="20"/>
          <w:szCs w:val="20"/>
          <w:color w:val="auto"/>
        </w:rPr>
      </w:pPr>
    </w:p>
    <w:p>
      <w:pPr>
        <w:jc w:val="both"/>
        <w:ind w:left="1260" w:right="479"/>
        <w:spacing w:after="0" w:line="275" w:lineRule="auto"/>
        <w:rPr>
          <w:sz w:val="20"/>
          <w:szCs w:val="20"/>
          <w:color w:val="auto"/>
        </w:rPr>
      </w:pPr>
      <w:r>
        <w:rPr>
          <w:rFonts w:ascii="Arial" w:cs="Arial" w:eastAsia="Arial" w:hAnsi="Arial"/>
          <w:sz w:val="17"/>
          <w:szCs w:val="17"/>
          <w:color w:val="auto"/>
        </w:rPr>
        <w:t>The notes of each series will be initially issued in registered form, without interest coupons, in minimum denominations of $2,000 and integral multiples of $1,000 in excess thereof, in the form of global notes and, in certain circumstances after the initial issuance, certificated notes, as further provided below.</w:t>
      </w:r>
    </w:p>
    <w:p>
      <w:pPr>
        <w:spacing w:after="0" w:line="84" w:lineRule="exact"/>
        <w:rPr>
          <w:sz w:val="20"/>
          <w:szCs w:val="20"/>
          <w:color w:val="auto"/>
        </w:rPr>
      </w:pPr>
    </w:p>
    <w:p>
      <w:pPr>
        <w:ind w:left="1260" w:right="459"/>
        <w:spacing w:after="0" w:line="244" w:lineRule="auto"/>
        <w:rPr>
          <w:sz w:val="20"/>
          <w:szCs w:val="20"/>
          <w:color w:val="auto"/>
        </w:rPr>
      </w:pPr>
      <w:r>
        <w:rPr>
          <w:rFonts w:ascii="Arial" w:cs="Arial" w:eastAsia="Arial" w:hAnsi="Arial"/>
          <w:sz w:val="18"/>
          <w:szCs w:val="18"/>
          <w:color w:val="auto"/>
        </w:rPr>
        <w:t>Neither the Trustee nor the Company is required (i) to issue, register the transfer of or exchange any note of any series for a period of 15 days before the sending of a notice of redemption of notes of such series to be redeemed or the making of an Offer to Purchase applicable to such series, (ii) to register the transfer of or exchange any note so selected for redemption or subject to purchase in an Offer to Purchase in whole or in part, except, in the case of a partial redemption or purchase, that portion of any of the notes of such series not being redeemed or purchased, or (iii) if a redemption or a purchase pursuant to an Offer to Purchase with respect to a series of notes is to occur after a regular record date but on or before the corresponding interest payment date applicable to a series of notes, to register the transfer or exchange of any note of such series on or after the regular record date and before the date of such redemption or purchase.</w:t>
      </w:r>
    </w:p>
    <w:p>
      <w:pPr>
        <w:spacing w:after="0" w:line="110" w:lineRule="exact"/>
        <w:rPr>
          <w:sz w:val="20"/>
          <w:szCs w:val="20"/>
          <w:color w:val="auto"/>
        </w:rPr>
      </w:pPr>
    </w:p>
    <w:p>
      <w:pPr>
        <w:ind w:left="1260" w:right="819"/>
        <w:spacing w:after="0" w:line="261" w:lineRule="auto"/>
        <w:rPr>
          <w:sz w:val="20"/>
          <w:szCs w:val="20"/>
          <w:color w:val="auto"/>
        </w:rPr>
      </w:pPr>
      <w:r>
        <w:rPr>
          <w:rFonts w:ascii="Arial" w:cs="Arial" w:eastAsia="Arial" w:hAnsi="Arial"/>
          <w:sz w:val="18"/>
          <w:szCs w:val="18"/>
          <w:color w:val="auto"/>
        </w:rPr>
        <w:t>No service charge will be imposed in connection with any transfer or exchange of any note, but the Company may in general require payment of a sum sufficient to cover any transfer tax or similar governmental charge payable in connection therewith.</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Depository Procedures</w:t>
      </w:r>
    </w:p>
    <w:p>
      <w:pPr>
        <w:spacing w:after="0" w:line="156" w:lineRule="exact"/>
        <w:rPr>
          <w:sz w:val="20"/>
          <w:szCs w:val="20"/>
          <w:color w:val="auto"/>
        </w:rPr>
      </w:pPr>
    </w:p>
    <w:p>
      <w:pPr>
        <w:ind w:left="1260" w:right="439"/>
        <w:spacing w:after="0" w:line="247" w:lineRule="auto"/>
        <w:rPr>
          <w:sz w:val="20"/>
          <w:szCs w:val="20"/>
          <w:color w:val="auto"/>
        </w:rPr>
      </w:pPr>
      <w:r>
        <w:rPr>
          <w:rFonts w:ascii="Arial" w:cs="Arial" w:eastAsia="Arial" w:hAnsi="Arial"/>
          <w:sz w:val="18"/>
          <w:szCs w:val="18"/>
          <w:color w:val="auto"/>
        </w:rPr>
        <w:t>The following description of the operations and procedures of DTC, Euroclear and Clearstream is provided solely as a matter of convenience. These operations and procedures are solely within the control of the respective settlement systems and are subject to changes by them. The Company and the Trustee take no responsibility for these operations and procedures and urge investors to contact the system or their participants directly to discuss these matters.</w:t>
      </w:r>
    </w:p>
    <w:p>
      <w:pPr>
        <w:spacing w:after="0" w:line="109" w:lineRule="exact"/>
        <w:rPr>
          <w:sz w:val="20"/>
          <w:szCs w:val="20"/>
          <w:color w:val="auto"/>
        </w:rPr>
      </w:pPr>
    </w:p>
    <w:p>
      <w:pPr>
        <w:ind w:left="1260" w:right="439"/>
        <w:spacing w:after="0" w:line="271" w:lineRule="auto"/>
        <w:rPr>
          <w:sz w:val="20"/>
          <w:szCs w:val="20"/>
          <w:color w:val="auto"/>
        </w:rPr>
      </w:pPr>
      <w:r>
        <w:rPr>
          <w:rFonts w:ascii="Arial" w:cs="Arial" w:eastAsia="Arial" w:hAnsi="Arial"/>
          <w:sz w:val="17"/>
          <w:szCs w:val="17"/>
          <w:color w:val="auto"/>
        </w:rPr>
        <w:t>DTC has advised the Company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w:t>
      </w: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of the Exchange Act. DTC was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DTC has also advised the Company that, pursuant to procedures established by it:</w:t>
      </w:r>
    </w:p>
    <w:p>
      <w:pPr>
        <w:spacing w:after="0" w:line="117" w:lineRule="exact"/>
        <w:rPr>
          <w:sz w:val="20"/>
          <w:szCs w:val="20"/>
          <w:color w:val="auto"/>
        </w:rPr>
      </w:pPr>
    </w:p>
    <w:p>
      <w:pPr>
        <w:ind w:left="1800" w:right="579" w:hanging="180"/>
        <w:spacing w:after="0" w:line="28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underwriters with portions of the principal amount of the global notes; and</w:t>
      </w:r>
    </w:p>
    <w:p>
      <w:pPr>
        <w:spacing w:after="0" w:line="44" w:lineRule="exact"/>
        <w:rPr>
          <w:rFonts w:ascii="Arial" w:cs="Arial" w:eastAsia="Arial" w:hAnsi="Arial"/>
          <w:sz w:val="18"/>
          <w:szCs w:val="18"/>
          <w:color w:val="auto"/>
        </w:rPr>
      </w:pPr>
    </w:p>
    <w:p>
      <w:pPr>
        <w:jc w:val="both"/>
        <w:ind w:left="1800" w:right="539" w:hanging="180"/>
        <w:spacing w:after="0" w:line="262"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09" w:lineRule="exact"/>
        <w:rPr>
          <w:sz w:val="20"/>
          <w:szCs w:val="20"/>
          <w:color w:val="auto"/>
        </w:rPr>
      </w:pPr>
    </w:p>
    <w:p>
      <w:pPr>
        <w:ind w:left="1260" w:right="439"/>
        <w:spacing w:after="0" w:line="268" w:lineRule="auto"/>
        <w:rPr>
          <w:sz w:val="20"/>
          <w:szCs w:val="20"/>
          <w:color w:val="auto"/>
        </w:rPr>
      </w:pPr>
      <w:r>
        <w:rPr>
          <w:rFonts w:ascii="Arial" w:cs="Arial" w:eastAsia="Arial" w:hAnsi="Arial"/>
          <w:sz w:val="17"/>
          <w:szCs w:val="17"/>
          <w:color w:val="auto"/>
        </w:rPr>
        <w:t>Investors in global notes who are Participants may hold their interests therein directly through DTC. Investors in global notes who are not Participants may hold their interests therein indirectly through organizations (including Euroclear and Clearstream) that are Participants. Euroclear and Clearstream will hold interests in global notes on behalf of their participants through customers’ securities accounts in their respective names on the books of their respective depositories, which in turn hold such interests in customers’ securities accounts in the depositaries’ names on the books of DTC. Citibank, N.A. acts as depositary for Clearstream, and JPMorgan Chase Bank, N.A. acts as depositary for Euroclear.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99" w:lineRule="exact"/>
        <w:rPr>
          <w:sz w:val="20"/>
          <w:szCs w:val="20"/>
          <w:color w:val="auto"/>
        </w:rPr>
      </w:pPr>
    </w:p>
    <w:p>
      <w:pPr>
        <w:ind w:left="1260" w:right="499"/>
        <w:spacing w:after="0" w:line="265" w:lineRule="auto"/>
        <w:rPr>
          <w:sz w:val="20"/>
          <w:szCs w:val="20"/>
          <w:color w:val="auto"/>
        </w:rPr>
      </w:pPr>
      <w:r>
        <w:rPr>
          <w:rFonts w:ascii="Arial" w:cs="Arial" w:eastAsia="Arial" w:hAnsi="Arial"/>
          <w:sz w:val="18"/>
          <w:szCs w:val="18"/>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98" w:lineRule="exact"/>
        <w:rPr>
          <w:sz w:val="20"/>
          <w:szCs w:val="20"/>
          <w:color w:val="auto"/>
        </w:rPr>
      </w:pPr>
    </w:p>
    <w:p>
      <w:pPr>
        <w:ind w:left="1260" w:right="539"/>
        <w:spacing w:after="0" w:line="268" w:lineRule="auto"/>
        <w:rPr>
          <w:sz w:val="20"/>
          <w:szCs w:val="20"/>
          <w:color w:val="auto"/>
        </w:rPr>
      </w:pPr>
      <w:r>
        <w:rPr>
          <w:rFonts w:ascii="Arial" w:cs="Arial" w:eastAsia="Arial" w:hAnsi="Arial"/>
          <w:sz w:val="18"/>
          <w:szCs w:val="18"/>
          <w:color w:val="auto"/>
        </w:rPr>
        <w:t>Payments in respect of the principal of, and interest and premium, if any, on a global note registered in the name of DTC or its nominee will be payable to DTC in its capacity as the registered holder under the Indenture.</w:t>
      </w:r>
    </w:p>
    <w:p>
      <w:pPr>
        <w:spacing w:after="0" w:line="103" w:lineRule="exact"/>
        <w:rPr>
          <w:sz w:val="20"/>
          <w:szCs w:val="20"/>
          <w:color w:val="auto"/>
        </w:rPr>
      </w:pPr>
    </w:p>
    <w:p>
      <w:pPr>
        <w:ind w:left="1260" w:right="539"/>
        <w:spacing w:after="0" w:line="259" w:lineRule="auto"/>
        <w:rPr>
          <w:sz w:val="20"/>
          <w:szCs w:val="20"/>
          <w:color w:val="auto"/>
        </w:rPr>
      </w:pPr>
      <w:r>
        <w:rPr>
          <w:rFonts w:ascii="Arial" w:cs="Arial" w:eastAsia="Arial" w:hAnsi="Arial"/>
          <w:sz w:val="18"/>
          <w:szCs w:val="18"/>
          <w:color w:val="auto"/>
        </w:rPr>
        <w:t>Under the terms of the Indenture, the Company and the Trustee will treat the persons in whose names the notes, including the global notes, are registered as the owners of the notes for the purpose of receiving payments and for all other purposes. Consequently, neither the Company, the Trustee, the registrar, nor any agent of the Company, the Trustee or the registrar has or will have any responsibility or liability for:</w:t>
      </w:r>
    </w:p>
    <w:p>
      <w:pPr>
        <w:spacing w:after="0" w:line="71" w:lineRule="exact"/>
        <w:rPr>
          <w:sz w:val="20"/>
          <w:szCs w:val="20"/>
          <w:color w:val="auto"/>
        </w:rPr>
      </w:pPr>
    </w:p>
    <w:p>
      <w:pPr>
        <w:ind w:left="1800" w:right="659" w:hanging="180"/>
        <w:spacing w:after="0" w:line="268"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supervising or reviewing any of DTC’s records or any Participant’s or Indirect Participant’s records relating to the beneficial ownership interests in the global notes; or</w:t>
      </w:r>
    </w:p>
    <w:p>
      <w:pPr>
        <w:spacing w:after="0" w:line="62" w:lineRule="exact"/>
        <w:rPr>
          <w:rFonts w:ascii="Arial" w:cs="Arial" w:eastAsia="Arial" w:hAnsi="Arial"/>
          <w:sz w:val="18"/>
          <w:szCs w:val="18"/>
          <w:color w:val="auto"/>
        </w:rPr>
      </w:pPr>
    </w:p>
    <w:p>
      <w:pPr>
        <w:ind w:left="1800" w:right="499" w:hanging="180"/>
        <w:spacing w:after="0" w:line="28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ectPr>
          <w:pgSz w:w="11900" w:h="16838" w:orient="portrait"/>
          <w:cols w:equalWidth="0" w:num="1">
            <w:col w:w="9879"/>
          </w:cols>
          <w:pgMar w:left="580" w:top="97" w:right="1440" w:bottom="1440" w:gutter="0" w:footer="0" w:header="0"/>
        </w:sectPr>
      </w:pPr>
    </w:p>
    <w:p>
      <w:pPr>
        <w:spacing w:after="0" w:line="32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DTC has advised the Company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Company’s responsibility or the responsibility of DTC or the Trustee. Neither the Company nor the Trustee will be liable for any delay by DTC or any of the Participants or the Indirect Participants in identifying the beneficial owners of the notes, and the Company and the Trustee may conclusively rely on and will be protected in relying on instructions from DTC or its nominee for all purposes.</w:t>
      </w:r>
    </w:p>
    <w:p>
      <w:pPr>
        <w:spacing w:after="0" w:line="118" w:lineRule="exact"/>
        <w:rPr>
          <w:sz w:val="20"/>
          <w:szCs w:val="20"/>
          <w:color w:val="auto"/>
        </w:rPr>
      </w:pPr>
    </w:p>
    <w:p>
      <w:pPr>
        <w:jc w:val="both"/>
        <w:ind w:left="1260" w:right="719"/>
        <w:spacing w:after="0" w:line="261" w:lineRule="auto"/>
        <w:rPr>
          <w:sz w:val="20"/>
          <w:szCs w:val="20"/>
          <w:color w:val="auto"/>
        </w:rPr>
      </w:pPr>
      <w:r>
        <w:rPr>
          <w:rFonts w:ascii="Arial" w:cs="Arial" w:eastAsia="Arial" w:hAnsi="Arial"/>
          <w:sz w:val="18"/>
          <w:szCs w:val="18"/>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94" w:lineRule="exact"/>
        <w:rPr>
          <w:sz w:val="20"/>
          <w:szCs w:val="20"/>
          <w:color w:val="auto"/>
        </w:rPr>
      </w:pPr>
    </w:p>
    <w:p>
      <w:pPr>
        <w:ind w:left="1260" w:right="539"/>
        <w:spacing w:after="0" w:line="243" w:lineRule="auto"/>
        <w:rPr>
          <w:sz w:val="20"/>
          <w:szCs w:val="20"/>
          <w:color w:val="auto"/>
        </w:rPr>
      </w:pPr>
      <w:r>
        <w:rPr>
          <w:rFonts w:ascii="Arial" w:cs="Arial" w:eastAsia="Arial" w:hAnsi="Arial"/>
          <w:sz w:val="18"/>
          <w:szCs w:val="18"/>
          <w:color w:val="auto"/>
        </w:rPr>
        <w:t>Cross-market transfers between the Participants,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from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11" w:lineRule="exact"/>
        <w:rPr>
          <w:sz w:val="20"/>
          <w:szCs w:val="20"/>
          <w:color w:val="auto"/>
        </w:rPr>
      </w:pPr>
    </w:p>
    <w:p>
      <w:pPr>
        <w:ind w:left="1260" w:right="479"/>
        <w:spacing w:after="0" w:line="245" w:lineRule="auto"/>
        <w:rPr>
          <w:sz w:val="20"/>
          <w:szCs w:val="20"/>
          <w:color w:val="auto"/>
        </w:rPr>
      </w:pPr>
      <w:r>
        <w:rPr>
          <w:rFonts w:ascii="Arial" w:cs="Arial" w:eastAsia="Arial" w:hAnsi="Arial"/>
          <w:sz w:val="18"/>
          <w:szCs w:val="18"/>
          <w:color w:val="auto"/>
        </w:rPr>
        <w:t>DTC has advised the Company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09"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color w:val="auto"/>
        </w:rPr>
        <w:t>Although DTC, Euroclear and Clearstream have agreed to the foregoing procedures to facilitate transfers of interests in global notes among participants in DTC, Euroclear and Clearstream they are under no obligation to perform or to continue to perform such procedures, and may discontinue such procedures at any time. Neither the Company nor the Trustee nor any of the Company or its agents will have any responsibility for the performance by DTC, Euroclear or Clearstream or their respective participants or indirect participants of their respective obligations under the rules and procedures governing their operations.</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Global Notes</w:t>
      </w:r>
    </w:p>
    <w:p>
      <w:pPr>
        <w:spacing w:after="0" w:line="142" w:lineRule="exact"/>
        <w:rPr>
          <w:sz w:val="20"/>
          <w:szCs w:val="20"/>
          <w:color w:val="auto"/>
        </w:rPr>
      </w:pPr>
    </w:p>
    <w:p>
      <w:pPr>
        <w:ind w:left="1260" w:right="719"/>
        <w:spacing w:after="0" w:line="287" w:lineRule="auto"/>
        <w:rPr>
          <w:sz w:val="20"/>
          <w:szCs w:val="20"/>
          <w:color w:val="auto"/>
        </w:rPr>
      </w:pPr>
      <w:r>
        <w:rPr>
          <w:rFonts w:ascii="Arial" w:cs="Arial" w:eastAsia="Arial" w:hAnsi="Arial"/>
          <w:sz w:val="18"/>
          <w:szCs w:val="18"/>
          <w:color w:val="auto"/>
        </w:rPr>
        <w:t>Global notes will be deposited with a custodian for DTC, and registered in the name of a nominee of DTC.</w:t>
      </w:r>
    </w:p>
    <w:p>
      <w:pPr>
        <w:spacing w:after="0" w:line="72" w:lineRule="exact"/>
        <w:rPr>
          <w:sz w:val="20"/>
          <w:szCs w:val="20"/>
          <w:color w:val="auto"/>
        </w:rPr>
      </w:pPr>
    </w:p>
    <w:p>
      <w:pPr>
        <w:ind w:left="1260" w:right="439"/>
        <w:spacing w:after="0" w:line="245" w:lineRule="auto"/>
        <w:rPr>
          <w:sz w:val="20"/>
          <w:szCs w:val="20"/>
          <w:color w:val="auto"/>
        </w:rPr>
      </w:pPr>
      <w:r>
        <w:rPr>
          <w:rFonts w:ascii="Arial" w:cs="Arial" w:eastAsia="Arial" w:hAnsi="Arial"/>
          <w:sz w:val="18"/>
          <w:szCs w:val="18"/>
          <w:color w:val="auto"/>
        </w:rPr>
        <w:t>Beneficial interests in the global notes will be shown on records maintained by DTC and its direct and indirect participants. So long as DTC or its nominee is the registered owner or holder of a global note, DTC or such nominee will be considered the sole owner or holder of the notes represented by such global note for all purposes under the Indenture and the notes. No owner of a beneficial interest in a global note will be able to transfer such interest except in accordance with DTC’s applicable procedures and the applicable procedures of its direct and indirect participants.</w:t>
      </w:r>
    </w:p>
    <w:p>
      <w:pPr>
        <w:spacing w:after="0" w:line="109"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color w:val="auto"/>
        </w:rPr>
        <w:t>The Company will apply to DTC for acceptance of the global notes in its book-entry settlement system. Investors may hold their beneficial interests in the global notes directly through DTC if they are Participants in DTC, or indirectly through organizations which are Participants in DTC.</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Payments of principal and interest under each global note will be made to DTC’s nominee as the registered owner of such global note. The Company expects that the nominee, upon receipt of any such payment, will immediately credit DTC Participants’ accounts with payments proportional to their respective beneficial interests in the principal amount of the relevant global note as shown on the records of DTC. The Company also expects that payments by DTC Participants to owners of beneficial interests will be governed by standing instructions and customary practices, as is now the case with securities held for the accounts of customers registered in the names of nominees for such customers. Such payments will be the responsibility of such Participants, and none of the Company, the Trustee, the custodian or any paying agent or registrar will have any responsibility or liability for any aspect of the records relating to or payments made on account of beneficial interests in any global note or for maintaining or reviewing any records relating to such beneficial interests.</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56"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color w:val="auto"/>
        </w:rPr>
        <w:t>If DTC notifies the Company that it is unwilling or unable to continue as depositary for a global note and a successor depositary is not appointed by the Company within 90 days of such notice, or an event of default has occurred and the Trustee has received a request from DTC, the Trustee will exchange each beneficial interest in that global note for one or more certificated notes registered in the name of the owner of such beneficial interest, as identified by DTC.</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Same Day Settlement and Payment</w:t>
      </w:r>
    </w:p>
    <w:p>
      <w:pPr>
        <w:spacing w:after="0" w:line="156" w:lineRule="exact"/>
        <w:rPr>
          <w:sz w:val="20"/>
          <w:szCs w:val="20"/>
          <w:color w:val="auto"/>
        </w:rPr>
      </w:pPr>
    </w:p>
    <w:p>
      <w:pPr>
        <w:ind w:left="1260" w:right="539"/>
        <w:spacing w:after="0" w:line="268" w:lineRule="auto"/>
        <w:rPr>
          <w:sz w:val="20"/>
          <w:szCs w:val="20"/>
          <w:color w:val="auto"/>
        </w:rPr>
      </w:pPr>
      <w:r>
        <w:rPr>
          <w:rFonts w:ascii="Arial" w:cs="Arial" w:eastAsia="Arial" w:hAnsi="Arial"/>
          <w:sz w:val="18"/>
          <w:szCs w:val="18"/>
          <w:color w:val="auto"/>
        </w:rPr>
        <w:t>The Indenture will require that payments in respect of the notes represented by the global notes be made by wire transfer of immediately available funds to the accounts specified by holders of the global notes. With respect to notes in certificated form, the Company will make all payments by:</w:t>
      </w:r>
    </w:p>
    <w:p>
      <w:pPr>
        <w:spacing w:after="0" w:line="63" w:lineRule="exact"/>
        <w:rPr>
          <w:sz w:val="20"/>
          <w:szCs w:val="20"/>
          <w:color w:val="auto"/>
        </w:rPr>
      </w:pPr>
    </w:p>
    <w:p>
      <w:pPr>
        <w:ind w:left="1800" w:right="659" w:hanging="180"/>
        <w:spacing w:after="0" w:line="28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pacing w:after="0" w:line="44" w:lineRule="exact"/>
        <w:rPr>
          <w:rFonts w:ascii="Arial" w:cs="Arial" w:eastAsia="Arial" w:hAnsi="Arial"/>
          <w:sz w:val="18"/>
          <w:szCs w:val="18"/>
          <w:color w:val="auto"/>
        </w:rPr>
      </w:pPr>
    </w:p>
    <w:p>
      <w:pPr>
        <w:ind w:left="1800" w:right="539" w:hanging="180"/>
        <w:spacing w:after="0" w:line="262"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95" w:lineRule="exact"/>
        <w:rPr>
          <w:sz w:val="20"/>
          <w:szCs w:val="20"/>
          <w:color w:val="auto"/>
        </w:rPr>
      </w:pPr>
    </w:p>
    <w:p>
      <w:pPr>
        <w:ind w:left="1260" w:right="439"/>
        <w:spacing w:after="0" w:line="262" w:lineRule="auto"/>
        <w:rPr>
          <w:sz w:val="20"/>
          <w:szCs w:val="20"/>
          <w:color w:val="auto"/>
        </w:rPr>
      </w:pPr>
      <w:r>
        <w:rPr>
          <w:rFonts w:ascii="Arial" w:cs="Arial" w:eastAsia="Arial" w:hAnsi="Arial"/>
          <w:sz w:val="18"/>
          <w:szCs w:val="18"/>
          <w:color w:val="auto"/>
        </w:rPr>
        <w:t>The notes represented by the global notes are expected to trade in DTC’s Same-Day Funds Settlement System, and any permitted secondary market trading activity in such notes will, therefore, be required by DTC to be settled in immediately available funds. The Company expects that secondary trading in any certificated notes will also be settled in immediately available funds.</w:t>
      </w:r>
    </w:p>
    <w:p>
      <w:pPr>
        <w:spacing w:after="0" w:line="109" w:lineRule="exact"/>
        <w:rPr>
          <w:sz w:val="20"/>
          <w:szCs w:val="20"/>
          <w:color w:val="auto"/>
        </w:rPr>
      </w:pPr>
    </w:p>
    <w:p>
      <w:pPr>
        <w:ind w:left="1260" w:right="479"/>
        <w:spacing w:after="0" w:line="255" w:lineRule="auto"/>
        <w:rPr>
          <w:sz w:val="20"/>
          <w:szCs w:val="20"/>
          <w:color w:val="auto"/>
        </w:rPr>
      </w:pPr>
      <w:r>
        <w:rPr>
          <w:rFonts w:ascii="Arial" w:cs="Arial" w:eastAsia="Arial" w:hAnsi="Arial"/>
          <w:sz w:val="18"/>
          <w:szCs w:val="18"/>
          <w:color w:val="auto"/>
        </w:rPr>
        <w:t>Because of time-zone differences, credits of interests in the global notes received in Clearstream or Euroclear as a result of a transaction with a DTC Participant will be made during subsequent securities settlement processing and dated the Business Day following the DTC settlement date. Such credits or any transactions involving interests in such global notes settled during such processing will be reported to the relevant Clearstream or Euroclear participants on such Business Day. Cash received in Clearstream or Euroclear as a result of sales of interests in the global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Notices</w:t>
      </w:r>
    </w:p>
    <w:p>
      <w:pPr>
        <w:spacing w:after="0" w:line="148" w:lineRule="exact"/>
        <w:rPr>
          <w:sz w:val="20"/>
          <w:szCs w:val="20"/>
          <w:color w:val="auto"/>
        </w:rPr>
      </w:pPr>
    </w:p>
    <w:p>
      <w:pPr>
        <w:ind w:left="1260" w:right="579"/>
        <w:spacing w:after="0" w:line="287" w:lineRule="auto"/>
        <w:rPr>
          <w:sz w:val="20"/>
          <w:szCs w:val="20"/>
          <w:color w:val="auto"/>
        </w:rPr>
      </w:pPr>
      <w:r>
        <w:rPr>
          <w:rFonts w:ascii="Arial" w:cs="Arial" w:eastAsia="Arial" w:hAnsi="Arial"/>
          <w:sz w:val="18"/>
          <w:szCs w:val="18"/>
          <w:color w:val="auto"/>
        </w:rPr>
        <w:t>Holders will receive notices at their addresses as they appear in the security register or in accordance with DTC’s applicable procedures.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Title</w:t>
      </w:r>
    </w:p>
    <w:p>
      <w:pPr>
        <w:spacing w:after="0" w:line="162" w:lineRule="exact"/>
        <w:rPr>
          <w:sz w:val="20"/>
          <w:szCs w:val="20"/>
          <w:color w:val="auto"/>
        </w:rPr>
      </w:pPr>
    </w:p>
    <w:p>
      <w:pPr>
        <w:ind w:left="1260" w:right="599"/>
        <w:spacing w:after="0" w:line="287" w:lineRule="auto"/>
        <w:rPr>
          <w:sz w:val="20"/>
          <w:szCs w:val="20"/>
          <w:color w:val="auto"/>
        </w:rPr>
      </w:pPr>
      <w:r>
        <w:rPr>
          <w:rFonts w:ascii="Arial" w:cs="Arial" w:eastAsia="Arial" w:hAnsi="Arial"/>
          <w:sz w:val="18"/>
          <w:szCs w:val="18"/>
          <w:color w:val="auto"/>
        </w:rPr>
        <w:t>The Company may treat the Person in whose name a note is registered on the applicable record date as the owner of the note for all purposes, whether or not it is overdue.</w:t>
      </w:r>
    </w:p>
    <w:p>
      <w:pPr>
        <w:sectPr>
          <w:pgSz w:w="11900" w:h="16838" w:orient="portrait"/>
          <w:cols w:equalWidth="0" w:num="1">
            <w:col w:w="9879"/>
          </w:cols>
          <w:pgMar w:left="580" w:top="97" w:right="1440" w:bottom="1440" w:gutter="0" w:footer="0" w:header="0"/>
        </w:sectPr>
      </w:pPr>
    </w:p>
    <w:p>
      <w:pPr>
        <w:spacing w:after="0" w:line="32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 Personal Liability of Directors, Officers, Employees or Stockholders</w:t>
      </w:r>
    </w:p>
    <w:p>
      <w:pPr>
        <w:spacing w:after="0" w:line="162" w:lineRule="exact"/>
        <w:rPr>
          <w:sz w:val="20"/>
          <w:szCs w:val="20"/>
          <w:color w:val="auto"/>
        </w:rPr>
      </w:pPr>
    </w:p>
    <w:p>
      <w:pPr>
        <w:ind w:left="1260" w:right="479"/>
        <w:spacing w:after="0" w:line="256" w:lineRule="auto"/>
        <w:rPr>
          <w:sz w:val="20"/>
          <w:szCs w:val="20"/>
          <w:color w:val="auto"/>
        </w:rPr>
      </w:pPr>
      <w:r>
        <w:rPr>
          <w:rFonts w:ascii="Arial" w:cs="Arial" w:eastAsia="Arial" w:hAnsi="Arial"/>
          <w:sz w:val="18"/>
          <w:szCs w:val="18"/>
          <w:color w:val="auto"/>
        </w:rPr>
        <w:t>None of the Company’s past, present or future directors, officers, employees or stockholders, as such, will have any liability for any of the Company’s obligations under the notes of a series or the Indenture or for any claim based on, or in respect or by reason of, such obligations or their creation. By accepting a note, each holder waives and releases all such liability. This waiver and release is part of the consideration for the issue of the notes of each series. However, this waiver and release may not be effective to waive liabilities under U.S. federal securities laws, and it is the view of the SEC that such a waiver is against public policy.</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Governing Law</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law will govern the Indenture and each series of notes.</w:t>
      </w:r>
    </w:p>
    <w:p>
      <w:pPr>
        <w:spacing w:after="0" w:line="158" w:lineRule="exact"/>
        <w:rPr>
          <w:sz w:val="20"/>
          <w:szCs w:val="20"/>
          <w:color w:val="auto"/>
        </w:rPr>
      </w:pPr>
    </w:p>
    <w:p>
      <w:pPr>
        <w:ind w:left="1260" w:right="599"/>
        <w:spacing w:after="0" w:line="262" w:lineRule="auto"/>
        <w:rPr>
          <w:sz w:val="20"/>
          <w:szCs w:val="20"/>
          <w:color w:val="auto"/>
        </w:rPr>
      </w:pPr>
      <w:r>
        <w:rPr>
          <w:rFonts w:ascii="Arial" w:cs="Arial" w:eastAsia="Arial" w:hAnsi="Arial"/>
          <w:sz w:val="18"/>
          <w:szCs w:val="18"/>
          <w:color w:val="auto"/>
        </w:rPr>
        <w:t>The Indenture provides that the Company, the Trustee and the holders of the notes of each series (by their acceptance of the notes of such series) irrevocably waive, to the fullest extent permitted by applicable law, any and all right to trial by jury in any legal proceeding arising out of or relating to the Indenture, the notes of such series or the transactions contemplated thereby.</w:t>
      </w:r>
    </w:p>
    <w:p>
      <w:pPr>
        <w:spacing w:after="0" w:line="95"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The Indenture provides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the Company, the Trustee and the holder of the notes of each series (by their acceptance of the notes of such series) irrevocably submit to the non-exclusive jurisdiction of such courts in any such suit, action or proceeding. The Indenture further provides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further provides that the Company, the Trustee and the holders of the notes of each series (by their acceptance of the notes of such series)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Regarding the Trustee</w:t>
      </w:r>
    </w:p>
    <w:p>
      <w:pPr>
        <w:spacing w:after="0" w:line="162" w:lineRule="exact"/>
        <w:rPr>
          <w:sz w:val="20"/>
          <w:szCs w:val="20"/>
          <w:color w:val="auto"/>
        </w:rPr>
      </w:pPr>
    </w:p>
    <w:p>
      <w:pPr>
        <w:ind w:left="1260" w:right="459"/>
        <w:spacing w:after="0" w:line="262" w:lineRule="auto"/>
        <w:rPr>
          <w:sz w:val="20"/>
          <w:szCs w:val="20"/>
          <w:color w:val="auto"/>
        </w:rPr>
      </w:pPr>
      <w:r>
        <w:rPr>
          <w:rFonts w:ascii="Arial" w:cs="Arial" w:eastAsia="Arial" w:hAnsi="Arial"/>
          <w:sz w:val="18"/>
          <w:szCs w:val="18"/>
          <w:color w:val="auto"/>
        </w:rPr>
        <w:t>U.S. Bank Trust Company, National Association will act as Trustee under the Indenture. The Company maintains various commercial and service relationships with the Trustee and its affiliates in the ordinary course of business. In particular, affiliates of the Trustee provide services to the Company and its affiliates.</w:t>
      </w:r>
    </w:p>
    <w:p>
      <w:pPr>
        <w:spacing w:after="0" w:line="95"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If an event of default occurs under the Indenture with respect to a series of notes and is continuing, the Trustee will be required to use the degree of care and skill of a prudent Person in the conduct of that Person’s own affairs. The Trustee will become obligated to exercise any of its powers under the Indenture at the request of any of the holders of the notes of a series only after those holders have offered (and, if requested, provided) the Trustee indemnity or security satisfactory to it.</w:t>
      </w:r>
    </w:p>
    <w:p>
      <w:pPr>
        <w:spacing w:after="0" w:line="112" w:lineRule="exact"/>
        <w:rPr>
          <w:sz w:val="20"/>
          <w:szCs w:val="20"/>
          <w:color w:val="auto"/>
        </w:rPr>
      </w:pPr>
    </w:p>
    <w:p>
      <w:pPr>
        <w:ind w:left="1260" w:right="459"/>
        <w:spacing w:after="0" w:line="278" w:lineRule="auto"/>
        <w:rPr>
          <w:sz w:val="20"/>
          <w:szCs w:val="20"/>
          <w:color w:val="auto"/>
        </w:rPr>
      </w:pPr>
      <w:r>
        <w:rPr>
          <w:rFonts w:ascii="Arial" w:cs="Arial" w:eastAsia="Arial" w:hAnsi="Arial"/>
          <w:sz w:val="17"/>
          <w:szCs w:val="17"/>
          <w:color w:val="auto"/>
        </w:rPr>
        <w:t>If the Trustee becomes a creditor of the Company, the Trustee’s rights to obtain payment of claims in specified circumstances, or to realize for its own account on certain property received in respect of any such claim as security or otherwise will be limited under the terms of the Indenture. The Trustee may engage in certain other transactions; however, if the Trustee acquires any conflicting interest (within the meaning specified under the Trust Indenture Act), it will be required to eliminate the conflict or resign.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right="1459"/>
        <w:spacing w:after="0" w:line="255" w:lineRule="auto"/>
        <w:rPr>
          <w:sz w:val="20"/>
          <w:szCs w:val="20"/>
          <w:color w:val="auto"/>
        </w:rPr>
      </w:pPr>
      <w:r>
        <w:rPr>
          <w:rFonts w:ascii="Arial" w:cs="Arial" w:eastAsia="Arial" w:hAnsi="Arial"/>
          <w:sz w:val="40"/>
          <w:szCs w:val="40"/>
          <w:b w:val="1"/>
          <w:bCs w:val="1"/>
          <w:color w:val="auto"/>
        </w:rPr>
        <w:t>MATERIAL U.S. FEDERAL INCOME TAX CONSEQUENCES</w:t>
      </w:r>
      <w:r>
        <w:rPr>
          <w:rFonts w:ascii="Times New Roman" w:cs="Times New Roman" w:eastAsia="Times New Roman" w:hAnsi="Times New Roman"/>
          <w:sz w:val="40"/>
          <w:szCs w:val="40"/>
          <w:color w:val="auto"/>
        </w:rPr>
        <w:t>​</w:t>
      </w:r>
    </w:p>
    <w:p>
      <w:pPr>
        <w:spacing w:after="0" w:line="7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In General</w:t>
      </w:r>
    </w:p>
    <w:p>
      <w:pPr>
        <w:spacing w:after="0" w:line="23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Nature and Scope of Discussion</w:t>
      </w:r>
    </w:p>
    <w:p>
      <w:pPr>
        <w:spacing w:after="0" w:line="142"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This section provides a summary of certain material U.S. federal income tax consequences relating to the purchase, ownership, and disposition of the notes. This summary does not provide a complete analysis of all potential tax considerations. The information provided below is based on the Internal Revenue Code of 1986, as amended, or the Code, and Treasury regulations, rulings and judicial decisions as of the date hereof, all of which are subject to change or differing interpretations, possibly with retroactive effect. There can be no assurance that the Internal Revenue Service, or the IRS, will not challenge one or more of the tax consequences described herein, and we have not obtained, nor do we intend to obtain, a ruling from the IRS with respect to the U.S. federal income tax consequences of purchasing, owning or disposing of the notes.</w:t>
      </w:r>
    </w:p>
    <w:p>
      <w:pPr>
        <w:spacing w:after="0" w:line="113" w:lineRule="exact"/>
        <w:rPr>
          <w:sz w:val="20"/>
          <w:szCs w:val="20"/>
          <w:color w:val="auto"/>
        </w:rPr>
      </w:pPr>
    </w:p>
    <w:p>
      <w:pPr>
        <w:ind w:left="1260" w:right="439"/>
        <w:spacing w:after="0" w:line="267" w:lineRule="auto"/>
        <w:rPr>
          <w:sz w:val="20"/>
          <w:szCs w:val="20"/>
          <w:color w:val="auto"/>
        </w:rPr>
      </w:pPr>
      <w:r>
        <w:rPr>
          <w:rFonts w:ascii="Arial" w:cs="Arial" w:eastAsia="Arial" w:hAnsi="Arial"/>
          <w:sz w:val="17"/>
          <w:szCs w:val="17"/>
          <w:color w:val="auto"/>
        </w:rPr>
        <w:t>The following summary generally applies only to beneficial owners of the notes that purchase their notes in this offering for an amount equal to their issue price, which is the first price at which a substantial amount of the notes of the applicable series is sold for money to investors (not including sales to bond houses, brokers or similar persons or organizations acting in the capacity of underwriters, placement agents or wholesalers), and that hold the notes as “capital assets” within the meaning of Section 1221 of the Code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address all categories of investors, some of which may be subject to special rules (such as partnerships or other pass-through entities (or investors in such entities), dealers in securities or currencies, traders in securities that elect to use a mark-to-market method of accounting, banks, thrifts, regulated investment companies, real estate investment trusts, insurance companies, tax-exempt entities, tax-deferred or other retirement accounts, former citizens or long-term residents of the United States, controlled foreign corporations, passive foreign investment companies, persons holding the notes as part of a hedging, conversion or integrated transaction for U.S. tax purposes or a straddle, persons deemed to sell the notes under the constructive sale provisions of the Code, or persons required under Section 451(b) of the Code to conform the timing of income accruals with respect to the notes to their financial statements). Finally, the following summary does not describe the effects of any other U.S. federal tax laws, such as the Medicare contribution tax on net investment income or estate and gift tax laws, or the effects of any applicable non-U.S., state or local laws.</w:t>
      </w:r>
    </w:p>
    <w:p>
      <w:pPr>
        <w:spacing w:after="0" w:line="335" w:lineRule="exact"/>
        <w:rPr>
          <w:sz w:val="20"/>
          <w:szCs w:val="20"/>
          <w:color w:val="auto"/>
        </w:rPr>
      </w:pPr>
    </w:p>
    <w:p>
      <w:pPr>
        <w:ind w:left="1260" w:right="559"/>
        <w:spacing w:after="0" w:line="262" w:lineRule="auto"/>
        <w:rPr>
          <w:sz w:val="20"/>
          <w:szCs w:val="20"/>
          <w:color w:val="auto"/>
        </w:rPr>
      </w:pPr>
      <w:r>
        <w:rPr>
          <w:rFonts w:ascii="Arial" w:cs="Arial" w:eastAsia="Arial" w:hAnsi="Arial"/>
          <w:sz w:val="18"/>
          <w:szCs w:val="18"/>
          <w:color w:val="auto"/>
        </w:rPr>
        <w:t>INVESTORS CONSIDERING THE PURCHASE OF THE NOTES SHOULD CONSULT THEIR OWN TAX ADVISORS REGARDING THE APPLICATION OF THE U.S. FEDERAL INCOME TAX LAWS TO THEIR PARTICULAR SITUATIONS AND THE CONSEQUENCES OF OTHER U.S. FEDERAL TAX LAWS, NON-U.S., STATE AND LOCAL TAX LAWS, AND TAX TREATIES.</w:t>
      </w:r>
    </w:p>
    <w:p>
      <w:pPr>
        <w:spacing w:after="0" w:line="95" w:lineRule="exact"/>
        <w:rPr>
          <w:sz w:val="20"/>
          <w:szCs w:val="20"/>
          <w:color w:val="auto"/>
        </w:rPr>
      </w:pPr>
    </w:p>
    <w:p>
      <w:pPr>
        <w:ind w:left="1260" w:right="499"/>
        <w:spacing w:after="0" w:line="269" w:lineRule="auto"/>
        <w:rPr>
          <w:sz w:val="20"/>
          <w:szCs w:val="20"/>
          <w:color w:val="auto"/>
        </w:rPr>
      </w:pPr>
      <w:r>
        <w:rPr>
          <w:rFonts w:ascii="Arial" w:cs="Arial" w:eastAsia="Arial" w:hAnsi="Arial"/>
          <w:sz w:val="17"/>
          <w:szCs w:val="17"/>
          <w:color w:val="auto"/>
        </w:rPr>
        <w:t>As used herein, the term “U.S. holder” means a beneficial owner of a note that, for U.S. federal income tax purposes, is (1) an individual who is a citizen or resident of the United States, (2) a corporation, or an entity treated as a corporation for U.S. federal income tax purposes, created or organized in or under the laws of the United States, any state thereof or the District of Columbia, (3) an estate the income of which is subject to U.S. federal income taxation regardless of its source, or (4) a trust if it</w:t>
      </w:r>
    </w:p>
    <w:p>
      <w:pPr>
        <w:spacing w:after="0" w:line="3" w:lineRule="exact"/>
        <w:rPr>
          <w:sz w:val="20"/>
          <w:szCs w:val="20"/>
          <w:color w:val="auto"/>
        </w:rPr>
      </w:pPr>
    </w:p>
    <w:p>
      <w:pPr>
        <w:ind w:left="1260" w:right="499"/>
        <w:spacing w:after="0" w:line="258" w:lineRule="auto"/>
        <w:tabs>
          <w:tab w:leader="none" w:pos="151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 subject to the primary supervision of a U.S. court and one or more U.S. persons has the authority to control all substantial decisions of the trust or (y) has a valid election in effect under applicable U.S. Treasury regulations to be treated as a U.S. person.</w:t>
      </w:r>
    </w:p>
    <w:p>
      <w:pPr>
        <w:spacing w:after="0" w:line="111" w:lineRule="exact"/>
        <w:rPr>
          <w:sz w:val="20"/>
          <w:szCs w:val="20"/>
          <w:color w:val="auto"/>
        </w:rPr>
      </w:pPr>
    </w:p>
    <w:p>
      <w:pPr>
        <w:jc w:val="both"/>
        <w:ind w:left="1260" w:right="439"/>
        <w:spacing w:after="0" w:line="268" w:lineRule="auto"/>
        <w:rPr>
          <w:sz w:val="20"/>
          <w:szCs w:val="20"/>
          <w:color w:val="auto"/>
        </w:rPr>
      </w:pPr>
      <w:r>
        <w:rPr>
          <w:rFonts w:ascii="Arial" w:cs="Arial" w:eastAsia="Arial" w:hAnsi="Arial"/>
          <w:sz w:val="18"/>
          <w:szCs w:val="18"/>
          <w:color w:val="auto"/>
        </w:rPr>
        <w:t>A “non-U.S. holder” is a beneficial owner of a note (other than a partnership or an entity or arrangement (domestic or foreign) that is treated as a partnership for U.S. federal income tax purposes) that is not a U.S. holder.</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48" w:lineRule="auto"/>
        <w:rPr>
          <w:sz w:val="20"/>
          <w:szCs w:val="20"/>
          <w:color w:val="auto"/>
        </w:rPr>
      </w:pPr>
      <w:r>
        <w:rPr>
          <w:rFonts w:ascii="Arial" w:cs="Arial" w:eastAsia="Arial" w:hAnsi="Arial"/>
          <w:sz w:val="18"/>
          <w:szCs w:val="18"/>
          <w:color w:val="auto"/>
        </w:rPr>
        <w:t>If a partnership (including any entity or arrangement (domestic or foreign) that is treated as a partnership for U.S. federal income tax purposes) is a beneficial owner of a note, the tax treatment of a partner in the partnership will depend upon the status of the partner and the activities of the partnership. A beneficial owner of a note that is a partnership, and partners in such partnership, should consult their own tax advisors about the U.S. federal income tax consequences of purchasing, owning and disposing of the notes.</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Additional Payments</w:t>
      </w:r>
    </w:p>
    <w:p>
      <w:pPr>
        <w:spacing w:after="0" w:line="129"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We may be required in certain circumstances to make payments on the notes that are in excess of payments of principal and stated interest. We believe there is only a remote possibility that we would be required to make any of these additional payments, that any such additional payments, if made, would be an incidental amount, or that the possibility of such payments is otherwise disregarded for purposes of rules governing contingent payment debt instruments. Therefore, we do not intend to treat the notes as subject to the special rules governing contingent payment debt instruments. Our determination in this regard, while not binding on the IRS, is binding on holders unless they disclose their contrary position. If the IRS successfully asserted that the notes are subject to the rules governing contingent payment debt instruments, the timing, amount and character of income with respect to a note realized by a holder could be materially and adversely different from those described below. The discussion below generally assumes that the notes are not treated as contingent payment debt instruments. In the event we pay additional amounts on the notes, holders should consult their tax advisors regarding the treatment of such amounts.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U.S. Holders</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142" w:lineRule="exact"/>
        <w:rPr>
          <w:sz w:val="20"/>
          <w:szCs w:val="20"/>
          <w:color w:val="auto"/>
        </w:rPr>
      </w:pPr>
    </w:p>
    <w:p>
      <w:pPr>
        <w:ind w:left="1260" w:right="679"/>
        <w:spacing w:after="0" w:line="271" w:lineRule="auto"/>
        <w:rPr>
          <w:sz w:val="20"/>
          <w:szCs w:val="20"/>
          <w:color w:val="auto"/>
        </w:rPr>
      </w:pPr>
      <w:r>
        <w:rPr>
          <w:rFonts w:ascii="Arial" w:cs="Arial" w:eastAsia="Arial" w:hAnsi="Arial"/>
          <w:sz w:val="18"/>
          <w:szCs w:val="18"/>
          <w:color w:val="auto"/>
        </w:rPr>
        <w:t>A U.S. holder will be required to recognize as ordinary income any stated interest paid or accrued on the notes, in accordance with such holder’s regular method of tax accounting.</w:t>
      </w:r>
    </w:p>
    <w:p>
      <w:pPr>
        <w:spacing w:after="0" w:line="86" w:lineRule="exact"/>
        <w:rPr>
          <w:sz w:val="20"/>
          <w:szCs w:val="20"/>
          <w:color w:val="auto"/>
        </w:rPr>
      </w:pPr>
    </w:p>
    <w:p>
      <w:pPr>
        <w:ind w:left="1260" w:right="539"/>
        <w:spacing w:after="0" w:line="265" w:lineRule="auto"/>
        <w:rPr>
          <w:sz w:val="20"/>
          <w:szCs w:val="20"/>
          <w:color w:val="auto"/>
        </w:rPr>
      </w:pPr>
      <w:r>
        <w:rPr>
          <w:rFonts w:ascii="Arial" w:cs="Arial" w:eastAsia="Arial" w:hAnsi="Arial"/>
          <w:sz w:val="17"/>
          <w:szCs w:val="17"/>
          <w:color w:val="auto"/>
        </w:rPr>
        <w:t>In general, if the terms of a debt instrument entitle a holder to receive payments (other than fixed periodic interest) that exceed the issue price of the instrument by an amount that equals or exceeds a statutorily defined de minimis amount, a holder subject to U.S. federal income tax will be required to include such excess in income as “original issue discount” over the term of the instrument, irrespective of the holder’s regular method of tax accounting. We expect, and the discussion below assumes, that the notes will not be issued with original issue discount for U.S. federal income tax purposes.</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Notes</w:t>
      </w:r>
    </w:p>
    <w:p>
      <w:pPr>
        <w:spacing w:after="0" w:line="142" w:lineRule="exact"/>
        <w:rPr>
          <w:sz w:val="20"/>
          <w:szCs w:val="20"/>
          <w:color w:val="auto"/>
        </w:rPr>
      </w:pPr>
    </w:p>
    <w:p>
      <w:pPr>
        <w:ind w:left="1260" w:right="419"/>
        <w:spacing w:after="0" w:line="258" w:lineRule="auto"/>
        <w:rPr>
          <w:sz w:val="20"/>
          <w:szCs w:val="20"/>
          <w:color w:val="auto"/>
        </w:rPr>
      </w:pPr>
      <w:r>
        <w:rPr>
          <w:rFonts w:ascii="Arial" w:cs="Arial" w:eastAsia="Arial" w:hAnsi="Arial"/>
          <w:sz w:val="17"/>
          <w:szCs w:val="17"/>
          <w:color w:val="auto"/>
        </w:rPr>
        <w:t>A U.S. holder generally will recognize taxable gain or loss if the holder disposes of a note in a sale, exchange, redemption, retirement or other taxable disposition, including discharges of the notes within one year of maturity or redemption, as described under “Description of the Notes — Satisfaction and Discharge.” The U.S. holder’s gain or loss generally will equal the difference between the proceeds received by the holder (other than amounts attributable to accrued but unpaid interest, which will be taxed as described below) and the holder’s tax basis in the note. The U.S. holder’s tax basis in a note generally will equal the amount the holder paid for the note. The portion of any proceeds that is attributable to accrued interest will not be taken into account in computing the U.S. holder’s taxable gain or loss. Instead, that portion will be recognized as ordinary interest income to the extent that the U.S. holder has not previously included the accrued interest in income. Any gain or loss recognized by a U.S. holder on a disposition of the note will generally be capital gain or loss and will be long-term capital gain or loss if the holder has held the note for more than one year, or short-term capital gain or loss if the holder has held the note for one year or less, at the time of the disposition. Long-term capital gains of non-corporate U.S. holders generally are eligible for reduced rates of taxation. Short-term capital gains are taxed at ordinary income rates. The deductibility of capital losses is subject to limitation.</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Non-U.S. Holders</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129" w:lineRule="exact"/>
        <w:rPr>
          <w:sz w:val="20"/>
          <w:szCs w:val="20"/>
          <w:color w:val="auto"/>
        </w:rPr>
      </w:pPr>
    </w:p>
    <w:p>
      <w:pPr>
        <w:jc w:val="both"/>
        <w:ind w:left="1260" w:right="519"/>
        <w:spacing w:after="0" w:line="261" w:lineRule="auto"/>
        <w:rPr>
          <w:sz w:val="20"/>
          <w:szCs w:val="20"/>
          <w:color w:val="auto"/>
        </w:rPr>
      </w:pPr>
      <w:r>
        <w:rPr>
          <w:rFonts w:ascii="Arial" w:cs="Arial" w:eastAsia="Arial" w:hAnsi="Arial"/>
          <w:sz w:val="18"/>
          <w:szCs w:val="18"/>
          <w:color w:val="auto"/>
        </w:rPr>
        <w:t>Subject to the discussion below under “— Income or Gains Effectively Connected With a U.S. Trade or Business,” payments of interest to non-U.S. holders are generally subject to U.S. federal income tax at a</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46" w:lineRule="auto"/>
        <w:rPr>
          <w:sz w:val="20"/>
          <w:szCs w:val="20"/>
          <w:color w:val="auto"/>
        </w:rPr>
      </w:pPr>
      <w:r>
        <w:rPr>
          <w:rFonts w:ascii="Arial" w:cs="Arial" w:eastAsia="Arial" w:hAnsi="Arial"/>
          <w:sz w:val="18"/>
          <w:szCs w:val="18"/>
          <w:color w:val="auto"/>
        </w:rPr>
        <w:t>flat rate of 30% (or a reduced or zero rate under the terms of an applicable income tax treaty between the United States and the non-U.S. holder’s country of residence), collected by means of withholding by the payer. Payments of interest on the notes to non-U.S. holders, however, are generally expected to qualify as “portfolio interest,” and thus be exempt from U.S. federal income tax, including withholding of such tax, if non-U.S. holders satisfy certain requirements and also certify their nonresident status as described below, subject to the discussions below under “— Legislation and Guidance Relating to Foreign Accounts” and “Backup Withholding and Information Reporting”. The portfolio interest exemption will not apply to payments of interest to a non-U.S. holder that:</w:t>
      </w:r>
    </w:p>
    <w:p>
      <w:pPr>
        <w:spacing w:after="0" w:line="71" w:lineRule="exact"/>
        <w:rPr>
          <w:sz w:val="20"/>
          <w:szCs w:val="20"/>
          <w:color w:val="auto"/>
        </w:rPr>
      </w:pPr>
    </w:p>
    <w:p>
      <w:pPr>
        <w:ind w:left="1800" w:right="599" w:hanging="180"/>
        <w:spacing w:after="0" w:line="268"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owns, actually or constructively (applying certain attribution rules), shares of our stock representing at least 10% of the total combined voting power of all classes of our stock entitled to vote;</w:t>
      </w:r>
    </w:p>
    <w:p>
      <w:pPr>
        <w:spacing w:after="0" w:line="49" w:lineRule="exact"/>
        <w:rPr>
          <w:rFonts w:ascii="Arial" w:cs="Arial" w:eastAsia="Arial" w:hAnsi="Arial"/>
          <w:sz w:val="18"/>
          <w:szCs w:val="18"/>
          <w:color w:val="auto"/>
        </w:rPr>
      </w:pPr>
    </w:p>
    <w:p>
      <w:pPr>
        <w:ind w:left="1800" w:right="859" w:hanging="180"/>
        <w:spacing w:after="0" w:line="28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 a “controlled foreign corporation” within the meaning of Section 957(a) of the Code that is related, directly or indirectly, to us through sufficient stock ownership; or</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is a bank whose receipt of interest on the notes is described in Section 881(c)(3)(A) of the Code.</w:t>
      </w:r>
    </w:p>
    <w:p>
      <w:pPr>
        <w:spacing w:after="0" w:line="169" w:lineRule="exact"/>
        <w:rPr>
          <w:sz w:val="20"/>
          <w:szCs w:val="20"/>
          <w:color w:val="auto"/>
        </w:rPr>
      </w:pPr>
    </w:p>
    <w:p>
      <w:pPr>
        <w:ind w:left="1260" w:right="799"/>
        <w:spacing w:after="0" w:line="253" w:lineRule="auto"/>
        <w:rPr>
          <w:sz w:val="20"/>
          <w:szCs w:val="20"/>
          <w:color w:val="auto"/>
        </w:rPr>
      </w:pPr>
      <w:r>
        <w:rPr>
          <w:rFonts w:ascii="Arial" w:cs="Arial" w:eastAsia="Arial" w:hAnsi="Arial"/>
          <w:sz w:val="18"/>
          <w:szCs w:val="18"/>
          <w:color w:val="auto"/>
        </w:rPr>
        <w:t>In general, a foreign corporation is a controlled foreign corporation if more than 50% of its stock (by vote or value) is owned, actually or constructively, by one or more U.S. persons that each owns, actually or constructively, at least 10% of the foreign corporation’s stock (by vote or value).</w:t>
      </w:r>
    </w:p>
    <w:p>
      <w:pPr>
        <w:spacing w:after="0" w:line="101" w:lineRule="exact"/>
        <w:rPr>
          <w:sz w:val="20"/>
          <w:szCs w:val="20"/>
          <w:color w:val="auto"/>
        </w:rPr>
      </w:pPr>
    </w:p>
    <w:p>
      <w:pPr>
        <w:ind w:left="1260" w:right="459"/>
        <w:spacing w:after="0" w:line="246" w:lineRule="auto"/>
        <w:rPr>
          <w:sz w:val="20"/>
          <w:szCs w:val="20"/>
          <w:color w:val="auto"/>
        </w:rPr>
      </w:pPr>
      <w:r>
        <w:rPr>
          <w:rFonts w:ascii="Arial" w:cs="Arial" w:eastAsia="Arial" w:hAnsi="Arial"/>
          <w:sz w:val="18"/>
          <w:szCs w:val="18"/>
          <w:color w:val="auto"/>
        </w:rPr>
        <w:t>The portfolio interest exemption and any reduction of the withholding tax rate pursuant to the terms of an applicable income tax treaty require a non-U.S. holder to certify its nonresident status. A non-U.S. holder can meet this certification requirement by providing a properly executed IRS Form W-8BEN, IRS Form W-8BEN-E or other appropriate or successor form to the applicable withholding agent prior to the payment. If a non-U.S. holder holds a note through a financial institution or other agent acting on the holder’s behalf, the holder will be required to provide appropriate documentation to the agent. The non-U.S. holder’s agent may be required to provide certification to another withholding agent, either directly or through other intermediaries.</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Notes</w:t>
      </w:r>
    </w:p>
    <w:p>
      <w:pPr>
        <w:spacing w:after="0" w:line="156" w:lineRule="exact"/>
        <w:rPr>
          <w:sz w:val="20"/>
          <w:szCs w:val="20"/>
          <w:color w:val="auto"/>
        </w:rPr>
      </w:pPr>
    </w:p>
    <w:p>
      <w:pPr>
        <w:ind w:left="1260" w:right="419"/>
        <w:spacing w:after="0" w:line="245" w:lineRule="auto"/>
        <w:rPr>
          <w:sz w:val="20"/>
          <w:szCs w:val="20"/>
          <w:color w:val="auto"/>
        </w:rPr>
      </w:pPr>
      <w:r>
        <w:rPr>
          <w:rFonts w:ascii="Arial" w:cs="Arial" w:eastAsia="Arial" w:hAnsi="Arial"/>
          <w:sz w:val="18"/>
          <w:szCs w:val="18"/>
          <w:color w:val="auto"/>
        </w:rPr>
        <w:t>Subject to the discussion below under “Backup Withholding and Information Reporting,” non-U.S. holders generally will not be subject to U.S. federal income or withholding tax on any gain realized on the sale, exchange, redemption, retirement or other taxable disposition of notes (other than with respect to payments attributable to accrued but unpaid interest, which will generally be taxed as described under “— Taxation of Interest” above). This general rule, however, is subject to several exceptions. For example, the gain would be subject to U.S. federal income tax if:</w:t>
      </w:r>
    </w:p>
    <w:p>
      <w:pPr>
        <w:spacing w:after="0" w:line="69" w:lineRule="exact"/>
        <w:rPr>
          <w:sz w:val="20"/>
          <w:szCs w:val="20"/>
          <w:color w:val="auto"/>
        </w:rPr>
      </w:pPr>
    </w:p>
    <w:p>
      <w:pPr>
        <w:ind w:left="1800" w:right="519" w:hanging="180"/>
        <w:spacing w:after="0" w:line="259"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the non-U.S. holder of a U.S. trade or business (and, generally, if an income tax treaty applies, the gain is attributable to a U.S. permanent establishment or fixed base maintained by the non-U.S. holder in the United States), in which case it would be subject to tax as described below under “— Income or Gains Effectively Connected With a U.S. Trade or Business;” or</w:t>
      </w:r>
    </w:p>
    <w:p>
      <w:pPr>
        <w:spacing w:after="0" w:line="71" w:lineRule="exact"/>
        <w:rPr>
          <w:rFonts w:ascii="Arial" w:cs="Arial" w:eastAsia="Arial" w:hAnsi="Arial"/>
          <w:sz w:val="18"/>
          <w:szCs w:val="18"/>
          <w:color w:val="auto"/>
        </w:rPr>
      </w:pPr>
    </w:p>
    <w:p>
      <w:pPr>
        <w:ind w:left="1800" w:right="459" w:hanging="180"/>
        <w:spacing w:after="0" w:line="25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year of the disposition and certain other conditions apply, in which case, except as otherwise provided by an applicable income tax treaty, the gain, which may be offset by certain U.S. source capital losses (provided that such non-U.S. holder timely files tax returns with respect to such losses), would be subject to a flat 30% tax, even though the individual is not considered a resident of the United States.</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Income or Gains Effectively Connected With a U.S. Trade or Business</w:t>
      </w:r>
    </w:p>
    <w:p>
      <w:pPr>
        <w:spacing w:after="0" w:line="156" w:lineRule="exact"/>
        <w:rPr>
          <w:sz w:val="20"/>
          <w:szCs w:val="20"/>
          <w:color w:val="auto"/>
        </w:rPr>
      </w:pPr>
    </w:p>
    <w:p>
      <w:pPr>
        <w:ind w:left="1260" w:right="839"/>
        <w:spacing w:after="0" w:line="247" w:lineRule="auto"/>
        <w:rPr>
          <w:sz w:val="20"/>
          <w:szCs w:val="20"/>
          <w:color w:val="auto"/>
        </w:rPr>
      </w:pPr>
      <w:r>
        <w:rPr>
          <w:rFonts w:ascii="Arial" w:cs="Arial" w:eastAsia="Arial" w:hAnsi="Arial"/>
          <w:sz w:val="18"/>
          <w:szCs w:val="18"/>
          <w:color w:val="auto"/>
        </w:rPr>
        <w:t>The preceding discussion of the U.S. federal income and withholding tax considerations of the purchase, ownership and disposition of notes by a non-U.S. holder assumes that the holder is not engaged in a U.S. trade or business. If any interest on the notes or gain from the sale, exchange, redemption, retirement or other taxable disposition of the notes is effectively connected with a U.S. trade or business conducted</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by the non-U.S. holder, then the income or gain will be subject to U.S. federal income tax on a net income basis at the regular U.S. rates and generally in the same manner applicable to U.S. holders. If the non-U.S. holder is eligible for the benefits of an income tax treaty between the United States and the holder’s country of residence, any “effectively connected” income or gain generally will be subject to U.S. federal income tax only if it is also attributable to a permanent establishment or fixed base maintained by the holder in the United States. If the non-U.S. holder is a corporation (including for this purpose any entity treated as a corporation for U.S. federal income tax purposes), some portion of its earnings and profits that is effectively connected with its U.S. trade or business also would be subject to a “branch profits tax.” The branch profits tax rate is generally 30%, although an applicable income tax treaty might provide for a lower rate. Payments of interest that are effectively connected with a U.S. trade or business generally will not be subject to the 30% gross withholding tax, provided that the holder claims exemption from withholding by timely filing a properly completed and executed IRS Form W-8ECI (or other appropriate form), or any successor form as the IRS designates, as applicable, prior to the payment.</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Legislation and Guidance Relating to Foreign Accounts</w:t>
      </w:r>
    </w:p>
    <w:p>
      <w:pPr>
        <w:spacing w:after="0" w:line="156" w:lineRule="exact"/>
        <w:rPr>
          <w:sz w:val="20"/>
          <w:szCs w:val="20"/>
          <w:color w:val="auto"/>
        </w:rPr>
      </w:pPr>
    </w:p>
    <w:p>
      <w:pPr>
        <w:jc w:val="both"/>
        <w:ind w:left="1260" w:right="459"/>
        <w:spacing w:after="0" w:line="256" w:lineRule="auto"/>
        <w:rPr>
          <w:sz w:val="20"/>
          <w:szCs w:val="20"/>
          <w:color w:val="auto"/>
        </w:rPr>
      </w:pPr>
      <w:r>
        <w:rPr>
          <w:rFonts w:ascii="Arial" w:cs="Arial" w:eastAsia="Arial" w:hAnsi="Arial"/>
          <w:sz w:val="17"/>
          <w:szCs w:val="17"/>
          <w:color w:val="auto"/>
        </w:rPr>
        <w:t>Legislation and administrative guidance incorporating provisions referred to as the Foreign Account Tax Compliance Act, or FATCA, imposes a U.S. federal withholding tax on certain types of payments made to “foreign financial institutions” and certain other “non-financial foreign entities,” each as defined in the Code and applicable regulations. “Foreign financial institution” is defined to include, in addition to banks and traditional financial institutions, entities such as investment funds and certain holding companies.</w:t>
      </w:r>
    </w:p>
    <w:p>
      <w:pPr>
        <w:spacing w:after="0" w:line="1"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FATCA generally imposes a flat U.S. federal withholding tax of 30% on U.S. source interest income and (subject to the proposed Treasury regulations discussed below) the gross proceeds of a sale or other disposition of a debt instrument that produces U.S. source interest income, in each case if paid to a foreign financial institution or other non-financial foreign entity (whether as beneficial owner or intermediary),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(iii) an exemption otherwise applies, or (iv) an exemption is otherwise provided by the Treasury Secretary.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certain payments to non-compliant foreign financial institutions and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or otherwise modify the general FATCA rules. Under final regulations and published guidance, FATCA withholding generally applies to interest payments made on the notes. The Treasury Secretary has issued proposed regulations providing that the withholding provisions under FATCA do not apply with respect to payment of gross proceeds from a sale or other disposition of the notes, which may be relied upon by taxpayers until final regulations are issued. Prospective investors should consult their tax advisors regarding FATCA.</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Backup Withholding and Information Reporting</w:t>
      </w:r>
    </w:p>
    <w:p>
      <w:pPr>
        <w:spacing w:after="0" w:line="148" w:lineRule="exact"/>
        <w:rPr>
          <w:sz w:val="20"/>
          <w:szCs w:val="20"/>
          <w:color w:val="auto"/>
        </w:rPr>
      </w:pPr>
    </w:p>
    <w:p>
      <w:pPr>
        <w:ind w:left="1260" w:right="519"/>
        <w:spacing w:after="0" w:line="248" w:lineRule="auto"/>
        <w:rPr>
          <w:sz w:val="20"/>
          <w:szCs w:val="20"/>
          <w:color w:val="auto"/>
        </w:rPr>
      </w:pPr>
      <w:r>
        <w:rPr>
          <w:rFonts w:ascii="Arial" w:cs="Arial" w:eastAsia="Arial" w:hAnsi="Arial"/>
          <w:sz w:val="18"/>
          <w:szCs w:val="18"/>
          <w:color w:val="auto"/>
        </w:rPr>
        <w:t>The Code and the Treasury regulations require those who make specified payments to report the payments to the IRS. Among the specified payments are interest and proceeds from a sale or other disposition (including a retirement or redemption) of the notes paid by brokers to their customers. This reporting regime is reinforced by “backup withholding” rules, which require the payer to withhold from payments subject to information reporting if the recipient does not establish an exemption from backup withholding (as described below). The backup withholding rate is currently 24%.</w:t>
      </w:r>
    </w:p>
    <w:p>
      <w:pPr>
        <w:spacing w:after="0" w:line="107" w:lineRule="exact"/>
        <w:rPr>
          <w:sz w:val="20"/>
          <w:szCs w:val="20"/>
          <w:color w:val="auto"/>
        </w:rPr>
      </w:pPr>
    </w:p>
    <w:p>
      <w:pPr>
        <w:ind w:left="1260" w:right="719"/>
        <w:spacing w:after="0" w:line="247" w:lineRule="auto"/>
        <w:rPr>
          <w:sz w:val="20"/>
          <w:szCs w:val="20"/>
          <w:color w:val="auto"/>
        </w:rPr>
      </w:pPr>
      <w:r>
        <w:rPr>
          <w:rFonts w:ascii="Arial" w:cs="Arial" w:eastAsia="Arial" w:hAnsi="Arial"/>
          <w:sz w:val="18"/>
          <w:szCs w:val="18"/>
          <w:color w:val="auto"/>
        </w:rPr>
        <w:t>Payments of interest to U.S. holders and payments made to U.S. holders by a broker upon a sale or other disposition (including a retirement or redemption) of the notes will generally be subject to information reporting and backup withholding unless (1) the holder is an exempt payee, such as a corporation, or (2) in the case of backup withholding, the holder provides the payer with a correct taxpayer identification number and complies with applicable certification requirements.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71" w:lineRule="auto"/>
        <w:rPr>
          <w:sz w:val="20"/>
          <w:szCs w:val="20"/>
          <w:color w:val="auto"/>
        </w:rPr>
      </w:pPr>
      <w:r>
        <w:rPr>
          <w:rFonts w:ascii="Arial" w:cs="Arial" w:eastAsia="Arial" w:hAnsi="Arial"/>
          <w:sz w:val="17"/>
          <w:szCs w:val="17"/>
          <w:color w:val="auto"/>
        </w:rPr>
        <w:t>Payors must report annually to the IRS the interest paid to each non-U.S. holder and the tax withheld, if any, with respect to such interest, including any tax withheld pursuant to the rules described under “Non-U.S. Holders — Taxation of Interest” above. Copies of these reports may be made available to tax authorities in the country where the non-U.S. holder resides. Payments to non-U.S. holders of interest on the notes may be subject to backup withholding unless the non-U.S. holder certifies its non-U.S. status on a properly executed IRS Form W-8BEN, IRS Form W-8BEN-E or other appropriate or successor form. Payments made to non-U.S. holders by a broker upon a sale or disposition (including a retirement or redemption) of the notes will not be subject to information reporting or backup withholding as long as the non-U.S. holder certifies its non-U.S. status or otherwise establishes an exemption.</w:t>
      </w:r>
    </w:p>
    <w:p>
      <w:pPr>
        <w:spacing w:after="0" w:line="106" w:lineRule="exact"/>
        <w:rPr>
          <w:sz w:val="20"/>
          <w:szCs w:val="20"/>
          <w:color w:val="auto"/>
        </w:rPr>
      </w:pPr>
    </w:p>
    <w:p>
      <w:pPr>
        <w:ind w:left="1260" w:right="599"/>
        <w:spacing w:after="0" w:line="262" w:lineRule="auto"/>
        <w:rPr>
          <w:sz w:val="20"/>
          <w:szCs w:val="20"/>
          <w:color w:val="auto"/>
        </w:rPr>
      </w:pPr>
      <w:r>
        <w:rPr>
          <w:rFonts w:ascii="Arial" w:cs="Arial" w:eastAsia="Arial" w:hAnsi="Arial"/>
          <w:sz w:val="18"/>
          <w:szCs w:val="18"/>
          <w:color w:val="auto"/>
        </w:rPr>
        <w:t>Backup withholding is not an additional tax. Any amounts withheld from a payment to a U.S. holder or non-U.S. holder of notes under the backup withholding rules generally may be credited against any U.S. federal income tax liability of the holder, which may entitle the holder to a refund, provided the required information is timely furnished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38"/>
          <w:szCs w:val="38"/>
          <w:b w:val="1"/>
          <w:bCs w:val="1"/>
          <w:color w:val="auto"/>
        </w:rPr>
        <w:t>UNDERWRITING (CONFLICTS OF INTEREST)</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Subject to the terms and conditions stated in the underwriting agreement dated the date of this</w:t>
      </w:r>
    </w:p>
    <w:p>
      <w:pPr>
        <w:spacing w:after="0" w:line="14" w:lineRule="exact"/>
        <w:rPr>
          <w:sz w:val="20"/>
          <w:szCs w:val="20"/>
          <w:color w:val="auto"/>
        </w:rPr>
      </w:pPr>
    </w:p>
    <w:p>
      <w:pPr>
        <w:ind w:left="1260" w:right="659"/>
        <w:spacing w:after="0" w:line="226" w:lineRule="auto"/>
        <w:rPr>
          <w:sz w:val="20"/>
          <w:szCs w:val="20"/>
          <w:color w:val="auto"/>
        </w:rPr>
      </w:pPr>
      <w:r>
        <w:rPr>
          <w:rFonts w:ascii="Arial" w:cs="Arial" w:eastAsia="Arial" w:hAnsi="Arial"/>
          <w:sz w:val="18"/>
          <w:szCs w:val="18"/>
          <w:color w:val="auto"/>
        </w:rPr>
        <w:t>prospectus supplement, each underwriter named below, for whom Wells Fargo Securities, LLC, BNP Paribas Securities Corp., J.P. Morgan Securities LLC, Mizuho Securities USA LLC, and MUFG</w:t>
      </w:r>
    </w:p>
    <w:p>
      <w:pPr>
        <w:ind w:left="1260"/>
        <w:spacing w:after="0" w:line="236" w:lineRule="auto"/>
        <w:rPr>
          <w:sz w:val="20"/>
          <w:szCs w:val="20"/>
          <w:color w:val="auto"/>
        </w:rPr>
      </w:pPr>
      <w:r>
        <w:rPr>
          <w:rFonts w:ascii="Arial" w:cs="Arial" w:eastAsia="Arial" w:hAnsi="Arial"/>
          <w:sz w:val="18"/>
          <w:szCs w:val="18"/>
          <w:color w:val="auto"/>
        </w:rPr>
        <w:t>Securities Americas Inc. are acting as representatives, has severally agreed to purchase, and we have</w:t>
      </w:r>
    </w:p>
    <w:p>
      <w:pPr>
        <w:spacing w:after="0" w:line="1" w:lineRule="exact"/>
        <w:rPr>
          <w:sz w:val="20"/>
          <w:szCs w:val="20"/>
          <w:color w:val="auto"/>
        </w:rPr>
      </w:pPr>
    </w:p>
    <w:p>
      <w:pPr>
        <w:ind w:left="1260" w:right="959"/>
        <w:spacing w:after="0" w:line="237" w:lineRule="auto"/>
        <w:rPr>
          <w:sz w:val="20"/>
          <w:szCs w:val="20"/>
          <w:color w:val="auto"/>
        </w:rPr>
      </w:pPr>
      <w:r>
        <w:rPr>
          <w:rFonts w:ascii="Arial" w:cs="Arial" w:eastAsia="Arial" w:hAnsi="Arial"/>
          <w:sz w:val="18"/>
          <w:szCs w:val="18"/>
          <w:color w:val="auto"/>
        </w:rPr>
        <w:t>agreed to sell to that underwriter, the aggregate principal amount of notes of each series set forth opposite the underwriter’s name in the following table:</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14"/>
                <w:szCs w:val="14"/>
                <w:color w:val="auto"/>
              </w:rPr>
            </w:pPr>
          </w:p>
        </w:tc>
      </w:tr>
      <w:tr>
        <w:trPr>
          <w:trHeight w:val="162"/>
        </w:trPr>
        <w:tc>
          <w:tcPr>
            <w:tcW w:w="6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Amount of</w:t>
            </w: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Amount of</w:t>
            </w:r>
          </w:p>
        </w:tc>
        <w:tc>
          <w:tcPr>
            <w:tcW w:w="60" w:type="dxa"/>
            <w:vAlign w:val="bottom"/>
          </w:tcPr>
          <w:p>
            <w:pPr>
              <w:spacing w:after="0"/>
              <w:rPr>
                <w:sz w:val="14"/>
                <w:szCs w:val="14"/>
                <w:color w:val="auto"/>
              </w:rPr>
            </w:pPr>
          </w:p>
        </w:tc>
      </w:tr>
      <w:tr>
        <w:trPr>
          <w:trHeight w:val="162"/>
        </w:trPr>
        <w:tc>
          <w:tcPr>
            <w:tcW w:w="6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rPr>
              <w:t xml:space="preserve">20   </w:t>
            </w:r>
          </w:p>
        </w:tc>
        <w:tc>
          <w:tcPr>
            <w:tcW w:w="22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rPr>
              <w:t xml:space="preserve">20   </w:t>
            </w:r>
          </w:p>
        </w:tc>
        <w:tc>
          <w:tcPr>
            <w:tcW w:w="60" w:type="dxa"/>
            <w:vAlign w:val="bottom"/>
          </w:tcPr>
          <w:p>
            <w:pPr>
              <w:spacing w:after="0"/>
              <w:rPr>
                <w:sz w:val="14"/>
                <w:szCs w:val="14"/>
                <w:color w:val="auto"/>
              </w:rPr>
            </w:pPr>
          </w:p>
        </w:tc>
      </w:tr>
      <w:tr>
        <w:trPr>
          <w:trHeight w:val="198"/>
        </w:trPr>
        <w:tc>
          <w:tcPr>
            <w:tcW w:w="626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980" w:type="dxa"/>
            <w:vAlign w:val="bottom"/>
            <w:gridSpan w:val="3"/>
          </w:tcPr>
          <w:p>
            <w:pPr>
              <w:ind w:left="6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Notes</w:t>
            </w:r>
          </w:p>
        </w:tc>
        <w:tc>
          <w:tcPr>
            <w:tcW w:w="960" w:type="dxa"/>
            <w:vAlign w:val="bottom"/>
            <w:gridSpan w:val="2"/>
          </w:tcPr>
          <w:p>
            <w:pPr>
              <w:ind w:left="6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Notes</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6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980" w:type="dxa"/>
            <w:vAlign w:val="bottom"/>
            <w:tcBorders>
              <w:right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 xml:space="preserve">​ ​​$           </w:t>
            </w:r>
          </w:p>
        </w:tc>
        <w:tc>
          <w:tcPr>
            <w:tcW w:w="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 ​​$           </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6260" w:type="dxa"/>
            <w:vAlign w:val="bottom"/>
          </w:tcPr>
          <w:p>
            <w:pPr>
              <w:spacing w:after="0"/>
              <w:rPr>
                <w:sz w:val="20"/>
                <w:szCs w:val="20"/>
                <w:color w:val="auto"/>
              </w:rPr>
            </w:pPr>
            <w:r>
              <w:rPr>
                <w:rFonts w:ascii="Arial" w:cs="Arial" w:eastAsia="Arial" w:hAnsi="Arial"/>
                <w:sz w:val="18"/>
                <w:szCs w:val="18"/>
                <w:color w:val="auto"/>
              </w:rPr>
              <w:t>BNP Paribas Securities Corp.</w:t>
            </w:r>
          </w:p>
        </w:tc>
        <w:tc>
          <w:tcPr>
            <w:tcW w:w="980" w:type="dxa"/>
            <w:vAlign w:val="bottom"/>
            <w:gridSpan w:val="3"/>
          </w:tcPr>
          <w:p>
            <w:pPr>
              <w:ind w:left="60"/>
              <w:spacing w:after="0"/>
              <w:rPr>
                <w:sz w:val="20"/>
                <w:szCs w:val="20"/>
                <w:color w:val="auto"/>
              </w:rPr>
            </w:pPr>
            <w:r>
              <w:rPr>
                <w:rFonts w:ascii="Arial" w:cs="Arial" w:eastAsia="Arial" w:hAnsi="Arial"/>
                <w:sz w:val="18"/>
                <w:szCs w:val="18"/>
                <w:color w:val="auto"/>
              </w:rPr>
              <w:t>​ ​​ ​</w:t>
            </w:r>
          </w:p>
        </w:tc>
        <w:tc>
          <w:tcPr>
            <w:tcW w:w="960" w:type="dxa"/>
            <w:vAlign w:val="bottom"/>
            <w:gridSpan w:val="2"/>
          </w:tcPr>
          <w:p>
            <w:pPr>
              <w:spacing w:after="0"/>
              <w:rPr>
                <w:sz w:val="20"/>
                <w:szCs w:val="20"/>
                <w:color w:val="auto"/>
              </w:rPr>
            </w:pPr>
            <w:r>
              <w:rPr>
                <w:rFonts w:ascii="Arial" w:cs="Arial" w:eastAsia="Arial" w:hAnsi="Arial"/>
                <w:sz w:val="18"/>
                <w:szCs w:val="18"/>
                <w:color w:val="auto"/>
              </w:rPr>
              <w:t>​​​ ​​ ​</w:t>
            </w:r>
          </w:p>
        </w:tc>
        <w:tc>
          <w:tcPr>
            <w:tcW w:w="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57"/>
        </w:trPr>
        <w:tc>
          <w:tcPr>
            <w:tcW w:w="626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980" w:type="dxa"/>
            <w:vAlign w:val="bottom"/>
            <w:gridSpan w:val="3"/>
          </w:tcPr>
          <w:p>
            <w:pPr>
              <w:ind w:left="60"/>
              <w:spacing w:after="0"/>
              <w:rPr>
                <w:sz w:val="20"/>
                <w:szCs w:val="20"/>
                <w:color w:val="auto"/>
              </w:rPr>
            </w:pPr>
            <w:r>
              <w:rPr>
                <w:rFonts w:ascii="Arial" w:cs="Arial" w:eastAsia="Arial" w:hAnsi="Arial"/>
                <w:sz w:val="18"/>
                <w:szCs w:val="18"/>
                <w:color w:val="auto"/>
              </w:rPr>
              <w:t>​ ​​ ​</w:t>
            </w:r>
          </w:p>
        </w:tc>
        <w:tc>
          <w:tcPr>
            <w:tcW w:w="960" w:type="dxa"/>
            <w:vAlign w:val="bottom"/>
            <w:gridSpan w:val="2"/>
          </w:tcPr>
          <w:p>
            <w:pPr>
              <w:spacing w:after="0"/>
              <w:rPr>
                <w:sz w:val="20"/>
                <w:szCs w:val="20"/>
                <w:color w:val="auto"/>
              </w:rPr>
            </w:pPr>
            <w:r>
              <w:rPr>
                <w:rFonts w:ascii="Arial" w:cs="Arial" w:eastAsia="Arial" w:hAnsi="Arial"/>
                <w:sz w:val="18"/>
                <w:szCs w:val="18"/>
                <w:color w:val="auto"/>
              </w:rPr>
              <w:t>​​​ ​​ ​</w:t>
            </w:r>
          </w:p>
        </w:tc>
        <w:tc>
          <w:tcPr>
            <w:tcW w:w="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57"/>
        </w:trPr>
        <w:tc>
          <w:tcPr>
            <w:tcW w:w="6260" w:type="dxa"/>
            <w:vAlign w:val="bottom"/>
          </w:tcPr>
          <w:p>
            <w:pPr>
              <w:spacing w:after="0"/>
              <w:rPr>
                <w:sz w:val="20"/>
                <w:szCs w:val="20"/>
                <w:color w:val="auto"/>
              </w:rPr>
            </w:pPr>
            <w:r>
              <w:rPr>
                <w:rFonts w:ascii="Arial" w:cs="Arial" w:eastAsia="Arial" w:hAnsi="Arial"/>
                <w:sz w:val="18"/>
                <w:szCs w:val="18"/>
                <w:color w:val="auto"/>
              </w:rPr>
              <w:t>Mizuho Securities USA LLC</w:t>
            </w:r>
          </w:p>
        </w:tc>
        <w:tc>
          <w:tcPr>
            <w:tcW w:w="980" w:type="dxa"/>
            <w:vAlign w:val="bottom"/>
            <w:gridSpan w:val="3"/>
          </w:tcPr>
          <w:p>
            <w:pPr>
              <w:ind w:left="60"/>
              <w:spacing w:after="0"/>
              <w:rPr>
                <w:sz w:val="20"/>
                <w:szCs w:val="20"/>
                <w:color w:val="auto"/>
              </w:rPr>
            </w:pPr>
            <w:r>
              <w:rPr>
                <w:rFonts w:ascii="Arial" w:cs="Arial" w:eastAsia="Arial" w:hAnsi="Arial"/>
                <w:sz w:val="18"/>
                <w:szCs w:val="18"/>
                <w:color w:val="auto"/>
              </w:rPr>
              <w:t>​ ​​ ​</w:t>
            </w:r>
          </w:p>
        </w:tc>
        <w:tc>
          <w:tcPr>
            <w:tcW w:w="960" w:type="dxa"/>
            <w:vAlign w:val="bottom"/>
            <w:gridSpan w:val="2"/>
          </w:tcPr>
          <w:p>
            <w:pPr>
              <w:spacing w:after="0"/>
              <w:rPr>
                <w:sz w:val="20"/>
                <w:szCs w:val="20"/>
                <w:color w:val="auto"/>
              </w:rPr>
            </w:pPr>
            <w:r>
              <w:rPr>
                <w:rFonts w:ascii="Arial" w:cs="Arial" w:eastAsia="Arial" w:hAnsi="Arial"/>
                <w:sz w:val="18"/>
                <w:szCs w:val="18"/>
                <w:color w:val="auto"/>
              </w:rPr>
              <w:t>​​​ ​​ ​</w:t>
            </w:r>
          </w:p>
        </w:tc>
        <w:tc>
          <w:tcPr>
            <w:tcW w:w="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57"/>
        </w:trPr>
        <w:tc>
          <w:tcPr>
            <w:tcW w:w="6260" w:type="dxa"/>
            <w:vAlign w:val="bottom"/>
          </w:tcPr>
          <w:p>
            <w:pPr>
              <w:spacing w:after="0"/>
              <w:rPr>
                <w:sz w:val="20"/>
                <w:szCs w:val="20"/>
                <w:color w:val="auto"/>
              </w:rPr>
            </w:pPr>
            <w:r>
              <w:rPr>
                <w:rFonts w:ascii="Arial" w:cs="Arial" w:eastAsia="Arial" w:hAnsi="Arial"/>
                <w:sz w:val="18"/>
                <w:szCs w:val="18"/>
                <w:color w:val="auto"/>
              </w:rPr>
              <w:t>MUFG Securities Americas Inc.</w:t>
            </w:r>
          </w:p>
        </w:tc>
        <w:tc>
          <w:tcPr>
            <w:tcW w:w="980" w:type="dxa"/>
            <w:vAlign w:val="bottom"/>
            <w:gridSpan w:val="3"/>
          </w:tcPr>
          <w:p>
            <w:pPr>
              <w:ind w:left="60"/>
              <w:spacing w:after="0"/>
              <w:rPr>
                <w:sz w:val="20"/>
                <w:szCs w:val="20"/>
                <w:color w:val="auto"/>
              </w:rPr>
            </w:pPr>
            <w:r>
              <w:rPr>
                <w:rFonts w:ascii="Arial" w:cs="Arial" w:eastAsia="Arial" w:hAnsi="Arial"/>
                <w:sz w:val="18"/>
                <w:szCs w:val="18"/>
                <w:color w:val="auto"/>
              </w:rPr>
              <w:t>​ ​​ ​</w:t>
            </w:r>
          </w:p>
        </w:tc>
        <w:tc>
          <w:tcPr>
            <w:tcW w:w="960" w:type="dxa"/>
            <w:vAlign w:val="bottom"/>
            <w:gridSpan w:val="2"/>
          </w:tcPr>
          <w:p>
            <w:pPr>
              <w:spacing w:after="0"/>
              <w:rPr>
                <w:sz w:val="20"/>
                <w:szCs w:val="20"/>
                <w:color w:val="auto"/>
              </w:rPr>
            </w:pPr>
            <w:r>
              <w:rPr>
                <w:rFonts w:ascii="Arial" w:cs="Arial" w:eastAsia="Arial" w:hAnsi="Arial"/>
                <w:sz w:val="18"/>
                <w:szCs w:val="18"/>
                <w:color w:val="auto"/>
              </w:rPr>
              <w:t>​​​ ​​ ​</w:t>
            </w:r>
          </w:p>
        </w:tc>
        <w:tc>
          <w:tcPr>
            <w:tcW w:w="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70"/>
        </w:trPr>
        <w:tc>
          <w:tcPr>
            <w:tcW w:w="6260" w:type="dxa"/>
            <w:vAlign w:val="bottom"/>
          </w:tcPr>
          <w:p>
            <w:pPr>
              <w:ind w:left="180"/>
              <w:spacing w:after="0"/>
              <w:rPr>
                <w:sz w:val="20"/>
                <w:szCs w:val="20"/>
                <w:color w:val="auto"/>
              </w:rPr>
            </w:pPr>
            <w:r>
              <w:rPr>
                <w:rFonts w:ascii="Arial" w:cs="Arial" w:eastAsia="Arial" w:hAnsi="Arial"/>
                <w:sz w:val="18"/>
                <w:szCs w:val="18"/>
                <w:color w:val="auto"/>
              </w:rPr>
              <w:t>Total</w:t>
            </w:r>
          </w:p>
        </w:tc>
        <w:tc>
          <w:tcPr>
            <w:tcW w:w="980" w:type="dxa"/>
            <w:vAlign w:val="bottom"/>
            <w:gridSpan w:val="3"/>
          </w:tcPr>
          <w:p>
            <w:pPr>
              <w:ind w:left="6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960" w:type="dxa"/>
            <w:vAlign w:val="bottom"/>
            <w:gridSpan w:val="2"/>
          </w:tcPr>
          <w:p>
            <w:pPr>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60" w:type="dxa"/>
            <w:vAlign w:val="bottom"/>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b w:val="1"/>
                <w:bCs w:val="1"/>
                <w:color w:val="auto"/>
                <w:vertAlign w:val="subscript"/>
              </w:rPr>
              <w:t>​</w:t>
            </w:r>
          </w:p>
        </w:tc>
      </w:tr>
      <w:tr>
        <w:trPr>
          <w:trHeight w:val="20"/>
        </w:trPr>
        <w:tc>
          <w:tcPr>
            <w:tcW w:w="6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-693420</wp:posOffset>
            </wp:positionV>
            <wp:extent cx="521208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-367665</wp:posOffset>
            </wp:positionV>
            <wp:extent cx="521208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-1028065</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-1028065</wp:posOffset>
            </wp:positionV>
            <wp:extent cx="137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p>
    <w:p>
      <w:pPr>
        <w:spacing w:after="0" w:line="108" w:lineRule="exact"/>
        <w:rPr>
          <w:sz w:val="20"/>
          <w:szCs w:val="20"/>
          <w:color w:val="auto"/>
        </w:rPr>
      </w:pPr>
    </w:p>
    <w:p>
      <w:pPr>
        <w:jc w:val="both"/>
        <w:ind w:left="1260" w:right="599"/>
        <w:spacing w:after="0" w:line="261"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Commissions and Discounts</w:t>
      </w:r>
    </w:p>
    <w:p>
      <w:pPr>
        <w:spacing w:after="0" w:line="148" w:lineRule="exact"/>
        <w:rPr>
          <w:sz w:val="20"/>
          <w:szCs w:val="20"/>
          <w:color w:val="auto"/>
        </w:rPr>
      </w:pPr>
    </w:p>
    <w:p>
      <w:pPr>
        <w:ind w:left="1260" w:right="439"/>
        <w:spacing w:after="0" w:line="246" w:lineRule="auto"/>
        <w:rPr>
          <w:sz w:val="20"/>
          <w:szCs w:val="20"/>
          <w:color w:val="auto"/>
        </w:rPr>
      </w:pPr>
      <w:r>
        <w:rPr>
          <w:rFonts w:ascii="Arial" w:cs="Arial" w:eastAsia="Arial" w:hAnsi="Arial"/>
          <w:sz w:val="18"/>
          <w:szCs w:val="18"/>
          <w:color w:val="auto"/>
        </w:rPr>
        <w:t>The underwriters propose to offer the notes directly to the public at the public offering prices set forth on the cover page of this prospectus supplement and some of the notes to dealers at the public offering price less a concession not to exceed     % of the principal amount of the 20    notes and     % of the principal amount of the 20    notes. The underwriters may allow, and any such dealer may reallow, a concession not to exceed     % of the principal amount of the 20    notes and     % of the principal amount of the 20    notes. After the initial offering of the notes to the public, the representatives may change the public offering price and other selling terms.</w:t>
      </w:r>
    </w:p>
    <w:p>
      <w:pPr>
        <w:spacing w:after="0" w:line="108" w:lineRule="exact"/>
        <w:rPr>
          <w:sz w:val="20"/>
          <w:szCs w:val="20"/>
          <w:color w:val="auto"/>
        </w:rPr>
      </w:pPr>
    </w:p>
    <w:p>
      <w:pPr>
        <w:ind w:left="1260" w:right="759"/>
        <w:spacing w:after="0" w:line="261"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 and in total).</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b w:val="1"/>
                <w:bCs w:val="1"/>
                <w:color w:val="auto"/>
              </w:rPr>
              <w:t>Paid by Micron</w:t>
            </w:r>
          </w:p>
        </w:tc>
        <w:tc>
          <w:tcPr>
            <w:tcW w:w="0" w:type="dxa"/>
            <w:vAlign w:val="bottom"/>
          </w:tcPr>
          <w:p>
            <w:pPr>
              <w:spacing w:after="0"/>
              <w:rPr>
                <w:sz w:val="1"/>
                <w:szCs w:val="1"/>
                <w:color w:val="auto"/>
              </w:rPr>
            </w:pPr>
          </w:p>
        </w:tc>
      </w:tr>
      <w:tr>
        <w:trPr>
          <w:trHeight w:val="198"/>
        </w:trPr>
        <w:tc>
          <w:tcPr>
            <w:tcW w:w="720" w:type="dxa"/>
            <w:vAlign w:val="bottom"/>
          </w:tcPr>
          <w:p>
            <w:pPr>
              <w:spacing w:after="0"/>
              <w:rPr>
                <w:sz w:val="20"/>
                <w:szCs w:val="20"/>
                <w:color w:val="auto"/>
              </w:rPr>
            </w:pPr>
            <w:r>
              <w:rPr>
                <w:rFonts w:ascii="Arial" w:cs="Arial" w:eastAsia="Arial" w:hAnsi="Arial"/>
                <w:sz w:val="14"/>
                <w:szCs w:val="14"/>
                <w:b w:val="1"/>
                <w:bCs w:val="1"/>
                <w:color w:val="auto"/>
              </w:rPr>
              <w:t>​</w:t>
            </w:r>
          </w:p>
        </w:tc>
        <w:tc>
          <w:tcPr>
            <w:tcW w:w="3380" w:type="dxa"/>
            <w:vAlign w:val="bottom"/>
          </w:tcPr>
          <w:p>
            <w:pPr>
              <w:spacing w:after="0"/>
              <w:rPr>
                <w:sz w:val="17"/>
                <w:szCs w:val="17"/>
                <w:color w:val="auto"/>
              </w:rPr>
            </w:pPr>
          </w:p>
        </w:tc>
        <w:tc>
          <w:tcPr>
            <w:tcW w:w="4260" w:type="dxa"/>
            <w:vAlign w:val="bottom"/>
            <w:gridSpan w:val="5"/>
          </w:tcPr>
          <w:p>
            <w:pPr>
              <w:ind w:left="274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Technology, Inc. </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720" w:type="dxa"/>
            <w:vAlign w:val="bottom"/>
            <w:shd w:val="clear" w:color="auto" w:fill="CCEEFF"/>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xml:space="preserve">Per 20   </w:t>
            </w:r>
          </w:p>
        </w:tc>
        <w:tc>
          <w:tcPr>
            <w:tcW w:w="338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Note</w:t>
            </w:r>
          </w:p>
        </w:tc>
        <w:tc>
          <w:tcPr>
            <w:tcW w:w="3080" w:type="dxa"/>
            <w:vAlign w:val="bottom"/>
            <w:gridSpan w:val="2"/>
            <w:vMerge w:val="restart"/>
            <w:shd w:val="clear" w:color="auto" w:fill="CCEEFF"/>
          </w:tcPr>
          <w:p>
            <w:pPr>
              <w:ind w:left="280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 xml:space="preserve">           </w:t>
            </w:r>
          </w:p>
        </w:tc>
        <w:tc>
          <w:tcPr>
            <w:tcW w:w="160" w:type="dxa"/>
            <w:vAlign w:val="bottom"/>
          </w:tcPr>
          <w:p>
            <w:pPr>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54"/>
        </w:trPr>
        <w:tc>
          <w:tcPr>
            <w:tcW w:w="720" w:type="dxa"/>
            <w:vAlign w:val="bottom"/>
            <w:shd w:val="clear" w:color="auto" w:fill="CCEEFF"/>
          </w:tcPr>
          <w:p>
            <w:pPr>
              <w:spacing w:after="0"/>
              <w:rPr>
                <w:sz w:val="4"/>
                <w:szCs w:val="4"/>
                <w:color w:val="auto"/>
              </w:rPr>
            </w:pPr>
          </w:p>
        </w:tc>
        <w:tc>
          <w:tcPr>
            <w:tcW w:w="3380" w:type="dxa"/>
            <w:vAlign w:val="bottom"/>
            <w:shd w:val="clear" w:color="auto" w:fill="CCEEFF"/>
          </w:tcPr>
          <w:p>
            <w:pPr>
              <w:spacing w:after="0"/>
              <w:rPr>
                <w:sz w:val="4"/>
                <w:szCs w:val="4"/>
                <w:color w:val="auto"/>
              </w:rPr>
            </w:pPr>
          </w:p>
        </w:tc>
        <w:tc>
          <w:tcPr>
            <w:tcW w:w="3080" w:type="dxa"/>
            <w:vAlign w:val="bottom"/>
            <w:gridSpan w:val="2"/>
            <w:vMerge w:val="continue"/>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60" w:type="dxa"/>
            <w:vAlign w:val="bottom"/>
          </w:tcPr>
          <w:p>
            <w:pPr>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57"/>
        </w:trPr>
        <w:tc>
          <w:tcPr>
            <w:tcW w:w="4100" w:type="dxa"/>
            <w:vAlign w:val="bottom"/>
            <w:gridSpan w:val="2"/>
          </w:tcPr>
          <w:p>
            <w:pPr>
              <w:spacing w:after="0"/>
              <w:rPr>
                <w:sz w:val="20"/>
                <w:szCs w:val="20"/>
                <w:color w:val="auto"/>
              </w:rPr>
            </w:pPr>
            <w:r>
              <w:rPr>
                <w:rFonts w:ascii="Arial" w:cs="Arial" w:eastAsia="Arial" w:hAnsi="Arial"/>
                <w:sz w:val="18"/>
                <w:szCs w:val="18"/>
                <w:color w:val="auto"/>
              </w:rPr>
              <w:t>20    Notes Total</w:t>
            </w:r>
          </w:p>
        </w:tc>
        <w:tc>
          <w:tcPr>
            <w:tcW w:w="4260" w:type="dxa"/>
            <w:vAlign w:val="bottom"/>
            <w:gridSpan w:val="5"/>
          </w:tcPr>
          <w:p>
            <w:pPr>
              <w:ind w:left="28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Per 20   </w:t>
            </w:r>
          </w:p>
        </w:tc>
        <w:tc>
          <w:tcPr>
            <w:tcW w:w="33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Note</w:t>
            </w:r>
          </w:p>
        </w:tc>
        <w:tc>
          <w:tcPr>
            <w:tcW w:w="3080" w:type="dxa"/>
            <w:vAlign w:val="bottom"/>
            <w:gridSpan w:val="2"/>
            <w:vMerge w:val="restart"/>
            <w:shd w:val="clear" w:color="auto" w:fill="CCEEFF"/>
          </w:tcPr>
          <w:p>
            <w:pPr>
              <w:ind w:left="280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54"/>
        </w:trPr>
        <w:tc>
          <w:tcPr>
            <w:tcW w:w="720" w:type="dxa"/>
            <w:vAlign w:val="bottom"/>
            <w:shd w:val="clear" w:color="auto" w:fill="CCEEFF"/>
          </w:tcPr>
          <w:p>
            <w:pPr>
              <w:spacing w:after="0"/>
              <w:rPr>
                <w:sz w:val="4"/>
                <w:szCs w:val="4"/>
                <w:color w:val="auto"/>
              </w:rPr>
            </w:pPr>
          </w:p>
        </w:tc>
        <w:tc>
          <w:tcPr>
            <w:tcW w:w="3380" w:type="dxa"/>
            <w:vAlign w:val="bottom"/>
            <w:shd w:val="clear" w:color="auto" w:fill="CCEEFF"/>
          </w:tcPr>
          <w:p>
            <w:pPr>
              <w:spacing w:after="0"/>
              <w:rPr>
                <w:sz w:val="4"/>
                <w:szCs w:val="4"/>
                <w:color w:val="auto"/>
              </w:rPr>
            </w:pPr>
          </w:p>
        </w:tc>
        <w:tc>
          <w:tcPr>
            <w:tcW w:w="3080" w:type="dxa"/>
            <w:vAlign w:val="bottom"/>
            <w:gridSpan w:val="2"/>
            <w:vMerge w:val="continue"/>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60" w:type="dxa"/>
            <w:vAlign w:val="bottom"/>
          </w:tcPr>
          <w:p>
            <w:pPr>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56"/>
        </w:trPr>
        <w:tc>
          <w:tcPr>
            <w:tcW w:w="4100" w:type="dxa"/>
            <w:vAlign w:val="bottom"/>
            <w:gridSpan w:val="2"/>
          </w:tcPr>
          <w:p>
            <w:pPr>
              <w:spacing w:after="0"/>
              <w:rPr>
                <w:sz w:val="20"/>
                <w:szCs w:val="20"/>
                <w:color w:val="auto"/>
              </w:rPr>
            </w:pPr>
            <w:r>
              <w:rPr>
                <w:rFonts w:ascii="Arial" w:cs="Arial" w:eastAsia="Arial" w:hAnsi="Arial"/>
                <w:sz w:val="18"/>
                <w:szCs w:val="18"/>
                <w:color w:val="auto"/>
              </w:rPr>
              <w:t>20    Notes Total</w:t>
            </w:r>
          </w:p>
        </w:tc>
        <w:tc>
          <w:tcPr>
            <w:tcW w:w="3080" w:type="dxa"/>
            <w:vAlign w:val="bottom"/>
            <w:gridSpan w:val="2"/>
          </w:tcPr>
          <w:p>
            <w:pPr>
              <w:ind w:left="280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2"/>
                <w:szCs w:val="22"/>
                <w:color w:val="auto"/>
              </w:rPr>
            </w:pPr>
          </w:p>
        </w:tc>
        <w:tc>
          <w:tcPr>
            <w:tcW w:w="940" w:type="dxa"/>
            <w:vAlign w:val="bottom"/>
            <w:gridSpan w:val="2"/>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380" w:type="dxa"/>
            <w:vAlign w:val="bottom"/>
            <w:shd w:val="clear" w:color="auto" w:fill="CCEEFF"/>
          </w:tcPr>
          <w:p>
            <w:pPr>
              <w:spacing w:after="0"/>
              <w:rPr>
                <w:sz w:val="23"/>
                <w:szCs w:val="23"/>
                <w:color w:val="auto"/>
              </w:rPr>
            </w:pPr>
          </w:p>
        </w:tc>
        <w:tc>
          <w:tcPr>
            <w:tcW w:w="3080" w:type="dxa"/>
            <w:vAlign w:val="bottom"/>
            <w:gridSpan w:val="2"/>
            <w:shd w:val="clear" w:color="auto" w:fill="CCEEFF"/>
          </w:tcPr>
          <w:p>
            <w:pPr>
              <w:ind w:left="280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-831215</wp:posOffset>
            </wp:positionV>
            <wp:extent cx="44831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4483100" cy="8890"/>
                    </a:xfrm>
                    <a:prstGeom prst="rect">
                      <a:avLst/>
                    </a:prstGeom>
                    <a:noFill/>
                  </pic:spPr>
                </pic:pic>
              </a:graphicData>
            </a:graphic>
          </wp:anchor>
        </w:drawing>
      </w:r>
    </w:p>
    <w:p>
      <w:pPr>
        <w:spacing w:after="0" w:line="96" w:lineRule="exact"/>
        <w:rPr>
          <w:sz w:val="20"/>
          <w:szCs w:val="20"/>
          <w:color w:val="auto"/>
        </w:rPr>
      </w:pPr>
    </w:p>
    <w:p>
      <w:pPr>
        <w:ind w:left="1260" w:right="439"/>
        <w:spacing w:after="0" w:line="261" w:lineRule="auto"/>
        <w:rPr>
          <w:sz w:val="20"/>
          <w:szCs w:val="20"/>
          <w:color w:val="auto"/>
        </w:rPr>
      </w:pPr>
      <w:r>
        <w:rPr>
          <w:rFonts w:ascii="Arial" w:cs="Arial" w:eastAsia="Arial" w:hAnsi="Arial"/>
          <w:sz w:val="18"/>
          <w:szCs w:val="18"/>
          <w:color w:val="auto"/>
        </w:rPr>
        <w:t>We estimate that our total expenses for this offering, other than underwriting discounts, will be approximately $            . The underwriters have agreed to reimburse us for certain expenses incurred in connection with this offering.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New Issue of Notes</w:t>
      </w:r>
    </w:p>
    <w:p>
      <w:pPr>
        <w:spacing w:after="0" w:line="162" w:lineRule="exact"/>
        <w:rPr>
          <w:sz w:val="20"/>
          <w:szCs w:val="20"/>
          <w:color w:val="auto"/>
        </w:rPr>
      </w:pPr>
    </w:p>
    <w:p>
      <w:pPr>
        <w:ind w:left="1260" w:right="419"/>
        <w:spacing w:after="0" w:line="244" w:lineRule="auto"/>
        <w:rPr>
          <w:sz w:val="20"/>
          <w:szCs w:val="20"/>
          <w:color w:val="auto"/>
        </w:rPr>
      </w:pPr>
      <w:r>
        <w:rPr>
          <w:rFonts w:ascii="Arial" w:cs="Arial" w:eastAsia="Arial" w:hAnsi="Arial"/>
          <w:sz w:val="18"/>
          <w:szCs w:val="18"/>
          <w:color w:val="auto"/>
        </w:rPr>
        <w:t>There is currently no public trading market for the notes. We have not applied and do not intend to apply to list the notes on any securities exchange. The underwriters have advised us that they presently intend to make a market in the notes. However, they are not obligated to do so and may discontinue any market-making in the notes at any time in their sole discretion. Therefore, we cannot assure you that a liquid trading market for the notes will develop, that you will be able to sell your notes at a particular time or that the price you receive when you sell will be favorable. If an active trading market for the notes does not develop, the market price and liquidity of the notes may be adversely affected. If the notes are traded, they may trade at a discount from the initial offering price, depending on prevailing interest rates, the market for similar securities, our operating performance and financial condition, general economic conditions and other factors.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Price Stabilization and Short Positions</w:t>
      </w:r>
    </w:p>
    <w:p>
      <w:pPr>
        <w:spacing w:after="0" w:line="148"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108" w:lineRule="exact"/>
        <w:rPr>
          <w:sz w:val="20"/>
          <w:szCs w:val="20"/>
          <w:color w:val="auto"/>
        </w:rPr>
      </w:pPr>
    </w:p>
    <w:p>
      <w:pPr>
        <w:jc w:val="both"/>
        <w:ind w:left="1260" w:right="519"/>
        <w:spacing w:after="0" w:line="252"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103" w:lineRule="exact"/>
        <w:rPr>
          <w:sz w:val="20"/>
          <w:szCs w:val="20"/>
          <w:color w:val="auto"/>
        </w:rPr>
      </w:pPr>
    </w:p>
    <w:p>
      <w:pPr>
        <w:ind w:left="1260" w:right="659"/>
        <w:spacing w:after="0" w:line="247"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 Sales of Similar Securities</w:t>
      </w:r>
    </w:p>
    <w:p>
      <w:pPr>
        <w:spacing w:after="0" w:line="148"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We have agreed that we will not, until the closing date, without first obtaining the prior written consent of the representatives, offer, sell, contract to sell or otherwise dispose of any debt securities of the Company or warrants to purchase debt securities of the Company, except for the notes sold to the underwriters pursuant to the underwriting agreement.</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Other Relationships</w:t>
      </w:r>
    </w:p>
    <w:p>
      <w:pPr>
        <w:spacing w:after="0" w:line="162"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Certain of the underwriters and their affiliates have in the past provided, and may in the future provide, investment banking, commercial banking, derivative transactions, financial advisory services and lending services to us and our affiliates in the ordinary course of business for which they have received or will receive customary fees and reimbursement of expenses.</w:t>
      </w:r>
    </w:p>
    <w:p>
      <w:pPr>
        <w:spacing w:after="0" w:line="103"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79"/>
        <w:spacing w:after="0" w:line="271" w:lineRule="auto"/>
        <w:rPr>
          <w:sz w:val="20"/>
          <w:szCs w:val="20"/>
          <w:color w:val="auto"/>
        </w:rPr>
      </w:pPr>
      <w:r>
        <w:rPr>
          <w:rFonts w:ascii="Arial" w:cs="Arial" w:eastAsia="Arial" w:hAnsi="Arial"/>
          <w:sz w:val="17"/>
          <w:szCs w:val="17"/>
          <w:color w:val="auto"/>
        </w:rPr>
        <w:t>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89"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color w:val="auto"/>
        </w:rPr>
        <w:t>Affiliates of certain underwriters will receive at least 5% of the net proceeds of this offering in connection with the repayment of $              principal amount of the outstanding borrowings under our 2024 Term Loan A. See “Use of Proceeds.” Accordingly, this offering is being made in compliance with the requirements of Rule 5121 of FINRA. Because the notes to be offered will be rated investment grade, pursuant to Rule 5121, the appointment of a qualified independent underwriter is not necessary. The underwriters subject to Rule 5121 may not confirm sales of the notes to any account over which they exercise discretionary authority without the prior written approval of the customer.</w:t>
      </w:r>
    </w:p>
    <w:p>
      <w:pPr>
        <w:spacing w:after="0" w:line="108" w:lineRule="exact"/>
        <w:rPr>
          <w:sz w:val="20"/>
          <w:szCs w:val="20"/>
          <w:color w:val="auto"/>
        </w:rPr>
      </w:pPr>
    </w:p>
    <w:p>
      <w:pPr>
        <w:ind w:left="1260" w:right="419"/>
        <w:spacing w:after="0" w:line="245" w:lineRule="auto"/>
        <w:rPr>
          <w:sz w:val="20"/>
          <w:szCs w:val="20"/>
          <w:color w:val="auto"/>
        </w:rPr>
      </w:pPr>
      <w:r>
        <w:rPr>
          <w:rFonts w:ascii="Arial" w:cs="Arial" w:eastAsia="Arial" w:hAnsi="Arial"/>
          <w:sz w:val="18"/>
          <w:szCs w:val="18"/>
          <w:color w:val="auto"/>
        </w:rPr>
        <w:t>We expect that delivery of the notes will be made to investors on or about             , 2023, which will be the third business day following the date of this prospectus supplement (such settlement being referred to as T+3). Under Rule 15c6-1 under the Securities Exchange Act of 1934, as amended, trades in the secondary market are required to settle in two business days, unless the parties to any such trade expressly agree otherwise. Accordingly, purchasers who wish to trade notes more than two business days prior to             , 2023 will be required, by virtue of the fact that the notes initially settle in T+3, to specify an alternate settlement arrangement to prevent a failed settlement. Purchasers of the notes who wish to trade the notes more than two business days prior to             , 2023 should consult their advisors.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Canada</w:t>
      </w:r>
    </w:p>
    <w:p>
      <w:pPr>
        <w:spacing w:after="0" w:line="162" w:lineRule="exact"/>
        <w:rPr>
          <w:sz w:val="20"/>
          <w:szCs w:val="20"/>
          <w:color w:val="auto"/>
        </w:rPr>
      </w:pPr>
    </w:p>
    <w:p>
      <w:pPr>
        <w:ind w:left="1260" w:right="439"/>
        <w:spacing w:after="0" w:line="245" w:lineRule="auto"/>
        <w:rPr>
          <w:sz w:val="20"/>
          <w:szCs w:val="20"/>
          <w:color w:val="auto"/>
        </w:rPr>
      </w:pPr>
      <w:r>
        <w:rPr>
          <w:rFonts w:ascii="Arial" w:cs="Arial" w:eastAsia="Arial" w:hAnsi="Arial"/>
          <w:sz w:val="18"/>
          <w:szCs w:val="18"/>
          <w:color w:val="auto"/>
        </w:rPr>
        <w:t>The notes offered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 must be made in accordance with an exemption from, or in a transaction not subject to, the prospectus requirements of applicable securities laws.</w:t>
      </w:r>
    </w:p>
    <w:p>
      <w:pPr>
        <w:spacing w:after="0" w:line="109" w:lineRule="exact"/>
        <w:rPr>
          <w:sz w:val="20"/>
          <w:szCs w:val="20"/>
          <w:color w:val="auto"/>
        </w:rPr>
      </w:pPr>
    </w:p>
    <w:p>
      <w:pPr>
        <w:ind w:left="1260" w:right="539"/>
        <w:spacing w:after="0" w:line="24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8" w:lineRule="exact"/>
        <w:rPr>
          <w:sz w:val="20"/>
          <w:szCs w:val="20"/>
          <w:color w:val="auto"/>
        </w:rPr>
      </w:pPr>
    </w:p>
    <w:p>
      <w:pPr>
        <w:jc w:val="both"/>
        <w:ind w:left="1260" w:right="1059"/>
        <w:spacing w:after="0" w:line="26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Prohibition of Sales to EEA Retail Investors</w:t>
      </w:r>
    </w:p>
    <w:p>
      <w:pPr>
        <w:spacing w:after="0" w:line="148"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(the “EEA”) or in the United Kingdom (“UK”).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79"/>
        <w:spacing w:after="0" w:line="262" w:lineRule="auto"/>
        <w:rPr>
          <w:sz w:val="20"/>
          <w:szCs w:val="20"/>
          <w:color w:val="auto"/>
        </w:rPr>
      </w:pPr>
      <w:r>
        <w:rPr>
          <w:rFonts w:ascii="Arial" w:cs="Arial" w:eastAsia="Arial" w:hAnsi="Arial"/>
          <w:sz w:val="18"/>
          <w:szCs w:val="18"/>
          <w:color w:val="auto"/>
        </w:rPr>
        <w:t>supplement has been prepared on the basis that any offer of notes in any member state of the EEA or in the UK will be made pursuant to an exemption under the Prospectus Regulation from the requirement to publish a prospectus for offers of notes. This prospectus supplement and the underlying prospectus are not a prospectus for the purposes of the Prospectus Regulation.</w:t>
      </w:r>
    </w:p>
    <w:p>
      <w:pPr>
        <w:spacing w:after="0" w:line="109" w:lineRule="exact"/>
        <w:rPr>
          <w:sz w:val="20"/>
          <w:szCs w:val="20"/>
          <w:color w:val="auto"/>
        </w:rPr>
      </w:pPr>
    </w:p>
    <w:p>
      <w:pPr>
        <w:ind w:left="1260" w:right="719"/>
        <w:spacing w:after="0" w:line="287" w:lineRule="auto"/>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Prohibition of Sales to UK Retail Investors</w:t>
      </w:r>
    </w:p>
    <w:p>
      <w:pPr>
        <w:spacing w:after="0" w:line="148" w:lineRule="exact"/>
        <w:rPr>
          <w:sz w:val="20"/>
          <w:szCs w:val="20"/>
          <w:color w:val="auto"/>
        </w:rPr>
      </w:pPr>
    </w:p>
    <w:p>
      <w:pPr>
        <w:ind w:left="1260" w:right="419"/>
        <w:spacing w:after="0" w:line="268"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(the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 1129 as it forms part of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38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Hong Kong</w:t>
      </w:r>
    </w:p>
    <w:p>
      <w:pPr>
        <w:spacing w:after="0" w:line="162" w:lineRule="exact"/>
        <w:rPr>
          <w:sz w:val="20"/>
          <w:szCs w:val="20"/>
          <w:color w:val="auto"/>
        </w:rPr>
      </w:pPr>
    </w:p>
    <w:p>
      <w:pPr>
        <w:ind w:left="1260" w:right="659"/>
        <w:spacing w:after="0" w:line="253" w:lineRule="auto"/>
        <w:rPr>
          <w:sz w:val="20"/>
          <w:szCs w:val="20"/>
          <w:color w:val="auto"/>
        </w:rPr>
      </w:pPr>
      <w:r>
        <w:rPr>
          <w:rFonts w:ascii="Arial" w:cs="Arial" w:eastAsia="Arial" w:hAnsi="Arial"/>
          <w:sz w:val="18"/>
          <w:szCs w:val="18"/>
          <w:color w:val="auto"/>
        </w:rPr>
        <w:t>The notes may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no advertisement, invitation or document relating to the notes may be issued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Japan</w:t>
      </w:r>
    </w:p>
    <w:p>
      <w:pPr>
        <w:spacing w:after="0" w:line="148"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of Japan, as amended, the “FIEL”). In respect of the solicitation relating to the notes in Japan, no securities registration statement under Article 4, Paragraph 1 of the FIEL has been filed since this solicitation constitutes a “solicitation targeting QIIs” as defined in Article 23-13, Paragraph 1 of the FIEL (the “solicitation targeting QIIs”). The notes may not be offered or sold, directly or indirectly, in Japan or to, or for the benefit of, any Resident of Japan, or to others for reoffering or resale, directly or indirectly, in Japan or to, or for the benefit of, any Resident of Japan, except through a solicitation constituting a solicitation targeting QIIs, which will be exempt from the registration requirements of the FIEL, and otherwise in compliance with, the FIEL and any other applicable laws, regulations and ministerial guidelines of Japan in effect at the relevant time.</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39"/>
        <w:spacing w:after="0" w:line="287" w:lineRule="auto"/>
        <w:rPr>
          <w:sz w:val="20"/>
          <w:szCs w:val="20"/>
          <w:color w:val="auto"/>
        </w:rPr>
      </w:pPr>
      <w:r>
        <w:rPr>
          <w:rFonts w:ascii="Arial" w:cs="Arial" w:eastAsia="Arial" w:hAnsi="Arial"/>
          <w:sz w:val="18"/>
          <w:szCs w:val="18"/>
          <w:color w:val="auto"/>
        </w:rPr>
        <w:t>Any investor desiring to acquire the notes must be aware that the notes may not be Transferred to any other person unless such person is a QII.</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 this section:</w:t>
      </w:r>
    </w:p>
    <w:p>
      <w:pPr>
        <w:spacing w:after="0" w:line="144" w:lineRule="exact"/>
        <w:rPr>
          <w:sz w:val="20"/>
          <w:szCs w:val="20"/>
          <w:color w:val="auto"/>
        </w:rPr>
      </w:pPr>
    </w:p>
    <w:p>
      <w:pPr>
        <w:jc w:val="both"/>
        <w:ind w:left="1260" w:right="439"/>
        <w:spacing w:after="0" w:line="261" w:lineRule="auto"/>
        <w:rPr>
          <w:sz w:val="20"/>
          <w:szCs w:val="20"/>
          <w:color w:val="auto"/>
        </w:rPr>
      </w:pPr>
      <w:r>
        <w:rPr>
          <w:rFonts w:ascii="Arial" w:cs="Arial" w:eastAsia="Arial" w:hAnsi="Arial"/>
          <w:sz w:val="18"/>
          <w:szCs w:val="18"/>
          <w:color w:val="auto"/>
        </w:rPr>
        <w:t>“QII” means a qualified institutional investor as defined in the Cabinet Ordinance Concerning Definitions under Article 2 of the Financial Instruments and Exchange Law of Japan (Ordinance No. 14 of 1993 of the Ministry of Finance of Japan, as amended).</w:t>
      </w:r>
    </w:p>
    <w:p>
      <w:pPr>
        <w:spacing w:after="0" w:line="94" w:lineRule="exact"/>
        <w:rPr>
          <w:sz w:val="20"/>
          <w:szCs w:val="20"/>
          <w:color w:val="auto"/>
        </w:rPr>
      </w:pPr>
    </w:p>
    <w:p>
      <w:pPr>
        <w:jc w:val="both"/>
        <w:ind w:left="1260" w:right="439"/>
        <w:spacing w:after="0" w:line="261" w:lineRule="auto"/>
        <w:rPr>
          <w:sz w:val="20"/>
          <w:szCs w:val="20"/>
          <w:color w:val="auto"/>
        </w:rPr>
      </w:pPr>
      <w:r>
        <w:rPr>
          <w:rFonts w:ascii="Arial" w:cs="Arial" w:eastAsia="Arial" w:hAnsi="Arial"/>
          <w:sz w:val="18"/>
          <w:szCs w:val="18"/>
          <w:color w:val="auto"/>
        </w:rPr>
        <w:t>“Transfer” means a sale, exchange, transfer, assignment, pledge, hypothecation, encumbrance or other disposition of all or any portion of notes, either directly or indirectly, to another person. When used as a verb, the terms “Transfer” and “Transferred” shall have correlative meanings.</w:t>
      </w:r>
    </w:p>
    <w:p>
      <w:pPr>
        <w:spacing w:after="0" w:line="94" w:lineRule="exact"/>
        <w:rPr>
          <w:sz w:val="20"/>
          <w:szCs w:val="20"/>
          <w:color w:val="auto"/>
        </w:rPr>
      </w:pPr>
    </w:p>
    <w:p>
      <w:pPr>
        <w:ind w:left="1260" w:right="899"/>
        <w:spacing w:after="0" w:line="271" w:lineRule="auto"/>
        <w:rPr>
          <w:sz w:val="20"/>
          <w:szCs w:val="20"/>
          <w:color w:val="auto"/>
        </w:rPr>
      </w:pPr>
      <w:r>
        <w:rPr>
          <w:rFonts w:ascii="Arial" w:cs="Arial" w:eastAsia="Arial" w:hAnsi="Arial"/>
          <w:sz w:val="18"/>
          <w:szCs w:val="18"/>
          <w:color w:val="auto"/>
        </w:rPr>
        <w:t>“Resident of Japan” means any person resident in Japan, including any corporation or other entity organized under the laws of Japan.</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Singapore</w:t>
      </w:r>
    </w:p>
    <w:p>
      <w:pPr>
        <w:spacing w:after="0" w:line="162" w:lineRule="exact"/>
        <w:rPr>
          <w:sz w:val="20"/>
          <w:szCs w:val="20"/>
          <w:color w:val="auto"/>
        </w:rPr>
      </w:pPr>
    </w:p>
    <w:p>
      <w:pPr>
        <w:ind w:left="1260" w:right="719"/>
        <w:spacing w:after="0" w:line="259"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the notes may not be offered or sold or made the subject of an invitation for subscription or purchase, and this prospectus supplement or any other document or material in connection with the offer or sale, or invitation for subscription or purchase, of the notes may not be circulated or distributed, whether directly or indirectly, to any person in Singapore other than:</w:t>
      </w:r>
    </w:p>
    <w:p>
      <w:pPr>
        <w:spacing w:after="0" w:line="98" w:lineRule="exact"/>
        <w:rPr>
          <w:sz w:val="20"/>
          <w:szCs w:val="20"/>
          <w:color w:val="auto"/>
        </w:rPr>
      </w:pPr>
    </w:p>
    <w:p>
      <w:pPr>
        <w:ind w:left="1980" w:right="459" w:hanging="360"/>
        <w:spacing w:after="0" w:line="276" w:lineRule="auto"/>
        <w:tabs>
          <w:tab w:leader="none" w:pos="1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an institutional investor (as defined in Section 4A of the Securities and Futures Act (Chapter 289) of Singapore, as modified or amended from time to time (the “SFA”)) pursuant to</w:t>
      </w:r>
    </w:p>
    <w:p>
      <w:pPr>
        <w:ind w:left="1980"/>
        <w:spacing w:after="0"/>
        <w:rPr>
          <w:sz w:val="20"/>
          <w:szCs w:val="20"/>
          <w:color w:val="auto"/>
        </w:rPr>
      </w:pPr>
      <w:r>
        <w:rPr>
          <w:rFonts w:ascii="Arial" w:cs="Arial" w:eastAsia="Arial" w:hAnsi="Arial"/>
          <w:sz w:val="18"/>
          <w:szCs w:val="18"/>
          <w:color w:val="auto"/>
        </w:rPr>
        <w:t>Section 274 of the SFA;</w:t>
      </w:r>
    </w:p>
    <w:p>
      <w:pPr>
        <w:spacing w:after="0" w:line="140" w:lineRule="exact"/>
        <w:rPr>
          <w:sz w:val="20"/>
          <w:szCs w:val="20"/>
          <w:color w:val="auto"/>
        </w:rPr>
      </w:pPr>
    </w:p>
    <w:p>
      <w:pPr>
        <w:jc w:val="both"/>
        <w:ind w:left="1980" w:right="679" w:hanging="360"/>
        <w:spacing w:after="0" w:line="268"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03" w:lineRule="exact"/>
        <w:rPr>
          <w:rFonts w:ascii="Arial" w:cs="Arial" w:eastAsia="Arial" w:hAnsi="Arial"/>
          <w:sz w:val="18"/>
          <w:szCs w:val="18"/>
          <w:color w:val="auto"/>
        </w:rPr>
      </w:pPr>
    </w:p>
    <w:p>
      <w:pPr>
        <w:ind w:left="1980" w:right="439" w:hanging="360"/>
        <w:spacing w:after="0" w:line="287"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72" w:lineRule="exact"/>
        <w:rPr>
          <w:sz w:val="20"/>
          <w:szCs w:val="20"/>
          <w:color w:val="auto"/>
        </w:rPr>
      </w:pPr>
    </w:p>
    <w:p>
      <w:pPr>
        <w:ind w:left="1260" w:right="419"/>
        <w:spacing w:after="0" w:line="287" w:lineRule="auto"/>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85" w:lineRule="exact"/>
        <w:rPr>
          <w:sz w:val="20"/>
          <w:szCs w:val="20"/>
          <w:color w:val="auto"/>
        </w:rPr>
      </w:pPr>
    </w:p>
    <w:p>
      <w:pPr>
        <w:ind w:left="1980" w:right="439" w:hanging="360"/>
        <w:spacing w:after="0" w:line="268"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89" w:lineRule="exact"/>
        <w:rPr>
          <w:rFonts w:ascii="Arial" w:cs="Arial" w:eastAsia="Arial" w:hAnsi="Arial"/>
          <w:sz w:val="18"/>
          <w:szCs w:val="18"/>
          <w:color w:val="auto"/>
        </w:rPr>
      </w:pPr>
    </w:p>
    <w:p>
      <w:pPr>
        <w:ind w:left="1980" w:right="719" w:hanging="360"/>
        <w:spacing w:after="0" w:line="318" w:lineRule="auto"/>
        <w:tabs>
          <w:tab w:leader="none" w:pos="1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62" w:lineRule="exact"/>
        <w:rPr>
          <w:rFonts w:ascii="Arial" w:cs="Arial" w:eastAsia="Arial" w:hAnsi="Arial"/>
          <w:sz w:val="17"/>
          <w:szCs w:val="17"/>
          <w:color w:val="auto"/>
        </w:rPr>
      </w:pPr>
    </w:p>
    <w:p>
      <w:pPr>
        <w:ind w:left="1980" w:right="419" w:hanging="360"/>
        <w:spacing w:after="0" w:line="262"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08" w:lineRule="exact"/>
        <w:rPr>
          <w:rFonts w:ascii="Arial" w:cs="Arial" w:eastAsia="Arial" w:hAnsi="Arial"/>
          <w:sz w:val="18"/>
          <w:szCs w:val="18"/>
          <w:color w:val="auto"/>
        </w:rPr>
      </w:pPr>
    </w:p>
    <w:p>
      <w:pPr>
        <w:ind w:left="2340" w:right="659" w:hanging="360"/>
        <w:spacing w:after="0" w:line="287" w:lineRule="auto"/>
        <w:tabs>
          <w:tab w:leader="none" w:pos="23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71" w:lineRule="exact"/>
        <w:rPr>
          <w:rFonts w:ascii="Arial" w:cs="Arial" w:eastAsia="Arial" w:hAnsi="Arial"/>
          <w:sz w:val="18"/>
          <w:szCs w:val="18"/>
          <w:color w:val="auto"/>
        </w:rPr>
      </w:pPr>
    </w:p>
    <w:p>
      <w:pPr>
        <w:ind w:left="2340" w:hanging="360"/>
        <w:spacing w:after="0"/>
        <w:tabs>
          <w:tab w:leader="none" w:pos="23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7" w:lineRule="exact"/>
        <w:rPr>
          <w:rFonts w:ascii="Arial" w:cs="Arial" w:eastAsia="Arial" w:hAnsi="Arial"/>
          <w:sz w:val="18"/>
          <w:szCs w:val="18"/>
          <w:color w:val="auto"/>
        </w:rPr>
      </w:pPr>
    </w:p>
    <w:p>
      <w:pPr>
        <w:ind w:left="2340" w:hanging="360"/>
        <w:spacing w:after="0"/>
        <w:tabs>
          <w:tab w:leader="none" w:pos="23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57" w:lineRule="exact"/>
        <w:rPr>
          <w:rFonts w:ascii="Arial" w:cs="Arial" w:eastAsia="Arial" w:hAnsi="Arial"/>
          <w:sz w:val="18"/>
          <w:szCs w:val="18"/>
          <w:color w:val="auto"/>
        </w:rPr>
      </w:pPr>
    </w:p>
    <w:p>
      <w:pPr>
        <w:ind w:left="2340" w:hanging="360"/>
        <w:spacing w:after="0"/>
        <w:tabs>
          <w:tab w:leader="none" w:pos="23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44" w:lineRule="exact"/>
        <w:rPr>
          <w:rFonts w:ascii="Arial" w:cs="Arial" w:eastAsia="Arial" w:hAnsi="Arial"/>
          <w:sz w:val="18"/>
          <w:szCs w:val="18"/>
          <w:color w:val="auto"/>
        </w:rPr>
      </w:pPr>
    </w:p>
    <w:p>
      <w:pPr>
        <w:ind w:left="2340" w:right="919" w:hanging="360"/>
        <w:spacing w:after="0" w:line="318" w:lineRule="auto"/>
        <w:tabs>
          <w:tab w:leader="none" w:pos="23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as specified in Regulation 37A of the Securities and Futures (Offers of Investments) (Securities and Securities-based Derivatives Contracts) Regulations 2018.</w:t>
      </w:r>
    </w:p>
    <w:p>
      <w:pPr>
        <w:sectPr>
          <w:pgSz w:w="11900" w:h="16838" w:orient="portrait"/>
          <w:cols w:equalWidth="0" w:num="1">
            <w:col w:w="9879"/>
          </w:cols>
          <w:pgMar w:left="580" w:top="97" w:right="1440" w:bottom="1440" w:gutter="0" w:footer="0" w:header="0"/>
        </w:sectPr>
      </w:pPr>
    </w:p>
    <w:p>
      <w:pPr>
        <w:spacing w:after="0" w:line="31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Singapore Securities and Futures Act Product Classification</w:t>
      </w:r>
    </w:p>
    <w:p>
      <w:pPr>
        <w:spacing w:after="0" w:line="162"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In connection with Section 309B of the SFA and the CMP Regulations 2018, unless otherwise specified before an offer of notes, we have determined, and hereby notify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Switzerland</w:t>
      </w:r>
    </w:p>
    <w:p>
      <w:pPr>
        <w:spacing w:after="0" w:line="148" w:lineRule="exact"/>
        <w:rPr>
          <w:sz w:val="20"/>
          <w:szCs w:val="20"/>
          <w:color w:val="auto"/>
        </w:rPr>
      </w:pPr>
    </w:p>
    <w:p>
      <w:pPr>
        <w:ind w:left="1260" w:right="419"/>
        <w:spacing w:after="0" w:line="256" w:lineRule="auto"/>
        <w:rPr>
          <w:sz w:val="20"/>
          <w:szCs w:val="20"/>
          <w:color w:val="auto"/>
        </w:rPr>
      </w:pPr>
      <w:r>
        <w:rPr>
          <w:rFonts w:ascii="Arial" w:cs="Arial" w:eastAsia="Arial" w:hAnsi="Arial"/>
          <w:sz w:val="18"/>
          <w:szCs w:val="18"/>
          <w:color w:val="auto"/>
        </w:rPr>
        <w:t>This document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document nor any other offering or marketing material relating to the notes constitutes a prospectus pursuant to the FinSA, and neither this document nor any other offering or marketing material relating to the notes may be publicly distributed or otherwise made publicly available in Switzerland.</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Taiwan</w:t>
      </w:r>
    </w:p>
    <w:p>
      <w:pPr>
        <w:spacing w:after="0" w:line="148"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VALIDITY OF SECURITIES</w:t>
      </w:r>
    </w:p>
    <w:p>
      <w:pPr>
        <w:spacing w:after="0" w:line="149" w:lineRule="exact"/>
        <w:rPr>
          <w:sz w:val="20"/>
          <w:szCs w:val="20"/>
          <w:color w:val="auto"/>
        </w:rPr>
      </w:pPr>
    </w:p>
    <w:p>
      <w:pPr>
        <w:ind w:left="1260" w:right="639"/>
        <w:spacing w:after="0" w:line="268" w:lineRule="auto"/>
        <w:rPr>
          <w:sz w:val="20"/>
          <w:szCs w:val="20"/>
          <w:color w:val="auto"/>
        </w:rPr>
      </w:pPr>
      <w:r>
        <w:rPr>
          <w:rFonts w:ascii="Arial" w:cs="Arial" w:eastAsia="Arial" w:hAnsi="Arial"/>
          <w:sz w:val="18"/>
          <w:szCs w:val="18"/>
          <w:color w:val="auto"/>
        </w:rPr>
        <w:t>The legality of the notes offered hereby will be passed upon for Micron by Wilson Sonsini Goodrich &amp; Rosati, Professional Corporation, Palo Alto, California. The underwriters have been represented by Simpson Thacher &amp; Bartlett LLP, Palo Alto, California.</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EXPERTS</w:t>
      </w:r>
    </w:p>
    <w:p>
      <w:pPr>
        <w:spacing w:after="0" w:line="149" w:lineRule="exact"/>
        <w:rPr>
          <w:sz w:val="20"/>
          <w:szCs w:val="20"/>
          <w:color w:val="auto"/>
        </w:rPr>
      </w:pPr>
    </w:p>
    <w:p>
      <w:pPr>
        <w:ind w:left="1260" w:right="439"/>
        <w:spacing w:after="0" w:line="257"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33">
        <w:r>
          <w:rPr>
            <w:rFonts w:ascii="Arial" w:cs="Arial" w:eastAsia="Arial" w:hAnsi="Arial"/>
            <w:sz w:val="18"/>
            <w:szCs w:val="18"/>
            <w:color w:val="auto"/>
          </w:rPr>
          <w:t xml:space="preserve">Reporting) incorporated in this Prospectus by reference to the </w:t>
        </w:r>
        <w:r>
          <w:rPr>
            <w:rFonts w:ascii="Arial" w:cs="Arial" w:eastAsia="Arial" w:hAnsi="Arial"/>
            <w:sz w:val="18"/>
            <w:szCs w:val="18"/>
            <w:u w:val="single" w:color="auto"/>
            <w:color w:val="0000EE"/>
          </w:rPr>
          <w:t>Annual Report on Form 10-K for the year</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ended September 1, 2022</w:t>
        </w:r>
        <w:r>
          <w:rPr>
            <w:rFonts w:ascii="Arial" w:cs="Arial" w:eastAsia="Arial" w:hAnsi="Arial"/>
            <w:sz w:val="18"/>
            <w:szCs w:val="18"/>
            <w:color w:val="0000EE"/>
          </w:rPr>
          <w:t xml:space="preserve"> </w:t>
        </w:r>
        <w:r>
          <w:rPr>
            <w:rFonts w:ascii="Arial" w:cs="Arial" w:eastAsia="Arial" w:hAnsi="Arial"/>
            <w:sz w:val="18"/>
            <w:szCs w:val="18"/>
            <w:color w:val="000000"/>
          </w:rPr>
          <w:t>have been so incorporated in reliance on the report of</w:t>
        </w:r>
      </w:hyperlink>
      <w:r>
        <w:rPr>
          <w:rFonts w:ascii="Arial" w:cs="Arial" w:eastAsia="Arial" w:hAnsi="Arial"/>
          <w:sz w:val="18"/>
          <w:szCs w:val="18"/>
          <w:color w:val="0000EE"/>
        </w:rPr>
        <w:t xml:space="preserve"> </w:t>
      </w:r>
      <w:r>
        <w:rPr>
          <w:rFonts w:ascii="Arial" w:cs="Arial" w:eastAsia="Arial" w:hAnsi="Arial"/>
          <w:sz w:val="18"/>
          <w:szCs w:val="18"/>
          <w:color w:val="000000"/>
        </w:rPr>
        <w:t>PricewaterhouseCoopers LLP, an independent registered public accounting firm, given on the authority of said firm as experts in auditing and accounting.</w:t>
      </w:r>
    </w:p>
    <w:p>
      <w:pPr>
        <w:spacing w:after="0" w:line="154" w:lineRule="exact"/>
        <w:rPr>
          <w:sz w:val="20"/>
          <w:szCs w:val="20"/>
          <w:color w:val="auto"/>
        </w:rPr>
      </w:pPr>
    </w:p>
    <w:p>
      <w:pPr>
        <w:ind w:left="1260" w:right="3079"/>
        <w:spacing w:after="0" w:line="268" w:lineRule="auto"/>
        <w:rPr>
          <w:sz w:val="20"/>
          <w:szCs w:val="20"/>
          <w:color w:val="auto"/>
        </w:rPr>
      </w:pPr>
      <w:r>
        <w:rPr>
          <w:rFonts w:ascii="Arial" w:cs="Arial" w:eastAsia="Arial" w:hAnsi="Arial"/>
          <w:sz w:val="40"/>
          <w:szCs w:val="40"/>
          <w:b w:val="1"/>
          <w:bCs w:val="1"/>
          <w:color w:val="auto"/>
        </w:rPr>
        <w:t>WHERE YOU CAN FIND MORE INFORMATION</w:t>
      </w:r>
    </w:p>
    <w:p>
      <w:pPr>
        <w:ind w:left="1260" w:right="439"/>
        <w:spacing w:after="0" w:line="259"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The SEC maintains an 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from which interested persons can electronically access any document we file electronically with the SEC, including the registration statement of which this prospectus supplement and the accompanying prospectus form a part, including the exhibits and schedules to the registration statement.</w:t>
      </w:r>
    </w:p>
    <w:p>
      <w:pPr>
        <w:spacing w:after="0" w:line="112"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 xml:space="preserve">As permitted by the SEC rules, this prospectus supplement and the accompanying prospectus do not contain all the information that you can find in the registration statement or the exhibits to that statement. 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Exchange Act prior to the termination of the offering under this prospectus supplement,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nothing contained herein shall be deemed to incorporate information furnished to, but not filed with, the SEC, including under Item 2.02 or Item 7.01 of any Current Report on Form 8-K:</w:t>
      </w:r>
    </w:p>
    <w:p>
      <w:pPr>
        <w:spacing w:after="0" w:line="74" w:lineRule="exact"/>
        <w:rPr>
          <w:sz w:val="20"/>
          <w:szCs w:val="20"/>
          <w:color w:val="auto"/>
        </w:rPr>
      </w:pPr>
    </w:p>
    <w:p>
      <w:pPr>
        <w:ind w:left="1800" w:hanging="180"/>
        <w:spacing w:after="0"/>
        <w:tabs>
          <w:tab w:leader="none" w:pos="1800" w:val="left"/>
        </w:tabs>
        <w:numPr>
          <w:ilvl w:val="0"/>
          <w:numId w:val="42"/>
        </w:numPr>
        <w:rPr>
          <w:rFonts w:ascii="Arial" w:cs="Arial" w:eastAsia="Arial" w:hAnsi="Arial"/>
          <w:sz w:val="18"/>
          <w:szCs w:val="18"/>
          <w:u w:val="single" w:color="auto"/>
          <w:color w:val="0000EE"/>
        </w:rPr>
      </w:pPr>
      <w:hyperlink r:id="rId33">
        <w:r>
          <w:rPr>
            <w:rFonts w:ascii="Arial" w:cs="Arial" w:eastAsia="Arial" w:hAnsi="Arial"/>
            <w:sz w:val="18"/>
            <w:szCs w:val="18"/>
            <w:u w:val="single" w:color="auto"/>
            <w:color w:val="0000EE"/>
          </w:rPr>
          <w:t>Our Annual Report on Form 10-K for the fiscal year ended September 1, 2022;</w:t>
        </w:r>
      </w:hyperlink>
    </w:p>
    <w:p>
      <w:pPr>
        <w:spacing w:after="0" w:line="117" w:lineRule="exact"/>
        <w:rPr>
          <w:rFonts w:ascii="Arial" w:cs="Arial" w:eastAsia="Arial" w:hAnsi="Arial"/>
          <w:sz w:val="18"/>
          <w:szCs w:val="18"/>
          <w:u w:val="single" w:color="auto"/>
          <w:color w:val="0000EE"/>
        </w:rPr>
      </w:pPr>
    </w:p>
    <w:p>
      <w:pPr>
        <w:ind w:left="1800" w:right="1019" w:hanging="180"/>
        <w:spacing w:after="0" w:line="287" w:lineRule="auto"/>
        <w:tabs>
          <w:tab w:leader="none" w:pos="1800" w:val="left"/>
        </w:tabs>
        <w:numPr>
          <w:ilvl w:val="0"/>
          <w:numId w:val="42"/>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fiscal quarters ended </w:t>
      </w:r>
      <w:hyperlink r:id="rId90">
        <w:r>
          <w:rPr>
            <w:rFonts w:ascii="Arial" w:cs="Arial" w:eastAsia="Arial" w:hAnsi="Arial"/>
            <w:sz w:val="18"/>
            <w:szCs w:val="18"/>
            <w:u w:val="single" w:color="auto"/>
            <w:color w:val="0000EE"/>
          </w:rPr>
          <w:t>December 1,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4">
        <w:r>
          <w:rPr>
            <w:rFonts w:ascii="Arial" w:cs="Arial" w:eastAsia="Arial" w:hAnsi="Arial"/>
            <w:sz w:val="18"/>
            <w:szCs w:val="18"/>
            <w:u w:val="single" w:color="auto"/>
            <w:color w:val="0000EE"/>
          </w:rPr>
          <w:t>March 2, 2023</w:t>
        </w:r>
      </w:hyperlink>
      <w:r>
        <w:rPr>
          <w:rFonts w:ascii="Arial" w:cs="Arial" w:eastAsia="Arial" w:hAnsi="Arial"/>
          <w:sz w:val="18"/>
          <w:szCs w:val="18"/>
          <w:color w:val="000000"/>
        </w:rPr>
        <w:t>;</w:t>
      </w:r>
    </w:p>
    <w:p>
      <w:pPr>
        <w:spacing w:after="0" w:line="44" w:lineRule="exact"/>
        <w:rPr>
          <w:rFonts w:ascii="Arial" w:cs="Arial" w:eastAsia="Arial" w:hAnsi="Arial"/>
          <w:sz w:val="18"/>
          <w:szCs w:val="18"/>
          <w:color w:val="0000EE"/>
        </w:rPr>
      </w:pPr>
    </w:p>
    <w:p>
      <w:pPr>
        <w:ind w:left="1800" w:right="439" w:hanging="180"/>
        <w:spacing w:after="0" w:line="268" w:lineRule="auto"/>
        <w:tabs>
          <w:tab w:leader="none" w:pos="1800" w:val="left"/>
        </w:tabs>
        <w:numPr>
          <w:ilvl w:val="0"/>
          <w:numId w:val="42"/>
        </w:numPr>
        <w:rPr>
          <w:rFonts w:ascii="Arial" w:cs="Arial" w:eastAsia="Arial" w:hAnsi="Arial"/>
          <w:sz w:val="18"/>
          <w:szCs w:val="18"/>
          <w:color w:val="0000EE"/>
        </w:rPr>
      </w:pPr>
      <w:hyperlink r:id="rId33">
        <w:r>
          <w:rPr>
            <w:rFonts w:ascii="Arial" w:cs="Arial" w:eastAsia="Arial" w:hAnsi="Arial"/>
            <w:sz w:val="18"/>
            <w:szCs w:val="18"/>
            <w:color w:val="auto"/>
          </w:rPr>
          <w:t xml:space="preserve">Information specifically incorporated by reference into our </w:t>
        </w:r>
        <w:r>
          <w:rPr>
            <w:rFonts w:ascii="Arial" w:cs="Arial" w:eastAsia="Arial" w:hAnsi="Arial"/>
            <w:sz w:val="18"/>
            <w:szCs w:val="18"/>
            <w:u w:val="single" w:color="auto"/>
            <w:color w:val="0000EE"/>
          </w:rPr>
          <w:t>Annual Report on Form 10-K for the</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EE"/>
          </w:rPr>
          <w:t>fiscal year ended September 1, 2022</w:t>
        </w:r>
        <w:r>
          <w:rPr>
            <w:rFonts w:ascii="Arial" w:cs="Arial" w:eastAsia="Arial" w:hAnsi="Arial"/>
            <w:sz w:val="18"/>
            <w:szCs w:val="18"/>
            <w:color w:val="0000EE"/>
          </w:rPr>
          <w:t xml:space="preserve"> </w:t>
        </w:r>
        <w:r>
          <w:rPr>
            <w:rFonts w:ascii="Arial" w:cs="Arial" w:eastAsia="Arial" w:hAnsi="Arial"/>
            <w:sz w:val="18"/>
            <w:szCs w:val="18"/>
            <w:color w:val="000000"/>
          </w:rPr>
          <w:t>from our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Definitive Proxy Statement on Schedule 14A, filed</w:t>
        </w:r>
      </w:hyperlink>
      <w:r>
        <w:rPr>
          <w:rFonts w:ascii="Arial" w:cs="Arial" w:eastAsia="Arial" w:hAnsi="Arial"/>
          <w:sz w:val="18"/>
          <w:szCs w:val="18"/>
          <w:color w:val="0000EE"/>
        </w:rPr>
        <w:t xml:space="preserve"> </w:t>
      </w:r>
      <w:hyperlink r:id="rId91">
        <w:r>
          <w:rPr>
            <w:rFonts w:ascii="Arial" w:cs="Arial" w:eastAsia="Arial" w:hAnsi="Arial"/>
            <w:sz w:val="18"/>
            <w:szCs w:val="18"/>
            <w:u w:val="single" w:color="auto"/>
            <w:color w:val="0000EE"/>
          </w:rPr>
          <w:t>with the SEC on December 2, 2022</w:t>
        </w:r>
        <w:r>
          <w:rPr>
            <w:rFonts w:ascii="Arial" w:cs="Arial" w:eastAsia="Arial" w:hAnsi="Arial"/>
            <w:sz w:val="18"/>
            <w:szCs w:val="18"/>
            <w:color w:val="000000"/>
          </w:rPr>
          <w:t>; and</w:t>
        </w:r>
      </w:hyperlink>
    </w:p>
    <w:p>
      <w:pPr>
        <w:spacing w:after="0" w:line="62" w:lineRule="exact"/>
        <w:rPr>
          <w:rFonts w:ascii="Arial" w:cs="Arial" w:eastAsia="Arial" w:hAnsi="Arial"/>
          <w:sz w:val="18"/>
          <w:szCs w:val="18"/>
          <w:color w:val="0000EE"/>
        </w:rPr>
      </w:pPr>
    </w:p>
    <w:p>
      <w:pPr>
        <w:ind w:left="1800" w:right="539" w:hanging="180"/>
        <w:spacing w:after="0" w:line="268" w:lineRule="auto"/>
        <w:tabs>
          <w:tab w:leader="none" w:pos="1800" w:val="left"/>
        </w:tabs>
        <w:numPr>
          <w:ilvl w:val="0"/>
          <w:numId w:val="42"/>
        </w:numPr>
        <w:rPr>
          <w:rFonts w:ascii="Arial" w:cs="Arial" w:eastAsia="Arial" w:hAnsi="Arial"/>
          <w:sz w:val="18"/>
          <w:szCs w:val="18"/>
          <w:color w:val="0000EE"/>
        </w:rPr>
      </w:pPr>
      <w:r>
        <w:rPr>
          <w:rFonts w:ascii="Arial" w:cs="Arial" w:eastAsia="Arial" w:hAnsi="Arial"/>
          <w:sz w:val="18"/>
          <w:szCs w:val="18"/>
          <w:color w:val="auto"/>
        </w:rPr>
        <w:t xml:space="preserve">Current Reports on Form 8-K filed with the SEC on </w:t>
      </w:r>
      <w:hyperlink r:id="rId92">
        <w:r>
          <w:rPr>
            <w:rFonts w:ascii="Arial" w:cs="Arial" w:eastAsia="Arial" w:hAnsi="Arial"/>
            <w:sz w:val="18"/>
            <w:szCs w:val="18"/>
            <w:u w:val="single" w:color="auto"/>
            <w:color w:val="0000EE"/>
          </w:rPr>
          <w:t>October 31, 2022</w:t>
        </w:r>
      </w:hyperlink>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EE"/>
          </w:rPr>
          <w:t>November 3, 2022</w:t>
        </w:r>
      </w:hyperlink>
      <w:r>
        <w:rPr>
          <w:rFonts w:ascii="Arial" w:cs="Arial" w:eastAsia="Arial" w:hAnsi="Arial"/>
          <w:sz w:val="18"/>
          <w:szCs w:val="18"/>
          <w:color w:val="auto"/>
        </w:rPr>
        <w:t xml:space="preserve">, </w:t>
      </w:r>
      <w:hyperlink r:id="rId94">
        <w:r>
          <w:rPr>
            <w:rFonts w:ascii="Arial" w:cs="Arial" w:eastAsia="Arial" w:hAnsi="Arial"/>
            <w:sz w:val="18"/>
            <w:szCs w:val="18"/>
            <w:u w:val="single" w:color="auto"/>
            <w:color w:val="0000EE"/>
          </w:rPr>
          <w:t>December 21, 2022</w:t>
        </w:r>
        <w:r>
          <w:rPr>
            <w:rFonts w:ascii="Arial" w:cs="Arial" w:eastAsia="Arial" w:hAnsi="Arial"/>
            <w:sz w:val="18"/>
            <w:szCs w:val="18"/>
            <w:color w:val="0000EE"/>
          </w:rPr>
          <w:t xml:space="preserve"> </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2.05 only),</w:t>
      </w:r>
      <w:r>
        <w:rPr>
          <w:rFonts w:ascii="Arial" w:cs="Arial" w:eastAsia="Arial" w:hAnsi="Arial"/>
          <w:sz w:val="18"/>
          <w:szCs w:val="18"/>
          <w:color w:val="0000EE"/>
        </w:rPr>
        <w:t xml:space="preserve"> </w:t>
      </w:r>
      <w:hyperlink r:id="rId95">
        <w:r>
          <w:rPr>
            <w:rFonts w:ascii="Arial" w:cs="Arial" w:eastAsia="Arial" w:hAnsi="Arial"/>
            <w:sz w:val="18"/>
            <w:szCs w:val="18"/>
            <w:u w:val="single" w:color="auto"/>
            <w:color w:val="0000EE"/>
          </w:rPr>
          <w:t>January 5,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96">
        <w:r>
          <w:rPr>
            <w:rFonts w:ascii="Arial" w:cs="Arial" w:eastAsia="Arial" w:hAnsi="Arial"/>
            <w:sz w:val="18"/>
            <w:szCs w:val="18"/>
            <w:u w:val="single" w:color="auto"/>
            <w:color w:val="0000EE"/>
          </w:rPr>
          <w:t xml:space="preserve">January 13, 2023,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97">
        <w:r>
          <w:rPr>
            <w:rFonts w:ascii="Arial" w:cs="Arial" w:eastAsia="Arial" w:hAnsi="Arial"/>
            <w:sz w:val="18"/>
            <w:szCs w:val="18"/>
            <w:u w:val="single" w:color="auto"/>
            <w:color w:val="0000EE"/>
          </w:rPr>
          <w:t>February 9, 2023</w:t>
        </w:r>
      </w:hyperlink>
      <w:r>
        <w:rPr>
          <w:rFonts w:ascii="Arial" w:cs="Arial" w:eastAsia="Arial" w:hAnsi="Arial"/>
          <w:sz w:val="18"/>
          <w:szCs w:val="18"/>
          <w:color w:val="0000EE"/>
        </w:rPr>
        <w:t xml:space="preserve"> </w:t>
      </w:r>
      <w:hyperlink r:id="rId98">
        <w:r>
          <w:rPr>
            <w:rFonts w:ascii="Arial" w:cs="Arial" w:eastAsia="Arial" w:hAnsi="Arial"/>
            <w:sz w:val="18"/>
            <w:szCs w:val="18"/>
            <w:u w:val="single" w:color="auto"/>
            <w:color w:val="0000EE"/>
          </w:rPr>
          <w:t>(both of such reports)</w:t>
        </w:r>
      </w:hyperlink>
      <w:r>
        <w:rPr>
          <w:rFonts w:ascii="Arial" w:cs="Arial" w:eastAsia="Arial" w:hAnsi="Arial"/>
          <w:sz w:val="18"/>
          <w:szCs w:val="18"/>
          <w:color w:val="000000"/>
        </w:rPr>
        <w:t>.</w:t>
      </w:r>
    </w:p>
    <w:p>
      <w:pPr>
        <w:spacing w:after="0" w:line="103" w:lineRule="exact"/>
        <w:rPr>
          <w:rFonts w:ascii="Arial" w:cs="Arial" w:eastAsia="Arial" w:hAnsi="Arial"/>
          <w:sz w:val="18"/>
          <w:szCs w:val="18"/>
          <w:color w:val="0000EE"/>
        </w:rPr>
      </w:pPr>
    </w:p>
    <w:p>
      <w:pPr>
        <w:ind w:left="1260" w:right="519"/>
        <w:spacing w:after="0" w:line="282" w:lineRule="auto"/>
        <w:rPr>
          <w:sz w:val="20"/>
          <w:szCs w:val="20"/>
          <w:color w:val="auto"/>
        </w:rPr>
      </w:pPr>
      <w:r>
        <w:rPr>
          <w:rFonts w:ascii="Arial" w:cs="Arial" w:eastAsia="Arial" w:hAnsi="Arial"/>
          <w:sz w:val="17"/>
          <w:szCs w:val="17"/>
          <w:color w:val="auto"/>
        </w:rPr>
        <w:t xml:space="preserve">You may request a copy of these filings at no cost by contacting our Investor Relations department by visiting our Web site at </w:t>
      </w:r>
      <w:r>
        <w:rPr>
          <w:rFonts w:ascii="Arial" w:cs="Arial" w:eastAsia="Arial" w:hAnsi="Arial"/>
          <w:sz w:val="17"/>
          <w:szCs w:val="17"/>
          <w:i w:val="1"/>
          <w:iCs w:val="1"/>
          <w:color w:val="auto"/>
        </w:rPr>
        <w:t>www.micron.com</w:t>
      </w:r>
      <w:r>
        <w:rPr>
          <w:rFonts w:ascii="Arial" w:cs="Arial" w:eastAsia="Arial" w:hAnsi="Arial"/>
          <w:sz w:val="17"/>
          <w:szCs w:val="17"/>
          <w:color w:val="auto"/>
        </w:rPr>
        <w:t>, by calling (208) 368-4000, by writing to Investor Relations, Micron Technology, Inc., 8000 South Federal Way, Boise, ID 83716. The information contained or incorporated in our website is not part of this prospectus supplement or the accompanying prospectus.</w:t>
      </w:r>
    </w:p>
    <w:p>
      <w:pPr>
        <w:spacing w:after="0" w:line="200" w:lineRule="exact"/>
        <w:rPr>
          <w:rFonts w:ascii="Arial" w:cs="Arial" w:eastAsia="Arial" w:hAnsi="Arial"/>
          <w:sz w:val="18"/>
          <w:szCs w:val="18"/>
          <w:color w:val="0000EE"/>
        </w:rPr>
      </w:pPr>
    </w:p>
    <w:p>
      <w:pPr>
        <w:spacing w:after="0" w:line="258" w:lineRule="exact"/>
        <w:rPr>
          <w:rFonts w:ascii="Arial" w:cs="Arial" w:eastAsia="Arial" w:hAnsi="Arial"/>
          <w:sz w:val="18"/>
          <w:szCs w:val="18"/>
          <w:color w:val="0000EE"/>
        </w:rPr>
      </w:pPr>
    </w:p>
    <w:p>
      <w:pPr>
        <w:ind w:left="5160"/>
        <w:spacing w:after="0"/>
        <w:rPr>
          <w:sz w:val="20"/>
          <w:szCs w:val="20"/>
          <w:color w:val="auto"/>
        </w:rPr>
      </w:pPr>
      <w:r>
        <w:rPr>
          <w:rFonts w:ascii="Arial" w:cs="Arial" w:eastAsia="Arial" w:hAnsi="Arial"/>
          <w:sz w:val="18"/>
          <w:szCs w:val="18"/>
          <w:color w:val="auto"/>
        </w:rPr>
        <w:t>S-45</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126365</wp:posOffset>
            </wp:positionV>
            <wp:extent cx="2468880" cy="685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24688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860"/>
        <w:spacing w:after="0"/>
        <w:rPr>
          <w:sz w:val="20"/>
          <w:szCs w:val="20"/>
          <w:color w:val="auto"/>
        </w:rPr>
      </w:pPr>
      <w:r>
        <w:rPr>
          <w:rFonts w:ascii="Arial" w:cs="Arial" w:eastAsia="Arial" w:hAnsi="Arial"/>
          <w:sz w:val="40"/>
          <w:szCs w:val="40"/>
          <w:b w:val="1"/>
          <w:bCs w:val="1"/>
          <w:color w:val="auto"/>
        </w:rPr>
        <w:t>MICRON TECHNOLOGY, INC.</w:t>
      </w:r>
    </w:p>
    <w:p>
      <w:pPr>
        <w:spacing w:after="0" w:line="216"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Common Stock</w:t>
      </w:r>
    </w:p>
    <w:p>
      <w:pPr>
        <w:spacing w:after="0" w:line="30"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Debt Securities</w:t>
      </w:r>
    </w:p>
    <w:p>
      <w:pPr>
        <w:spacing w:after="0" w:line="6"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Warrants</w:t>
      </w:r>
    </w:p>
    <w:p>
      <w:pPr>
        <w:spacing w:after="0" w:line="6"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Purchase Contracts</w:t>
      </w:r>
    </w:p>
    <w:p>
      <w:pPr>
        <w:spacing w:after="0" w:line="6" w:lineRule="exact"/>
        <w:rPr>
          <w:sz w:val="20"/>
          <w:szCs w:val="20"/>
          <w:color w:val="auto"/>
        </w:rPr>
      </w:pPr>
    </w:p>
    <w:p>
      <w:pPr>
        <w:jc w:val="center"/>
        <w:ind w:right="-860"/>
        <w:spacing w:after="0"/>
        <w:rPr>
          <w:sz w:val="20"/>
          <w:szCs w:val="20"/>
          <w:color w:val="auto"/>
        </w:rPr>
      </w:pPr>
      <w:r>
        <w:rPr>
          <w:rFonts w:ascii="Arial" w:cs="Arial" w:eastAsia="Arial" w:hAnsi="Arial"/>
          <w:sz w:val="23"/>
          <w:szCs w:val="23"/>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223520</wp:posOffset>
            </wp:positionV>
            <wp:extent cx="12344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260" w:right="739"/>
        <w:spacing w:after="0" w:line="287"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72" w:lineRule="exact"/>
        <w:rPr>
          <w:sz w:val="20"/>
          <w:szCs w:val="20"/>
          <w:color w:val="auto"/>
        </w:rPr>
      </w:pPr>
    </w:p>
    <w:p>
      <w:pPr>
        <w:ind w:left="1260" w:right="619"/>
        <w:spacing w:after="0" w:line="278" w:lineRule="auto"/>
        <w:rPr>
          <w:sz w:val="20"/>
          <w:szCs w:val="20"/>
          <w:color w:val="auto"/>
        </w:rPr>
      </w:pPr>
      <w:r>
        <w:rPr>
          <w:rFonts w:ascii="Arial" w:cs="Arial" w:eastAsia="Arial" w:hAnsi="Arial"/>
          <w:sz w:val="17"/>
          <w:szCs w:val="17"/>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96" w:lineRule="exact"/>
        <w:rPr>
          <w:sz w:val="20"/>
          <w:szCs w:val="20"/>
          <w:color w:val="auto"/>
        </w:rPr>
      </w:pPr>
    </w:p>
    <w:p>
      <w:pPr>
        <w:ind w:left="1260" w:right="499"/>
        <w:spacing w:after="0" w:line="255"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203835</wp:posOffset>
            </wp:positionV>
            <wp:extent cx="12344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260" w:right="559"/>
        <w:spacing w:after="0" w:line="265" w:lineRule="auto"/>
        <w:rPr>
          <w:sz w:val="20"/>
          <w:szCs w:val="20"/>
          <w:color w:val="auto"/>
        </w:rPr>
      </w:pPr>
      <w:r>
        <w:rPr>
          <w:rFonts w:ascii="Arial" w:cs="Arial" w:eastAsia="Arial" w:hAnsi="Arial"/>
          <w:sz w:val="18"/>
          <w:szCs w:val="18"/>
          <w:b w:val="1"/>
          <w:bCs w:val="1"/>
          <w:color w:val="auto"/>
        </w:rPr>
        <w:t xml:space="preserve">INVESTING IN OUR SECURITIES INVOLVES RISKS. SEE “RISK FACTORS” ON PAGE </w:t>
      </w:r>
      <w:r>
        <w:rPr>
          <w:rFonts w:ascii="Arial" w:cs="Arial" w:eastAsia="Arial" w:hAnsi="Arial"/>
          <w:sz w:val="18"/>
          <w:szCs w:val="18"/>
          <w:b w:val="1"/>
          <w:bCs w:val="1"/>
          <w:u w:val="single" w:color="auto"/>
          <w:color w:val="0000EE"/>
        </w:rPr>
        <w:t>5</w:t>
      </w:r>
      <w:r>
        <w:rPr>
          <w:rFonts w:ascii="Arial" w:cs="Arial" w:eastAsia="Arial" w:hAnsi="Arial"/>
          <w:sz w:val="18"/>
          <w:szCs w:val="18"/>
          <w:b w:val="1"/>
          <w:bCs w:val="1"/>
          <w:color w:val="auto"/>
        </w:rPr>
        <w:t xml:space="preserve"> AND ANY SIMILAR SECTION CONTAINED IN OR INCORPORATED BY REFERENCE IN THE APPLICABLE PROSPECTUS SUPPLEMENT CONCERNING FACTORS YOU SHOULD CONSIDER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194310</wp:posOffset>
            </wp:positionV>
            <wp:extent cx="12344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ind w:left="1260" w:right="659"/>
        <w:spacing w:after="0" w:line="268" w:lineRule="auto"/>
        <w:rPr>
          <w:sz w:val="20"/>
          <w:szCs w:val="20"/>
          <w:color w:val="auto"/>
        </w:rPr>
      </w:pPr>
      <w:r>
        <w:rPr>
          <w:rFonts w:ascii="Arial" w:cs="Arial" w:eastAsia="Arial" w:hAnsi="Arial"/>
          <w:sz w:val="18"/>
          <w:szCs w:val="18"/>
          <w:color w:val="auto"/>
        </w:rPr>
        <w:t>Our common stock is listed on The Nasdaq Global Select Market (“Nasdaq”) under the symbol “MU.” On November 3, 2020, the last reported sale price of our common stock on Nasdaq was $51.08 per share.</w:t>
      </w:r>
    </w:p>
    <w:p>
      <w:pPr>
        <w:spacing w:after="0" w:line="90" w:lineRule="exact"/>
        <w:rPr>
          <w:sz w:val="20"/>
          <w:szCs w:val="20"/>
          <w:color w:val="auto"/>
        </w:rPr>
      </w:pPr>
    </w:p>
    <w:p>
      <w:pPr>
        <w:ind w:left="1260" w:right="619"/>
        <w:spacing w:after="0" w:line="27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date of this prospectus is November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759460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TABLE OF CONTENTS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About</w:t>
      </w:r>
      <w:r>
        <w:rPr>
          <w:rFonts w:ascii="Arial" w:cs="Arial" w:eastAsia="Arial" w:hAnsi="Arial"/>
          <w:sz w:val="18"/>
          <w:szCs w:val="18"/>
          <w:color w:val="000000"/>
        </w:rPr>
        <w:t>​</w:t>
      </w:r>
      <w:r>
        <w:rPr>
          <w:rFonts w:ascii="Arial" w:cs="Arial" w:eastAsia="Arial" w:hAnsi="Arial"/>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Where</w:t>
      </w:r>
      <w:r>
        <w:rPr>
          <w:rFonts w:ascii="Arial" w:cs="Arial" w:eastAsia="Arial" w:hAnsi="Arial"/>
          <w:sz w:val="17"/>
          <w:szCs w:val="17"/>
          <w:color w:val="000000"/>
        </w:rPr>
        <w:t>​</w:t>
      </w:r>
      <w:r>
        <w:rPr>
          <w:rFonts w:ascii="Arial" w:cs="Arial" w:eastAsia="Arial" w:hAnsi="Arial"/>
          <w:sz w:val="17"/>
          <w:szCs w:val="17"/>
          <w:color w:val="0000EE"/>
        </w:rPr>
        <w:t xml:space="preserv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974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5"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The</w:t>
      </w:r>
      <w:r>
        <w:rPr>
          <w:rFonts w:ascii="Arial" w:cs="Arial" w:eastAsia="Arial" w:hAnsi="Arial"/>
          <w:sz w:val="18"/>
          <w:szCs w:val="18"/>
          <w:color w:val="000000"/>
        </w:rPr>
        <w:t>​</w:t>
      </w:r>
      <w:r>
        <w:rPr>
          <w:rFonts w:ascii="Arial" w:cs="Arial" w:eastAsia="Arial" w:hAnsi="Arial"/>
          <w:sz w:val="18"/>
          <w:szCs w:val="18"/>
          <w:color w:val="0000EE"/>
        </w:rPr>
        <w:t xml:space="preserve"> Company</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Risk</w:t>
      </w:r>
      <w:r>
        <w:rPr>
          <w:rFonts w:ascii="Arial" w:cs="Arial" w:eastAsia="Arial" w:hAnsi="Arial"/>
          <w:sz w:val="18"/>
          <w:szCs w:val="18"/>
          <w:color w:val="000000"/>
        </w:rPr>
        <w:t>​</w:t>
      </w:r>
      <w:r>
        <w:rPr>
          <w:rFonts w:ascii="Arial" w:cs="Arial" w:eastAsia="Arial" w:hAnsi="Arial"/>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Use</w:t>
      </w:r>
      <w:r>
        <w:rPr>
          <w:rFonts w:ascii="Arial" w:cs="Arial" w:eastAsia="Arial" w:hAnsi="Arial"/>
          <w:sz w:val="18"/>
          <w:szCs w:val="18"/>
          <w:color w:val="000000"/>
        </w:rPr>
        <w:t>​</w:t>
      </w:r>
      <w:r>
        <w:rPr>
          <w:rFonts w:ascii="Arial" w:cs="Arial" w:eastAsia="Arial" w:hAnsi="Arial"/>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Description</w:t>
      </w:r>
      <w:r>
        <w:rPr>
          <w:rFonts w:ascii="Arial" w:cs="Arial" w:eastAsia="Arial" w:hAnsi="Arial"/>
          <w:sz w:val="18"/>
          <w:szCs w:val="18"/>
          <w:color w:val="000000"/>
        </w:rPr>
        <w:t>​</w:t>
      </w:r>
      <w:r>
        <w:rPr>
          <w:rFonts w:ascii="Arial" w:cs="Arial" w:eastAsia="Arial" w:hAnsi="Arial"/>
          <w:sz w:val="18"/>
          <w:szCs w:val="18"/>
          <w:color w:val="0000EE"/>
        </w:rPr>
        <w:t xml:space="preserv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Plan</w:t>
      </w:r>
      <w:r>
        <w:rPr>
          <w:rFonts w:ascii="Arial" w:cs="Arial" w:eastAsia="Arial" w:hAnsi="Arial"/>
          <w:sz w:val="18"/>
          <w:szCs w:val="18"/>
          <w:color w:val="000000"/>
        </w:rPr>
        <w:t>​</w:t>
      </w:r>
      <w:r>
        <w:rPr>
          <w:rFonts w:ascii="Arial" w:cs="Arial" w:eastAsia="Arial" w:hAnsi="Arial"/>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Legal</w:t>
      </w:r>
      <w:r>
        <w:rPr>
          <w:rFonts w:ascii="Arial" w:cs="Arial" w:eastAsia="Arial" w:hAnsi="Arial"/>
          <w:sz w:val="18"/>
          <w:szCs w:val="18"/>
          <w:color w:val="000000"/>
        </w:rPr>
        <w:t>​</w:t>
      </w:r>
      <w:r>
        <w:rPr>
          <w:rFonts w:ascii="Arial" w:cs="Arial" w:eastAsia="Arial" w:hAnsi="Arial"/>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w:t>
      </w:r>
      <w:r>
        <w:rPr>
          <w:rFonts w:ascii="Arial" w:cs="Arial" w:eastAsia="Arial" w:hAnsi="Arial"/>
          <w:sz w:val="18"/>
          <w:szCs w:val="18"/>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5</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7</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8</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9</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9</w:t>
      </w:r>
      <w:r>
        <w:rPr>
          <w:rFonts w:ascii="Arial" w:cs="Arial" w:eastAsia="Arial" w:hAnsi="Arial"/>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ABOUT THIS PROSPECTUS</w:t>
      </w:r>
    </w:p>
    <w:p>
      <w:pPr>
        <w:spacing w:after="0" w:line="149"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18"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06" w:lineRule="exact"/>
        <w:rPr>
          <w:sz w:val="20"/>
          <w:szCs w:val="20"/>
          <w:color w:val="auto"/>
        </w:rPr>
      </w:pPr>
    </w:p>
    <w:p>
      <w:pPr>
        <w:ind w:left="1260" w:right="479"/>
        <w:spacing w:after="0" w:line="291" w:lineRule="auto"/>
        <w:rPr>
          <w:sz w:val="20"/>
          <w:szCs w:val="20"/>
          <w:color w:val="auto"/>
        </w:rPr>
      </w:pPr>
      <w:r>
        <w:rPr>
          <w:rFonts w:ascii="Arial" w:cs="Arial" w:eastAsia="Arial" w:hAnsi="Arial"/>
          <w:sz w:val="17"/>
          <w:szCs w:val="17"/>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WHERE YOU CAN FIND MORE</w:t>
      </w:r>
    </w:p>
    <w:p>
      <w:pPr>
        <w:ind w:left="1260"/>
        <w:spacing w:after="0" w:line="231" w:lineRule="auto"/>
        <w:rPr>
          <w:sz w:val="20"/>
          <w:szCs w:val="20"/>
          <w:color w:val="auto"/>
        </w:rPr>
      </w:pPr>
      <w:r>
        <w:rPr>
          <w:rFonts w:ascii="Arial" w:cs="Arial" w:eastAsia="Arial" w:hAnsi="Arial"/>
          <w:sz w:val="40"/>
          <w:szCs w:val="40"/>
          <w:b w:val="1"/>
          <w:bCs w:val="1"/>
          <w:color w:val="auto"/>
        </w:rPr>
        <w:t>INFORMATION;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INCORPORATION BY REFERENCE</w:t>
      </w:r>
      <w:r>
        <w:rPr>
          <w:rFonts w:ascii="Times New Roman" w:cs="Times New Roman" w:eastAsia="Times New Roman" w:hAnsi="Times New Roman"/>
          <w:sz w:val="40"/>
          <w:szCs w:val="40"/>
          <w:color w:val="auto"/>
        </w:rPr>
        <w:t>​</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Available Information</w:t>
      </w:r>
    </w:p>
    <w:p>
      <w:pPr>
        <w:spacing w:after="0" w:line="162" w:lineRule="exact"/>
        <w:rPr>
          <w:sz w:val="20"/>
          <w:szCs w:val="20"/>
          <w:color w:val="auto"/>
        </w:rPr>
      </w:pPr>
    </w:p>
    <w:p>
      <w:pPr>
        <w:ind w:left="1260" w:right="479"/>
        <w:spacing w:after="0" w:line="268" w:lineRule="auto"/>
        <w:rPr>
          <w:sz w:val="20"/>
          <w:szCs w:val="20"/>
          <w:color w:val="auto"/>
        </w:rPr>
      </w:pPr>
      <w:r>
        <w:rPr>
          <w:rFonts w:ascii="Arial" w:cs="Arial" w:eastAsia="Arial" w:hAnsi="Arial"/>
          <w:sz w:val="18"/>
          <w:szCs w:val="18"/>
          <w:color w:val="auto"/>
        </w:rPr>
        <w:t xml:space="preserve">We file reports, proxy statements, and other information with the SEC.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from which interested persons can electronically access any document we file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electronically with the SEC.</w:t>
      </w:r>
    </w:p>
    <w:p>
      <w:pPr>
        <w:spacing w:after="0" w:line="90" w:lineRule="exact"/>
        <w:rPr>
          <w:sz w:val="20"/>
          <w:szCs w:val="20"/>
          <w:color w:val="auto"/>
        </w:rPr>
      </w:pPr>
    </w:p>
    <w:p>
      <w:pPr>
        <w:ind w:left="1260" w:right="559"/>
        <w:spacing w:after="0" w:line="287"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www.micron.com</w:t>
      </w:r>
      <w:r>
        <w:rPr>
          <w:rFonts w:ascii="Arial" w:cs="Arial" w:eastAsia="Arial" w:hAnsi="Arial"/>
          <w:sz w:val="18"/>
          <w:szCs w:val="18"/>
          <w:color w:val="auto"/>
        </w:rPr>
        <w:t>. The information on our website, however, is not, and should not be deemed to be, a part of this prospectus.</w:t>
      </w:r>
    </w:p>
    <w:p>
      <w:pPr>
        <w:spacing w:after="0" w:line="85"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The indenture and other documents establishing the terms of the offered securities are or may be filed as exhibits to the registration statement or documents incorporated by reference into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Incorporation by Reference</w:t>
      </w:r>
    </w:p>
    <w:p>
      <w:pPr>
        <w:spacing w:after="0" w:line="148" w:lineRule="exact"/>
        <w:rPr>
          <w:sz w:val="20"/>
          <w:szCs w:val="20"/>
          <w:color w:val="auto"/>
        </w:rPr>
      </w:pPr>
    </w:p>
    <w:p>
      <w:pPr>
        <w:ind w:left="1260" w:right="499"/>
        <w:spacing w:after="0" w:line="256"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15" w:lineRule="exact"/>
        <w:rPr>
          <w:sz w:val="20"/>
          <w:szCs w:val="20"/>
          <w:color w:val="auto"/>
        </w:rPr>
      </w:pPr>
    </w:p>
    <w:p>
      <w:pPr>
        <w:ind w:left="1260" w:right="439"/>
        <w:spacing w:after="0" w:line="256"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115" w:lineRule="exact"/>
        <w:rPr>
          <w:sz w:val="20"/>
          <w:szCs w:val="20"/>
          <w:color w:val="auto"/>
        </w:rPr>
      </w:pPr>
    </w:p>
    <w:p>
      <w:pPr>
        <w:ind w:left="1260" w:right="1279"/>
        <w:spacing w:after="0" w:line="28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45" w:lineRule="exact"/>
        <w:rPr>
          <w:sz w:val="20"/>
          <w:szCs w:val="20"/>
          <w:color w:val="auto"/>
        </w:rPr>
      </w:pPr>
    </w:p>
    <w:p>
      <w:pPr>
        <w:ind w:left="1800" w:right="819" w:hanging="180"/>
        <w:spacing w:after="0" w:line="287" w:lineRule="auto"/>
        <w:tabs>
          <w:tab w:leader="none" w:pos="1800" w:val="left"/>
        </w:tabs>
        <w:numPr>
          <w:ilvl w:val="0"/>
          <w:numId w:val="43"/>
        </w:numPr>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Our Annual Report on Form 10-K for the fiscal year ended September 3, 2020, filed with the</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SEC on October 19, 2020.</w:t>
        </w:r>
      </w:hyperlink>
    </w:p>
    <w:p>
      <w:pPr>
        <w:spacing w:after="0" w:line="44" w:lineRule="exact"/>
        <w:rPr>
          <w:rFonts w:ascii="Arial" w:cs="Arial" w:eastAsia="Arial" w:hAnsi="Arial"/>
          <w:sz w:val="18"/>
          <w:szCs w:val="18"/>
          <w:u w:val="single" w:color="auto"/>
          <w:color w:val="0000EE"/>
        </w:rPr>
      </w:pPr>
    </w:p>
    <w:p>
      <w:pPr>
        <w:ind w:left="1800" w:hanging="180"/>
        <w:spacing w:after="0"/>
        <w:tabs>
          <w:tab w:leader="none" w:pos="1800" w:val="left"/>
        </w:tabs>
        <w:numPr>
          <w:ilvl w:val="0"/>
          <w:numId w:val="43"/>
        </w:numPr>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Our Current Report on Form 8-K filed with the SEC on September 21, 2020.</w:t>
        </w:r>
      </w:hyperlink>
    </w:p>
    <w:p>
      <w:pPr>
        <w:spacing w:after="0" w:line="117" w:lineRule="exact"/>
        <w:rPr>
          <w:rFonts w:ascii="Arial" w:cs="Arial" w:eastAsia="Arial" w:hAnsi="Arial"/>
          <w:sz w:val="18"/>
          <w:szCs w:val="18"/>
          <w:u w:val="single" w:color="auto"/>
          <w:color w:val="0000EE"/>
        </w:rPr>
      </w:pPr>
    </w:p>
    <w:p>
      <w:pPr>
        <w:jc w:val="both"/>
        <w:ind w:left="1800" w:right="619" w:hanging="180"/>
        <w:spacing w:after="0" w:line="268" w:lineRule="auto"/>
        <w:tabs>
          <w:tab w:leader="none" w:pos="1800" w:val="left"/>
        </w:tabs>
        <w:numPr>
          <w:ilvl w:val="0"/>
          <w:numId w:val="43"/>
        </w:numPr>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The description of our common stock, par value $0.10 per share, contained in our registration</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statement on Form 8-A, filed with the SEC on December 21, 2009, including any subsequently</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filed amendments and reports updating such description.</w:t>
        </w:r>
      </w:hyperlink>
    </w:p>
    <w:p>
      <w:pPr>
        <w:spacing w:after="0" w:line="103" w:lineRule="exact"/>
        <w:rPr>
          <w:rFonts w:ascii="Arial" w:cs="Arial" w:eastAsia="Arial" w:hAnsi="Arial"/>
          <w:sz w:val="18"/>
          <w:szCs w:val="18"/>
          <w:u w:val="single" w:color="auto"/>
          <w:color w:val="0000EE"/>
        </w:rPr>
      </w:pPr>
    </w:p>
    <w:p>
      <w:pPr>
        <w:ind w:left="1260" w:right="539"/>
        <w:spacing w:after="0" w:line="262"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ectPr>
          <w:pgSz w:w="11900" w:h="16838" w:orient="portrait"/>
          <w:cols w:equalWidth="0" w:num="1">
            <w:col w:w="9879"/>
          </w:cols>
          <w:pgMar w:left="580" w:top="97" w:right="1440" w:bottom="1440" w:gutter="0" w:footer="0" w:header="0"/>
        </w:sectPr>
      </w:pPr>
    </w:p>
    <w:p>
      <w:pPr>
        <w:spacing w:after="0" w:line="352" w:lineRule="exact"/>
        <w:rPr>
          <w:rFonts w:ascii="Arial" w:cs="Arial" w:eastAsia="Arial" w:hAnsi="Arial"/>
          <w:sz w:val="18"/>
          <w:szCs w:val="18"/>
          <w:u w:val="single" w:color="auto"/>
          <w:color w:val="0000EE"/>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0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Micron Technology,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(208) 368-4000</w:t>
      </w:r>
    </w:p>
    <w:p>
      <w:pPr>
        <w:spacing w:after="0" w:line="140" w:lineRule="exact"/>
        <w:rPr>
          <w:sz w:val="20"/>
          <w:szCs w:val="20"/>
          <w:color w:val="auto"/>
        </w:rPr>
      </w:pPr>
    </w:p>
    <w:p>
      <w:pPr>
        <w:jc w:val="both"/>
        <w:ind w:left="1260" w:right="1439"/>
        <w:spacing w:after="0" w:line="318" w:lineRule="auto"/>
        <w:rPr>
          <w:sz w:val="20"/>
          <w:szCs w:val="20"/>
          <w:color w:val="auto"/>
        </w:rPr>
      </w:pPr>
      <w:r>
        <w:rPr>
          <w:rFonts w:ascii="Arial" w:cs="Arial" w:eastAsia="Arial" w:hAnsi="Arial"/>
          <w:sz w:val="17"/>
          <w:szCs w:val="17"/>
          <w:color w:val="auto"/>
        </w:rPr>
        <w:t>Exhibits to the filings will not be sent, however, unless those exhibits have specifically been incorporated by reference in this prospectus or any accompanying prospectus supplement.</w:t>
      </w:r>
    </w:p>
    <w:p>
      <w:pPr>
        <w:spacing w:after="0" w:line="49" w:lineRule="exact"/>
        <w:rPr>
          <w:sz w:val="20"/>
          <w:szCs w:val="20"/>
          <w:color w:val="auto"/>
        </w:rPr>
      </w:pPr>
    </w:p>
    <w:p>
      <w:pPr>
        <w:ind w:left="1260" w:right="1139"/>
        <w:spacing w:after="0" w:line="318" w:lineRule="auto"/>
        <w:rPr>
          <w:sz w:val="20"/>
          <w:szCs w:val="20"/>
          <w:color w:val="auto"/>
        </w:rPr>
      </w:pPr>
      <w:r>
        <w:rPr>
          <w:rFonts w:ascii="Arial" w:cs="Arial" w:eastAsia="Arial" w:hAnsi="Arial"/>
          <w:sz w:val="17"/>
          <w:szCs w:val="17"/>
          <w:color w:val="auto"/>
        </w:rPr>
        <w:t>The information accessible through any website referred to in this prospectus or any document incorporated herein is not, and should not be deemed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THE COMPANY</w:t>
      </w:r>
    </w:p>
    <w:p>
      <w:pPr>
        <w:spacing w:after="0" w:line="149"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auto"/>
        </w:rPr>
        <w:t>We are an industry leader in innovative memory and storage solutions. Through our global brands —  Micron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Crucial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 our broad portfolio of high-performance memory and storage technologies, including DRAM, NAND, 3D XPoint™ memory and NOR, is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w:t>
      </w:r>
    </w:p>
    <w:p>
      <w:pPr>
        <w:spacing w:after="0" w:line="127" w:lineRule="exact"/>
        <w:rPr>
          <w:sz w:val="20"/>
          <w:szCs w:val="20"/>
          <w:color w:val="auto"/>
        </w:rPr>
      </w:pPr>
    </w:p>
    <w:p>
      <w:pPr>
        <w:jc w:val="both"/>
        <w:ind w:left="1260" w:right="719"/>
        <w:spacing w:after="0" w:line="291" w:lineRule="auto"/>
        <w:rPr>
          <w:sz w:val="20"/>
          <w:szCs w:val="20"/>
          <w:color w:val="auto"/>
        </w:rPr>
      </w:pPr>
      <w:r>
        <w:rPr>
          <w:rFonts w:ascii="Arial" w:cs="Arial" w:eastAsia="Arial" w:hAnsi="Arial"/>
          <w:sz w:val="17"/>
          <w:szCs w:val="17"/>
          <w:color w:val="auto"/>
        </w:rPr>
        <w:t>Micron Technology, Inc., a Delaware corporation, was originally incorporated in 1978. Our executive offices are located at 8000 South Federal Way, Boise, Idaho 83716-9632 and our telephone number is (208) 368-4000. Our common stock is listed on Nasdaq under the symbol “MU.”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RISK FACTORS</w:t>
      </w:r>
    </w:p>
    <w:p>
      <w:pPr>
        <w:spacing w:after="0" w:line="149" w:lineRule="exact"/>
        <w:rPr>
          <w:sz w:val="20"/>
          <w:szCs w:val="20"/>
          <w:color w:val="auto"/>
        </w:rPr>
      </w:pPr>
    </w:p>
    <w:p>
      <w:pPr>
        <w:ind w:left="1260" w:right="659"/>
        <w:spacing w:after="0" w:line="255" w:lineRule="auto"/>
        <w:rPr>
          <w:sz w:val="20"/>
          <w:szCs w:val="20"/>
          <w:color w:val="auto"/>
        </w:rPr>
      </w:pPr>
      <w:r>
        <w:rPr>
          <w:rFonts w:ascii="Arial" w:cs="Arial" w:eastAsia="Arial" w:hAnsi="Arial"/>
          <w:sz w:val="18"/>
          <w:szCs w:val="18"/>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periodic reports filed with the SEC that are incorporated by reference into this prospectus,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USE OF PROCEEDS</w:t>
      </w:r>
    </w:p>
    <w:p>
      <w:pPr>
        <w:spacing w:after="0" w:line="149" w:lineRule="exact"/>
        <w:rPr>
          <w:sz w:val="20"/>
          <w:szCs w:val="20"/>
          <w:color w:val="auto"/>
        </w:rPr>
      </w:pPr>
    </w:p>
    <w:p>
      <w:pPr>
        <w:ind w:left="1260" w:right="1239"/>
        <w:spacing w:after="0" w:line="287" w:lineRule="auto"/>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DESCRIPTION OF SECURITIES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117" w:lineRule="exact"/>
        <w:rPr>
          <w:sz w:val="20"/>
          <w:szCs w:val="20"/>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shares of common stock, par value $0.10 per share, of the Company;</w:t>
      </w:r>
    </w:p>
    <w:p>
      <w:pPr>
        <w:spacing w:after="0" w:line="117" w:lineRule="exact"/>
        <w:rPr>
          <w:rFonts w:ascii="Arial" w:cs="Arial" w:eastAsia="Arial" w:hAnsi="Arial"/>
          <w:sz w:val="18"/>
          <w:szCs w:val="18"/>
          <w:color w:val="auto"/>
        </w:rPr>
      </w:pPr>
    </w:p>
    <w:p>
      <w:pPr>
        <w:ind w:left="1800" w:right="799" w:hanging="180"/>
        <w:spacing w:after="0" w:line="28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debt securities, which may be senior or subordinated, and which may be convertible into our common stock or be non-convertible;</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units.</w:t>
      </w:r>
    </w:p>
    <w:p>
      <w:pPr>
        <w:spacing w:after="0" w:line="158"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90"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PLAN OF DISTRIBUTION</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may sell the offered securities from time to time:</w:t>
      </w:r>
    </w:p>
    <w:p>
      <w:pPr>
        <w:spacing w:after="0" w:line="117" w:lineRule="exact"/>
        <w:rPr>
          <w:sz w:val="20"/>
          <w:szCs w:val="20"/>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58" w:lineRule="exact"/>
        <w:rPr>
          <w:sz w:val="20"/>
          <w:szCs w:val="20"/>
          <w:color w:val="auto"/>
        </w:rPr>
      </w:pPr>
    </w:p>
    <w:p>
      <w:pPr>
        <w:ind w:left="1260" w:right="739"/>
        <w:spacing w:after="0" w:line="287"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LEGAL MATTERS</w:t>
      </w:r>
    </w:p>
    <w:p>
      <w:pPr>
        <w:spacing w:after="0" w:line="149" w:lineRule="exact"/>
        <w:rPr>
          <w:sz w:val="20"/>
          <w:szCs w:val="20"/>
          <w:color w:val="auto"/>
        </w:rPr>
      </w:pPr>
    </w:p>
    <w:p>
      <w:pPr>
        <w:jc w:val="both"/>
        <w:ind w:left="1260" w:right="899"/>
        <w:spacing w:after="0" w:line="282" w:lineRule="auto"/>
        <w:rPr>
          <w:sz w:val="20"/>
          <w:szCs w:val="20"/>
          <w:color w:val="auto"/>
        </w:rPr>
      </w:pPr>
      <w:r>
        <w:rPr>
          <w:rFonts w:ascii="Arial" w:cs="Arial" w:eastAsia="Arial" w:hAnsi="Arial"/>
          <w:sz w:val="17"/>
          <w:szCs w:val="17"/>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EXPERTS</w:t>
      </w:r>
    </w:p>
    <w:p>
      <w:pPr>
        <w:spacing w:after="0" w:line="149" w:lineRule="exact"/>
        <w:rPr>
          <w:sz w:val="20"/>
          <w:szCs w:val="20"/>
          <w:color w:val="auto"/>
        </w:rPr>
      </w:pPr>
    </w:p>
    <w:p>
      <w:pPr>
        <w:ind w:left="1260" w:right="519"/>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w:t>
      </w:r>
      <w:hyperlink r:id="rId112">
        <w:r>
          <w:rPr>
            <w:rFonts w:ascii="Arial" w:cs="Arial" w:eastAsia="Arial" w:hAnsi="Arial"/>
            <w:sz w:val="18"/>
            <w:szCs w:val="18"/>
            <w:u w:val="single" w:color="auto"/>
            <w:color w:val="0000EE"/>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Micron Technology, Inc. for the year ended September 3, 2020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50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45085</wp:posOffset>
            </wp:positionV>
            <wp:extent cx="61893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2557145</wp:posOffset>
            </wp:positionH>
            <wp:positionV relativeFrom="paragraph">
              <wp:posOffset>403225</wp:posOffset>
            </wp:positionV>
            <wp:extent cx="1705610" cy="4718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170561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40"/>
        <w:spacing w:after="0"/>
        <w:rPr>
          <w:sz w:val="20"/>
          <w:szCs w:val="20"/>
          <w:color w:val="auto"/>
        </w:rPr>
      </w:pPr>
      <w:r>
        <w:rPr>
          <w:rFonts w:ascii="Arial" w:cs="Arial" w:eastAsia="Arial" w:hAnsi="Arial"/>
          <w:sz w:val="25"/>
          <w:szCs w:val="25"/>
          <w:b w:val="1"/>
          <w:bCs w:val="1"/>
          <w:color w:val="auto"/>
        </w:rPr>
        <w:t>Micron Technology, Inc.</w:t>
      </w:r>
      <w:r>
        <w:rPr>
          <w:rFonts w:ascii="Times New Roman" w:cs="Times New Roman" w:eastAsia="Times New Roman" w:hAnsi="Times New Roman"/>
          <w:sz w:val="39"/>
          <w:szCs w:val="39"/>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                     % Senior Notes due 20</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                     % Senior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1097915</wp:posOffset>
            </wp:positionV>
            <wp:extent cx="12344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PROSPECTUS SUPPLEMENT</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223520</wp:posOffset>
            </wp:positionV>
            <wp:extent cx="12344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160"/>
        <w:spacing w:after="0"/>
        <w:rPr>
          <w:sz w:val="20"/>
          <w:szCs w:val="20"/>
          <w:color w:val="auto"/>
        </w:rPr>
      </w:pPr>
      <w:r>
        <w:rPr>
          <w:rFonts w:ascii="Arial" w:cs="Arial" w:eastAsia="Arial" w:hAnsi="Arial"/>
          <w:sz w:val="18"/>
          <w:szCs w:val="18"/>
          <w:i w:val="1"/>
          <w:iCs w:val="1"/>
          <w:color w:val="auto"/>
        </w:rPr>
        <w:t>Joint Book-Running Managers</w:t>
      </w:r>
    </w:p>
    <w:p>
      <w:pPr>
        <w:spacing w:after="0" w:line="200" w:lineRule="exact"/>
        <w:rPr>
          <w:sz w:val="20"/>
          <w:szCs w:val="20"/>
          <w:color w:val="auto"/>
        </w:rPr>
      </w:pPr>
    </w:p>
    <w:p>
      <w:pPr>
        <w:spacing w:after="0" w:line="220" w:lineRule="exact"/>
        <w:rPr>
          <w:sz w:val="20"/>
          <w:szCs w:val="20"/>
          <w:color w:val="auto"/>
        </w:rPr>
      </w:pPr>
    </w:p>
    <w:p>
      <w:pPr>
        <w:ind w:left="500"/>
        <w:spacing w:after="0"/>
        <w:tabs>
          <w:tab w:leader="none" w:pos="5160" w:val="left"/>
          <w:tab w:leader="none" w:pos="8820" w:val="left"/>
        </w:tabs>
        <w:rPr>
          <w:sz w:val="20"/>
          <w:szCs w:val="20"/>
          <w:color w:val="auto"/>
        </w:rPr>
      </w:pPr>
      <w:r>
        <w:rPr>
          <w:rFonts w:ascii="Arial" w:cs="Arial" w:eastAsia="Arial" w:hAnsi="Arial"/>
          <w:sz w:val="25"/>
          <w:szCs w:val="25"/>
          <w:b w:val="1"/>
          <w:bCs w:val="1"/>
          <w:color w:val="auto"/>
        </w:rPr>
        <w:t>Wells Fargo Securities</w:t>
      </w:r>
      <w:r>
        <w:rPr>
          <w:sz w:val="20"/>
          <w:szCs w:val="20"/>
          <w:color w:val="auto"/>
        </w:rPr>
        <w:tab/>
      </w:r>
      <w:r>
        <w:rPr>
          <w:rFonts w:ascii="Arial" w:cs="Arial" w:eastAsia="Arial" w:hAnsi="Arial"/>
          <w:sz w:val="25"/>
          <w:szCs w:val="25"/>
          <w:b w:val="1"/>
          <w:bCs w:val="1"/>
          <w:color w:val="auto"/>
        </w:rPr>
        <w:t>BNP PARIBAS</w:t>
      </w:r>
      <w:r>
        <w:rPr>
          <w:sz w:val="20"/>
          <w:szCs w:val="20"/>
          <w:color w:val="auto"/>
        </w:rPr>
        <w:tab/>
      </w:r>
      <w:r>
        <w:rPr>
          <w:rFonts w:ascii="Arial" w:cs="Arial" w:eastAsia="Arial" w:hAnsi="Arial"/>
          <w:sz w:val="24"/>
          <w:szCs w:val="24"/>
          <w:b w:val="1"/>
          <w:bCs w:val="1"/>
          <w:color w:val="auto"/>
        </w:rPr>
        <w:t>J.P. Morgan</w:t>
      </w:r>
    </w:p>
    <w:p>
      <w:pPr>
        <w:spacing w:after="0" w:line="200" w:lineRule="exact"/>
        <w:rPr>
          <w:sz w:val="20"/>
          <w:szCs w:val="20"/>
          <w:color w:val="auto"/>
        </w:rPr>
      </w:pPr>
    </w:p>
    <w:p>
      <w:pPr>
        <w:spacing w:after="0" w:line="242" w:lineRule="exact"/>
        <w:rPr>
          <w:sz w:val="20"/>
          <w:szCs w:val="20"/>
          <w:color w:val="auto"/>
        </w:rPr>
      </w:pPr>
    </w:p>
    <w:p>
      <w:pPr>
        <w:ind w:left="500"/>
        <w:spacing w:after="0"/>
        <w:tabs>
          <w:tab w:leader="none" w:pos="2420" w:val="left"/>
          <w:tab w:leader="none" w:pos="5280" w:val="left"/>
          <w:tab w:leader="none" w:pos="7460" w:val="left"/>
          <w:tab w:leader="none" w:pos="10200" w:val="left"/>
        </w:tabs>
        <w:rPr>
          <w:sz w:val="20"/>
          <w:szCs w:val="20"/>
          <w:color w:val="auto"/>
        </w:rPr>
      </w:pPr>
      <w:r>
        <w:rPr>
          <w:rFonts w:ascii="Arial" w:cs="Arial" w:eastAsia="Arial" w:hAnsi="Arial"/>
          <w:sz w:val="25"/>
          <w:szCs w:val="25"/>
          <w:b w:val="1"/>
          <w:bCs w:val="1"/>
          <w:color w:val="auto"/>
        </w:rPr>
        <w:t>​</w:t>
      </w:r>
      <w:r>
        <w:rPr>
          <w:sz w:val="20"/>
          <w:szCs w:val="20"/>
          <w:color w:val="auto"/>
        </w:rPr>
        <w:tab/>
      </w:r>
      <w:r>
        <w:rPr>
          <w:rFonts w:ascii="Arial" w:cs="Arial" w:eastAsia="Arial" w:hAnsi="Arial"/>
          <w:sz w:val="25"/>
          <w:szCs w:val="25"/>
          <w:b w:val="1"/>
          <w:bCs w:val="1"/>
          <w:color w:val="auto"/>
        </w:rPr>
        <w:t>Mizuho</w:t>
      </w:r>
      <w:r>
        <w:rPr>
          <w:sz w:val="20"/>
          <w:szCs w:val="20"/>
          <w:color w:val="auto"/>
        </w:rPr>
        <w:tab/>
      </w:r>
      <w:r>
        <w:rPr>
          <w:rFonts w:ascii="Arial" w:cs="Arial" w:eastAsia="Arial" w:hAnsi="Arial"/>
          <w:sz w:val="25"/>
          <w:szCs w:val="25"/>
          <w:b w:val="1"/>
          <w:bCs w:val="1"/>
          <w:color w:val="auto"/>
        </w:rPr>
        <w:t>​ ​</w:t>
      </w:r>
      <w:r>
        <w:rPr>
          <w:sz w:val="20"/>
          <w:szCs w:val="20"/>
          <w:color w:val="auto"/>
        </w:rPr>
        <w:tab/>
      </w:r>
      <w:r>
        <w:rPr>
          <w:rFonts w:ascii="Arial" w:cs="Arial" w:eastAsia="Arial" w:hAnsi="Arial"/>
          <w:sz w:val="25"/>
          <w:szCs w:val="25"/>
          <w:b w:val="1"/>
          <w:bCs w:val="1"/>
          <w:color w:val="auto"/>
        </w:rPr>
        <w:t>MUFG</w:t>
      </w:r>
      <w:r>
        <w:rPr>
          <w:sz w:val="20"/>
          <w:szCs w:val="20"/>
          <w:color w:val="auto"/>
        </w:rPr>
        <w:tab/>
      </w: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1076325</wp:posOffset>
            </wp:positionV>
            <wp:extent cx="61893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sectPr>
      <w:pgSz w:w="11900" w:h="16838" w:orient="portrait"/>
      <w:cols w:equalWidth="0" w:num="1">
        <w:col w:w="10280"/>
      </w:cols>
      <w:pgMar w:left="580" w:top="97"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 "/>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lowerLetter"/>
      <w:start w:val="2"/>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decimal"/>
      <w:start w:val="2"/>
    </w:lvl>
  </w:abstractNum>
  <w:abstractNum w:abstractNumId="24">
    <w:nsid w:val="5577F8E1"/>
    <w:multiLevelType w:val="hybridMultilevel"/>
    <w:lvl w:ilvl="0">
      <w:lvlJc w:val="left"/>
      <w:lvlText w:val="(%1)"/>
      <w:numFmt w:val="decimal"/>
      <w:start w:val="2"/>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1)"/>
      <w:numFmt w:val="lowerRoman"/>
      <w:start w:val="10"/>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lowerLetter"/>
      <w:start w:val="2"/>
    </w:lvl>
  </w:abstractNum>
  <w:abstractNum w:abstractNumId="40">
    <w:nsid w:val="2A487CB0"/>
    <w:multiLevelType w:val="hybridMultilevel"/>
    <w:lvl w:ilvl="0">
      <w:lvlJc w:val="left"/>
      <w:lvlText w:val="%1)"/>
      <w:numFmt w:val="lowerLetter"/>
      <w:start w:val="1"/>
    </w:lvl>
    <w:lvl w:ilvl="1">
      <w:lvlJc w:val="left"/>
      <w:lvlText w:val="(%2)"/>
      <w:numFmt w:val="lowerRoman"/>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jpe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jpe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33" Type="http://schemas.openxmlformats.org/officeDocument/2006/relationships/hyperlink" Target="http://www.sec.gov/ix?doc=/Archives/edgar/data/723125/000072312522000048/mu-20220901.htm" TargetMode="External"/><Relationship Id="rId34" Type="http://schemas.openxmlformats.org/officeDocument/2006/relationships/hyperlink" Target="http://www.sec.gov/ix?doc=/Archives/edgar/data/723125/000072312523000022/mu-20230302.htm" TargetMode="External"/><Relationship Id="rId90" Type="http://schemas.openxmlformats.org/officeDocument/2006/relationships/hyperlink" Target="http://www.sec.gov/ix?doc=/Archives/edgar/data/723125/000072312522000072/mu-20221201.htm" TargetMode="External"/><Relationship Id="rId91" Type="http://schemas.openxmlformats.org/officeDocument/2006/relationships/hyperlink" Target="http://www.sec.gov/Archives/edgar/data/723125/000072312522000063/a2022definitiveproxy.htm" TargetMode="External"/><Relationship Id="rId92" Type="http://schemas.openxmlformats.org/officeDocument/2006/relationships/hyperlink" Target="http://www.sec.gov/ix?doc=/Archives/edgar/data/723125/000072312522000051/mu-20221031.htm" TargetMode="External"/><Relationship Id="rId93" Type="http://schemas.openxmlformats.org/officeDocument/2006/relationships/hyperlink" Target="http://www.sec.gov/ix?doc=/Archives/edgar/data/723125/000072312522000053/mu-20221103.htm" TargetMode="External"/><Relationship Id="rId94" Type="http://schemas.openxmlformats.org/officeDocument/2006/relationships/hyperlink" Target="http://www.sec.gov/ix?doc=/Archives/edgar/data/723125/000072312522000070/mu-20221221.htm" TargetMode="External"/><Relationship Id="rId95" Type="http://schemas.openxmlformats.org/officeDocument/2006/relationships/hyperlink" Target="http://www.sec.gov/ix?doc=/Archives/edgar/data/723125/000072312523000004/mu-20230105.htm" TargetMode="External"/><Relationship Id="rId96" Type="http://schemas.openxmlformats.org/officeDocument/2006/relationships/hyperlink" Target="http://www.sec.gov/ix?doc=/Archives/edgar/data/723125/000072312523000007/mu-20230112.htm" TargetMode="External"/><Relationship Id="rId97" Type="http://schemas.openxmlformats.org/officeDocument/2006/relationships/hyperlink" Target="http://www.sec.gov/ix?doc=/Archives/edgar/data/723125/000072312523000014/mu-20230209.htm" TargetMode="External"/><Relationship Id="rId98" Type="http://schemas.openxmlformats.org/officeDocument/2006/relationships/hyperlink" Target="http://www.sec.gov/ix?doc=/Archives/edgar/data/723125/000072312523000011/mu-20230205.htm" TargetMode="External"/><Relationship Id="rId112" Type="http://schemas.openxmlformats.org/officeDocument/2006/relationships/hyperlink" Target="http://www.sec.gov/ix?doc=/Archives/edgar/data/723125/000072312520000082/mu-20200903.htm" TargetMode="External"/><Relationship Id="rId113" Type="http://schemas.openxmlformats.org/officeDocument/2006/relationships/hyperlink" Target="http://www.sec.gov/ix?doc=/Archives/edgar/data/723125/000072312520000074/mu-20200921.htm" TargetMode="External"/><Relationship Id="rId114" Type="http://schemas.openxmlformats.org/officeDocument/2006/relationships/hyperlink" Target="http://www.sec.gov/Archives/edgar/data/723125/000072312509000145/form8a12b-nasda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2023-04-05T09:10:56Z</dcterms:created>
  <dcterms:modified xsi:type="dcterms:W3CDTF">2023-04-05T09:10:56Z</dcterms:modified>
</cp:coreProperties>
</file>