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79375</wp:posOffset>
            </wp:positionH>
            <wp:positionV relativeFrom="page">
              <wp:posOffset>137160</wp:posOffset>
            </wp:positionV>
            <wp:extent cx="7614285" cy="9921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614285" cy="992124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48"/>
          <w:szCs w:val="48"/>
          <w:b w:val="1"/>
          <w:bCs w:val="1"/>
          <w:color w:val="auto"/>
        </w:rPr>
        <w:t>FORM 10-K</w:t>
      </w:r>
    </w:p>
    <w:p>
      <w:pPr>
        <w:spacing w:after="0" w:line="98" w:lineRule="exact"/>
        <w:rPr>
          <w:sz w:val="20"/>
          <w:szCs w:val="20"/>
          <w:color w:val="auto"/>
        </w:rPr>
      </w:pPr>
    </w:p>
    <w:p>
      <w:pPr>
        <w:ind w:left="380"/>
        <w:spacing w:after="0"/>
        <w:rPr>
          <w:sz w:val="20"/>
          <w:szCs w:val="20"/>
          <w:color w:val="auto"/>
        </w:rPr>
      </w:pPr>
      <w:r>
        <w:rPr>
          <w:rFonts w:ascii="Arial Narrow" w:cs="Arial Narrow" w:eastAsia="Arial Narrow" w:hAnsi="Arial Narrow"/>
          <w:sz w:val="18"/>
          <w:szCs w:val="18"/>
          <w:b w:val="1"/>
          <w:bCs w:val="1"/>
          <w:color w:val="auto"/>
        </w:rPr>
        <w:t>(Mark One)</w:t>
      </w:r>
    </w:p>
    <w:p>
      <w:pPr>
        <w:spacing w:after="0" w:line="103" w:lineRule="exact"/>
        <w:rPr>
          <w:sz w:val="20"/>
          <w:szCs w:val="20"/>
          <w:color w:val="auto"/>
        </w:rPr>
      </w:pPr>
    </w:p>
    <w:p>
      <w:pPr>
        <w:ind w:left="1580" w:hanging="896"/>
        <w:spacing w:after="0"/>
        <w:tabs>
          <w:tab w:leader="none" w:pos="1580" w:val="left"/>
        </w:tabs>
        <w:numPr>
          <w:ilvl w:val="0"/>
          <w:numId w:val="1"/>
        </w:numPr>
        <w:rPr>
          <w:rFonts w:ascii="MS PGothic" w:cs="MS PGothic" w:eastAsia="MS PGothic" w:hAnsi="MS PGothic"/>
          <w:sz w:val="20"/>
          <w:szCs w:val="20"/>
          <w:b w:val="1"/>
          <w:bCs w:val="1"/>
          <w:color w:val="auto"/>
        </w:rPr>
      </w:pPr>
      <w:r>
        <w:rPr>
          <w:rFonts w:ascii="Arial Narrow" w:cs="Arial Narrow" w:eastAsia="Arial Narrow" w:hAnsi="Arial Narrow"/>
          <w:sz w:val="20"/>
          <w:szCs w:val="20"/>
          <w:b w:val="1"/>
          <w:bCs w:val="1"/>
          <w:color w:val="auto"/>
        </w:rPr>
        <w:t>ANNUAL REPORT PURSUANT TO SECTION 13 OR 15(d) OF THE SECURITIES EXCHANGE ACT OF 1934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August 31, 2023</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1580" w:hanging="896"/>
        <w:spacing w:after="0" w:line="221" w:lineRule="auto"/>
        <w:tabs>
          <w:tab w:leader="none" w:pos="1580" w:val="left"/>
        </w:tabs>
        <w:numPr>
          <w:ilvl w:val="0"/>
          <w:numId w:val="2"/>
        </w:numPr>
        <w:rPr>
          <w:rFonts w:ascii="MS PGothic" w:cs="MS PGothic" w:eastAsia="MS PGothic" w:hAnsi="MS PGothic"/>
          <w:sz w:val="40"/>
          <w:szCs w:val="40"/>
          <w:b w:val="1"/>
          <w:bCs w:val="1"/>
          <w:color w:val="auto"/>
          <w:vertAlign w:val="superscript"/>
        </w:rPr>
      </w:pPr>
      <w:r>
        <w:rPr>
          <w:rFonts w:ascii="Arial Narrow" w:cs="Arial Narrow" w:eastAsia="Arial Narrow" w:hAnsi="Arial Narrow"/>
          <w:sz w:val="20"/>
          <w:szCs w:val="20"/>
          <w:b w:val="1"/>
          <w:bCs w:val="1"/>
          <w:color w:val="auto"/>
        </w:rPr>
        <w:t>TRANSITION REPORT PURSUANT TO SECTION 13 OR 15(d) OF THE SECURITIES EXCHANGE ACT OF 1934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5"/>
          </w:tcPr>
          <w:p>
            <w:pPr>
              <w:ind w:left="3280"/>
              <w:spacing w:after="0"/>
              <w:rPr>
                <w:sz w:val="20"/>
                <w:szCs w:val="20"/>
                <w:color w:val="auto"/>
              </w:rPr>
            </w:pPr>
            <w:r>
              <w:rPr>
                <w:rFonts w:ascii="Arial" w:cs="Arial" w:eastAsia="Arial" w:hAnsi="Arial"/>
                <w:sz w:val="20"/>
                <w:szCs w:val="20"/>
                <w:b w:val="1"/>
                <w:bCs w:val="1"/>
                <w:color w:val="auto"/>
              </w:rPr>
              <w:t>For the transition period from</w:t>
            </w:r>
          </w:p>
        </w:tc>
        <w:tc>
          <w:tcPr>
            <w:tcW w:w="2560" w:type="dxa"/>
            <w:vAlign w:val="bottom"/>
          </w:tcPr>
          <w:p>
            <w:pPr>
              <w:ind w:left="480"/>
              <w:spacing w:after="0"/>
              <w:rPr>
                <w:sz w:val="20"/>
                <w:szCs w:val="20"/>
                <w:color w:val="auto"/>
              </w:rPr>
            </w:pPr>
            <w:r>
              <w:rPr>
                <w:rFonts w:ascii="Arial" w:cs="Arial" w:eastAsia="Arial" w:hAnsi="Arial"/>
                <w:sz w:val="20"/>
                <w:szCs w:val="20"/>
                <w:b w:val="1"/>
                <w:bCs w:val="1"/>
                <w:color w:val="auto"/>
              </w:rPr>
              <w:t>to</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840" w:type="dxa"/>
            <w:vAlign w:val="bottom"/>
            <w:gridSpan w:val="6"/>
          </w:tcPr>
          <w:p>
            <w:pPr>
              <w:jc w:val="center"/>
              <w:ind w:left="1305"/>
              <w:spacing w:after="0"/>
              <w:rPr>
                <w:sz w:val="20"/>
                <w:szCs w:val="20"/>
                <w:color w:val="auto"/>
              </w:rPr>
            </w:pPr>
            <w:r>
              <w:rPr>
                <w:rFonts w:ascii="Arial" w:cs="Arial" w:eastAsia="Arial" w:hAnsi="Arial"/>
                <w:sz w:val="20"/>
                <w:szCs w:val="20"/>
                <w:b w:val="1"/>
                <w:bCs w:val="1"/>
                <w:color w:val="auto"/>
                <w:w w:val="99"/>
              </w:rPr>
              <w:t>Commission file number 1-10658</w:t>
            </w: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8840" w:type="dxa"/>
            <w:vAlign w:val="bottom"/>
            <w:gridSpan w:val="6"/>
          </w:tcPr>
          <w:p>
            <w:pPr>
              <w:jc w:val="center"/>
              <w:ind w:left="1305"/>
              <w:spacing w:after="0"/>
              <w:rPr>
                <w:sz w:val="20"/>
                <w:szCs w:val="20"/>
                <w:color w:val="auto"/>
              </w:rPr>
            </w:pPr>
            <w:r>
              <w:rPr>
                <w:rFonts w:ascii="Arial" w:cs="Arial" w:eastAsia="Arial" w:hAnsi="Arial"/>
                <w:sz w:val="36"/>
                <w:szCs w:val="36"/>
                <w:b w:val="1"/>
                <w:bCs w:val="1"/>
                <w:color w:val="auto"/>
                <w:w w:val="99"/>
              </w:rPr>
              <w:t>Micron Technology, Inc.</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840" w:type="dxa"/>
            <w:vAlign w:val="bottom"/>
            <w:gridSpan w:val="6"/>
          </w:tcPr>
          <w:p>
            <w:pPr>
              <w:jc w:val="center"/>
              <w:ind w:left="1325"/>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440" w:type="dxa"/>
            <w:vAlign w:val="bottom"/>
          </w:tcPr>
          <w:p>
            <w:pPr>
              <w:jc w:val="center"/>
              <w:spacing w:after="0"/>
              <w:rPr>
                <w:sz w:val="20"/>
                <w:szCs w:val="20"/>
                <w:color w:val="auto"/>
              </w:rPr>
            </w:pPr>
            <w:r>
              <w:rPr>
                <w:rFonts w:ascii="Arial Narrow" w:cs="Arial Narrow" w:eastAsia="Arial Narrow" w:hAnsi="Arial Narrow"/>
                <w:sz w:val="18"/>
                <w:szCs w:val="18"/>
                <w:b w:val="1"/>
                <w:bCs w:val="1"/>
                <w:color w:val="auto"/>
                <w:w w:val="98"/>
              </w:rPr>
              <w:t>Delaware</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jc w:val="right"/>
              <w:ind w:right="250"/>
              <w:spacing w:after="0"/>
              <w:rPr>
                <w:sz w:val="20"/>
                <w:szCs w:val="20"/>
                <w:color w:val="auto"/>
              </w:rPr>
            </w:pPr>
            <w:r>
              <w:rPr>
                <w:rFonts w:ascii="Arial Narrow" w:cs="Arial Narrow" w:eastAsia="Arial Narrow" w:hAnsi="Arial Narrow"/>
                <w:sz w:val="18"/>
                <w:szCs w:val="18"/>
                <w:b w:val="1"/>
                <w:bCs w:val="1"/>
                <w:color w:val="auto"/>
              </w:rPr>
              <w:t>75-1618004</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tcPr>
          <w:p>
            <w:pPr>
              <w:jc w:val="center"/>
              <w:spacing w:after="0"/>
              <w:rPr>
                <w:sz w:val="20"/>
                <w:szCs w:val="20"/>
                <w:color w:val="auto"/>
              </w:rPr>
            </w:pPr>
            <w:r>
              <w:rPr>
                <w:rFonts w:ascii="Arial Narrow" w:cs="Arial Narrow" w:eastAsia="Arial Narrow" w:hAnsi="Arial Narrow"/>
                <w:sz w:val="16"/>
                <w:szCs w:val="16"/>
                <w:color w:val="auto"/>
                <w:w w:val="99"/>
              </w:rPr>
              <w:t>(State or other jurisdiction of incorporation or organization)</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2"/>
          </w:tcPr>
          <w:p>
            <w:pPr>
              <w:jc w:val="center"/>
              <w:ind w:left="170"/>
              <w:spacing w:after="0"/>
              <w:rPr>
                <w:sz w:val="20"/>
                <w:szCs w:val="20"/>
                <w:color w:val="auto"/>
              </w:rPr>
            </w:pPr>
            <w:r>
              <w:rPr>
                <w:rFonts w:ascii="Arial Narrow" w:cs="Arial Narrow" w:eastAsia="Arial Narrow" w:hAnsi="Arial Narrow"/>
                <w:sz w:val="16"/>
                <w:szCs w:val="16"/>
                <w:color w:val="auto"/>
                <w:w w:val="99"/>
              </w:rPr>
              <w:t>(IRS Employer Identification No.)</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Address of principal executive offices, including zip code</w:t>
            </w: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960" w:type="dxa"/>
            <w:vAlign w:val="bottom"/>
            <w:gridSpan w:val="3"/>
          </w:tcPr>
          <w:p>
            <w:pPr>
              <w:jc w:val="center"/>
              <w:ind w:right="220"/>
              <w:spacing w:after="0"/>
              <w:rPr>
                <w:sz w:val="20"/>
                <w:szCs w:val="20"/>
                <w:color w:val="auto"/>
              </w:rPr>
            </w:pPr>
            <w:r>
              <w:rPr>
                <w:rFonts w:ascii="Arial Narrow" w:cs="Arial Narrow" w:eastAsia="Arial Narrow" w:hAnsi="Arial Narrow"/>
                <w:sz w:val="18"/>
                <w:szCs w:val="18"/>
                <w:b w:val="1"/>
                <w:bCs w:val="1"/>
                <w:color w:val="auto"/>
              </w:rPr>
              <w:t>8000 S. Federal Way, Boise, Idaho 83716-9632</w:t>
            </w:r>
          </w:p>
        </w:tc>
        <w:tc>
          <w:tcPr>
            <w:tcW w:w="0" w:type="dxa"/>
            <w:vAlign w:val="bottom"/>
          </w:tcPr>
          <w:p>
            <w:pPr>
              <w:spacing w:after="0"/>
              <w:rPr>
                <w:sz w:val="1"/>
                <w:szCs w:val="1"/>
                <w:color w:val="auto"/>
              </w:rPr>
            </w:pPr>
          </w:p>
        </w:tc>
      </w:tr>
      <w:tr>
        <w:trPr>
          <w:trHeight w:val="255"/>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Registrant’s telephone number, including area code</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60" w:type="dxa"/>
            <w:vAlign w:val="bottom"/>
          </w:tcPr>
          <w:p>
            <w:pPr>
              <w:jc w:val="right"/>
              <w:ind w:right="150"/>
              <w:spacing w:after="0"/>
              <w:rPr>
                <w:sz w:val="20"/>
                <w:szCs w:val="20"/>
                <w:color w:val="auto"/>
              </w:rPr>
            </w:pPr>
            <w:r>
              <w:rPr>
                <w:rFonts w:ascii="Arial Narrow" w:cs="Arial Narrow" w:eastAsia="Arial Narrow" w:hAnsi="Arial Narrow"/>
                <w:sz w:val="18"/>
                <w:szCs w:val="18"/>
                <w:b w:val="1"/>
                <w:bCs w:val="1"/>
                <w:color w:val="auto"/>
              </w:rPr>
              <w:t>(208) 368-4000</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Securities registered pursuant to Section 12(b) of the Act:</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4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9"/>
              </w:rPr>
              <w:t>Title of each class</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8"/>
              </w:rPr>
              <w:t>Trading Symbol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2"/>
          </w:tcPr>
          <w:p>
            <w:pPr>
              <w:jc w:val="center"/>
              <w:ind w:left="150"/>
              <w:spacing w:after="0"/>
              <w:rPr>
                <w:sz w:val="20"/>
                <w:szCs w:val="20"/>
                <w:color w:val="auto"/>
              </w:rPr>
            </w:pPr>
            <w:r>
              <w:rPr>
                <w:rFonts w:ascii="Arial Narrow" w:cs="Arial Narrow" w:eastAsia="Arial Narrow" w:hAnsi="Arial Narrow"/>
                <w:sz w:val="18"/>
                <w:szCs w:val="18"/>
                <w:b w:val="1"/>
                <w:bCs w:val="1"/>
                <w:color w:val="auto"/>
              </w:rPr>
              <w:t>Name of each exchange on which registered</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Pr>
          <w:p>
            <w:pPr>
              <w:jc w:val="center"/>
              <w:spacing w:after="0"/>
              <w:rPr>
                <w:sz w:val="20"/>
                <w:szCs w:val="20"/>
                <w:color w:val="auto"/>
              </w:rPr>
            </w:pPr>
            <w:r>
              <w:rPr>
                <w:rFonts w:ascii="Arial Narrow" w:cs="Arial Narrow" w:eastAsia="Arial Narrow" w:hAnsi="Arial Narrow"/>
                <w:sz w:val="18"/>
                <w:szCs w:val="18"/>
                <w:color w:val="auto"/>
              </w:rPr>
              <w:t>Common Stock, par value $0.10 per share</w:t>
            </w:r>
          </w:p>
        </w:tc>
        <w:tc>
          <w:tcPr>
            <w:tcW w:w="80" w:type="dxa"/>
            <w:vAlign w:val="bottom"/>
          </w:tcPr>
          <w:p>
            <w:pPr>
              <w:spacing w:after="0"/>
              <w:rPr>
                <w:sz w:val="21"/>
                <w:szCs w:val="21"/>
                <w:color w:val="auto"/>
              </w:rPr>
            </w:pPr>
          </w:p>
        </w:tc>
        <w:tc>
          <w:tcPr>
            <w:tcW w:w="1760" w:type="dxa"/>
            <w:vAlign w:val="bottom"/>
            <w:gridSpan w:val="3"/>
          </w:tcPr>
          <w:p>
            <w:pPr>
              <w:jc w:val="center"/>
              <w:ind w:right="380"/>
              <w:spacing w:after="0"/>
              <w:rPr>
                <w:sz w:val="20"/>
                <w:szCs w:val="20"/>
                <w:color w:val="auto"/>
              </w:rPr>
            </w:pPr>
            <w:r>
              <w:rPr>
                <w:rFonts w:ascii="Arial Narrow" w:cs="Arial Narrow" w:eastAsia="Arial Narrow" w:hAnsi="Arial Narrow"/>
                <w:sz w:val="18"/>
                <w:szCs w:val="18"/>
                <w:color w:val="auto"/>
                <w:w w:val="95"/>
              </w:rPr>
              <w:t>MU</w:t>
            </w:r>
          </w:p>
        </w:tc>
        <w:tc>
          <w:tcPr>
            <w:tcW w:w="3400" w:type="dxa"/>
            <w:vAlign w:val="bottom"/>
            <w:gridSpan w:val="2"/>
          </w:tcPr>
          <w:p>
            <w:pPr>
              <w:jc w:val="center"/>
              <w:ind w:left="150"/>
              <w:spacing w:after="0"/>
              <w:rPr>
                <w:sz w:val="20"/>
                <w:szCs w:val="20"/>
                <w:color w:val="auto"/>
              </w:rPr>
            </w:pPr>
            <w:r>
              <w:rPr>
                <w:rFonts w:ascii="Arial Narrow" w:cs="Arial Narrow" w:eastAsia="Arial Narrow" w:hAnsi="Arial Narrow"/>
                <w:sz w:val="18"/>
                <w:szCs w:val="18"/>
                <w:color w:val="auto"/>
                <w:w w:val="99"/>
              </w:rPr>
              <w:t>Nasdaq Global Select Market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8840" w:type="dxa"/>
            <w:vAlign w:val="bottom"/>
            <w:gridSpan w:val="6"/>
          </w:tcPr>
          <w:p>
            <w:pPr>
              <w:jc w:val="center"/>
              <w:ind w:left="1305"/>
              <w:spacing w:after="0"/>
              <w:rPr>
                <w:sz w:val="20"/>
                <w:szCs w:val="20"/>
                <w:color w:val="auto"/>
              </w:rPr>
            </w:pPr>
            <w:r>
              <w:rPr>
                <w:rFonts w:ascii="Arial" w:cs="Arial" w:eastAsia="Arial" w:hAnsi="Arial"/>
                <w:sz w:val="17"/>
                <w:szCs w:val="17"/>
                <w:b w:val="1"/>
                <w:bCs w:val="1"/>
                <w:color w:val="auto"/>
                <w:w w:val="92"/>
              </w:rPr>
              <w:t>Securities registered pursuant to Section 12(g) of the Act: None</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if the registrant is a well-known seasoned issuer, as defined in Rule 405 of the Securities Act.</w:t>
            </w:r>
          </w:p>
        </w:tc>
        <w:tc>
          <w:tcPr>
            <w:tcW w:w="840" w:type="dxa"/>
            <w:vAlign w:val="bottom"/>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63"/>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if the registrant is not required to file reports pursuant to Section 13 or Section 15(d) of the Act.</w:t>
            </w:r>
          </w:p>
        </w:tc>
        <w:tc>
          <w:tcPr>
            <w:tcW w:w="840" w:type="dxa"/>
            <w:vAlign w:val="bottom"/>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194"/>
        </w:trPr>
        <w:tc>
          <w:tcPr>
            <w:tcW w:w="8840" w:type="dxa"/>
            <w:vAlign w:val="bottom"/>
            <w:gridSpan w:val="6"/>
          </w:tcPr>
          <w:p>
            <w:pPr>
              <w:ind w:left="40"/>
              <w:spacing w:after="0" w:line="194" w:lineRule="exact"/>
              <w:rPr>
                <w:sz w:val="20"/>
                <w:szCs w:val="20"/>
                <w:color w:val="auto"/>
              </w:rPr>
            </w:pPr>
            <w:r>
              <w:rPr>
                <w:rFonts w:ascii="Arial Narrow" w:cs="Arial Narrow" w:eastAsia="Arial Narrow" w:hAnsi="Arial Narrow"/>
                <w:sz w:val="18"/>
                <w:szCs w:val="18"/>
                <w:color w:val="auto"/>
              </w:rPr>
              <w:t>Indicate by check mark whether the registrant (1) has filed all reports required to be filed by Section 13 or 15(d) of the Securities</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840" w:type="dxa"/>
            <w:vAlign w:val="bottom"/>
            <w:gridSpan w:val="6"/>
          </w:tcPr>
          <w:p>
            <w:pPr>
              <w:ind w:left="40"/>
              <w:spacing w:after="0" w:line="180" w:lineRule="exact"/>
              <w:rPr>
                <w:sz w:val="20"/>
                <w:szCs w:val="20"/>
                <w:color w:val="auto"/>
              </w:rPr>
            </w:pPr>
            <w:r>
              <w:rPr>
                <w:rFonts w:ascii="Arial Narrow" w:cs="Arial Narrow" w:eastAsia="Arial Narrow" w:hAnsi="Arial Narrow"/>
                <w:sz w:val="18"/>
                <w:szCs w:val="18"/>
                <w:color w:val="auto"/>
              </w:rPr>
              <w:t>Exchange Act of 1934 during the preceding 12 months (or for such shorter period that the registrant was required to file such reports),</w:t>
            </w:r>
          </w:p>
        </w:tc>
        <w:tc>
          <w:tcPr>
            <w:tcW w:w="840" w:type="dxa"/>
            <w:vAlign w:val="bottom"/>
            <w:vMerge w:val="restart"/>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vMerge w:val="restart"/>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41"/>
        </w:trPr>
        <w:tc>
          <w:tcPr>
            <w:tcW w:w="6280" w:type="dxa"/>
            <w:vAlign w:val="bottom"/>
            <w:gridSpan w:val="5"/>
          </w:tcPr>
          <w:p>
            <w:pPr>
              <w:ind w:left="40"/>
              <w:spacing w:after="0"/>
              <w:rPr>
                <w:sz w:val="20"/>
                <w:szCs w:val="20"/>
                <w:color w:val="auto"/>
              </w:rPr>
            </w:pPr>
            <w:r>
              <w:rPr>
                <w:rFonts w:ascii="Arial Narrow" w:cs="Arial Narrow" w:eastAsia="Arial Narrow" w:hAnsi="Arial Narrow"/>
                <w:sz w:val="18"/>
                <w:szCs w:val="18"/>
                <w:color w:val="auto"/>
              </w:rPr>
              <w:t>and (2) has been subject to such filing requirements for the past 90 days.</w:t>
            </w:r>
          </w:p>
        </w:tc>
        <w:tc>
          <w:tcPr>
            <w:tcW w:w="25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whether the registrant has submitted electronically every Interactive Data File required to be submitted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pursuant to Rule 405 of Regulation S-T (§ 232.405 of this chapter) during the preceding 12 months (or for such shorter period that the</w:t>
            </w:r>
          </w:p>
        </w:tc>
        <w:tc>
          <w:tcPr>
            <w:tcW w:w="840" w:type="dxa"/>
            <w:vAlign w:val="bottom"/>
            <w:vMerge w:val="restart"/>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vMerge w:val="restart"/>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48"/>
        </w:trPr>
        <w:tc>
          <w:tcPr>
            <w:tcW w:w="4440" w:type="dxa"/>
            <w:vAlign w:val="bottom"/>
          </w:tcPr>
          <w:p>
            <w:pPr>
              <w:ind w:left="40"/>
              <w:spacing w:after="0"/>
              <w:rPr>
                <w:sz w:val="20"/>
                <w:szCs w:val="20"/>
                <w:color w:val="auto"/>
              </w:rPr>
            </w:pPr>
            <w:r>
              <w:rPr>
                <w:rFonts w:ascii="Arial Narrow" w:cs="Arial Narrow" w:eastAsia="Arial Narrow" w:hAnsi="Arial Narrow"/>
                <w:sz w:val="18"/>
                <w:szCs w:val="18"/>
                <w:color w:val="auto"/>
              </w:rPr>
              <w:t>registrant was required to submit such files).</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40" w:right="100"/>
        <w:spacing w:after="0" w:line="261" w:lineRule="auto"/>
        <w:rPr>
          <w:sz w:val="20"/>
          <w:szCs w:val="20"/>
          <w:color w:val="auto"/>
        </w:rPr>
      </w:pPr>
      <w:r>
        <w:rPr>
          <w:rFonts w:ascii="Arial Narrow" w:cs="Arial Narrow" w:eastAsia="Arial Narrow" w:hAnsi="Arial Narrow"/>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280"/>
        <w:spacing w:after="0"/>
        <w:tabs>
          <w:tab w:leader="none" w:pos="2540" w:val="left"/>
          <w:tab w:leader="none" w:pos="4460" w:val="left"/>
          <w:tab w:leader="none" w:pos="6340" w:val="left"/>
          <w:tab w:leader="none" w:pos="8360" w:val="left"/>
        </w:tabs>
        <w:rPr>
          <w:sz w:val="20"/>
          <w:szCs w:val="20"/>
          <w:color w:val="auto"/>
        </w:rPr>
      </w:pPr>
      <w:r>
        <w:rPr>
          <w:rFonts w:ascii="Arial Narrow" w:cs="Arial Narrow" w:eastAsia="Arial Narrow" w:hAnsi="Arial Narrow"/>
          <w:sz w:val="18"/>
          <w:szCs w:val="18"/>
          <w:color w:val="auto"/>
        </w:rPr>
        <w:t>Large Accelerated Filer</w:t>
      </w:r>
      <w:r>
        <w:rPr>
          <w:sz w:val="20"/>
          <w:szCs w:val="20"/>
          <w:color w:val="auto"/>
        </w:rPr>
        <w:tab/>
      </w:r>
      <w:r>
        <w:rPr>
          <w:rFonts w:ascii="Arial Narrow" w:cs="Arial Narrow" w:eastAsia="Arial Narrow" w:hAnsi="Arial Narrow"/>
          <w:sz w:val="18"/>
          <w:szCs w:val="18"/>
          <w:color w:val="auto"/>
        </w:rPr>
        <w:t>Accelerated Filer</w:t>
      </w:r>
      <w:r>
        <w:rPr>
          <w:sz w:val="20"/>
          <w:szCs w:val="20"/>
          <w:color w:val="auto"/>
        </w:rPr>
        <w:tab/>
      </w:r>
      <w:r>
        <w:rPr>
          <w:rFonts w:ascii="Arial Narrow" w:cs="Arial Narrow" w:eastAsia="Arial Narrow" w:hAnsi="Arial Narrow"/>
          <w:sz w:val="18"/>
          <w:szCs w:val="18"/>
          <w:color w:val="auto"/>
        </w:rPr>
        <w:t>Non-Accelerated Filer</w:t>
      </w:r>
      <w:r>
        <w:rPr>
          <w:sz w:val="20"/>
          <w:szCs w:val="20"/>
          <w:color w:val="auto"/>
        </w:rPr>
        <w:tab/>
      </w:r>
      <w:r>
        <w:rPr>
          <w:rFonts w:ascii="Arial Narrow" w:cs="Arial Narrow" w:eastAsia="Arial Narrow" w:hAnsi="Arial Narrow"/>
          <w:sz w:val="18"/>
          <w:szCs w:val="18"/>
          <w:color w:val="auto"/>
        </w:rPr>
        <w:t>Smaller Reporting Company</w:t>
      </w:r>
      <w:r>
        <w:rPr>
          <w:sz w:val="20"/>
          <w:szCs w:val="20"/>
          <w:color w:val="auto"/>
        </w:rPr>
        <w:tab/>
      </w:r>
      <w:r>
        <w:rPr>
          <w:rFonts w:ascii="Arial Narrow" w:cs="Arial Narrow" w:eastAsia="Arial Narrow" w:hAnsi="Arial Narrow"/>
          <w:sz w:val="17"/>
          <w:szCs w:val="17"/>
          <w:color w:val="auto"/>
        </w:rPr>
        <w:t>Emerging Growth Company</w:t>
      </w:r>
    </w:p>
    <w:p>
      <w:pPr>
        <w:spacing w:after="0" w:line="16" w:lineRule="exact"/>
        <w:rPr>
          <w:sz w:val="20"/>
          <w:szCs w:val="20"/>
          <w:color w:val="auto"/>
        </w:rPr>
      </w:pPr>
    </w:p>
    <w:p>
      <w:pPr>
        <w:ind w:left="960"/>
        <w:spacing w:after="0" w:line="201" w:lineRule="exact"/>
        <w:tabs>
          <w:tab w:leader="none" w:pos="3020" w:val="left"/>
          <w:tab w:leader="none" w:pos="5100" w:val="left"/>
          <w:tab w:leader="none" w:pos="7180" w:val="left"/>
          <w:tab w:leader="none" w:pos="9180" w:val="left"/>
        </w:tabs>
        <w:rPr>
          <w:sz w:val="20"/>
          <w:szCs w:val="20"/>
          <w:color w:val="auto"/>
        </w:rPr>
      </w:pP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16"/>
          <w:szCs w:val="16"/>
          <w:b w:val="1"/>
          <w:bCs w:val="1"/>
          <w:color w:val="auto"/>
        </w:rPr>
        <w:t>☐</w:t>
      </w:r>
    </w:p>
    <w:p>
      <w:pPr>
        <w:sectPr>
          <w:pgSz w:w="12240" w:h="15840" w:orient="portrait"/>
          <w:cols w:equalWidth="0" w:num="1">
            <w:col w:w="10240"/>
          </w:cols>
          <w:pgMar w:left="1000" w:top="822" w:right="1000" w:bottom="283" w:gutter="0" w:footer="0" w:header="0"/>
        </w:sectPr>
      </w:pPr>
    </w:p>
    <w:p>
      <w:pPr>
        <w:spacing w:after="0" w:line="63" w:lineRule="exact"/>
        <w:rPr>
          <w:sz w:val="20"/>
          <w:szCs w:val="20"/>
          <w:color w:val="auto"/>
        </w:rPr>
      </w:pPr>
    </w:p>
    <w:p>
      <w:pPr>
        <w:ind w:left="40" w:right="220"/>
        <w:spacing w:after="0" w:line="255" w:lineRule="auto"/>
        <w:rPr>
          <w:sz w:val="20"/>
          <w:szCs w:val="20"/>
          <w:color w:val="auto"/>
        </w:rPr>
      </w:pPr>
      <w:r>
        <w:rPr>
          <w:rFonts w:ascii="Arial Narrow" w:cs="Arial Narrow" w:eastAsia="Arial Narrow" w:hAnsi="Arial Narrow"/>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40" w:right="140"/>
        <w:spacing w:after="0" w:line="263" w:lineRule="auto"/>
        <w:rPr>
          <w:sz w:val="20"/>
          <w:szCs w:val="20"/>
          <w:color w:val="auto"/>
        </w:rPr>
      </w:pPr>
      <w:r>
        <w:rPr>
          <w:rFonts w:ascii="Arial Narrow" w:cs="Arial Narrow" w:eastAsia="Arial Narrow" w:hAnsi="Arial Narrow"/>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40"/>
        <w:spacing w:after="0" w:line="266" w:lineRule="auto"/>
        <w:rPr>
          <w:sz w:val="20"/>
          <w:szCs w:val="20"/>
          <w:color w:val="auto"/>
        </w:rPr>
      </w:pPr>
      <w:r>
        <w:rPr>
          <w:rFonts w:ascii="Arial Narrow" w:cs="Arial Narrow" w:eastAsia="Arial Narrow" w:hAnsi="Arial Narrow"/>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ind w:left="40" w:right="300"/>
        <w:spacing w:after="0" w:line="269" w:lineRule="auto"/>
        <w:rPr>
          <w:sz w:val="20"/>
          <w:szCs w:val="20"/>
          <w:color w:val="auto"/>
        </w:rPr>
      </w:pPr>
      <w:r>
        <w:rPr>
          <w:rFonts w:ascii="Arial Narrow" w:cs="Arial Narrow" w:eastAsia="Arial Narrow" w:hAnsi="Arial Narrow"/>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40"/>
        <w:spacing w:after="0" w:line="230" w:lineRule="exact"/>
        <w:tabs>
          <w:tab w:leader="none" w:pos="8900" w:val="left"/>
          <w:tab w:leader="none" w:pos="9660" w:val="left"/>
        </w:tabs>
        <w:rPr>
          <w:sz w:val="20"/>
          <w:szCs w:val="20"/>
          <w:color w:val="auto"/>
        </w:rPr>
      </w:pPr>
      <w:r>
        <w:rPr>
          <w:rFonts w:ascii="Arial Narrow" w:cs="Arial Narrow" w:eastAsia="Arial Narrow" w:hAnsi="Arial Narrow"/>
          <w:sz w:val="18"/>
          <w:szCs w:val="18"/>
          <w:color w:val="auto"/>
        </w:rPr>
        <w:t>Indicate by check mark whether the registrant is a shell company (as defined in Rule 12b-2 of the Exchange Act).</w:t>
      </w:r>
      <w:r>
        <w:rPr>
          <w:sz w:val="20"/>
          <w:szCs w:val="20"/>
          <w:color w:val="auto"/>
        </w:rPr>
        <w:tab/>
      </w: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ab/>
        <w:t>No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200" w:lineRule="exact"/>
        <w:rPr>
          <w:sz w:val="20"/>
          <w:szCs w:val="20"/>
          <w:color w:val="auto"/>
        </w:rPr>
      </w:pPr>
    </w:p>
    <w:p>
      <w:pPr>
        <w:spacing w:after="0" w:line="3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3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3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3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86" w:lineRule="exact"/>
        <w:rPr>
          <w:sz w:val="20"/>
          <w:szCs w:val="20"/>
          <w:color w:val="auto"/>
        </w:rPr>
      </w:pPr>
    </w:p>
    <w:p>
      <w:pPr>
        <w:sectPr>
          <w:pgSz w:w="12240" w:h="15840" w:orient="portrait"/>
          <w:cols w:equalWidth="0" w:num="2">
            <w:col w:w="9900" w:space="100"/>
            <w:col w:w="240"/>
          </w:cols>
          <w:pgMar w:left="1000" w:top="822" w:right="1000" w:bottom="283" w:gutter="0" w:footer="0" w:header="0"/>
          <w:type w:val="continuous"/>
        </w:sectPr>
      </w:pPr>
    </w:p>
    <w:p>
      <w:pPr>
        <w:ind w:right="160"/>
        <w:spacing w:after="0" w:line="267" w:lineRule="auto"/>
        <w:rPr>
          <w:sz w:val="20"/>
          <w:szCs w:val="20"/>
          <w:color w:val="auto"/>
        </w:rPr>
      </w:pPr>
      <w:r>
        <w:rPr>
          <w:rFonts w:ascii="Arial Narrow" w:cs="Arial Narrow" w:eastAsia="Arial Narrow" w:hAnsi="Arial Narrow"/>
          <w:sz w:val="18"/>
          <w:szCs w:val="18"/>
          <w:color w:val="auto"/>
        </w:rPr>
        <w:t>The aggregate market value of the voting and non-voting common equity held by non-affiliates was $47.9 billion based on the closing price reported on the Nasdaq Global Select Market on March 2, 2023.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8"/>
          <w:szCs w:val="18"/>
          <w:color w:val="auto"/>
        </w:rPr>
        <w:t>The number of outstanding shares of the registrant’s common stock as of September 29, 2023 was 1,098,034,471.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ectPr>
          <w:pgSz w:w="12240" w:h="15840" w:orient="portrait"/>
          <w:cols w:equalWidth="0" w:num="1">
            <w:col w:w="10240"/>
          </w:cols>
          <w:pgMar w:left="1000" w:top="822" w:right="1000" w:bottom="283" w:gutter="0" w:footer="0" w:header="0"/>
          <w:type w:val="continuous"/>
        </w:sectPr>
      </w:pPr>
    </w:p>
    <w:p>
      <w:pPr>
        <w:spacing w:after="0" w:line="51" w:lineRule="exact"/>
        <w:rPr>
          <w:sz w:val="20"/>
          <w:szCs w:val="20"/>
          <w:color w:val="auto"/>
        </w:rPr>
      </w:pPr>
    </w:p>
    <w:p>
      <w:pPr>
        <w:ind w:right="600"/>
        <w:spacing w:after="0" w:line="299" w:lineRule="auto"/>
        <w:rPr>
          <w:sz w:val="20"/>
          <w:szCs w:val="20"/>
          <w:color w:val="auto"/>
        </w:rPr>
      </w:pPr>
      <w:r>
        <w:rPr>
          <w:rFonts w:ascii="Arial Narrow" w:cs="Arial Narrow" w:eastAsia="Arial Narrow" w:hAnsi="Arial Narrow"/>
          <w:sz w:val="18"/>
          <w:szCs w:val="18"/>
          <w:color w:val="auto"/>
        </w:rPr>
        <w:t>Portions of the Proxy Statement for the registrant’s Fiscal 2023 Annual Meeting of Shareholders to be held on January 18, 2024 are incorporated by reference into Part II and Part III of this Annual Report on Form 10-K.</w:t>
      </w:r>
    </w:p>
    <w:p>
      <w:pPr>
        <w:sectPr>
          <w:pgSz w:w="12240" w:h="15840" w:orient="portrait"/>
          <w:cols w:equalWidth="0" w:num="1">
            <w:col w:w="10240"/>
          </w:cols>
          <w:pgMar w:left="1000" w:top="822" w:right="1000" w:bottom="283" w:gutter="0" w:footer="0" w:header="0"/>
          <w:type w:val="continuous"/>
        </w:sectPr>
      </w:pPr>
    </w:p>
    <w:bookmarkStart w:id="2" w:name="page3"/>
    <w:bookmarkEnd w:id="2"/>
    <w:p>
      <w:pPr>
        <w:spacing w:after="0" w:line="29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571500</wp:posOffset>
            </wp:positionV>
            <wp:extent cx="6515100" cy="8431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15100" cy="84315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Narrow" w:cs="Arial Narrow" w:eastAsia="Arial Narrow" w:hAnsi="Arial Narrow"/>
          <w:sz w:val="44"/>
          <w:szCs w:val="44"/>
          <w:b w:val="1"/>
          <w:bCs w:val="1"/>
          <w:color w:val="auto"/>
        </w:rPr>
        <w:t>Micron’s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273685</wp:posOffset>
            </wp:positionV>
            <wp:extent cx="6515100" cy="384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384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Micron’s global presence map highlights locations that include our manufacturing sites, centers of excellence, customer labs, and large offices.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266700</wp:posOffset>
            </wp:positionV>
            <wp:extent cx="6515100" cy="3664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3664585"/>
                    </a:xfrm>
                    <a:prstGeom prst="rect">
                      <a:avLst/>
                    </a:prstGeom>
                    <a:noFill/>
                  </pic:spPr>
                </pic:pic>
              </a:graphicData>
            </a:graphic>
          </wp:anchor>
        </w:drawing>
      </w:r>
    </w:p>
    <w:p>
      <w:pPr>
        <w:sectPr>
          <w:pgSz w:w="12240" w:h="15840" w:orient="portrait"/>
          <w:cols w:equalWidth="0" w:num="1">
            <w:col w:w="10060"/>
          </w:cols>
          <w:pgMar w:left="1000" w:top="732" w:right="1180" w:bottom="1440" w:gutter="0" w:footer="0" w:header="0"/>
        </w:sectPr>
      </w:pPr>
    </w:p>
    <w:bookmarkStart w:id="4" w:name="page5"/>
    <w:bookmarkEnd w:id="4"/>
    <w:p>
      <w:pPr>
        <w:spacing w:after="0"/>
        <w:rPr>
          <w:sz w:val="20"/>
          <w:szCs w:val="20"/>
          <w:color w:val="auto"/>
        </w:rPr>
      </w:pPr>
      <w:r>
        <w:rPr>
          <w:rFonts w:ascii="Arial Narrow" w:cs="Arial Narrow" w:eastAsia="Arial Narrow" w:hAnsi="Arial Narrow"/>
          <w:sz w:val="44"/>
          <w:szCs w:val="4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540500" cy="5657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00" cy="5657850"/>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Introduction</w:t>
            </w:r>
          </w:p>
        </w:tc>
        <w:tc>
          <w:tcPr>
            <w:tcW w:w="8500" w:type="dxa"/>
            <w:vAlign w:val="bottom"/>
            <w:tcBorders>
              <w:right w:val="single" w:sz="8" w:color="D1D2D4"/>
            </w:tcBorders>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r>
        <w:trPr>
          <w:trHeight w:val="303"/>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w:t>
            </w: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Business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Risk Factors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1B.</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Unresolved Staff Comments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2.</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Properties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3.</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Legal Proceedings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4.</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Mine Safety Disclosures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r>
      <w:tr>
        <w:trPr>
          <w:trHeight w:val="327"/>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w:t>
            </w:r>
          </w:p>
        </w:tc>
        <w:tc>
          <w:tcPr>
            <w:tcW w:w="8500" w:type="dxa"/>
            <w:vAlign w:val="bottom"/>
            <w:tcBorders>
              <w:right w:val="single" w:sz="8" w:color="D1D2D4"/>
            </w:tcBorders>
          </w:tcPr>
          <w:p>
            <w:pPr>
              <w:spacing w:after="0"/>
              <w:rPr>
                <w:sz w:val="24"/>
                <w:szCs w:val="24"/>
                <w:color w:val="auto"/>
              </w:rPr>
            </w:pPr>
          </w:p>
        </w:tc>
        <w:tc>
          <w:tcPr>
            <w:tcW w:w="540" w:type="dxa"/>
            <w:vAlign w:val="bottom"/>
          </w:tcPr>
          <w:p>
            <w:pPr>
              <w:spacing w:after="0"/>
              <w:rPr>
                <w:sz w:val="24"/>
                <w:szCs w:val="24"/>
                <w:color w:val="auto"/>
              </w:rPr>
            </w:pPr>
          </w:p>
        </w:tc>
      </w:tr>
      <w:tr>
        <w:trPr>
          <w:trHeight w:val="303"/>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5.</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Market for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6.</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[Reserved]</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Quantitative and Qualitative Disclosures About Market Risk</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8.</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Financial Statements and Supplementary Data</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Changes in and Disagreements With Accountants on Accounting and Financial Disclosure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Controls and Procedures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9B.</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Other Information</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9C.</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Disclosure Regarding Foreign Jurisdictions that Prevent Inspections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27"/>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III</w:t>
            </w:r>
          </w:p>
        </w:tc>
        <w:tc>
          <w:tcPr>
            <w:tcW w:w="8500" w:type="dxa"/>
            <w:vAlign w:val="bottom"/>
            <w:tcBorders>
              <w:right w:val="single" w:sz="8" w:color="D1D2D4"/>
            </w:tcBorders>
          </w:tcPr>
          <w:p>
            <w:pPr>
              <w:spacing w:after="0"/>
              <w:rPr>
                <w:sz w:val="24"/>
                <w:szCs w:val="24"/>
                <w:color w:val="auto"/>
              </w:rPr>
            </w:pPr>
          </w:p>
        </w:tc>
        <w:tc>
          <w:tcPr>
            <w:tcW w:w="540" w:type="dxa"/>
            <w:vAlign w:val="bottom"/>
          </w:tcPr>
          <w:p>
            <w:pPr>
              <w:spacing w:after="0"/>
              <w:rPr>
                <w:sz w:val="24"/>
                <w:szCs w:val="24"/>
                <w:color w:val="auto"/>
              </w:rPr>
            </w:pPr>
          </w:p>
        </w:tc>
      </w:tr>
      <w:tr>
        <w:trPr>
          <w:trHeight w:val="303"/>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10.</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Directors, Executive Officers, and Corporate Governance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11.</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Executive Compensation</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12.</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Security Ownership of Certain Beneficial Owners and Management and Related Stockholder Matters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13.</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Certain Relationships and Related Transactions, and Director Independence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14.</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Principal Accountant Fees and Services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27"/>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IV</w:t>
            </w:r>
          </w:p>
        </w:tc>
        <w:tc>
          <w:tcPr>
            <w:tcW w:w="8500" w:type="dxa"/>
            <w:vAlign w:val="bottom"/>
            <w:tcBorders>
              <w:right w:val="single" w:sz="8" w:color="D1D2D4"/>
            </w:tcBorders>
          </w:tcPr>
          <w:p>
            <w:pPr>
              <w:spacing w:after="0"/>
              <w:rPr>
                <w:sz w:val="24"/>
                <w:szCs w:val="24"/>
                <w:color w:val="auto"/>
              </w:rPr>
            </w:pPr>
          </w:p>
        </w:tc>
        <w:tc>
          <w:tcPr>
            <w:tcW w:w="540" w:type="dxa"/>
            <w:vAlign w:val="bottom"/>
          </w:tcPr>
          <w:p>
            <w:pPr>
              <w:spacing w:after="0"/>
              <w:rPr>
                <w:sz w:val="24"/>
                <w:szCs w:val="24"/>
                <w:color w:val="auto"/>
              </w:rPr>
            </w:pPr>
          </w:p>
        </w:tc>
      </w:tr>
      <w:tr>
        <w:trPr>
          <w:trHeight w:val="303"/>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15.</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Exhibits and Financial Statement Schedule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16.</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Form 10-K Summary</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97</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Signatures</w:t>
            </w:r>
          </w:p>
        </w:tc>
        <w:tc>
          <w:tcPr>
            <w:tcW w:w="8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3122295</wp:posOffset>
            </wp:positionV>
            <wp:extent cx="736600" cy="200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10260"/>
          </w:cols>
          <w:pgMar w:left="1000" w:top="732" w:right="980" w:bottom="0" w:gutter="0" w:footer="0" w:header="0"/>
          <w:type w:val="continuous"/>
        </w:sectPr>
      </w:pPr>
    </w:p>
    <w:bookmarkStart w:id="5" w:name="page6"/>
    <w:bookmarkEnd w:id="5"/>
    <w:p>
      <w:pPr>
        <w:spacing w:after="0"/>
        <w:rPr>
          <w:sz w:val="20"/>
          <w:szCs w:val="20"/>
          <w:color w:val="auto"/>
        </w:rPr>
      </w:pPr>
      <w:r>
        <w:rPr>
          <w:rFonts w:ascii="Arial Narrow" w:cs="Arial Narrow" w:eastAsia="Arial Narrow" w:hAnsi="Arial Narrow"/>
          <w:sz w:val="44"/>
          <w:szCs w:val="44"/>
          <w:b w:val="1"/>
          <w:bCs w:val="1"/>
          <w:color w:val="auto"/>
        </w:rPr>
        <w:t>Definitions of Commonly Used Terms</w:t>
      </w:r>
    </w:p>
    <w:p>
      <w:pPr>
        <w:spacing w:after="0" w:line="353"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Term</w:t>
            </w:r>
          </w:p>
        </w:tc>
        <w:tc>
          <w:tcPr>
            <w:tcW w:w="3500" w:type="dxa"/>
            <w:vAlign w:val="bottom"/>
            <w:tcBorders>
              <w:bottom w:val="single" w:sz="8" w:color="auto"/>
            </w:tcBorders>
          </w:tcPr>
          <w:p>
            <w:pPr>
              <w:ind w:left="1400"/>
              <w:spacing w:after="0"/>
              <w:rPr>
                <w:sz w:val="20"/>
                <w:szCs w:val="20"/>
                <w:color w:val="auto"/>
              </w:rPr>
            </w:pPr>
            <w:r>
              <w:rPr>
                <w:rFonts w:ascii="Arial Narrow" w:cs="Arial Narrow" w:eastAsia="Arial Narrow" w:hAnsi="Arial Narrow"/>
                <w:sz w:val="20"/>
                <w:szCs w:val="20"/>
                <w:b w:val="1"/>
                <w:bCs w:val="1"/>
                <w:color w:val="auto"/>
              </w:rPr>
              <w:t>Definition</w:t>
            </w:r>
          </w:p>
        </w:tc>
        <w:tc>
          <w:tcPr>
            <w:tcW w:w="60" w:type="dxa"/>
            <w:vAlign w:val="bottom"/>
          </w:tcPr>
          <w:p>
            <w:pPr>
              <w:spacing w:after="0"/>
              <w:rPr>
                <w:sz w:val="24"/>
                <w:szCs w:val="24"/>
                <w:color w:val="auto"/>
              </w:rPr>
            </w:pPr>
          </w:p>
        </w:tc>
        <w:tc>
          <w:tcPr>
            <w:tcW w:w="1360" w:type="dxa"/>
            <w:vAlign w:val="bottom"/>
            <w:tcBorders>
              <w:bottom w:val="single" w:sz="8" w:color="auto"/>
            </w:tcBorders>
          </w:tcPr>
          <w:p>
            <w:pPr>
              <w:ind w:left="620"/>
              <w:spacing w:after="0"/>
              <w:rPr>
                <w:sz w:val="20"/>
                <w:szCs w:val="20"/>
                <w:color w:val="auto"/>
              </w:rPr>
            </w:pPr>
            <w:r>
              <w:rPr>
                <w:rFonts w:ascii="Arial Narrow" w:cs="Arial Narrow" w:eastAsia="Arial Narrow" w:hAnsi="Arial Narrow"/>
                <w:sz w:val="20"/>
                <w:szCs w:val="20"/>
                <w:b w:val="1"/>
                <w:bCs w:val="1"/>
                <w:color w:val="auto"/>
              </w:rPr>
              <w:t>Term</w:t>
            </w:r>
          </w:p>
        </w:tc>
        <w:tc>
          <w:tcPr>
            <w:tcW w:w="3800" w:type="dxa"/>
            <w:vAlign w:val="bottom"/>
            <w:tcBorders>
              <w:bottom w:val="single" w:sz="8" w:color="auto"/>
            </w:tcBorders>
          </w:tcPr>
          <w:p>
            <w:pPr>
              <w:ind w:left="1660"/>
              <w:spacing w:after="0"/>
              <w:rPr>
                <w:sz w:val="20"/>
                <w:szCs w:val="20"/>
                <w:color w:val="auto"/>
              </w:rPr>
            </w:pPr>
            <w:r>
              <w:rPr>
                <w:rFonts w:ascii="Arial Narrow" w:cs="Arial Narrow" w:eastAsia="Arial Narrow" w:hAnsi="Arial Narrow"/>
                <w:sz w:val="20"/>
                <w:szCs w:val="20"/>
                <w:b w:val="1"/>
                <w:bCs w:val="1"/>
                <w:color w:val="auto"/>
              </w:rPr>
              <w:t>Definition</w:t>
            </w:r>
          </w:p>
        </w:tc>
        <w:tc>
          <w:tcPr>
            <w:tcW w:w="0" w:type="dxa"/>
            <w:vAlign w:val="bottom"/>
          </w:tcPr>
          <w:p>
            <w:pPr>
              <w:spacing w:after="0"/>
              <w:rPr>
                <w:sz w:val="1"/>
                <w:szCs w:val="1"/>
                <w:color w:val="auto"/>
              </w:rPr>
            </w:pPr>
          </w:p>
        </w:tc>
      </w:tr>
      <w:tr>
        <w:trPr>
          <w:trHeight w:val="50"/>
        </w:trPr>
        <w:tc>
          <w:tcPr>
            <w:tcW w:w="4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2023</w:t>
            </w:r>
          </w:p>
        </w:tc>
        <w:tc>
          <w:tcPr>
            <w:tcW w:w="1100" w:type="dxa"/>
            <w:vAlign w:val="bottom"/>
            <w:vMerge w:val="restart"/>
          </w:tcPr>
          <w:p>
            <w:pPr>
              <w:ind w:left="20"/>
              <w:spacing w:after="0"/>
              <w:rPr>
                <w:sz w:val="20"/>
                <w:szCs w:val="20"/>
                <w:color w:val="auto"/>
              </w:rPr>
            </w:pPr>
            <w:r>
              <w:rPr>
                <w:rFonts w:ascii="Arial Narrow" w:cs="Arial Narrow" w:eastAsia="Arial Narrow" w:hAnsi="Arial Narrow"/>
                <w:sz w:val="20"/>
                <w:szCs w:val="20"/>
                <w:color w:val="auto"/>
              </w:rPr>
              <w:t>Notes</w:t>
            </w:r>
          </w:p>
        </w:tc>
        <w:tc>
          <w:tcPr>
            <w:tcW w:w="3500" w:type="dxa"/>
            <w:vAlign w:val="bottom"/>
            <w:vMerge w:val="restart"/>
          </w:tcPr>
          <w:p>
            <w:pPr>
              <w:ind w:left="120"/>
              <w:spacing w:after="0"/>
              <w:rPr>
                <w:sz w:val="20"/>
                <w:szCs w:val="20"/>
                <w:color w:val="auto"/>
              </w:rPr>
            </w:pPr>
            <w:r>
              <w:rPr>
                <w:rFonts w:ascii="Arial Narrow" w:cs="Arial Narrow" w:eastAsia="Arial Narrow" w:hAnsi="Arial Narrow"/>
                <w:sz w:val="20"/>
                <w:szCs w:val="20"/>
                <w:color w:val="auto"/>
              </w:rPr>
              <w:t>2.497% Senior Notes due April 2023, repaid</w:t>
            </w:r>
          </w:p>
        </w:tc>
        <w:tc>
          <w:tcPr>
            <w:tcW w:w="60" w:type="dxa"/>
            <w:vAlign w:val="bottom"/>
          </w:tcPr>
          <w:p>
            <w:pPr>
              <w:spacing w:after="0"/>
              <w:rPr>
                <w:sz w:val="4"/>
                <w:szCs w:val="4"/>
                <w:color w:val="auto"/>
              </w:rPr>
            </w:pPr>
          </w:p>
        </w:tc>
        <w:tc>
          <w:tcPr>
            <w:tcW w:w="136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GDDR</w:t>
            </w: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5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3800" w:type="dxa"/>
            <w:vAlign w:val="bottom"/>
            <w:tcBorders>
              <w:right w:val="single" w:sz="8" w:color="DBDBDB"/>
            </w:tcBorders>
          </w:tcPr>
          <w:p>
            <w:pPr>
              <w:ind w:left="340"/>
              <w:spacing w:after="0" w:line="220" w:lineRule="exact"/>
              <w:rPr>
                <w:sz w:val="20"/>
                <w:szCs w:val="20"/>
                <w:color w:val="auto"/>
              </w:rPr>
            </w:pPr>
            <w:r>
              <w:rPr>
                <w:rFonts w:ascii="Arial Narrow" w:cs="Arial Narrow" w:eastAsia="Arial Narrow" w:hAnsi="Arial Narrow"/>
                <w:sz w:val="20"/>
                <w:szCs w:val="20"/>
                <w:color w:val="auto"/>
              </w:rPr>
              <w:t>Graphics double data rate</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tcPr>
          <w:p>
            <w:pPr>
              <w:ind w:left="120"/>
              <w:spacing w:after="0"/>
              <w:rPr>
                <w:sz w:val="20"/>
                <w:szCs w:val="20"/>
                <w:color w:val="auto"/>
              </w:rPr>
            </w:pPr>
            <w:r>
              <w:rPr>
                <w:rFonts w:ascii="Arial Narrow" w:cs="Arial Narrow" w:eastAsia="Arial Narrow" w:hAnsi="Arial Narrow"/>
                <w:sz w:val="20"/>
                <w:szCs w:val="20"/>
                <w:color w:val="auto"/>
              </w:rPr>
              <w:t>November 2021</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0" w:type="dxa"/>
            <w:vAlign w:val="bottom"/>
            <w:tcBorders>
              <w:right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2024</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Notes</w:t>
            </w:r>
          </w:p>
        </w:tc>
        <w:tc>
          <w:tcPr>
            <w:tcW w:w="35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4.640% Senior Notes due February 2024,</w:t>
            </w:r>
          </w:p>
        </w:tc>
        <w:tc>
          <w:tcPr>
            <w:tcW w:w="60" w:type="dxa"/>
            <w:vAlign w:val="bottom"/>
          </w:tcPr>
          <w:p>
            <w:pPr>
              <w:spacing w:after="0"/>
              <w:rPr>
                <w:sz w:val="19"/>
                <w:szCs w:val="19"/>
                <w:color w:val="auto"/>
              </w:rPr>
            </w:pPr>
          </w:p>
        </w:tc>
        <w:tc>
          <w:tcPr>
            <w:tcW w:w="136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HBM</w:t>
            </w:r>
          </w:p>
        </w:tc>
        <w:tc>
          <w:tcPr>
            <w:tcW w:w="3800" w:type="dxa"/>
            <w:vAlign w:val="bottom"/>
          </w:tcPr>
          <w:p>
            <w:pPr>
              <w:ind w:left="340"/>
              <w:spacing w:after="0" w:line="220" w:lineRule="exact"/>
              <w:rPr>
                <w:sz w:val="20"/>
                <w:szCs w:val="20"/>
                <w:color w:val="auto"/>
              </w:rPr>
            </w:pPr>
            <w:r>
              <w:rPr>
                <w:rFonts w:ascii="Arial Narrow" w:cs="Arial Narrow" w:eastAsia="Arial Narrow" w:hAnsi="Arial Narrow"/>
                <w:sz w:val="20"/>
                <w:szCs w:val="20"/>
                <w:color w:val="auto"/>
              </w:rPr>
              <w:t>High-bandwidth memory, a stacked DRAM</w:t>
            </w: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00" w:type="dxa"/>
            <w:vAlign w:val="bottom"/>
          </w:tcPr>
          <w:p>
            <w:pPr>
              <w:ind w:left="120"/>
              <w:spacing w:after="0" w:line="200" w:lineRule="exact"/>
              <w:rPr>
                <w:sz w:val="20"/>
                <w:szCs w:val="20"/>
                <w:color w:val="auto"/>
              </w:rPr>
            </w:pPr>
            <w:r>
              <w:rPr>
                <w:rFonts w:ascii="Arial Narrow" w:cs="Arial Narrow" w:eastAsia="Arial Narrow" w:hAnsi="Arial Narrow"/>
                <w:sz w:val="20"/>
                <w:szCs w:val="20"/>
                <w:color w:val="auto"/>
              </w:rPr>
              <w:t>repaid November 2021</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0" w:type="dxa"/>
            <w:vAlign w:val="bottom"/>
          </w:tcPr>
          <w:p>
            <w:pPr>
              <w:ind w:left="340"/>
              <w:spacing w:after="0" w:line="200" w:lineRule="exact"/>
              <w:rPr>
                <w:sz w:val="20"/>
                <w:szCs w:val="20"/>
                <w:color w:val="auto"/>
              </w:rPr>
            </w:pPr>
            <w:r>
              <w:rPr>
                <w:rFonts w:ascii="Arial Narrow" w:cs="Arial Narrow" w:eastAsia="Arial Narrow" w:hAnsi="Arial Narrow"/>
                <w:sz w:val="20"/>
                <w:szCs w:val="20"/>
                <w:color w:val="auto"/>
              </w:rPr>
              <w:t>technology optimized for memory-bandwidth</w:t>
            </w:r>
          </w:p>
        </w:tc>
        <w:tc>
          <w:tcPr>
            <w:tcW w:w="0" w:type="dxa"/>
            <w:vAlign w:val="bottom"/>
          </w:tcPr>
          <w:p>
            <w:pPr>
              <w:spacing w:after="0"/>
              <w:rPr>
                <w:sz w:val="1"/>
                <w:szCs w:val="1"/>
                <w:color w:val="auto"/>
              </w:rPr>
            </w:pPr>
          </w:p>
        </w:tc>
      </w:tr>
      <w:tr>
        <w:trPr>
          <w:trHeight w:val="277"/>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0" w:type="dxa"/>
            <w:vAlign w:val="bottom"/>
          </w:tcPr>
          <w:p>
            <w:pPr>
              <w:ind w:left="340"/>
              <w:spacing w:after="0"/>
              <w:rPr>
                <w:sz w:val="20"/>
                <w:szCs w:val="20"/>
                <w:color w:val="auto"/>
              </w:rPr>
            </w:pPr>
            <w:r>
              <w:rPr>
                <w:rFonts w:ascii="Arial Narrow" w:cs="Arial Narrow" w:eastAsia="Arial Narrow" w:hAnsi="Arial Narrow"/>
                <w:sz w:val="20"/>
                <w:szCs w:val="20"/>
                <w:color w:val="auto"/>
              </w:rPr>
              <w:t>intensive applications</w:t>
            </w:r>
          </w:p>
        </w:tc>
        <w:tc>
          <w:tcPr>
            <w:tcW w:w="0" w:type="dxa"/>
            <w:vAlign w:val="bottom"/>
          </w:tcPr>
          <w:p>
            <w:pPr>
              <w:spacing w:after="0"/>
              <w:rPr>
                <w:sz w:val="1"/>
                <w:szCs w:val="1"/>
                <w:color w:val="auto"/>
              </w:rPr>
            </w:pPr>
          </w:p>
        </w:tc>
      </w:tr>
      <w:tr>
        <w:trPr>
          <w:trHeight w:val="22"/>
        </w:trPr>
        <w:tc>
          <w:tcPr>
            <w:tcW w:w="4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2024</w:t>
            </w:r>
          </w:p>
        </w:tc>
        <w:tc>
          <w:tcPr>
            <w:tcW w:w="1100" w:type="dxa"/>
            <w:vAlign w:val="bottom"/>
            <w:vMerge w:val="restart"/>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500" w:type="dxa"/>
            <w:vAlign w:val="bottom"/>
            <w:vMerge w:val="restart"/>
          </w:tcPr>
          <w:p>
            <w:pPr>
              <w:ind w:left="120"/>
              <w:spacing w:after="0"/>
              <w:rPr>
                <w:sz w:val="20"/>
                <w:szCs w:val="20"/>
                <w:color w:val="auto"/>
              </w:rPr>
            </w:pPr>
            <w:r>
              <w:rPr>
                <w:rFonts w:ascii="Arial Narrow" w:cs="Arial Narrow" w:eastAsia="Arial Narrow" w:hAnsi="Arial Narrow"/>
                <w:sz w:val="20"/>
                <w:szCs w:val="20"/>
                <w:color w:val="auto"/>
              </w:rPr>
              <w:t>Senior Term Loan A due October 2024</w:t>
            </w:r>
          </w:p>
        </w:tc>
        <w:tc>
          <w:tcPr>
            <w:tcW w:w="60" w:type="dxa"/>
            <w:vAlign w:val="bottom"/>
          </w:tcPr>
          <w:p>
            <w:pPr>
              <w:spacing w:after="0" w:line="20" w:lineRule="exact"/>
              <w:rPr>
                <w:sz w:val="1"/>
                <w:szCs w:val="1"/>
                <w:color w:val="auto"/>
              </w:rPr>
            </w:pPr>
          </w:p>
        </w:tc>
        <w:tc>
          <w:tcPr>
            <w:tcW w:w="136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Inotera</w:t>
            </w: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3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800" w:type="dxa"/>
            <w:vAlign w:val="bottom"/>
            <w:tcBorders>
              <w:right w:val="single" w:sz="8" w:color="DBDBDB"/>
            </w:tcBorders>
          </w:tcPr>
          <w:p>
            <w:pPr>
              <w:ind w:left="340"/>
              <w:spacing w:after="0"/>
              <w:rPr>
                <w:sz w:val="20"/>
                <w:szCs w:val="20"/>
                <w:color w:val="auto"/>
              </w:rPr>
            </w:pPr>
            <w:r>
              <w:rPr>
                <w:rFonts w:ascii="Arial Narrow" w:cs="Arial Narrow" w:eastAsia="Arial Narrow" w:hAnsi="Arial Narrow"/>
                <w:sz w:val="20"/>
                <w:szCs w:val="20"/>
                <w:color w:val="auto"/>
              </w:rPr>
              <w:t>Inotera Memories, Inc.</w:t>
            </w:r>
          </w:p>
        </w:tc>
        <w:tc>
          <w:tcPr>
            <w:tcW w:w="0" w:type="dxa"/>
            <w:vAlign w:val="bottom"/>
          </w:tcPr>
          <w:p>
            <w:pPr>
              <w:spacing w:after="0"/>
              <w:rPr>
                <w:sz w:val="1"/>
                <w:szCs w:val="1"/>
                <w:color w:val="auto"/>
              </w:rPr>
            </w:pPr>
          </w:p>
        </w:tc>
      </w:tr>
      <w:tr>
        <w:trPr>
          <w:trHeight w:val="281"/>
        </w:trPr>
        <w:tc>
          <w:tcPr>
            <w:tcW w:w="440" w:type="dxa"/>
            <w:vAlign w:val="bottom"/>
          </w:tcPr>
          <w:p>
            <w:pPr>
              <w:ind w:left="40"/>
              <w:spacing w:after="0"/>
              <w:rPr>
                <w:sz w:val="20"/>
                <w:szCs w:val="20"/>
                <w:color w:val="auto"/>
              </w:rPr>
            </w:pPr>
            <w:r>
              <w:rPr>
                <w:rFonts w:ascii="Arial Narrow" w:cs="Arial Narrow" w:eastAsia="Arial Narrow" w:hAnsi="Arial Narrow"/>
                <w:sz w:val="20"/>
                <w:szCs w:val="20"/>
                <w:color w:val="auto"/>
              </w:rPr>
              <w:t>2025</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500" w:type="dxa"/>
            <w:vAlign w:val="bottom"/>
          </w:tcPr>
          <w:p>
            <w:pPr>
              <w:ind w:left="120"/>
              <w:spacing w:after="0"/>
              <w:rPr>
                <w:sz w:val="20"/>
                <w:szCs w:val="20"/>
                <w:color w:val="auto"/>
              </w:rPr>
            </w:pPr>
            <w:r>
              <w:rPr>
                <w:rFonts w:ascii="Arial Narrow" w:cs="Arial Narrow" w:eastAsia="Arial Narrow" w:hAnsi="Arial Narrow"/>
                <w:sz w:val="20"/>
                <w:szCs w:val="20"/>
                <w:color w:val="auto"/>
              </w:rPr>
              <w:t>Senior Term Loan A due November 2025</w:t>
            </w:r>
          </w:p>
        </w:tc>
        <w:tc>
          <w:tcPr>
            <w:tcW w:w="6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Narrow" w:cs="Arial Narrow" w:eastAsia="Arial Narrow" w:hAnsi="Arial Narrow"/>
                <w:sz w:val="20"/>
                <w:szCs w:val="20"/>
                <w:color w:val="auto"/>
              </w:rPr>
              <w:t>LIBOR</w:t>
            </w:r>
          </w:p>
        </w:tc>
        <w:tc>
          <w:tcPr>
            <w:tcW w:w="3800" w:type="dxa"/>
            <w:vAlign w:val="bottom"/>
          </w:tcPr>
          <w:p>
            <w:pPr>
              <w:ind w:left="340"/>
              <w:spacing w:after="0"/>
              <w:rPr>
                <w:sz w:val="20"/>
                <w:szCs w:val="20"/>
                <w:color w:val="auto"/>
              </w:rPr>
            </w:pPr>
            <w:r>
              <w:rPr>
                <w:rFonts w:ascii="Arial Narrow" w:cs="Arial Narrow" w:eastAsia="Arial Narrow" w:hAnsi="Arial Narrow"/>
                <w:sz w:val="20"/>
                <w:szCs w:val="20"/>
                <w:color w:val="auto"/>
              </w:rPr>
              <w:t>London Interbank Offered Rate</w:t>
            </w:r>
          </w:p>
        </w:tc>
        <w:tc>
          <w:tcPr>
            <w:tcW w:w="0" w:type="dxa"/>
            <w:vAlign w:val="bottom"/>
          </w:tcPr>
          <w:p>
            <w:pPr>
              <w:spacing w:after="0"/>
              <w:rPr>
                <w:sz w:val="1"/>
                <w:szCs w:val="1"/>
                <w:color w:val="auto"/>
              </w:rPr>
            </w:pPr>
          </w:p>
        </w:tc>
      </w:tr>
      <w:tr>
        <w:trPr>
          <w:trHeight w:val="289"/>
        </w:trPr>
        <w:tc>
          <w:tcPr>
            <w:tcW w:w="15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2026 Term Loan A</w:t>
            </w:r>
          </w:p>
        </w:tc>
        <w:tc>
          <w:tcPr>
            <w:tcW w:w="3500" w:type="dxa"/>
            <w:vAlign w:val="bottom"/>
          </w:tcPr>
          <w:p>
            <w:pPr>
              <w:ind w:left="120"/>
              <w:spacing w:after="0"/>
              <w:rPr>
                <w:sz w:val="20"/>
                <w:szCs w:val="20"/>
                <w:color w:val="auto"/>
              </w:rPr>
            </w:pPr>
            <w:r>
              <w:rPr>
                <w:rFonts w:ascii="Arial Narrow" w:cs="Arial Narrow" w:eastAsia="Arial Narrow" w:hAnsi="Arial Narrow"/>
                <w:sz w:val="20"/>
                <w:szCs w:val="20"/>
                <w:color w:val="auto"/>
              </w:rPr>
              <w:t>Senior Term Loan A due November 2026</w:t>
            </w:r>
          </w:p>
        </w:tc>
        <w:tc>
          <w:tcPr>
            <w:tcW w:w="6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Narrow" w:cs="Arial Narrow" w:eastAsia="Arial Narrow" w:hAnsi="Arial Narrow"/>
                <w:sz w:val="20"/>
                <w:szCs w:val="20"/>
                <w:color w:val="auto"/>
              </w:rPr>
              <w:t>LPDDR</w:t>
            </w:r>
          </w:p>
        </w:tc>
        <w:tc>
          <w:tcPr>
            <w:tcW w:w="3800" w:type="dxa"/>
            <w:vAlign w:val="bottom"/>
            <w:tcBorders>
              <w:right w:val="single" w:sz="8" w:color="DBDBDB"/>
            </w:tcBorders>
          </w:tcPr>
          <w:p>
            <w:pPr>
              <w:ind w:left="340"/>
              <w:spacing w:after="0"/>
              <w:rPr>
                <w:sz w:val="20"/>
                <w:szCs w:val="20"/>
                <w:color w:val="auto"/>
              </w:rPr>
            </w:pPr>
            <w:r>
              <w:rPr>
                <w:rFonts w:ascii="Arial Narrow" w:cs="Arial Narrow" w:eastAsia="Arial Narrow" w:hAnsi="Arial Narrow"/>
                <w:sz w:val="20"/>
                <w:szCs w:val="20"/>
                <w:color w:val="auto"/>
              </w:rPr>
              <w:t>Low-power double data rate DRAM</w:t>
            </w:r>
          </w:p>
        </w:tc>
        <w:tc>
          <w:tcPr>
            <w:tcW w:w="0" w:type="dxa"/>
            <w:vAlign w:val="bottom"/>
          </w:tcPr>
          <w:p>
            <w:pPr>
              <w:spacing w:after="0"/>
              <w:rPr>
                <w:sz w:val="1"/>
                <w:szCs w:val="1"/>
                <w:color w:val="auto"/>
              </w:rPr>
            </w:pPr>
          </w:p>
        </w:tc>
      </w:tr>
      <w:tr>
        <w:trPr>
          <w:trHeight w:val="281"/>
        </w:trPr>
        <w:tc>
          <w:tcPr>
            <w:tcW w:w="15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2027 Term Loan A</w:t>
            </w:r>
          </w:p>
        </w:tc>
        <w:tc>
          <w:tcPr>
            <w:tcW w:w="3500" w:type="dxa"/>
            <w:vAlign w:val="bottom"/>
          </w:tcPr>
          <w:p>
            <w:pPr>
              <w:ind w:left="120"/>
              <w:spacing w:after="0"/>
              <w:rPr>
                <w:sz w:val="20"/>
                <w:szCs w:val="20"/>
                <w:color w:val="auto"/>
              </w:rPr>
            </w:pPr>
            <w:r>
              <w:rPr>
                <w:rFonts w:ascii="Arial Narrow" w:cs="Arial Narrow" w:eastAsia="Arial Narrow" w:hAnsi="Arial Narrow"/>
                <w:sz w:val="20"/>
                <w:szCs w:val="20"/>
                <w:color w:val="auto"/>
              </w:rPr>
              <w:t>Senior Term Loan A due November 2027</w:t>
            </w:r>
          </w:p>
        </w:tc>
        <w:tc>
          <w:tcPr>
            <w:tcW w:w="6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Narrow" w:cs="Arial Narrow" w:eastAsia="Arial Narrow" w:hAnsi="Arial Narrow"/>
                <w:sz w:val="20"/>
                <w:szCs w:val="20"/>
                <w:color w:val="auto"/>
              </w:rPr>
              <w:t>LPDRAM</w:t>
            </w:r>
          </w:p>
        </w:tc>
        <w:tc>
          <w:tcPr>
            <w:tcW w:w="3800" w:type="dxa"/>
            <w:vAlign w:val="bottom"/>
          </w:tcPr>
          <w:p>
            <w:pPr>
              <w:ind w:left="340"/>
              <w:spacing w:after="0"/>
              <w:rPr>
                <w:sz w:val="20"/>
                <w:szCs w:val="20"/>
                <w:color w:val="auto"/>
              </w:rPr>
            </w:pPr>
            <w:r>
              <w:rPr>
                <w:rFonts w:ascii="Arial Narrow" w:cs="Arial Narrow" w:eastAsia="Arial Narrow" w:hAnsi="Arial Narrow"/>
                <w:sz w:val="20"/>
                <w:szCs w:val="20"/>
                <w:color w:val="auto"/>
              </w:rPr>
              <w:t>Low-power DRAM</w:t>
            </w:r>
          </w:p>
        </w:tc>
        <w:tc>
          <w:tcPr>
            <w:tcW w:w="0" w:type="dxa"/>
            <w:vAlign w:val="bottom"/>
          </w:tcPr>
          <w:p>
            <w:pPr>
              <w:spacing w:after="0"/>
              <w:rPr>
                <w:sz w:val="1"/>
                <w:szCs w:val="1"/>
                <w:color w:val="auto"/>
              </w:rPr>
            </w:pPr>
          </w:p>
        </w:tc>
      </w:tr>
      <w:tr>
        <w:trPr>
          <w:trHeight w:val="225"/>
        </w:trPr>
        <w:tc>
          <w:tcPr>
            <w:tcW w:w="440" w:type="dxa"/>
            <w:vAlign w:val="bottom"/>
          </w:tcPr>
          <w:p>
            <w:pPr>
              <w:ind w:left="40"/>
              <w:spacing w:after="0" w:line="225" w:lineRule="exact"/>
              <w:rPr>
                <w:sz w:val="20"/>
                <w:szCs w:val="20"/>
                <w:color w:val="auto"/>
              </w:rPr>
            </w:pPr>
            <w:r>
              <w:rPr>
                <w:rFonts w:ascii="Arial Narrow" w:cs="Arial Narrow" w:eastAsia="Arial Narrow" w:hAnsi="Arial Narrow"/>
                <w:sz w:val="20"/>
                <w:szCs w:val="20"/>
                <w:color w:val="auto"/>
              </w:rPr>
              <w:t>2026</w:t>
            </w:r>
          </w:p>
        </w:tc>
        <w:tc>
          <w:tcPr>
            <w:tcW w:w="11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Notes</w:t>
            </w:r>
          </w:p>
        </w:tc>
        <w:tc>
          <w:tcPr>
            <w:tcW w:w="350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4.975% Senior Notes due February 2026</w:t>
            </w:r>
          </w:p>
        </w:tc>
        <w:tc>
          <w:tcPr>
            <w:tcW w:w="60" w:type="dxa"/>
            <w:vAlign w:val="bottom"/>
          </w:tcPr>
          <w:p>
            <w:pPr>
              <w:spacing w:after="0"/>
              <w:rPr>
                <w:sz w:val="19"/>
                <w:szCs w:val="19"/>
                <w:color w:val="auto"/>
              </w:rPr>
            </w:pPr>
          </w:p>
        </w:tc>
        <w:tc>
          <w:tcPr>
            <w:tcW w:w="1360" w:type="dxa"/>
            <w:vAlign w:val="bottom"/>
          </w:tcPr>
          <w:p>
            <w:pPr>
              <w:ind w:left="60"/>
              <w:spacing w:after="0" w:line="225" w:lineRule="exact"/>
              <w:rPr>
                <w:sz w:val="20"/>
                <w:szCs w:val="20"/>
                <w:color w:val="auto"/>
              </w:rPr>
            </w:pPr>
            <w:r>
              <w:rPr>
                <w:rFonts w:ascii="Arial Narrow" w:cs="Arial Narrow" w:eastAsia="Arial Narrow" w:hAnsi="Arial Narrow"/>
                <w:sz w:val="20"/>
                <w:szCs w:val="20"/>
                <w:color w:val="auto"/>
              </w:rPr>
              <w:t>MCP</w:t>
            </w:r>
          </w:p>
        </w:tc>
        <w:tc>
          <w:tcPr>
            <w:tcW w:w="3800" w:type="dxa"/>
            <w:vAlign w:val="bottom"/>
            <w:tcBorders>
              <w:right w:val="single" w:sz="8" w:color="DBDBDB"/>
            </w:tcBorders>
          </w:tcPr>
          <w:p>
            <w:pPr>
              <w:ind w:left="340"/>
              <w:spacing w:after="0" w:line="225" w:lineRule="exact"/>
              <w:rPr>
                <w:sz w:val="20"/>
                <w:szCs w:val="20"/>
                <w:color w:val="auto"/>
              </w:rPr>
            </w:pPr>
            <w:r>
              <w:rPr>
                <w:rFonts w:ascii="Arial Narrow" w:cs="Arial Narrow" w:eastAsia="Arial Narrow" w:hAnsi="Arial Narrow"/>
                <w:sz w:val="20"/>
                <w:szCs w:val="20"/>
                <w:color w:val="auto"/>
              </w:rPr>
              <w:t>Multichip packaged solutions with managed</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0" w:type="dxa"/>
            <w:vAlign w:val="bottom"/>
            <w:tcBorders>
              <w:right w:val="single" w:sz="8" w:color="DBDBDB"/>
            </w:tcBorders>
          </w:tcPr>
          <w:p>
            <w:pPr>
              <w:ind w:left="340"/>
              <w:spacing w:after="0"/>
              <w:rPr>
                <w:sz w:val="20"/>
                <w:szCs w:val="20"/>
                <w:color w:val="auto"/>
              </w:rPr>
            </w:pPr>
            <w:r>
              <w:rPr>
                <w:rFonts w:ascii="Arial Narrow" w:cs="Arial Narrow" w:eastAsia="Arial Narrow" w:hAnsi="Arial Narrow"/>
                <w:sz w:val="20"/>
                <w:szCs w:val="20"/>
                <w:color w:val="auto"/>
              </w:rPr>
              <w:t>NAND and LPDRAM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-1802765</wp:posOffset>
            </wp:positionV>
            <wp:extent cx="6540500" cy="637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00" cy="637857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w w:val="93"/>
              </w:rPr>
              <w:t>2027</w:t>
            </w:r>
          </w:p>
        </w:tc>
        <w:tc>
          <w:tcPr>
            <w:tcW w:w="9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4.185%</w:t>
            </w:r>
          </w:p>
        </w:tc>
        <w:tc>
          <w:tcPr>
            <w:tcW w:w="266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2027</w:t>
            </w:r>
          </w:p>
        </w:tc>
        <w:tc>
          <w:tcPr>
            <w:tcW w:w="1680" w:type="dxa"/>
            <w:vAlign w:val="bottom"/>
          </w:tcPr>
          <w:p>
            <w:pPr>
              <w:ind w:left="260"/>
              <w:spacing w:after="0"/>
              <w:rPr>
                <w:sz w:val="20"/>
                <w:szCs w:val="20"/>
                <w:color w:val="auto"/>
              </w:rPr>
            </w:pPr>
            <w:r>
              <w:rPr>
                <w:rFonts w:ascii="Arial Narrow" w:cs="Arial Narrow" w:eastAsia="Arial Narrow" w:hAnsi="Arial Narrow"/>
                <w:sz w:val="20"/>
                <w:szCs w:val="20"/>
                <w:color w:val="auto"/>
              </w:rPr>
              <w:t>Micron</w:t>
            </w:r>
          </w:p>
        </w:tc>
      </w:tr>
      <w:tr>
        <w:trPr>
          <w:trHeight w:val="285"/>
        </w:trPr>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w w:val="93"/>
              </w:rPr>
              <w:t>2028</w:t>
            </w:r>
          </w:p>
        </w:tc>
        <w:tc>
          <w:tcPr>
            <w:tcW w:w="9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5.375%</w:t>
            </w:r>
          </w:p>
        </w:tc>
        <w:tc>
          <w:tcPr>
            <w:tcW w:w="266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April 2028</w:t>
            </w:r>
          </w:p>
        </w:tc>
        <w:tc>
          <w:tcPr>
            <w:tcW w:w="1680" w:type="dxa"/>
            <w:vAlign w:val="bottom"/>
          </w:tcPr>
          <w:p>
            <w:pPr>
              <w:ind w:left="260"/>
              <w:spacing w:after="0"/>
              <w:rPr>
                <w:sz w:val="20"/>
                <w:szCs w:val="20"/>
                <w:color w:val="auto"/>
              </w:rPr>
            </w:pPr>
            <w:r>
              <w:rPr>
                <w:rFonts w:ascii="Arial Narrow" w:cs="Arial Narrow" w:eastAsia="Arial Narrow" w:hAnsi="Arial Narrow"/>
                <w:sz w:val="20"/>
                <w:szCs w:val="20"/>
                <w:color w:val="auto"/>
              </w:rPr>
              <w:t>MTU</w:t>
            </w:r>
          </w:p>
        </w:tc>
      </w:tr>
      <w:tr>
        <w:trPr>
          <w:trHeight w:val="225"/>
        </w:trPr>
        <w:tc>
          <w:tcPr>
            <w:tcW w:w="400" w:type="dxa"/>
            <w:vAlign w:val="bottom"/>
          </w:tcPr>
          <w:p>
            <w:pPr>
              <w:jc w:val="right"/>
              <w:spacing w:after="0" w:line="225" w:lineRule="exact"/>
              <w:rPr>
                <w:sz w:val="20"/>
                <w:szCs w:val="20"/>
                <w:color w:val="auto"/>
              </w:rPr>
            </w:pPr>
            <w:r>
              <w:rPr>
                <w:rFonts w:ascii="Arial Narrow" w:cs="Arial Narrow" w:eastAsia="Arial Narrow" w:hAnsi="Arial Narrow"/>
                <w:sz w:val="20"/>
                <w:szCs w:val="20"/>
                <w:color w:val="auto"/>
                <w:w w:val="93"/>
              </w:rPr>
              <w:t>2029</w:t>
            </w:r>
          </w:p>
        </w:tc>
        <w:tc>
          <w:tcPr>
            <w:tcW w:w="9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A Notes</w:t>
            </w:r>
          </w:p>
        </w:tc>
        <w:tc>
          <w:tcPr>
            <w:tcW w:w="900" w:type="dxa"/>
            <w:vAlign w:val="bottom"/>
          </w:tcPr>
          <w:p>
            <w:pPr>
              <w:jc w:val="right"/>
              <w:spacing w:after="0" w:line="225" w:lineRule="exact"/>
              <w:rPr>
                <w:sz w:val="20"/>
                <w:szCs w:val="20"/>
                <w:color w:val="auto"/>
              </w:rPr>
            </w:pPr>
            <w:r>
              <w:rPr>
                <w:rFonts w:ascii="Arial Narrow" w:cs="Arial Narrow" w:eastAsia="Arial Narrow" w:hAnsi="Arial Narrow"/>
                <w:sz w:val="20"/>
                <w:szCs w:val="20"/>
                <w:color w:val="auto"/>
              </w:rPr>
              <w:t>5.327%</w:t>
            </w:r>
          </w:p>
        </w:tc>
        <w:tc>
          <w:tcPr>
            <w:tcW w:w="266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Senior Notes due February 2029</w:t>
            </w:r>
          </w:p>
        </w:tc>
        <w:tc>
          <w:tcPr>
            <w:tcW w:w="1680" w:type="dxa"/>
            <w:vAlign w:val="bottom"/>
          </w:tcPr>
          <w:p>
            <w:pPr>
              <w:ind w:left="260"/>
              <w:spacing w:after="0" w:line="225" w:lineRule="exact"/>
              <w:rPr>
                <w:sz w:val="20"/>
                <w:szCs w:val="20"/>
                <w:color w:val="auto"/>
              </w:rPr>
            </w:pPr>
            <w:r>
              <w:rPr>
                <w:rFonts w:ascii="Arial Narrow" w:cs="Arial Narrow" w:eastAsia="Arial Narrow" w:hAnsi="Arial Narrow"/>
                <w:sz w:val="20"/>
                <w:szCs w:val="20"/>
                <w:color w:val="auto"/>
                <w:w w:val="97"/>
              </w:rPr>
              <w:t>Multi-Tranche Term</w:t>
            </w:r>
          </w:p>
        </w:tc>
      </w:tr>
      <w:tr>
        <w:trPr>
          <w:trHeight w:val="27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Arial Narrow" w:cs="Arial Narrow" w:eastAsia="Arial Narrow" w:hAnsi="Arial Narrow"/>
                <w:sz w:val="20"/>
                <w:szCs w:val="20"/>
                <w:color w:val="auto"/>
              </w:rPr>
              <w:t>Loan Agreement</w:t>
            </w:r>
          </w:p>
        </w:tc>
      </w:tr>
    </w:tbl>
    <w:p>
      <w:pPr>
        <w:spacing w:after="0" w:line="20" w:lineRule="exact"/>
        <w:rPr>
          <w:sz w:val="20"/>
          <w:szCs w:val="20"/>
          <w:color w:val="auto"/>
        </w:rPr>
      </w:pPr>
      <w:r>
        <w:rPr>
          <w:sz w:val="20"/>
          <w:szCs w:val="20"/>
          <w:color w:val="auto"/>
        </w:rPr>
        <w:br w:type="column"/>
      </w:r>
    </w:p>
    <w:p>
      <w:pPr>
        <w:ind w:right="340"/>
        <w:spacing w:after="0" w:line="312" w:lineRule="auto"/>
        <w:rPr>
          <w:sz w:val="20"/>
          <w:szCs w:val="20"/>
          <w:color w:val="auto"/>
        </w:rPr>
      </w:pPr>
      <w:r>
        <w:rPr>
          <w:rFonts w:ascii="Arial Narrow" w:cs="Arial Narrow" w:eastAsia="Arial Narrow" w:hAnsi="Arial Narrow"/>
          <w:sz w:val="20"/>
          <w:szCs w:val="20"/>
          <w:color w:val="auto"/>
        </w:rPr>
        <w:t>Micron Technology, Inc. (Parent Company) Micron Technology Utah, LLC</w:t>
      </w:r>
    </w:p>
    <w:p>
      <w:pPr>
        <w:spacing w:after="0" w:line="1" w:lineRule="exact"/>
        <w:rPr>
          <w:sz w:val="20"/>
          <w:szCs w:val="20"/>
          <w:color w:val="auto"/>
        </w:rPr>
      </w:pPr>
    </w:p>
    <w:p>
      <w:pPr>
        <w:ind w:right="200"/>
        <w:spacing w:after="0" w:line="236" w:lineRule="auto"/>
        <w:rPr>
          <w:sz w:val="20"/>
          <w:szCs w:val="20"/>
          <w:color w:val="auto"/>
        </w:rPr>
      </w:pPr>
      <w:r>
        <w:rPr>
          <w:rFonts w:ascii="Arial Narrow" w:cs="Arial Narrow" w:eastAsia="Arial Narrow" w:hAnsi="Arial Narrow"/>
          <w:sz w:val="20"/>
          <w:szCs w:val="20"/>
          <w:color w:val="auto"/>
        </w:rPr>
        <w:t>Borrowing agreement executed November 3, 2022 that governs the 2025 Term Loan A, 2026 Term Loan A, and 2027 Term Loan A</w:t>
      </w:r>
    </w:p>
    <w:p>
      <w:pPr>
        <w:spacing w:after="0" w:line="16" w:lineRule="exact"/>
        <w:rPr>
          <w:sz w:val="20"/>
          <w:szCs w:val="20"/>
          <w:color w:val="auto"/>
        </w:rPr>
      </w:pPr>
    </w:p>
    <w:p>
      <w:pPr>
        <w:sectPr>
          <w:pgSz w:w="12240" w:h="15840" w:orient="portrait"/>
          <w:cols w:equalWidth="0" w:num="2">
            <w:col w:w="6580" w:space="220"/>
            <w:col w:w="3460"/>
          </w:cols>
          <w:pgMar w:left="1000" w:top="732" w:right="980" w:bottom="0" w:gutter="0" w:footer="0" w:header="0"/>
          <w:type w:val="continuous"/>
        </w:sectPr>
      </w:pPr>
    </w:p>
    <w:tbl>
      <w:tblPr>
        <w:tblLayout w:type="fixed"/>
        <w:tblInd w:w="40" w:type="dxa"/>
        <w:tblCellMar>
          <w:top w:w="0" w:type="dxa"/>
          <w:left w:w="0" w:type="dxa"/>
          <w:bottom w:w="0" w:type="dxa"/>
          <w:right w:w="0" w:type="dxa"/>
        </w:tblCellMar>
      </w:tblPr>
      <w:tr>
        <w:trPr>
          <w:trHeight w:val="277"/>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6.750%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November 2029</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NRV</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Net realizable value</w:t>
            </w:r>
          </w:p>
        </w:tc>
      </w:tr>
      <w:tr>
        <w:trPr>
          <w:trHeight w:val="285"/>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2030</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4.663%</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2030</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OEM</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Original equipment manufacturer</w:t>
            </w:r>
          </w:p>
        </w:tc>
      </w:tr>
      <w:tr>
        <w:trPr>
          <w:trHeight w:val="225"/>
        </w:trPr>
        <w:tc>
          <w:tcPr>
            <w:tcW w:w="400" w:type="dxa"/>
            <w:vAlign w:val="bottom"/>
          </w:tcPr>
          <w:p>
            <w:pPr>
              <w:spacing w:after="0" w:line="225" w:lineRule="exact"/>
              <w:rPr>
                <w:sz w:val="20"/>
                <w:szCs w:val="20"/>
                <w:color w:val="auto"/>
              </w:rPr>
            </w:pPr>
            <w:r>
              <w:rPr>
                <w:rFonts w:ascii="Arial Narrow" w:cs="Arial Narrow" w:eastAsia="Arial Narrow" w:hAnsi="Arial Narrow"/>
                <w:sz w:val="20"/>
                <w:szCs w:val="20"/>
                <w:color w:val="auto"/>
              </w:rPr>
              <w:t>2032</w:t>
            </w:r>
          </w:p>
        </w:tc>
        <w:tc>
          <w:tcPr>
            <w:tcW w:w="11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Green Bonds</w:t>
            </w:r>
          </w:p>
        </w:tc>
        <w:tc>
          <w:tcPr>
            <w:tcW w:w="70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2.703%</w:t>
            </w:r>
          </w:p>
        </w:tc>
        <w:tc>
          <w:tcPr>
            <w:tcW w:w="28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Senior Notes due April 2032</w:t>
            </w:r>
          </w:p>
        </w:tc>
        <w:tc>
          <w:tcPr>
            <w:tcW w:w="154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PCIe</w:t>
            </w:r>
          </w:p>
        </w:tc>
        <w:tc>
          <w:tcPr>
            <w:tcW w:w="3480" w:type="dxa"/>
            <w:vAlign w:val="bottom"/>
          </w:tcPr>
          <w:p>
            <w:pPr>
              <w:ind w:left="220"/>
              <w:spacing w:after="0" w:line="225" w:lineRule="exact"/>
              <w:rPr>
                <w:sz w:val="20"/>
                <w:szCs w:val="20"/>
                <w:color w:val="auto"/>
              </w:rPr>
            </w:pPr>
            <w:r>
              <w:rPr>
                <w:rFonts w:ascii="Arial Narrow" w:cs="Arial Narrow" w:eastAsia="Arial Narrow" w:hAnsi="Arial Narrow"/>
                <w:sz w:val="20"/>
                <w:szCs w:val="20"/>
                <w:color w:val="auto"/>
              </w:rPr>
              <w:t>High-speed motherboard connection for</w:t>
            </w:r>
          </w:p>
        </w:tc>
      </w:tr>
      <w:tr>
        <w:trPr>
          <w:trHeight w:val="263"/>
        </w:trPr>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peripheral devices such as storage drives</w:t>
            </w:r>
          </w:p>
        </w:tc>
      </w:tr>
      <w:tr>
        <w:trPr>
          <w:trHeight w:val="217"/>
        </w:trPr>
        <w:tc>
          <w:tcPr>
            <w:tcW w:w="1500" w:type="dxa"/>
            <w:vAlign w:val="bottom"/>
            <w:gridSpan w:val="2"/>
          </w:tcPr>
          <w:p>
            <w:pPr>
              <w:spacing w:after="0" w:line="218" w:lineRule="exact"/>
              <w:rPr>
                <w:sz w:val="20"/>
                <w:szCs w:val="20"/>
                <w:color w:val="auto"/>
              </w:rPr>
            </w:pPr>
            <w:r>
              <w:rPr>
                <w:rFonts w:ascii="Arial Narrow" w:cs="Arial Narrow" w:eastAsia="Arial Narrow" w:hAnsi="Arial Narrow"/>
                <w:sz w:val="20"/>
                <w:szCs w:val="20"/>
                <w:color w:val="auto"/>
              </w:rPr>
              <w:t>2032D Notes</w:t>
            </w:r>
          </w:p>
        </w:tc>
        <w:tc>
          <w:tcPr>
            <w:tcW w:w="700" w:type="dxa"/>
            <w:vAlign w:val="bottom"/>
          </w:tcPr>
          <w:p>
            <w:pPr>
              <w:ind w:left="120"/>
              <w:spacing w:after="0" w:line="218" w:lineRule="exact"/>
              <w:rPr>
                <w:sz w:val="20"/>
                <w:szCs w:val="20"/>
                <w:color w:val="auto"/>
              </w:rPr>
            </w:pPr>
            <w:r>
              <w:rPr>
                <w:rFonts w:ascii="Arial Narrow" w:cs="Arial Narrow" w:eastAsia="Arial Narrow" w:hAnsi="Arial Narrow"/>
                <w:sz w:val="20"/>
                <w:szCs w:val="20"/>
                <w:color w:val="auto"/>
              </w:rPr>
              <w:t>3.125%</w:t>
            </w:r>
          </w:p>
        </w:tc>
        <w:tc>
          <w:tcPr>
            <w:tcW w:w="2800" w:type="dxa"/>
            <w:vAlign w:val="bottom"/>
          </w:tcPr>
          <w:p>
            <w:pPr>
              <w:ind w:left="20"/>
              <w:spacing w:after="0" w:line="218" w:lineRule="exact"/>
              <w:rPr>
                <w:sz w:val="20"/>
                <w:szCs w:val="20"/>
                <w:color w:val="auto"/>
              </w:rPr>
            </w:pPr>
            <w:r>
              <w:rPr>
                <w:rFonts w:ascii="Arial Narrow" w:cs="Arial Narrow" w:eastAsia="Arial Narrow" w:hAnsi="Arial Narrow"/>
                <w:sz w:val="20"/>
                <w:szCs w:val="20"/>
                <w:color w:val="auto"/>
              </w:rPr>
              <w:t>Convertible Senior Notes due May</w:t>
            </w:r>
          </w:p>
        </w:tc>
        <w:tc>
          <w:tcPr>
            <w:tcW w:w="1540" w:type="dxa"/>
            <w:vAlign w:val="bottom"/>
          </w:tcPr>
          <w:p>
            <w:pPr>
              <w:ind w:left="120"/>
              <w:spacing w:after="0" w:line="218" w:lineRule="exact"/>
              <w:rPr>
                <w:sz w:val="20"/>
                <w:szCs w:val="20"/>
                <w:color w:val="auto"/>
              </w:rPr>
            </w:pPr>
            <w:r>
              <w:rPr>
                <w:rFonts w:ascii="Arial Narrow" w:cs="Arial Narrow" w:eastAsia="Arial Narrow" w:hAnsi="Arial Narrow"/>
                <w:sz w:val="20"/>
                <w:szCs w:val="20"/>
                <w:color w:val="auto"/>
              </w:rPr>
              <w:t>Qimonda</w:t>
            </w:r>
          </w:p>
        </w:tc>
        <w:tc>
          <w:tcPr>
            <w:tcW w:w="3480" w:type="dxa"/>
            <w:vAlign w:val="bottom"/>
          </w:tcPr>
          <w:p>
            <w:pPr>
              <w:ind w:left="220"/>
              <w:spacing w:after="0" w:line="218" w:lineRule="exact"/>
              <w:rPr>
                <w:sz w:val="20"/>
                <w:szCs w:val="20"/>
                <w:color w:val="auto"/>
              </w:rPr>
            </w:pPr>
            <w:r>
              <w:rPr>
                <w:rFonts w:ascii="Arial Narrow" w:cs="Arial Narrow" w:eastAsia="Arial Narrow" w:hAnsi="Arial Narrow"/>
                <w:sz w:val="20"/>
                <w:szCs w:val="20"/>
                <w:color w:val="auto"/>
              </w:rPr>
              <w:t>Qimonda AG</w:t>
            </w:r>
          </w:p>
        </w:tc>
      </w:tr>
      <w:tr>
        <w:trPr>
          <w:trHeight w:val="263"/>
        </w:trPr>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2032, settled August 2021</w:t>
            </w: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77"/>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2033</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5.875%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2033</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QLC</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Quad-level cell (four bits per cell)</w:t>
            </w:r>
          </w:p>
        </w:tc>
      </w:tr>
      <w:tr>
        <w:trPr>
          <w:trHeight w:val="225"/>
        </w:trPr>
        <w:tc>
          <w:tcPr>
            <w:tcW w:w="400" w:type="dxa"/>
            <w:vAlign w:val="bottom"/>
          </w:tcPr>
          <w:p>
            <w:pPr>
              <w:spacing w:after="0" w:line="225" w:lineRule="exact"/>
              <w:rPr>
                <w:sz w:val="20"/>
                <w:szCs w:val="20"/>
                <w:color w:val="auto"/>
              </w:rPr>
            </w:pPr>
            <w:r>
              <w:rPr>
                <w:rFonts w:ascii="Arial Narrow" w:cs="Arial Narrow" w:eastAsia="Arial Narrow" w:hAnsi="Arial Narrow"/>
                <w:sz w:val="20"/>
                <w:szCs w:val="20"/>
                <w:color w:val="auto"/>
              </w:rPr>
              <w:t>2033</w:t>
            </w:r>
          </w:p>
        </w:tc>
        <w:tc>
          <w:tcPr>
            <w:tcW w:w="11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B Notes</w:t>
            </w:r>
          </w:p>
        </w:tc>
        <w:tc>
          <w:tcPr>
            <w:tcW w:w="70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5.875%</w:t>
            </w:r>
          </w:p>
        </w:tc>
        <w:tc>
          <w:tcPr>
            <w:tcW w:w="28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Senior Notes due September 2033</w:t>
            </w:r>
          </w:p>
        </w:tc>
        <w:tc>
          <w:tcPr>
            <w:tcW w:w="154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Revolving Credit</w:t>
            </w:r>
          </w:p>
        </w:tc>
        <w:tc>
          <w:tcPr>
            <w:tcW w:w="3480" w:type="dxa"/>
            <w:vAlign w:val="bottom"/>
          </w:tcPr>
          <w:p>
            <w:pPr>
              <w:ind w:left="220"/>
              <w:spacing w:after="0" w:line="225" w:lineRule="exact"/>
              <w:rPr>
                <w:sz w:val="20"/>
                <w:szCs w:val="20"/>
                <w:color w:val="auto"/>
              </w:rPr>
            </w:pPr>
            <w:r>
              <w:rPr>
                <w:rFonts w:ascii="Arial Narrow" w:cs="Arial Narrow" w:eastAsia="Arial Narrow" w:hAnsi="Arial Narrow"/>
                <w:sz w:val="20"/>
                <w:szCs w:val="20"/>
                <w:color w:val="auto"/>
                <w:w w:val="99"/>
              </w:rPr>
              <w:t>$2.5 billion Revolving Credit Facility due May</w:t>
            </w:r>
          </w:p>
        </w:tc>
      </w:tr>
      <w:tr>
        <w:trPr>
          <w:trHeight w:val="263"/>
        </w:trPr>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Facility</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2026</w:t>
            </w:r>
          </w:p>
        </w:tc>
      </w:tr>
      <w:tr>
        <w:trPr>
          <w:trHeight w:val="217"/>
        </w:trPr>
        <w:tc>
          <w:tcPr>
            <w:tcW w:w="400" w:type="dxa"/>
            <w:vAlign w:val="bottom"/>
          </w:tcPr>
          <w:p>
            <w:pPr>
              <w:spacing w:after="0" w:line="218" w:lineRule="exact"/>
              <w:rPr>
                <w:sz w:val="20"/>
                <w:szCs w:val="20"/>
                <w:color w:val="auto"/>
              </w:rPr>
            </w:pPr>
            <w:r>
              <w:rPr>
                <w:rFonts w:ascii="Arial Narrow" w:cs="Arial Narrow" w:eastAsia="Arial Narrow" w:hAnsi="Arial Narrow"/>
                <w:sz w:val="20"/>
                <w:szCs w:val="20"/>
                <w:color w:val="auto"/>
              </w:rPr>
              <w:t>2041</w:t>
            </w:r>
          </w:p>
        </w:tc>
        <w:tc>
          <w:tcPr>
            <w:tcW w:w="1100" w:type="dxa"/>
            <w:vAlign w:val="bottom"/>
          </w:tcPr>
          <w:p>
            <w:pPr>
              <w:ind w:left="20"/>
              <w:spacing w:after="0" w:line="218" w:lineRule="exact"/>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line="218" w:lineRule="exact"/>
              <w:rPr>
                <w:sz w:val="20"/>
                <w:szCs w:val="20"/>
                <w:color w:val="auto"/>
              </w:rPr>
            </w:pPr>
            <w:r>
              <w:rPr>
                <w:rFonts w:ascii="Arial Narrow" w:cs="Arial Narrow" w:eastAsia="Arial Narrow" w:hAnsi="Arial Narrow"/>
                <w:sz w:val="20"/>
                <w:szCs w:val="20"/>
                <w:color w:val="auto"/>
              </w:rPr>
              <w:t>3.366%</w:t>
            </w:r>
          </w:p>
        </w:tc>
        <w:tc>
          <w:tcPr>
            <w:tcW w:w="2800" w:type="dxa"/>
            <w:vAlign w:val="bottom"/>
          </w:tcPr>
          <w:p>
            <w:pPr>
              <w:ind w:left="20"/>
              <w:spacing w:after="0" w:line="218" w:lineRule="exact"/>
              <w:rPr>
                <w:sz w:val="20"/>
                <w:szCs w:val="20"/>
                <w:color w:val="auto"/>
              </w:rPr>
            </w:pPr>
            <w:r>
              <w:rPr>
                <w:rFonts w:ascii="Arial Narrow" w:cs="Arial Narrow" w:eastAsia="Arial Narrow" w:hAnsi="Arial Narrow"/>
                <w:sz w:val="20"/>
                <w:szCs w:val="20"/>
                <w:color w:val="auto"/>
              </w:rPr>
              <w:t>Senior Notes due November 2041</w:t>
            </w:r>
          </w:p>
        </w:tc>
        <w:tc>
          <w:tcPr>
            <w:tcW w:w="1540" w:type="dxa"/>
            <w:vAlign w:val="bottom"/>
          </w:tcPr>
          <w:p>
            <w:pPr>
              <w:ind w:left="120"/>
              <w:spacing w:after="0" w:line="218" w:lineRule="exact"/>
              <w:rPr>
                <w:sz w:val="20"/>
                <w:szCs w:val="20"/>
                <w:color w:val="auto"/>
              </w:rPr>
            </w:pPr>
            <w:r>
              <w:rPr>
                <w:rFonts w:ascii="Arial Narrow" w:cs="Arial Narrow" w:eastAsia="Arial Narrow" w:hAnsi="Arial Narrow"/>
                <w:sz w:val="20"/>
                <w:szCs w:val="20"/>
                <w:color w:val="auto"/>
              </w:rPr>
              <w:t>SATA</w:t>
            </w:r>
          </w:p>
        </w:tc>
        <w:tc>
          <w:tcPr>
            <w:tcW w:w="3480" w:type="dxa"/>
            <w:vAlign w:val="bottom"/>
          </w:tcPr>
          <w:p>
            <w:pPr>
              <w:ind w:left="220"/>
              <w:spacing w:after="0" w:line="218" w:lineRule="exact"/>
              <w:rPr>
                <w:sz w:val="20"/>
                <w:szCs w:val="20"/>
                <w:color w:val="auto"/>
              </w:rPr>
            </w:pPr>
            <w:r>
              <w:rPr>
                <w:rFonts w:ascii="Arial Narrow" w:cs="Arial Narrow" w:eastAsia="Arial Narrow" w:hAnsi="Arial Narrow"/>
                <w:sz w:val="20"/>
                <w:szCs w:val="20"/>
                <w:color w:val="auto"/>
              </w:rPr>
              <w:t>Hardware interface for connecting to storage</w:t>
            </w:r>
          </w:p>
        </w:tc>
      </w:tr>
      <w:tr>
        <w:trPr>
          <w:trHeight w:val="263"/>
        </w:trPr>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devices such as hard disk drives and SSDs</w:t>
            </w:r>
          </w:p>
        </w:tc>
      </w:tr>
      <w:tr>
        <w:trPr>
          <w:trHeight w:val="277"/>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2051</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3.477%</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November 2051</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SLC</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Single-level cell (one bit per cell)</w:t>
            </w:r>
          </w:p>
        </w:tc>
      </w:tr>
      <w:tr>
        <w:trPr>
          <w:trHeight w:val="285"/>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AI</w:t>
            </w:r>
          </w:p>
        </w:tc>
        <w:tc>
          <w:tcPr>
            <w:tcW w:w="1100" w:type="dxa"/>
            <w:vAlign w:val="bottom"/>
          </w:tcPr>
          <w:p>
            <w:pPr>
              <w:spacing w:after="0"/>
              <w:rPr>
                <w:sz w:val="24"/>
                <w:szCs w:val="24"/>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Artificial intelligence</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SOFR</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Secured Overnight Financing Rate</w:t>
            </w:r>
          </w:p>
        </w:tc>
      </w:tr>
      <w:tr>
        <w:trPr>
          <w:trHeight w:val="285"/>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CAC</w:t>
            </w:r>
          </w:p>
        </w:tc>
        <w:tc>
          <w:tcPr>
            <w:tcW w:w="1100" w:type="dxa"/>
            <w:vAlign w:val="bottom"/>
          </w:tcPr>
          <w:p>
            <w:pPr>
              <w:spacing w:after="0"/>
              <w:rPr>
                <w:sz w:val="24"/>
                <w:szCs w:val="24"/>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China’s Cyberspace Administration</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SSD</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Solid state drive</w:t>
            </w:r>
          </w:p>
        </w:tc>
      </w:tr>
      <w:tr>
        <w:trPr>
          <w:trHeight w:val="285"/>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DDR</w:t>
            </w:r>
          </w:p>
        </w:tc>
        <w:tc>
          <w:tcPr>
            <w:tcW w:w="1100" w:type="dxa"/>
            <w:vAlign w:val="bottom"/>
          </w:tcPr>
          <w:p>
            <w:pPr>
              <w:spacing w:after="0"/>
              <w:rPr>
                <w:sz w:val="24"/>
                <w:szCs w:val="24"/>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Double data rate DRAM</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TI</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Texas Instruments Incorporated</w:t>
            </w:r>
          </w:p>
        </w:tc>
      </w:tr>
      <w:tr>
        <w:trPr>
          <w:trHeight w:val="225"/>
        </w:trPr>
        <w:tc>
          <w:tcPr>
            <w:tcW w:w="1500" w:type="dxa"/>
            <w:vAlign w:val="bottom"/>
            <w:gridSpan w:val="2"/>
          </w:tcPr>
          <w:p>
            <w:pPr>
              <w:spacing w:after="0" w:line="225" w:lineRule="exact"/>
              <w:rPr>
                <w:sz w:val="20"/>
                <w:szCs w:val="20"/>
                <w:color w:val="auto"/>
              </w:rPr>
            </w:pPr>
            <w:r>
              <w:rPr>
                <w:rFonts w:ascii="Arial Narrow" w:cs="Arial Narrow" w:eastAsia="Arial Narrow" w:hAnsi="Arial Narrow"/>
                <w:sz w:val="20"/>
                <w:szCs w:val="20"/>
                <w:color w:val="auto"/>
              </w:rPr>
              <w:t>EBITDA</w:t>
            </w:r>
          </w:p>
        </w:tc>
        <w:tc>
          <w:tcPr>
            <w:tcW w:w="3500" w:type="dxa"/>
            <w:vAlign w:val="bottom"/>
            <w:gridSpan w:val="2"/>
          </w:tcPr>
          <w:p>
            <w:pPr>
              <w:ind w:left="120"/>
              <w:spacing w:after="0" w:line="225" w:lineRule="exact"/>
              <w:rPr>
                <w:sz w:val="20"/>
                <w:szCs w:val="20"/>
                <w:color w:val="auto"/>
              </w:rPr>
            </w:pPr>
            <w:r>
              <w:rPr>
                <w:rFonts w:ascii="Arial Narrow" w:cs="Arial Narrow" w:eastAsia="Arial Narrow" w:hAnsi="Arial Narrow"/>
                <w:sz w:val="20"/>
                <w:szCs w:val="20"/>
                <w:color w:val="auto"/>
              </w:rPr>
              <w:t>Earnings before interest, taxes, depreciation,</w:t>
            </w:r>
          </w:p>
        </w:tc>
        <w:tc>
          <w:tcPr>
            <w:tcW w:w="154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TLC</w:t>
            </w:r>
          </w:p>
        </w:tc>
        <w:tc>
          <w:tcPr>
            <w:tcW w:w="3480" w:type="dxa"/>
            <w:vAlign w:val="bottom"/>
          </w:tcPr>
          <w:p>
            <w:pPr>
              <w:ind w:left="220"/>
              <w:spacing w:after="0" w:line="225" w:lineRule="exact"/>
              <w:rPr>
                <w:sz w:val="20"/>
                <w:szCs w:val="20"/>
                <w:color w:val="auto"/>
              </w:rPr>
            </w:pPr>
            <w:r>
              <w:rPr>
                <w:rFonts w:ascii="Arial Narrow" w:cs="Arial Narrow" w:eastAsia="Arial Narrow" w:hAnsi="Arial Narrow"/>
                <w:sz w:val="20"/>
                <w:szCs w:val="20"/>
                <w:color w:val="auto"/>
              </w:rPr>
              <w:t>Triple-level cell (three bits per cell)</w:t>
            </w:r>
          </w:p>
        </w:tc>
      </w:tr>
      <w:tr>
        <w:trPr>
          <w:trHeight w:val="263"/>
        </w:trPr>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and amortization</w:t>
            </w: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17"/>
        </w:trPr>
        <w:tc>
          <w:tcPr>
            <w:tcW w:w="1500" w:type="dxa"/>
            <w:vAlign w:val="bottom"/>
            <w:gridSpan w:val="2"/>
          </w:tcPr>
          <w:p>
            <w:pPr>
              <w:spacing w:after="0" w:line="218" w:lineRule="exact"/>
              <w:rPr>
                <w:sz w:val="20"/>
                <w:szCs w:val="20"/>
                <w:color w:val="auto"/>
              </w:rPr>
            </w:pPr>
            <w:r>
              <w:rPr>
                <w:rFonts w:ascii="Arial Narrow" w:cs="Arial Narrow" w:eastAsia="Arial Narrow" w:hAnsi="Arial Narrow"/>
                <w:sz w:val="20"/>
                <w:szCs w:val="20"/>
                <w:color w:val="auto"/>
              </w:rPr>
              <w:t>eMCP</w:t>
            </w:r>
          </w:p>
        </w:tc>
        <w:tc>
          <w:tcPr>
            <w:tcW w:w="3500" w:type="dxa"/>
            <w:vAlign w:val="bottom"/>
            <w:gridSpan w:val="2"/>
          </w:tcPr>
          <w:p>
            <w:pPr>
              <w:ind w:left="120"/>
              <w:spacing w:after="0" w:line="218" w:lineRule="exact"/>
              <w:rPr>
                <w:sz w:val="20"/>
                <w:szCs w:val="20"/>
                <w:color w:val="auto"/>
              </w:rPr>
            </w:pPr>
            <w:r>
              <w:rPr>
                <w:rFonts w:ascii="Arial Narrow" w:cs="Arial Narrow" w:eastAsia="Arial Narrow" w:hAnsi="Arial Narrow"/>
                <w:sz w:val="20"/>
                <w:szCs w:val="20"/>
                <w:color w:val="auto"/>
              </w:rPr>
              <w:t>Embedded multichip packaged solutions with</w:t>
            </w:r>
          </w:p>
        </w:tc>
        <w:tc>
          <w:tcPr>
            <w:tcW w:w="1540" w:type="dxa"/>
            <w:vAlign w:val="bottom"/>
          </w:tcPr>
          <w:p>
            <w:pPr>
              <w:ind w:left="120"/>
              <w:spacing w:after="0" w:line="218" w:lineRule="exact"/>
              <w:rPr>
                <w:sz w:val="20"/>
                <w:szCs w:val="20"/>
                <w:color w:val="auto"/>
              </w:rPr>
            </w:pPr>
            <w:r>
              <w:rPr>
                <w:rFonts w:ascii="Arial Narrow" w:cs="Arial Narrow" w:eastAsia="Arial Narrow" w:hAnsi="Arial Narrow"/>
                <w:sz w:val="20"/>
                <w:szCs w:val="20"/>
                <w:color w:val="auto"/>
              </w:rPr>
              <w:t>UFS</w:t>
            </w:r>
          </w:p>
        </w:tc>
        <w:tc>
          <w:tcPr>
            <w:tcW w:w="3480" w:type="dxa"/>
            <w:vAlign w:val="bottom"/>
          </w:tcPr>
          <w:p>
            <w:pPr>
              <w:ind w:left="220"/>
              <w:spacing w:after="0" w:line="218" w:lineRule="exact"/>
              <w:rPr>
                <w:sz w:val="20"/>
                <w:szCs w:val="20"/>
                <w:color w:val="auto"/>
              </w:rPr>
            </w:pPr>
            <w:r>
              <w:rPr>
                <w:rFonts w:ascii="Arial Narrow" w:cs="Arial Narrow" w:eastAsia="Arial Narrow" w:hAnsi="Arial Narrow"/>
                <w:sz w:val="20"/>
                <w:szCs w:val="20"/>
                <w:color w:val="auto"/>
              </w:rPr>
              <w:t>Universal flash storage</w:t>
            </w:r>
          </w:p>
        </w:tc>
      </w:tr>
      <w:tr>
        <w:trPr>
          <w:trHeight w:val="200"/>
        </w:trPr>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00" w:type="dxa"/>
            <w:vAlign w:val="bottom"/>
            <w:gridSpan w:val="2"/>
          </w:tcPr>
          <w:p>
            <w:pPr>
              <w:ind w:left="120"/>
              <w:spacing w:after="0" w:line="200" w:lineRule="exact"/>
              <w:rPr>
                <w:sz w:val="20"/>
                <w:szCs w:val="20"/>
                <w:color w:val="auto"/>
              </w:rPr>
            </w:pPr>
            <w:r>
              <w:rPr>
                <w:rFonts w:ascii="Arial Narrow" w:cs="Arial Narrow" w:eastAsia="Arial Narrow" w:hAnsi="Arial Narrow"/>
                <w:sz w:val="20"/>
                <w:szCs w:val="20"/>
                <w:color w:val="auto"/>
              </w:rPr>
              <w:t>embedded multimedia card storage and</w:t>
            </w:r>
          </w:p>
        </w:tc>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77"/>
        </w:trPr>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LPDDR</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88"/>
        </w:trPr>
        <w:tc>
          <w:tcPr>
            <w:tcW w:w="400" w:type="dxa"/>
            <w:vAlign w:val="bottom"/>
          </w:tcPr>
          <w:p>
            <w:pPr>
              <w:spacing w:after="0"/>
              <w:rPr>
                <w:sz w:val="20"/>
                <w:szCs w:val="20"/>
                <w:color w:val="auto"/>
              </w:rPr>
            </w:pPr>
            <w:r>
              <w:rPr>
                <w:rFonts w:ascii="Arial Narrow" w:cs="Arial Narrow" w:eastAsia="Arial Narrow" w:hAnsi="Arial Narrow"/>
                <w:sz w:val="20"/>
                <w:szCs w:val="20"/>
                <w:color w:val="auto"/>
              </w:rPr>
              <w:t>EUV</w:t>
            </w:r>
          </w:p>
        </w:tc>
        <w:tc>
          <w:tcPr>
            <w:tcW w:w="1100" w:type="dxa"/>
            <w:vAlign w:val="bottom"/>
          </w:tcPr>
          <w:p>
            <w:pPr>
              <w:spacing w:after="0"/>
              <w:rPr>
                <w:sz w:val="24"/>
                <w:szCs w:val="24"/>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Extreme ultraviolet lithography</w:t>
            </w:r>
          </w:p>
        </w:tc>
        <w:tc>
          <w:tcPr>
            <w:tcW w:w="1540" w:type="dxa"/>
            <w:vAlign w:val="bottom"/>
          </w:tcPr>
          <w:p>
            <w:pPr>
              <w:ind w:left="120"/>
              <w:spacing w:after="0"/>
              <w:rPr>
                <w:sz w:val="20"/>
                <w:szCs w:val="20"/>
                <w:color w:val="auto"/>
              </w:rPr>
            </w:pPr>
            <w:r>
              <w:rPr>
                <w:rFonts w:ascii="Arial Narrow" w:cs="Arial Narrow" w:eastAsia="Arial Narrow" w:hAnsi="Arial Narrow"/>
                <w:sz w:val="20"/>
                <w:szCs w:val="20"/>
                <w:color w:val="auto"/>
              </w:rPr>
              <w:t>uMCP</w:t>
            </w:r>
          </w:p>
        </w:tc>
        <w:tc>
          <w:tcPr>
            <w:tcW w:w="3480" w:type="dxa"/>
            <w:vAlign w:val="bottom"/>
          </w:tcPr>
          <w:p>
            <w:pPr>
              <w:ind w:left="220"/>
              <w:spacing w:after="0"/>
              <w:rPr>
                <w:sz w:val="20"/>
                <w:szCs w:val="20"/>
                <w:color w:val="auto"/>
              </w:rPr>
            </w:pPr>
            <w:r>
              <w:rPr>
                <w:rFonts w:ascii="Arial Narrow" w:cs="Arial Narrow" w:eastAsia="Arial Narrow" w:hAnsi="Arial Narrow"/>
                <w:sz w:val="20"/>
                <w:szCs w:val="20"/>
                <w:color w:val="auto"/>
              </w:rPr>
              <w:t>UFS-based MCP</w:t>
            </w:r>
          </w:p>
        </w:tc>
      </w:tr>
      <w:tr>
        <w:trPr>
          <w:trHeight w:val="240"/>
        </w:trPr>
        <w:tc>
          <w:tcPr>
            <w:tcW w:w="1500" w:type="dxa"/>
            <w:vAlign w:val="bottom"/>
            <w:gridSpan w:val="2"/>
          </w:tcPr>
          <w:p>
            <w:pPr>
              <w:spacing w:after="0"/>
              <w:rPr>
                <w:sz w:val="20"/>
                <w:szCs w:val="20"/>
                <w:color w:val="auto"/>
              </w:rPr>
            </w:pPr>
            <w:r>
              <w:rPr>
                <w:rFonts w:ascii="Arial Narrow" w:cs="Arial Narrow" w:eastAsia="Arial Narrow" w:hAnsi="Arial Narrow"/>
                <w:sz w:val="20"/>
                <w:szCs w:val="20"/>
                <w:color w:val="auto"/>
              </w:rPr>
              <w:t>Extinguished 2024</w:t>
            </w: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Senior Term Loan A due October 2024,</w:t>
            </w:r>
          </w:p>
        </w:tc>
        <w:tc>
          <w:tcPr>
            <w:tcW w:w="15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77"/>
        </w:trPr>
        <w:tc>
          <w:tcPr>
            <w:tcW w:w="1500" w:type="dxa"/>
            <w:vAlign w:val="bottom"/>
            <w:gridSpan w:val="2"/>
          </w:tcPr>
          <w:p>
            <w:pPr>
              <w:spacing w:after="0"/>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May 2021</w:t>
            </w:r>
          </w:p>
        </w:tc>
        <w:tc>
          <w:tcPr>
            <w:tcW w:w="154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102"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b w:val="1"/>
          <w:bCs w:val="1"/>
          <w:color w:val="auto"/>
        </w:rPr>
        <w:t>Micron, Crucial, any associated logos, and all other Micron trademarks are the property of Micron. 3D XPoint is a trademark of Intel Corporation or its subsidiaries. Other product names or trademarks that are not owned by Micron are for identification purposes only and may be the trademarks of their respective owners.</w:t>
      </w:r>
    </w:p>
    <w:p>
      <w:pPr>
        <w:spacing w:after="0" w:line="171" w:lineRule="exact"/>
        <w:rPr>
          <w:sz w:val="20"/>
          <w:szCs w:val="20"/>
          <w:color w:val="auto"/>
        </w:rPr>
      </w:pPr>
    </w:p>
    <w:p>
      <w:pPr>
        <w:ind w:right="40"/>
        <w:spacing w:after="0" w:line="314" w:lineRule="auto"/>
        <w:rPr>
          <w:sz w:val="20"/>
          <w:szCs w:val="20"/>
          <w:color w:val="auto"/>
        </w:rPr>
      </w:pPr>
      <w:r>
        <w:rPr>
          <w:rFonts w:ascii="Arial" w:cs="Arial" w:eastAsia="Arial" w:hAnsi="Arial"/>
          <w:sz w:val="19"/>
          <w:szCs w:val="19"/>
          <w:b w:val="1"/>
          <w:bCs w:val="1"/>
          <w:color w:val="auto"/>
        </w:rPr>
        <w:t>All period references are to our fiscal periods unless otherwise indicated. Our fiscal year is the 52 or 53-week period ending on the Thursday closest to August 31. Fiscal 2023, 2022, and 2021 each contained 52 weeks.</w:t>
      </w:r>
    </w:p>
    <w:p>
      <w:pPr>
        <w:sectPr>
          <w:pgSz w:w="12240" w:h="15840" w:orient="portrait"/>
          <w:cols w:equalWidth="0" w:num="1">
            <w:col w:w="10260"/>
          </w:cols>
          <w:pgMar w:left="1000" w:top="73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 2023 10-K</w:t>
      </w:r>
    </w:p>
    <w:p>
      <w:pPr>
        <w:sectPr>
          <w:pgSz w:w="12240" w:h="15840" w:orient="portrait"/>
          <w:cols w:equalWidth="0" w:num="1">
            <w:col w:w="10260"/>
          </w:cols>
          <w:pgMar w:left="1000" w:top="732" w:right="980" w:bottom="0" w:gutter="0" w:footer="0" w:header="0"/>
          <w:type w:val="continuous"/>
        </w:sectPr>
      </w:pPr>
    </w:p>
    <w:bookmarkStart w:id="6" w:name="page7"/>
    <w:bookmarkEnd w:id="6"/>
    <w:p>
      <w:pPr>
        <w:spacing w:after="0"/>
        <w:rPr>
          <w:sz w:val="20"/>
          <w:szCs w:val="20"/>
          <w:color w:val="auto"/>
        </w:rPr>
      </w:pPr>
      <w:r>
        <w:rPr>
          <w:rFonts w:ascii="Arial Narrow" w:cs="Arial Narrow" w:eastAsia="Arial Narrow" w:hAnsi="Arial Narrow"/>
          <w:sz w:val="44"/>
          <w:szCs w:val="44"/>
          <w:b w:val="1"/>
          <w:bCs w:val="1"/>
          <w:color w:val="auto"/>
        </w:rPr>
        <w:t>Forward-Looking Statements</w:t>
      </w:r>
    </w:p>
    <w:p>
      <w:pPr>
        <w:spacing w:after="0" w:line="365" w:lineRule="exact"/>
        <w:rPr>
          <w:sz w:val="20"/>
          <w:szCs w:val="20"/>
          <w:color w:val="auto"/>
        </w:rPr>
      </w:pPr>
    </w:p>
    <w:p>
      <w:pPr>
        <w:jc w:val="both"/>
        <w:ind w:right="140"/>
        <w:spacing w:after="0" w:line="302" w:lineRule="auto"/>
        <w:rPr>
          <w:sz w:val="20"/>
          <w:szCs w:val="20"/>
          <w:color w:val="auto"/>
        </w:rPr>
      </w:pPr>
      <w:r>
        <w:rPr>
          <w:rFonts w:ascii="Arial" w:cs="Arial" w:eastAsia="Arial" w:hAnsi="Arial"/>
          <w:sz w:val="17"/>
          <w:szCs w:val="17"/>
          <w:b w:val="1"/>
          <w:bCs w:val="1"/>
          <w:color w:val="auto"/>
        </w:rPr>
        <w:t>This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w:t>
      </w:r>
    </w:p>
    <w:p>
      <w:pPr>
        <w:spacing w:after="0" w:line="2"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color w:val="auto"/>
        </w:rPr>
        <w:t>"may,"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implement EUV lithography; restructure plans and expected related savings; potential increases in our effective tax rate; the timing for construction and ramping of production for new memory manufacturing fabs in the United States; intent to make investments at our backend facility in Xi’an, China and build a new assembly and test facility in Gujarat, India; the receipt of government grants and investment tax credits; estimates of tax expense for 2024; the payment of future cash dividends; market conditions and profitability in our industry; potential write-downs of inventories in future quarters; the impact of the Cyberspace Administration of China decision; capital spending in 2024; the sufficiency of our cash and investments; allocation and dispersal of the net proceeds of our 2032 Green Bonds; and results of tax return examinations.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6028055</wp:posOffset>
            </wp:positionV>
            <wp:extent cx="736600" cy="200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10260"/>
          </w:cols>
          <w:pgMar w:left="1000" w:top="732" w:right="980" w:bottom="0" w:gutter="0" w:footer="0" w:header="0"/>
          <w:type w:val="continuous"/>
        </w:sectPr>
      </w:pPr>
    </w:p>
    <w:bookmarkStart w:id="7" w:name="page8"/>
    <w:bookmarkEnd w:id="7"/>
    <w:p>
      <w:pPr>
        <w:spacing w:after="0"/>
        <w:rPr>
          <w:sz w:val="20"/>
          <w:szCs w:val="20"/>
          <w:color w:val="auto"/>
        </w:rPr>
      </w:pPr>
      <w:r>
        <w:rPr>
          <w:rFonts w:ascii="Arial Narrow" w:cs="Arial Narrow" w:eastAsia="Arial Narrow" w:hAnsi="Arial Narrow"/>
          <w:sz w:val="32"/>
          <w:szCs w:val="32"/>
          <w:b w:val="1"/>
          <w:bCs w:val="1"/>
          <w:color w:val="auto"/>
        </w:rPr>
        <w:t>PART I</w:t>
      </w:r>
    </w:p>
    <w:p>
      <w:pPr>
        <w:spacing w:after="0" w:line="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 BUSINESS</w:t>
      </w:r>
    </w:p>
    <w:p>
      <w:pPr>
        <w:spacing w:after="0" w:line="38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7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Sales, Markets, and Products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Technologies</w:t>
      </w:r>
    </w:p>
    <w:p>
      <w:pPr>
        <w:spacing w:after="0" w:line="263"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DRAM products are dynamic random access memory semiconductor devices with low latency that provide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high-speed data retrieval 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ectPr>
          <w:pgSz w:w="12240" w:h="15840" w:orient="portrait"/>
          <w:cols w:equalWidth="0" w:num="1">
            <w:col w:w="10240"/>
          </w:cols>
          <w:pgMar w:left="1000" w:top="77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 2023 10-K</w:t>
      </w:r>
    </w:p>
    <w:p>
      <w:pPr>
        <w:sectPr>
          <w:pgSz w:w="12240" w:h="15840" w:orient="portrait"/>
          <w:cols w:equalWidth="0" w:num="1">
            <w:col w:w="10240"/>
          </w:cols>
          <w:pgMar w:left="1000" w:top="779" w:right="1000" w:bottom="0" w:gutter="0" w:footer="0" w:header="0"/>
          <w:type w:val="continuous"/>
        </w:sectPr>
      </w:pPr>
    </w:p>
    <w:bookmarkStart w:id="8" w:name="page9"/>
    <w:bookmarkEnd w:id="8"/>
    <w:p>
      <w:pPr>
        <w:ind w:right="180"/>
        <w:spacing w:after="0" w:line="295"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NAND products are non-volatile, re-writeable semiconductor storage devices that provide high-capacity,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low-cost storage with a 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68"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b w:val="1"/>
          <w:bCs w:val="1"/>
          <w:i w:val="1"/>
          <w:iCs w:val="1"/>
          <w:color w:val="auto"/>
        </w:rPr>
        <w:t>NOR</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NOR products are non-volatile re-writable semiconductor memory devices that provide fast read speeds.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Products by Business Unit and Market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Compute and Networking Business Unit (“CNBU”)</w:t>
      </w:r>
    </w:p>
    <w:p>
      <w:pPr>
        <w:spacing w:after="0" w:line="248" w:lineRule="exact"/>
        <w:rPr>
          <w:sz w:val="20"/>
          <w:szCs w:val="20"/>
          <w:color w:val="auto"/>
        </w:rPr>
      </w:pPr>
    </w:p>
    <w:p>
      <w:pPr>
        <w:jc w:val="both"/>
        <w:ind w:right="80"/>
        <w:spacing w:after="0" w:line="259" w:lineRule="auto"/>
        <w:rPr>
          <w:sz w:val="20"/>
          <w:szCs w:val="20"/>
          <w:color w:val="auto"/>
        </w:rPr>
      </w:pPr>
      <w:r>
        <w:rPr>
          <w:rFonts w:ascii="Arial" w:cs="Arial" w:eastAsia="Arial" w:hAnsi="Arial"/>
          <w:sz w:val="20"/>
          <w:szCs w:val="20"/>
          <w:b w:val="1"/>
          <w:bCs w:val="1"/>
          <w:color w:val="auto"/>
        </w:rPr>
        <w:t>CNBU includes memory products and solutions sold into client, cloud server, enterprise, graphics, and networking markets. CNBU reported revenue of $5.71 billion in 2023, $13.69 billion in 2022, and $12.28 billion in 2021. CNBU sales in 2023 consisted primarily of DRAM products produced on 1x, 1y, 1z, and 1α (1-alpha) technology nodes. In 2023, we achieved several important product qualifications on our industry-leading 1ß (1-beta) DRAM node and are well positioned to ramp manufacturing of CNBU products in 2024.</w:t>
      </w:r>
    </w:p>
    <w:p>
      <w:pPr>
        <w:spacing w:after="0" w:line="199" w:lineRule="exact"/>
        <w:rPr>
          <w:sz w:val="20"/>
          <w:szCs w:val="20"/>
          <w:color w:val="auto"/>
        </w:rPr>
      </w:pPr>
    </w:p>
    <w:p>
      <w:pPr>
        <w:jc w:val="both"/>
        <w:ind w:right="80"/>
        <w:spacing w:after="0" w:line="314" w:lineRule="auto"/>
        <w:rPr>
          <w:sz w:val="20"/>
          <w:szCs w:val="20"/>
          <w:color w:val="auto"/>
        </w:rPr>
      </w:pPr>
      <w:r>
        <w:rPr>
          <w:rFonts w:ascii="Arial" w:cs="Arial" w:eastAsia="Arial" w:hAnsi="Arial"/>
          <w:sz w:val="19"/>
          <w:szCs w:val="19"/>
          <w:b w:val="1"/>
          <w:bCs w:val="1"/>
          <w:i w:val="1"/>
          <w:iCs w:val="1"/>
          <w:u w:val="single" w:color="auto"/>
          <w:color w:val="auto"/>
        </w:rPr>
        <w:t>Client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CNBU sales to the client market in 2023 consisted primarily of DDR4, DDR5, LPDDR5, and LPDDR4 DRAM</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products. Our products sold to the client market support both commercial and consumer PC unit growth.</w:t>
      </w:r>
    </w:p>
    <w:p>
      <w:pPr>
        <w:spacing w:after="0" w:line="1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u w:val="single" w:color="auto"/>
          <w:color w:val="auto"/>
        </w:rPr>
        <w:t>Cloud Server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CNBU sales to the cloud market in 2023 consisted primarily of our DDR4 and DDR5 DRAM products.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Overall cloud growth continues to be driven by the shift of both infrastructure and workloads from on-premises to the cloud. Cloud-native workloads are drivers of growth through use-cases like intelligent edge devices capable of AI and augmented reality that store and access data in the cloud or rely on the cloud for compute capability. Cloud servers supporting AI and data-centric workloads require significantly increasing quantities of DRAM, HBM, and NAND as the task of turning data into insight becomes increasingly memory-centric. As modern servers pack more processing cores into CPUs, the memory bandwidth per CPU core has been decreasing. Our DDR5 alleviates this bottleneck by providing higher bandwidth compared to previous generations, enabling improved performance and scaling. We expect that our new server DDR5 memory will be a key enabler of CPU core count growth and the bandwidth that DDR5 delivers will be central to unlocking overall server system performance gains for data-intensive workloads like AI and high-performance computing. HBM, used in high performance computing, had very strong demand this year, driven by demand for generative AI. We are working closely with our customers and have begun sampling our industry-leading HBM3E product offering. We expect to begin a mass production ramp for HBM3E in early calendar 2024. In 2023, we announced the introduction of 128GB and 256GB Compute Express Link (“CXL”) 2.0 memory expansion modules. By leveraging a unique dual-channel memory architecture, we are able to deliver higher module capacity and increased bandwidth.</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i w:val="1"/>
          <w:iCs w:val="1"/>
          <w:u w:val="single" w:color="auto"/>
          <w:color w:val="auto"/>
        </w:rPr>
        <w:t>Enterprise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CNBU sales to the enterprise market in 2023 consisted primarily of our DDR4 and DDR5 DRAM</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products. In 2023, we announced volume shipments of our 96GB DDR5 high-density module built on 1α technology, using 24Gb die, which delivers equivalent performance for the majority of workloads versus the more expensive through-silicon via (“TSV”) dual-die package-based 128GB modules. The enterprise market continues to grow beyond the mature OEM-sourced server consumption model with the further maturing of hybrid cloud and edge solutions as part of the digital transformation.</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i w:val="1"/>
          <w:iCs w:val="1"/>
          <w:u w:val="single" w:color="auto"/>
          <w:color w:val="auto"/>
        </w:rPr>
        <w:t>Graphics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CNBU sales to the graphics market in 2023 consisted primarily of GDDR6 graphics products.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graphics market is driven by the need for high-performance and HBM solutions. Our GDDR6 and GDDR6X DRAM graphics products are incorporated into gaming consoles, PC graphics cards, and graphics processing unit-based data center solutions, which are the driving force behind applications such as AI, virtual and augmented reality, 4K and 8K gaming, and professional design.</w:t>
      </w:r>
    </w:p>
    <w:p>
      <w:pPr>
        <w:spacing w:after="0" w:line="199" w:lineRule="exact"/>
        <w:rPr>
          <w:sz w:val="20"/>
          <w:szCs w:val="20"/>
          <w:color w:val="auto"/>
        </w:rPr>
      </w:pPr>
    </w:p>
    <w:p>
      <w:pPr>
        <w:jc w:val="both"/>
        <w:ind w:right="80"/>
        <w:spacing w:after="0" w:line="268" w:lineRule="auto"/>
        <w:rPr>
          <w:sz w:val="20"/>
          <w:szCs w:val="20"/>
          <w:color w:val="auto"/>
        </w:rPr>
      </w:pPr>
      <w:r>
        <w:rPr>
          <w:rFonts w:ascii="Arial" w:cs="Arial" w:eastAsia="Arial" w:hAnsi="Arial"/>
          <w:sz w:val="20"/>
          <w:szCs w:val="20"/>
          <w:b w:val="1"/>
          <w:bCs w:val="1"/>
          <w:i w:val="1"/>
          <w:iCs w:val="1"/>
          <w:u w:val="single" w:color="auto"/>
          <w:color w:val="auto"/>
        </w:rPr>
        <w:t>Networking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CNBU sales to the networking market in 2023 consisted primarily of DDR4 and DDR5 DRAM products.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 2023, demand was driven by 5G infrastructure deployments, data center networking growth, and increasing data transfer requirements across multiple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374650</wp:posOffset>
            </wp:positionV>
            <wp:extent cx="736600" cy="200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10260"/>
          </w:cols>
          <w:pgMar w:left="1000" w:top="844" w:right="98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i w:val="1"/>
          <w:iCs w:val="1"/>
          <w:color w:val="auto"/>
        </w:rPr>
        <w:t>Mobile Business Unit (“MBU”)</w:t>
      </w:r>
    </w:p>
    <w:p>
      <w:pPr>
        <w:spacing w:after="0" w:line="248"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b w:val="1"/>
          <w:bCs w:val="1"/>
          <w:color w:val="auto"/>
        </w:rPr>
        <w:t>MBU includes memory and storage products sold into the mobile market including discrete NAND, DRAM, and managed NAND products. MBU managed NAND includes embedded multi-media controller (“e.MMC”) and universal flash storage (“UFS”) solutions, each of which combine high-capacity NAND with a high-speed controller and firmware, and eMCP/uMCP products, which combine an e.MMC/UFS solution with LPDRAM. MBU reported revenue of $3.63 billion in 2023, $7.26 billion in 2022, and $7.20 billion in 2021. In 2023, we achieved key mobile customer qualifications on our 1ß based LPDDR5X and started high-volume revenue shipments to tier-1 OEMs. In addition, we achieved significant milestones in UFS with the qualification and ramp of a high-capacity uMCP5 featuring 16GB of DRAM and 512GB of NAND. We also started to sample a new UFS 4.0 product based on our latest 232-layer NAND technology, which enables industry-leading performance for flagship handsets.</w:t>
      </w:r>
    </w:p>
    <w:p>
      <w:pPr>
        <w:spacing w:after="0" w:line="180"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i w:val="1"/>
          <w:iCs w:val="1"/>
          <w:u w:val="single" w:color="auto"/>
          <w:color w:val="auto"/>
        </w:rPr>
        <w:t>Mobile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MBU sales to the mobile market in 2023 consisted primarily of LPDDR4 and LPDDR5 DRAM and managed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NAND solutions. 5G-enabled products require higher DRAM and NAND content per device and the market penetration rate for 5G continued to increase. Our smartphone, tablet, and mobile PC products are utilized by OEMs to enable AI, augmented reality, and life-like virtual reality capabilities into high-end phones, including facial and voice recognition, real-time translation, fast image search, and scene detection.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Embedded Business Unit (“EBU”)</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EBU includes memory and storage products and solutions sold into automotive, industrial, and consumer markets and includes discrete and module DRAM, discrete NAND, managed NAND, SSDs, and NOR. EBU reported revenue of $3.64 billion in 2023, $5.24 billion in 2022, and $4.21 billion in 2021. The embedded market has traditionally been characterized by long life-cycle DRAM and non-volatile products manufactured on mature process technologies. Strong trends of digitization, connectivity, and intelligence in every device, are driving increasing demand in embedded markets for memory and storage products that incorporate leading process technologies. Our embedded products enable edge devices to store, connect, and transform information in the internet of things (“IoT”) market and are utilized in a diverse set of applications in the automotive, industrial, and consumer markets.</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u w:val="single" w:color="auto"/>
          <w:color w:val="auto"/>
        </w:rPr>
        <w:t>Automotive</w:t>
      </w:r>
      <w:r>
        <w:rPr>
          <w:rFonts w:ascii="Arial" w:cs="Arial" w:eastAsia="Arial" w:hAnsi="Arial"/>
          <w:sz w:val="18"/>
          <w:szCs w:val="18"/>
          <w:b w:val="1"/>
          <w:bCs w:val="1"/>
          <w:color w:val="auto"/>
        </w:rPr>
        <w:t>: EBU sales to the automotive market in 2023 consisted primarily of LPDDR4 and LPDDR5 DRAM,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DDR3 and DDR4 DRAM, and e.MMC managed NAND. Advancements in autonomous driving, advanced driver-assistance systems, and in-vehicle infotainment systems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In addition, our products enable increasingly advanced vision and sensor based automated systems to support driver assistance solutions and vehicle safety. Our comprehensive and expanding portfolio of DRAM, NAND, and NOR solutions to the automotive market, as well as our extensive customer support network, enable us to maintain our strong leadership position in this market.</w:t>
      </w:r>
    </w:p>
    <w:p>
      <w:pPr>
        <w:spacing w:after="0" w:line="180"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b w:val="1"/>
          <w:bCs w:val="1"/>
          <w:i w:val="1"/>
          <w:iCs w:val="1"/>
          <w:u w:val="single" w:color="auto"/>
          <w:color w:val="auto"/>
        </w:rPr>
        <w:t>Industrial</w:t>
      </w:r>
      <w:r>
        <w:rPr>
          <w:rFonts w:ascii="Arial" w:cs="Arial" w:eastAsia="Arial" w:hAnsi="Arial"/>
          <w:sz w:val="20"/>
          <w:szCs w:val="20"/>
          <w:b w:val="1"/>
          <w:bCs w:val="1"/>
          <w:color w:val="auto"/>
        </w:rPr>
        <w:t>: EBU sales to the industrial market in 2023 consisted primarily of DDR3 and DDR4 DRAM, LPDDR4</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DRAM, NAND MCPs, and SLC NAND. Our products enable applications in the growing industrial IoT market, including machine-to-machine communication, factory automation, transportation, surveillance, retail, and smart infrastructure.</w:t>
      </w:r>
    </w:p>
    <w:p>
      <w:pPr>
        <w:spacing w:after="0" w:line="196"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b w:val="1"/>
          <w:bCs w:val="1"/>
          <w:i w:val="1"/>
          <w:iCs w:val="1"/>
          <w:u w:val="single" w:color="auto"/>
          <w:color w:val="auto"/>
        </w:rPr>
        <w:t>Consumer</w:t>
      </w:r>
      <w:r>
        <w:rPr>
          <w:rFonts w:ascii="Arial" w:cs="Arial" w:eastAsia="Arial" w:hAnsi="Arial"/>
          <w:sz w:val="19"/>
          <w:szCs w:val="19"/>
          <w:b w:val="1"/>
          <w:bCs w:val="1"/>
          <w:color w:val="auto"/>
        </w:rPr>
        <w:t>: EBU sales to the consumer market in 2023 consisted primarily of our LPDDR4 and LPDDR5 DRAM,</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DDR4 and DDR3 DRAM, and SLC NAND. These embedded memory and storage solutions are used in a diverse set of consumer products, including service provider and IP set-top boxes, digital home assistants, digital still and video cameras, home networking, ultra-high definition televisions, augmented reality and virtual reality (“AR/VR”) headsets, and many more applications. Our embedded memory and storage solutions enable edge devices in the consumer products market to store, connect, and transform information in the IoT.</w:t>
      </w:r>
    </w:p>
    <w:p>
      <w:pPr>
        <w:sectPr>
          <w:pgSz w:w="12240" w:h="15840" w:orient="portrait"/>
          <w:cols w:equalWidth="0" w:num="1">
            <w:col w:w="10220"/>
          </w:cols>
          <w:pgMar w:left="1000" w:top="84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 2023 10-K</w:t>
      </w:r>
    </w:p>
    <w:p>
      <w:pPr>
        <w:sectPr>
          <w:pgSz w:w="12240" w:h="15840" w:orient="portrait"/>
          <w:cols w:equalWidth="0" w:num="1">
            <w:col w:w="10220"/>
          </w:cols>
          <w:pgMar w:left="1000" w:top="846" w:right="102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t>Storage Business Unit (“SBU”)</w:t>
      </w:r>
    </w:p>
    <w:p>
      <w:pPr>
        <w:spacing w:after="0" w:line="248"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b w:val="1"/>
          <w:bCs w:val="1"/>
          <w:color w:val="auto"/>
        </w:rPr>
        <w:t>SBU includes SSDs and component-level solutions sold into enterprise and cloud, client, and consumer storage markets. SBU reported revenue of $2.55 billion in 2023, $4.55 billion in 2022, and $3.97 billion in 2021. In 2023, 176-layer NAND comprised the largest portion of SBU’s NAND bit shipments. In 2023, we also began shipping client, consumer, and data center SSDs featuring 232-layer NAND technology. It features higher areal density and delivers higher capacity and improved energy efficiency over previous generations of our NAND, to enable best-in-class support of the most data-intensive use cases from client to cloud.</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i w:val="1"/>
          <w:iCs w:val="1"/>
          <w:u w:val="single" w:color="auto"/>
          <w:color w:val="auto"/>
        </w:rPr>
        <w:t>SSDs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SSD storage products incorporate NAND, a controller, and firmware and offer significant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features over hard disk drives, including smaller form factors, faster read and write speeds, higher reliability, and lower power consumption. We offer SSD solutions utilizing our NAND technology to the enterprise and cloud, client, and consumer markets.</w:t>
      </w:r>
    </w:p>
    <w:p>
      <w:pPr>
        <w:spacing w:after="0" w:line="19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Enterprise and Cloud SSDs: </w:t>
      </w:r>
      <w:r>
        <w:rPr>
          <w:rFonts w:ascii="Arial" w:cs="Arial" w:eastAsia="Arial" w:hAnsi="Arial"/>
          <w:sz w:val="18"/>
          <w:szCs w:val="18"/>
          <w:b w:val="1"/>
          <w:bCs w:val="1"/>
          <w:color w:val="auto"/>
        </w:rPr>
        <w:t>SBU sales to the enterprise and cloud SSD markets in 2023 consisted primarily of 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5300, 7450, 5400, 9400, and 6500 series SSDs. In data center SSDs, our entire portfolio is now on 176-layer or 232-layer NAND, demonstrating our product and technology leadership. We are in a strong position to serve AI demand for fast storage as these data-intensive applications proliferate. In 2023, we launched our first 200+ layer NAND data center SSD, and qualification has completed at some customers and is in progress at other customers largely to support AI cluster installations. The enterprise and cloud storage markets are driven by the growth of applications that store, access, and analyze data in the cloud. Applications such as machine learning servers require fast access to data with low latency, predictable performance, and high storage capacities.</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i w:val="1"/>
          <w:iCs w:val="1"/>
          <w:color w:val="auto"/>
        </w:rPr>
        <w:t xml:space="preserve">Client SSDs: </w:t>
      </w:r>
      <w:r>
        <w:rPr>
          <w:rFonts w:ascii="Arial" w:cs="Arial" w:eastAsia="Arial" w:hAnsi="Arial"/>
          <w:sz w:val="20"/>
          <w:szCs w:val="20"/>
          <w:b w:val="1"/>
          <w:bCs w:val="1"/>
          <w:color w:val="auto"/>
        </w:rPr>
        <w:t>SBU sales to the client SSD market in 2023 consisted primarily of our 2450, 2400, and 3400 series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client SSDs. Our client SSDs, targeted for leading personal computer OEMs, have mostly replaced hard disk drives used in notebooks, desktops, workstations, and other consumer applications, and deliver high performance, power efficiency, security, and capacity.</w:t>
      </w:r>
    </w:p>
    <w:p>
      <w:pPr>
        <w:spacing w:after="0" w:line="196"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i w:val="1"/>
          <w:iCs w:val="1"/>
          <w:color w:val="auto"/>
        </w:rPr>
        <w:t xml:space="preserve">Consumer SSDs: </w:t>
      </w:r>
      <w:r>
        <w:rPr>
          <w:rFonts w:ascii="Arial" w:cs="Arial" w:eastAsia="Arial" w:hAnsi="Arial"/>
          <w:sz w:val="19"/>
          <w:szCs w:val="19"/>
          <w:b w:val="1"/>
          <w:bCs w:val="1"/>
          <w:color w:val="auto"/>
        </w:rPr>
        <w:t>SBU sales to the consumer SSD market in 2023 consisted primarily of our Crucial-branded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MX500 and BX500 SATA SSDs and our P3, P3 Plus, and P5 Plus PCIe SSDs, which utilize our NAND QLC and TLC technologies. In 2023, we began production shipments of Crucial T700, a Gen5 PCIe consumer SSD built with our 232-layer NAND. Our consumer SSD solutions have mostly replaced hard disk drives as end users and system builders and integrators seek the higher performance, power savings, and reliability of SSDs.</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b w:val="1"/>
          <w:bCs w:val="1"/>
          <w:i w:val="1"/>
          <w:iCs w:val="1"/>
          <w:u w:val="single" w:color="auto"/>
          <w:color w:val="auto"/>
        </w:rPr>
        <w:t>Components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SBU sales of components in 2023 consisted primarily of our 96-layer, 176-layer, and 232-layer TLC</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QLC NAND products.</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Marketing and Customers</w:t>
      </w:r>
    </w:p>
    <w:p>
      <w:pPr>
        <w:spacing w:after="0" w:line="26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Crucial-branded products through a web-based customer-direct sales channel as well as through channel and distribution partners. We maintain inventory at locations in close proximity to certain key customers to facilitate rapid delivery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673100</wp:posOffset>
            </wp:positionV>
            <wp:extent cx="736600" cy="200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10260"/>
          </w:cols>
          <w:pgMar w:left="1000" w:top="846" w:right="980" w:bottom="0" w:gutter="0" w:footer="0" w:header="0"/>
          <w:type w:val="continuous"/>
        </w:sectPr>
      </w:pPr>
    </w:p>
    <w:bookmarkStart w:id="11" w:name="page12"/>
    <w:bookmarkEnd w:id="11"/>
    <w:p>
      <w:pPr>
        <w:ind w:right="380"/>
        <w:spacing w:after="0" w:line="262" w:lineRule="auto"/>
        <w:rPr>
          <w:sz w:val="20"/>
          <w:szCs w:val="20"/>
          <w:color w:val="auto"/>
        </w:rPr>
      </w:pPr>
      <w:r>
        <w:rPr>
          <w:rFonts w:ascii="Arial" w:cs="Arial" w:eastAsia="Arial" w:hAnsi="Arial"/>
          <w:sz w:val="20"/>
          <w:szCs w:val="20"/>
          <w:b w:val="1"/>
          <w:bCs w:val="1"/>
          <w:color w:val="auto"/>
        </w:rPr>
        <w:t>Due to volatile industry conditions, our customers are generally reluctant to enter into long-term,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196" w:lineRule="exact"/>
        <w:rPr>
          <w:sz w:val="20"/>
          <w:szCs w:val="20"/>
          <w:color w:val="auto"/>
        </w:rPr>
      </w:pPr>
    </w:p>
    <w:p>
      <w:pPr>
        <w:ind w:right="420"/>
        <w:spacing w:after="0" w:line="311" w:lineRule="auto"/>
        <w:rPr>
          <w:sz w:val="20"/>
          <w:szCs w:val="20"/>
          <w:color w:val="auto"/>
        </w:rPr>
      </w:pPr>
      <w:r>
        <w:rPr>
          <w:rFonts w:ascii="Arial" w:cs="Arial" w:eastAsia="Arial" w:hAnsi="Arial"/>
          <w:sz w:val="18"/>
          <w:szCs w:val="18"/>
          <w:b w:val="1"/>
          <w:bCs w:val="1"/>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Competitive Conditions</w:t>
      </w:r>
    </w:p>
    <w:p>
      <w:pPr>
        <w:spacing w:after="0" w:line="26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b w:val="1"/>
          <w:bCs w:val="1"/>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May 21, 2023 decision by China’s Cyberspace Administration (the “CAC”) that critical information infrastructure operators in China may not purchase Micron products had an impact on our ability to compete effectively in China and elsewhere.</w:t>
      </w:r>
    </w:p>
    <w:p>
      <w:pPr>
        <w:spacing w:after="0" w:line="194"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We and our competitors generally seek to increase wafer output, improve yields, and reduce die size, which could result in significant increases in worldwide supply and downward pressure on prices. During periods of supply overcapacity, the industry may experience a temporary interruption in increased wafer output due to curtailed capital expenditures.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30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Manufacturing</w:t>
      </w:r>
    </w:p>
    <w:p>
      <w:pPr>
        <w:spacing w:after="0" w:line="37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b w:val="1"/>
          <w:bCs w:val="1"/>
          <w:color w:val="auto"/>
        </w:rPr>
        <w:t>We manufacture our products within our own facilities located in Taiwan, Singapore, Japan, the United States, Malaysia, and China,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 2023 10-K</w:t>
      </w:r>
    </w:p>
    <w:p>
      <w:pPr>
        <w:sectPr>
          <w:pgSz w:w="12240" w:h="15840" w:orient="portrait"/>
          <w:cols w:equalWidth="0" w:num="1">
            <w:col w:w="10220"/>
          </w:cols>
          <w:pgMar w:left="1000" w:top="844" w:right="1020" w:bottom="0" w:gutter="0" w:footer="0" w:header="0"/>
          <w:type w:val="continuous"/>
        </w:sectPr>
      </w:pPr>
    </w:p>
    <w:bookmarkStart w:id="12" w:name="page13"/>
    <w:bookmarkEnd w:id="12"/>
    <w:p>
      <w:pPr>
        <w:ind w:right="20"/>
        <w:spacing w:after="0" w:line="283" w:lineRule="auto"/>
        <w:rPr>
          <w:sz w:val="20"/>
          <w:szCs w:val="20"/>
          <w:color w:val="auto"/>
        </w:rPr>
      </w:pPr>
      <w:r>
        <w:rPr>
          <w:rFonts w:ascii="Arial" w:cs="Arial" w:eastAsia="Arial" w:hAnsi="Arial"/>
          <w:sz w:val="18"/>
          <w:szCs w:val="18"/>
          <w:b w:val="1"/>
          <w:bCs w:val="1"/>
          <w:color w:val="auto"/>
        </w:rPr>
        <w:t>Our process for manufacturing semiconductor products is complex and involves numerous precise steps, including wafer fabrication, post 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(“ASIC”)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33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Resources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Supply Chain, Materials, and Third-Party Service Providers</w:t>
      </w:r>
    </w:p>
    <w:p>
      <w:pPr>
        <w:spacing w:after="0" w:line="263"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338455</wp:posOffset>
            </wp:positionV>
            <wp:extent cx="736600" cy="200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10260"/>
          </w:cols>
          <w:pgMar w:left="1000" w:top="844" w:right="980" w:bottom="0" w:gutter="0" w:footer="0" w:header="0"/>
          <w:type w:val="continuous"/>
        </w:sectPr>
      </w:pPr>
    </w:p>
    <w:bookmarkStart w:id="13" w:name="page14"/>
    <w:bookmarkEnd w:id="13"/>
    <w:p>
      <w:pPr>
        <w:ind w:right="60"/>
        <w:spacing w:after="0" w:line="283" w:lineRule="auto"/>
        <w:rPr>
          <w:sz w:val="20"/>
          <w:szCs w:val="20"/>
          <w:color w:val="auto"/>
        </w:rPr>
      </w:pPr>
      <w:r>
        <w:rPr>
          <w:rFonts w:ascii="Arial" w:cs="Arial" w:eastAsia="Arial" w:hAnsi="Arial"/>
          <w:sz w:val="18"/>
          <w:szCs w:val="18"/>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Patents and Licenses</w:t>
      </w:r>
    </w:p>
    <w:p>
      <w:pPr>
        <w:spacing w:after="0" w:line="263" w:lineRule="exact"/>
        <w:rPr>
          <w:sz w:val="20"/>
          <w:szCs w:val="20"/>
          <w:color w:val="auto"/>
        </w:rPr>
      </w:pPr>
    </w:p>
    <w:p>
      <w:pPr>
        <w:ind w:right="400"/>
        <w:spacing w:after="0" w:line="268" w:lineRule="auto"/>
        <w:rPr>
          <w:sz w:val="20"/>
          <w:szCs w:val="20"/>
          <w:color w:val="auto"/>
        </w:rPr>
      </w:pPr>
      <w:r>
        <w:rPr>
          <w:rFonts w:ascii="Arial" w:cs="Arial" w:eastAsia="Arial" w:hAnsi="Arial"/>
          <w:sz w:val="20"/>
          <w:szCs w:val="20"/>
          <w:b w:val="1"/>
          <w:bCs w:val="1"/>
          <w:color w:val="auto"/>
        </w:rPr>
        <w:t>As of August 31, 2023, we owned approximately 13,100 active U.S. patents and 6,300 active foreign patents. In addition, we have thousands of U.S. and foreign patent applications pending. Our patents have various terms expiring through 2042.</w:t>
      </w:r>
    </w:p>
    <w:p>
      <w:pPr>
        <w:spacing w:after="0" w:line="190" w:lineRule="exact"/>
        <w:rPr>
          <w:sz w:val="20"/>
          <w:szCs w:val="20"/>
          <w:color w:val="auto"/>
        </w:rPr>
      </w:pPr>
    </w:p>
    <w:p>
      <w:pPr>
        <w:jc w:val="both"/>
        <w:ind w:right="400"/>
        <w:spacing w:after="0" w:line="311" w:lineRule="auto"/>
        <w:rPr>
          <w:sz w:val="20"/>
          <w:szCs w:val="20"/>
          <w:color w:val="auto"/>
        </w:rPr>
      </w:pPr>
      <w:r>
        <w:rPr>
          <w:rFonts w:ascii="Arial" w:cs="Arial" w:eastAsia="Arial" w:hAnsi="Arial"/>
          <w:sz w:val="18"/>
          <w:szCs w:val="18"/>
          <w:b w:val="1"/>
          <w:bCs w:val="1"/>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 2023 10-K</w:t>
      </w:r>
    </w:p>
    <w:p>
      <w:pPr>
        <w:sectPr>
          <w:pgSz w:w="12240" w:h="15840" w:orient="portrait"/>
          <w:cols w:equalWidth="0" w:num="1">
            <w:col w:w="10240"/>
          </w:cols>
          <w:pgMar w:left="1000" w:top="844" w:right="1000" w:bottom="0" w:gutter="0" w:footer="0" w:header="0"/>
          <w:type w:val="continuous"/>
        </w:sectPr>
      </w:pPr>
    </w:p>
    <w:bookmarkStart w:id="14" w:name="page15"/>
    <w:bookmarkEnd w:id="14"/>
    <w:p>
      <w:pPr>
        <w:ind w:right="40"/>
        <w:spacing w:after="0" w:line="257" w:lineRule="auto"/>
        <w:rPr>
          <w:sz w:val="20"/>
          <w:szCs w:val="20"/>
          <w:color w:val="auto"/>
        </w:rPr>
      </w:pPr>
      <w:r>
        <w:rPr>
          <w:rFonts w:ascii="Arial" w:cs="Arial" w:eastAsia="Arial" w:hAnsi="Arial"/>
          <w:sz w:val="20"/>
          <w:szCs w:val="20"/>
          <w:b w:val="1"/>
          <w:bCs w:val="1"/>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33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Research and Development</w:t>
      </w:r>
    </w:p>
    <w:p>
      <w:pPr>
        <w:spacing w:after="0" w:line="375"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b w:val="1"/>
          <w:bCs w:val="1"/>
          <w:color w:val="auto"/>
        </w:rPr>
        <w:t>Our R&amp;D efforts are focused primarily on development of memory and storage solutions, including our industry-leading DRAM and NAND technology, that enable continuous improvement in performance and cost structure for our products. In DRAM, our 1ß node was introduced ahead of the industry and we ramped our manufacturing of it during 2023. We plan to implement EUV lithography on the DRAM node after 1ß. In NAND, the introduction of our 232-layer node was also ahead of the industry and we ramped our manufacturing of it during 2023. We are also focused on developing new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high-density DDR5, LPDDR5, HBM, CXL based products, and advanced graphics DRAM; 3D NAND (including TLC and QLC technologies); mobile and storage solutions (including firmware and controllers); managed NAND; SSDs; and other memory technologies and systems.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India; Japan; Taiwan; China; Italy; Singapore; Germany; Malaysia; and other sites in the United States.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b w:val="1"/>
          <w:bCs w:val="1"/>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w:t>
      </w:r>
    </w:p>
    <w:p>
      <w:pPr>
        <w:spacing w:after="0" w:line="3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Human Capital</w:t>
      </w:r>
    </w:p>
    <w:p>
      <w:pPr>
        <w:spacing w:after="0" w:line="375" w:lineRule="exact"/>
        <w:rPr>
          <w:sz w:val="20"/>
          <w:szCs w:val="20"/>
          <w:color w:val="auto"/>
        </w:rPr>
      </w:pPr>
    </w:p>
    <w:p>
      <w:pPr>
        <w:ind w:right="480"/>
        <w:spacing w:after="0" w:line="266" w:lineRule="auto"/>
        <w:rPr>
          <w:sz w:val="20"/>
          <w:szCs w:val="20"/>
          <w:color w:val="auto"/>
        </w:rPr>
      </w:pPr>
      <w:r>
        <w:rPr>
          <w:rFonts w:ascii="Arial" w:cs="Arial" w:eastAsia="Arial" w:hAnsi="Arial"/>
          <w:sz w:val="20"/>
          <w:szCs w:val="20"/>
          <w:b w:val="1"/>
          <w:bCs w:val="1"/>
          <w:color w:val="auto"/>
        </w:rPr>
        <w:t>We depend on a highly educated and experienced workforce to design, develop, and manufacture high-quality, cutting-edge memory and storage solutions. As of August 31, 2023, we had approximately 43,000 employees located in the following regions: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4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Region</w:t>
            </w:r>
          </w:p>
        </w:tc>
        <w:tc>
          <w:tcPr>
            <w:tcW w:w="1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b w:val="1"/>
                <w:bCs w:val="1"/>
                <w:color w:val="auto"/>
              </w:rPr>
              <w:t>Percent All</w:t>
            </w:r>
          </w:p>
        </w:tc>
        <w:tc>
          <w:tcPr>
            <w:tcW w:w="1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Percent Women</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4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Asia</w:t>
            </w:r>
          </w:p>
        </w:tc>
        <w:tc>
          <w:tcPr>
            <w:tcW w:w="14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78 %</w:t>
            </w:r>
          </w:p>
        </w:tc>
        <w:tc>
          <w:tcPr>
            <w:tcW w:w="13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74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460" w:type="dxa"/>
            <w:vAlign w:val="bottom"/>
          </w:tcPr>
          <w:p>
            <w:pPr>
              <w:ind w:left="40"/>
              <w:spacing w:after="0"/>
              <w:rPr>
                <w:sz w:val="20"/>
                <w:szCs w:val="20"/>
                <w:color w:val="auto"/>
              </w:rPr>
            </w:pPr>
            <w:r>
              <w:rPr>
                <w:rFonts w:ascii="Arial Narrow" w:cs="Arial Narrow" w:eastAsia="Arial Narrow" w:hAnsi="Arial Narrow"/>
                <w:sz w:val="20"/>
                <w:szCs w:val="20"/>
                <w:color w:val="auto"/>
              </w:rPr>
              <w:t>Americas</w:t>
            </w: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138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60" w:type="dxa"/>
            <w:vAlign w:val="bottom"/>
          </w:tcPr>
          <w:p>
            <w:pPr>
              <w:ind w:left="40"/>
              <w:spacing w:after="0"/>
              <w:rPr>
                <w:sz w:val="20"/>
                <w:szCs w:val="20"/>
                <w:color w:val="auto"/>
              </w:rPr>
            </w:pPr>
            <w:r>
              <w:rPr>
                <w:rFonts w:ascii="Arial Narrow" w:cs="Arial Narrow" w:eastAsia="Arial Narrow" w:hAnsi="Arial Narrow"/>
                <w:sz w:val="20"/>
                <w:szCs w:val="20"/>
                <w:color w:val="auto"/>
              </w:rPr>
              <w:t>Europe, Middle East, and Africa</w:t>
            </w:r>
          </w:p>
        </w:tc>
        <w:tc>
          <w:tcPr>
            <w:tcW w:w="1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2 %</w:t>
            </w:r>
          </w:p>
        </w:tc>
        <w:tc>
          <w:tcPr>
            <w:tcW w:w="1380" w:type="dxa"/>
            <w:vAlign w:val="bottom"/>
          </w:tcPr>
          <w:p>
            <w:pPr>
              <w:jc w:val="right"/>
              <w:spacing w:after="0"/>
              <w:rPr>
                <w:sz w:val="20"/>
                <w:szCs w:val="20"/>
                <w:color w:val="auto"/>
              </w:rPr>
            </w:pPr>
            <w:r>
              <w:rPr>
                <w:rFonts w:ascii="Arial Narrow" w:cs="Arial Narrow" w:eastAsia="Arial Narrow" w:hAnsi="Arial Narrow"/>
                <w:sz w:val="20"/>
                <w:szCs w:val="20"/>
                <w:color w:val="auto"/>
              </w:rPr>
              <w:t>21 %</w:t>
            </w:r>
          </w:p>
        </w:tc>
        <w:tc>
          <w:tcPr>
            <w:tcW w:w="2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460" w:type="dxa"/>
            <w:vAlign w:val="bottom"/>
          </w:tcPr>
          <w:p>
            <w:pPr>
              <w:ind w:left="40"/>
              <w:spacing w:after="0"/>
              <w:rPr>
                <w:sz w:val="20"/>
                <w:szCs w:val="20"/>
                <w:color w:val="auto"/>
              </w:rPr>
            </w:pPr>
            <w:r>
              <w:rPr>
                <w:rFonts w:ascii="Arial Narrow" w:cs="Arial Narrow" w:eastAsia="Arial Narrow" w:hAnsi="Arial Narrow"/>
                <w:sz w:val="20"/>
                <w:szCs w:val="20"/>
                <w:color w:val="auto"/>
              </w:rPr>
              <w:t>Total</w:t>
            </w:r>
          </w:p>
        </w:tc>
        <w:tc>
          <w:tcPr>
            <w:tcW w:w="1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100 %</w:t>
            </w:r>
          </w:p>
        </w:tc>
        <w:tc>
          <w:tcPr>
            <w:tcW w:w="1380" w:type="dxa"/>
            <w:vAlign w:val="bottom"/>
          </w:tcPr>
          <w:p>
            <w:pPr>
              <w:jc w:val="right"/>
              <w:spacing w:after="0"/>
              <w:rPr>
                <w:sz w:val="20"/>
                <w:szCs w:val="20"/>
                <w:color w:val="auto"/>
              </w:rPr>
            </w:pPr>
            <w:r>
              <w:rPr>
                <w:rFonts w:ascii="Arial Narrow" w:cs="Arial Narrow" w:eastAsia="Arial Narrow" w:hAnsi="Arial Narrow"/>
                <w:sz w:val="20"/>
                <w:szCs w:val="20"/>
                <w:color w:val="auto"/>
              </w:rPr>
              <w:t>31 %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774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774700"/>
                    </a:xfrm>
                    <a:prstGeom prst="rect">
                      <a:avLst/>
                    </a:prstGeom>
                    <a:noFill/>
                  </pic:spPr>
                </pic:pic>
              </a:graphicData>
            </a:graphic>
          </wp:anchor>
        </w:drawing>
      </w:r>
    </w:p>
    <w:p>
      <w:pPr>
        <w:spacing w:after="0" w:line="235"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b w:val="1"/>
          <w:bCs w:val="1"/>
          <w:color w:val="auto"/>
        </w:rPr>
        <w:t>As of August 31, 2023 and September 1, 2022, 31% of our global workforce were women. As of August 31, 2023, 25% of our technical or engineering roles were held by women, as compared to 24% as of September 1, 2022. Women comprised 17% of our senior leaders as of August 31, 2023 and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392430</wp:posOffset>
            </wp:positionV>
            <wp:extent cx="736600" cy="200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10260"/>
          </w:cols>
          <w:pgMar w:left="1000" w:top="844" w:right="980" w:bottom="0" w:gutter="0" w:footer="0" w:header="0"/>
          <w:type w:val="continuous"/>
        </w:sectPr>
      </w:pPr>
    </w:p>
    <w:bookmarkStart w:id="15" w:name="page16"/>
    <w:bookmarkEnd w:id="15"/>
    <w:p>
      <w:pPr>
        <w:jc w:val="both"/>
        <w:ind w:right="580"/>
        <w:spacing w:after="0" w:line="262" w:lineRule="auto"/>
        <w:rPr>
          <w:sz w:val="20"/>
          <w:szCs w:val="20"/>
          <w:color w:val="auto"/>
        </w:rPr>
      </w:pPr>
      <w:r>
        <w:rPr>
          <w:rFonts w:ascii="Arial" w:cs="Arial" w:eastAsia="Arial" w:hAnsi="Arial"/>
          <w:sz w:val="20"/>
          <w:szCs w:val="20"/>
          <w:b w:val="1"/>
          <w:bCs w:val="1"/>
          <w:color w:val="auto"/>
        </w:rPr>
        <w:t>Our Board of Directors was comprised of four men and four women as of August 31, 2023. In addition, as of August 31, 2023, based on self-identification, one member of our Board of Directors is Asian, one member is African-American, and six members are White. One member of our Board of Directors is a veteran of the U.S. military.</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Talent Acquisition, Development, and Engagement</w:t>
      </w:r>
    </w:p>
    <w:p>
      <w:pPr>
        <w:spacing w:after="0" w:line="263"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b w:val="1"/>
          <w:bCs w:val="1"/>
          <w:color w:val="auto"/>
        </w:rPr>
        <w:t>Finding and retaining the best and brightest people in an extremely competitive industry environment is a strategic imperative for our business. We partner with our communities, institutions, governments, and associations to expand the pipeline of diverse, highly skilled STEM talent globally. Our partnerships with K-12 and post-secondary education systems are key to training and inspiring the next generation to consider STEM careers in the semiconductor industry. We use AI to reduce or eliminate the potential for bias from resumes, allowing us to focus on individual merit over personal characteristics. We are committed to developing team members at all stages of their careers, including on-the-job training, continuing education, a robust mentoring program, and numerous internal certifications and training. In addition, we develop and accelerate our leaders’ careers through targeted learning that helps them move to higher-level positions or across functions.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We use a research-based, people-centric approach to understanding and improving team member engagement. Periodically, we invite all team members to participate in our internal engagement survey, which covers questions that measure and provide insight into three driving factors: meaningfulness, availability, and psychological safety. In April 2023, 82% of our team members participated in the survey. The results of the survey are shared with all team members and management uses feedback from the survey to identify and implement continuous improvements to our culture and workplace practices.</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and Benefits</w:t>
      </w:r>
    </w:p>
    <w:p>
      <w:pPr>
        <w:spacing w:after="0" w:line="263" w:lineRule="exact"/>
        <w:rPr>
          <w:sz w:val="20"/>
          <w:szCs w:val="20"/>
          <w:color w:val="auto"/>
        </w:rPr>
      </w:pPr>
    </w:p>
    <w:p>
      <w:pPr>
        <w:ind w:right="140"/>
        <w:spacing w:after="0" w:line="311" w:lineRule="auto"/>
        <w:rPr>
          <w:sz w:val="20"/>
          <w:szCs w:val="20"/>
          <w:color w:val="auto"/>
        </w:rPr>
      </w:pPr>
      <w:r>
        <w:rPr>
          <w:rFonts w:ascii="Arial" w:cs="Arial" w:eastAsia="Arial" w:hAnsi="Arial"/>
          <w:sz w:val="18"/>
          <w:szCs w:val="18"/>
          <w:b w:val="1"/>
          <w:bCs w:val="1"/>
          <w:color w:val="auto"/>
        </w:rPr>
        <w:t>Our compensation programs are designed to support our team members’ financial and personal wellbeing by providing a valuable return for their contributions to the company. Our total compensation strategy includes base salary, annual bonuses, equity awards, a discounted stock purchase plan, and a comprehensive benefits package.</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Diversity, Equality, and Inclusion</w:t>
      </w:r>
    </w:p>
    <w:p>
      <w:pPr>
        <w:spacing w:after="0" w:line="263"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b w:val="1"/>
          <w:bCs w:val="1"/>
          <w:color w:val="auto"/>
        </w:rPr>
        <w:t>We have five diversity, equality, and inclusion (“DEI”) commitments that serve as the roadmap of our DEI work internally, within our industry, and in the community at large. To hold ourselves accountable, each commitment is assigned an executive sponsor who is responsible for its strategy and execution. Our five DEI commitments are summarized as follows:</w:t>
      </w:r>
    </w:p>
    <w:p>
      <w:pPr>
        <w:spacing w:after="0" w:line="196" w:lineRule="exact"/>
        <w:rPr>
          <w:sz w:val="20"/>
          <w:szCs w:val="20"/>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Increase representation of underrepresented groups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Drive equitable pay and inclusive benefits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Champion advocacy and strengthen our culture of inclusion</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Engage with diverse financial institutions for cash management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Increase diverse supplier representation and spending</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auto"/>
        </w:rPr>
        <w:t>We have a regular review of pay globally, including base pay and stock awards, to drive compensation equitably. In 2023, due to challenging industry conditions, base pay increases were suspended, however we achieved global pay equity for all underrepresented employees in compensation across bonuses and stock rewards. In 2022 and 2021, we achieved comprehensive global pay equity for all employees in total compensation across base pay, bonuses, and stock rewards. A pay equity analysis will be conducted in 2024 with our base pay merit review. We also continually assess our global leave, medical, and financial benefits to ensure inclusiveness. In addition, a portion of our company-wide annual bonus program is based on the achievement of DEI-related goals.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 2023 10-K</w:t>
      </w:r>
    </w:p>
    <w:p>
      <w:pPr>
        <w:sectPr>
          <w:pgSz w:w="12240" w:h="15840" w:orient="portrait"/>
          <w:cols w:equalWidth="0" w:num="1">
            <w:col w:w="10240"/>
          </w:cols>
          <w:pgMar w:left="1000" w:top="844" w:right="100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4"/>
          <w:szCs w:val="24"/>
          <w:b w:val="1"/>
          <w:bCs w:val="1"/>
          <w:color w:val="auto"/>
        </w:rPr>
        <w:t>Health, Safety, and Wellbeing</w:t>
      </w:r>
    </w:p>
    <w:p>
      <w:pPr>
        <w:spacing w:after="0" w:line="26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199" w:lineRule="exact"/>
        <w:rPr>
          <w:sz w:val="20"/>
          <w:szCs w:val="20"/>
          <w:color w:val="auto"/>
        </w:rPr>
      </w:pPr>
    </w:p>
    <w:p>
      <w:pPr>
        <w:ind w:right="300"/>
        <w:spacing w:after="0" w:line="239" w:lineRule="auto"/>
        <w:rPr>
          <w:sz w:val="20"/>
          <w:szCs w:val="20"/>
          <w:color w:val="auto"/>
        </w:rPr>
      </w:pPr>
      <w:r>
        <w:rPr>
          <w:rFonts w:ascii="Arial" w:cs="Arial" w:eastAsia="Arial" w:hAnsi="Arial"/>
          <w:sz w:val="20"/>
          <w:szCs w:val="20"/>
          <w:b w:val="1"/>
          <w:bCs w:val="1"/>
          <w:color w:val="auto"/>
        </w:rPr>
        <w:t>In addition to our proactive efforts on safety, our team member wellness program offers resources across our five pillars of wellbeing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exclusive access to near-site, company-sponsored childcare centers, financial subsidies to help families with cost, and partnerships with community centers.</w:t>
      </w:r>
    </w:p>
    <w:p>
      <w:pPr>
        <w:spacing w:after="0" w:line="200"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b w:val="1"/>
          <w:bCs w:val="1"/>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199" w:lineRule="exact"/>
        <w:rPr>
          <w:sz w:val="20"/>
          <w:szCs w:val="20"/>
          <w:color w:val="auto"/>
        </w:rPr>
      </w:pPr>
    </w:p>
    <w:p>
      <w:pPr>
        <w:ind w:right="580"/>
        <w:spacing w:after="0" w:line="289" w:lineRule="auto"/>
        <w:rPr>
          <w:sz w:val="20"/>
          <w:szCs w:val="20"/>
          <w:color w:val="auto"/>
        </w:rPr>
      </w:pPr>
      <w:r>
        <w:rPr>
          <w:rFonts w:ascii="Arial" w:cs="Arial" w:eastAsia="Arial" w:hAnsi="Arial"/>
          <w:sz w:val="19"/>
          <w:szCs w:val="19"/>
          <w:b w:val="1"/>
          <w:bCs w:val="1"/>
          <w:color w:val="auto"/>
        </w:rPr>
        <w:t>Additional information about our human capital is included in our 2023 Sustainability Report and our 2022 DEI Annual Report, each available on our website. Information contained or referenced on our website is not incorporated by reference and does not form a part of this Annual Report on Form 10-K.</w:t>
      </w:r>
    </w:p>
    <w:p>
      <w:pPr>
        <w:spacing w:after="0" w:line="29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Government Regulations</w:t>
      </w:r>
    </w:p>
    <w:p>
      <w:pPr>
        <w:spacing w:after="0" w:line="37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Environmental Compliance</w:t>
      </w:r>
    </w:p>
    <w:p>
      <w:pPr>
        <w:spacing w:after="0" w:line="263"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auto"/>
        </w:rPr>
        <w:t>Manufacturing of our products is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continued to conform to the requirements of the ISO 14001:2015 environmental management systems standard to ensure we are continuously improving our performance. As part of the ISO 14001 framework, we have established a global environmental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704215</wp:posOffset>
            </wp:positionV>
            <wp:extent cx="736600" cy="20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10260"/>
          </w:cols>
          <w:pgMar w:left="1000" w:top="833" w:right="98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4"/>
          <w:szCs w:val="24"/>
          <w:b w:val="1"/>
          <w:bCs w:val="1"/>
          <w:color w:val="auto"/>
        </w:rPr>
        <w:t>Trade Regulations</w:t>
      </w:r>
    </w:p>
    <w:p>
      <w:pPr>
        <w:spacing w:after="0" w:line="263"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Government actions and regulations, such as export restrictions, tariffs and trade protection measures, may limit our ability to sell our products to certain customers or markets, or could otherwise restrict our ability to conduct operations” and “ – Risks Related to Our Business, Operations, and Industry – We face geopolitical and other risks associated with our international operations that could materially adversely affect our business, results of operations, or financial condition.”</w:t>
      </w:r>
    </w:p>
    <w:p>
      <w:pPr>
        <w:spacing w:after="0" w:line="20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 2023 10-K</w:t>
      </w:r>
    </w:p>
    <w:p>
      <w:pPr>
        <w:sectPr>
          <w:pgSz w:w="12240" w:h="15840" w:orient="portrait"/>
          <w:cols w:equalWidth="0" w:num="1">
            <w:col w:w="10240"/>
          </w:cols>
          <w:pgMar w:left="1000" w:top="833" w:right="1000" w:bottom="0" w:gutter="0" w:footer="0" w:header="0"/>
          <w:type w:val="continuous"/>
        </w:sectPr>
      </w:pPr>
    </w:p>
    <w:bookmarkStart w:id="18" w:name="page19"/>
    <w:bookmarkEnd w:id="18"/>
    <w:p>
      <w:pPr>
        <w:spacing w:after="0"/>
        <w:rPr>
          <w:sz w:val="20"/>
          <w:szCs w:val="20"/>
          <w:color w:val="auto"/>
        </w:rPr>
      </w:pPr>
      <w:r>
        <w:rPr>
          <w:rFonts w:ascii="Arial Narrow" w:cs="Arial Narrow" w:eastAsia="Arial Narrow" w:hAnsi="Arial Narrow"/>
          <w:sz w:val="44"/>
          <w:szCs w:val="44"/>
          <w:b w:val="1"/>
          <w:bCs w:val="1"/>
          <w:color w:val="auto"/>
        </w:rPr>
        <w:t>Information About Our Executive Officers</w:t>
      </w:r>
    </w:p>
    <w:p>
      <w:pPr>
        <w:spacing w:after="0" w:line="375"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presents information, as of August 31, 2023,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6527800" cy="6985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7800" cy="6985000"/>
                    </a:xfrm>
                    <a:prstGeom prst="rect">
                      <a:avLst/>
                    </a:prstGeom>
                    <a:noFill/>
                  </pic:spPr>
                </pic:pic>
              </a:graphicData>
            </a:graphic>
          </wp:anchor>
        </w:drawing>
      </w:r>
    </w:p>
    <w:p>
      <w:pPr>
        <w:spacing w:after="0" w:line="9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Scott R.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Corporate Vice President and Chief Accounting Officer</w:t>
      </w:r>
    </w:p>
    <w:p>
      <w:pPr>
        <w:spacing w:after="0" w:line="51" w:lineRule="exact"/>
        <w:rPr>
          <w:sz w:val="20"/>
          <w:szCs w:val="20"/>
          <w:color w:val="auto"/>
        </w:rPr>
      </w:pPr>
    </w:p>
    <w:p>
      <w:pPr>
        <w:ind w:left="1860" w:right="300"/>
        <w:spacing w:after="0" w:line="250" w:lineRule="auto"/>
        <w:rPr>
          <w:sz w:val="20"/>
          <w:szCs w:val="20"/>
          <w:color w:val="auto"/>
        </w:rPr>
      </w:pPr>
      <w:r>
        <w:rPr>
          <w:rFonts w:ascii="Arial Narrow" w:cs="Arial Narrow" w:eastAsia="Arial Narrow" w:hAnsi="Arial Narrow"/>
          <w:sz w:val="20"/>
          <w:szCs w:val="20"/>
          <w:color w:val="auto"/>
        </w:rPr>
        <w:t>Mr. Allen, 55,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6527800" cy="314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April S.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Senior Vice President and Chief People Officer</w:t>
      </w:r>
    </w:p>
    <w:p>
      <w:pPr>
        <w:spacing w:after="0" w:line="51" w:lineRule="exact"/>
        <w:rPr>
          <w:sz w:val="20"/>
          <w:szCs w:val="20"/>
          <w:color w:val="auto"/>
        </w:rPr>
      </w:pPr>
    </w:p>
    <w:p>
      <w:pPr>
        <w:ind w:left="1860" w:right="140"/>
        <w:spacing w:after="0" w:line="263" w:lineRule="auto"/>
        <w:rPr>
          <w:sz w:val="20"/>
          <w:szCs w:val="20"/>
          <w:color w:val="auto"/>
        </w:rPr>
      </w:pPr>
      <w:r>
        <w:rPr>
          <w:rFonts w:ascii="Arial Narrow" w:cs="Arial Narrow" w:eastAsia="Arial Narrow" w:hAnsi="Arial Narrow"/>
          <w:sz w:val="19"/>
          <w:szCs w:val="19"/>
          <w:color w:val="auto"/>
        </w:rPr>
        <w:t>Ms. Arnzen, 52, joined us in December 1996 and has served in various leadership positions since that time. Ms. Arnzen was named Senior Vice President, Human Resources in June 2017 and named Senior Vice President and Chief People Officer in October 2020. Ms. Arnzen holds a BS in Human Resource Management and Marketing from the University of Idaho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6527800" cy="314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Manish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3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3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Global Operations</w:t>
      </w:r>
    </w:p>
    <w:p>
      <w:pPr>
        <w:spacing w:after="0" w:line="51" w:lineRule="exact"/>
        <w:rPr>
          <w:sz w:val="20"/>
          <w:szCs w:val="20"/>
          <w:color w:val="auto"/>
        </w:rPr>
      </w:pPr>
    </w:p>
    <w:p>
      <w:pPr>
        <w:ind w:left="1860" w:right="220"/>
        <w:spacing w:after="0"/>
        <w:rPr>
          <w:sz w:val="20"/>
          <w:szCs w:val="20"/>
          <w:color w:val="auto"/>
        </w:rPr>
      </w:pPr>
      <w:r>
        <w:rPr>
          <w:rFonts w:ascii="Arial Narrow" w:cs="Arial Narrow" w:eastAsia="Arial Narrow" w:hAnsi="Arial Narrow"/>
          <w:sz w:val="20"/>
          <w:szCs w:val="20"/>
          <w:color w:val="auto"/>
        </w:rPr>
        <w:t>Mr. Bhatia, 51, joined us in October 2017 as our Executive Vice President,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6527800" cy="31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Michael W. Bokan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Senior Vice President, Worldwide Sales</w:t>
      </w:r>
    </w:p>
    <w:p>
      <w:pPr>
        <w:spacing w:after="0" w:line="51" w:lineRule="exact"/>
        <w:rPr>
          <w:sz w:val="20"/>
          <w:szCs w:val="20"/>
          <w:color w:val="auto"/>
        </w:rPr>
      </w:pPr>
    </w:p>
    <w:p>
      <w:pPr>
        <w:ind w:left="1860" w:right="120"/>
        <w:spacing w:after="0" w:line="255" w:lineRule="auto"/>
        <w:rPr>
          <w:sz w:val="20"/>
          <w:szCs w:val="20"/>
          <w:color w:val="auto"/>
        </w:rPr>
      </w:pPr>
      <w:r>
        <w:rPr>
          <w:rFonts w:ascii="Arial Narrow" w:cs="Arial Narrow" w:eastAsia="Arial Narrow" w:hAnsi="Arial Narrow"/>
          <w:sz w:val="20"/>
          <w:szCs w:val="20"/>
          <w:color w:val="auto"/>
        </w:rPr>
        <w:t>Mr. Bokan, 62, joined us in 1996 and has served in various leadership positions since that time. Mr. Bokan was named Senior Vice President, Worldwide Sales in October 2018. Mr. Bokan holds a BS in Business Administration from Colorado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431800</wp:posOffset>
            </wp:positionV>
            <wp:extent cx="6527800" cy="314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Scott J. DeBoer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Technology &amp; Products</w:t>
      </w:r>
    </w:p>
    <w:p>
      <w:pPr>
        <w:spacing w:after="0" w:line="51" w:lineRule="exact"/>
        <w:rPr>
          <w:sz w:val="20"/>
          <w:szCs w:val="20"/>
          <w:color w:val="auto"/>
        </w:rPr>
      </w:pPr>
    </w:p>
    <w:p>
      <w:pPr>
        <w:ind w:left="1860" w:right="180"/>
        <w:spacing w:after="0" w:line="246" w:lineRule="auto"/>
        <w:rPr>
          <w:sz w:val="20"/>
          <w:szCs w:val="20"/>
          <w:color w:val="auto"/>
        </w:rPr>
      </w:pPr>
      <w:r>
        <w:rPr>
          <w:rFonts w:ascii="Arial Narrow" w:cs="Arial Narrow" w:eastAsia="Arial Narrow" w:hAnsi="Arial Narrow"/>
          <w:sz w:val="20"/>
          <w:szCs w:val="20"/>
          <w:color w:val="auto"/>
        </w:rPr>
        <w:t>Dr. DeBoer, 57, joined us in February 1995 and has served in various leadership positions since that time. Dr. DeBoer was named Executive Vice President, Technology Development in June 2017 and named Executive Vice President, Technology &amp; Products in September 2019. Dr. DeBoer holds a PhD in Electrical Engineering and an MS in Physics from Iowa State University. He completed his undergraduate degree at Hastings College.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304800</wp:posOffset>
                </wp:positionV>
                <wp:extent cx="65151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pt" to="512.5pt,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304800</wp:posOffset>
                </wp:positionV>
                <wp:extent cx="65151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pt" to="512.5pt,24pt" o:allowincell="f" strokecolor="#D1D2D4" strokeweight="1pt"/>
            </w:pict>
          </mc:Fallback>
        </mc:AlternateContent>
        <w:drawing>
          <wp:anchor simplePos="0" relativeHeight="251657728" behindDoc="1" locked="0" layoutInCell="0" allowOverlap="1">
            <wp:simplePos x="0" y="0"/>
            <wp:positionH relativeFrom="column">
              <wp:posOffset>5575300</wp:posOffset>
            </wp:positionH>
            <wp:positionV relativeFrom="paragraph">
              <wp:posOffset>1172210</wp:posOffset>
            </wp:positionV>
            <wp:extent cx="736600" cy="200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10260"/>
          </w:cols>
          <w:pgMar w:left="1000" w:top="732" w:right="980" w:bottom="0" w:gutter="0" w:footer="0" w:header="0"/>
          <w:type w:val="continuous"/>
        </w:sectPr>
      </w:pPr>
    </w:p>
    <w:bookmarkStart w:id="19" w:name="page20"/>
    <w:bookmarkEnd w:id="19"/>
    <w:p>
      <w:pPr>
        <w:ind w:left="186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628650</wp:posOffset>
            </wp:positionH>
            <wp:positionV relativeFrom="page">
              <wp:posOffset>565150</wp:posOffset>
            </wp:positionV>
            <wp:extent cx="6527800" cy="4470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6527800" cy="4470400"/>
                    </a:xfrm>
                    <a:prstGeom prst="rect">
                      <a:avLst/>
                    </a:prstGeom>
                    <a:noFill/>
                  </pic:spPr>
                </pic:pic>
              </a:graphicData>
            </a:graphic>
          </wp:anchor>
        </w:drawing>
        <w:t>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1057275" cy="1476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1057275" cy="1476375"/>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President, Chief Executive Officer, and Director</w:t>
      </w:r>
    </w:p>
    <w:p>
      <w:pPr>
        <w:spacing w:after="0" w:line="51" w:lineRule="exact"/>
        <w:rPr>
          <w:sz w:val="20"/>
          <w:szCs w:val="20"/>
          <w:color w:val="auto"/>
        </w:rPr>
      </w:pPr>
    </w:p>
    <w:p>
      <w:pPr>
        <w:ind w:left="1860"/>
        <w:spacing w:after="0" w:line="228" w:lineRule="auto"/>
        <w:rPr>
          <w:sz w:val="20"/>
          <w:szCs w:val="20"/>
          <w:color w:val="auto"/>
        </w:rPr>
      </w:pPr>
      <w:r>
        <w:rPr>
          <w:rFonts w:ascii="Arial Narrow" w:cs="Arial Narrow" w:eastAsia="Arial Narrow" w:hAnsi="Arial Narrow"/>
          <w:sz w:val="20"/>
          <w:szCs w:val="20"/>
          <w:color w:val="auto"/>
        </w:rPr>
        <w:t>Mr. Mehrotra, 65,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6527800" cy="314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24"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and Chief Financial Officer</w:t>
      </w:r>
    </w:p>
    <w:p>
      <w:pPr>
        <w:spacing w:after="0" w:line="51" w:lineRule="exact"/>
        <w:rPr>
          <w:sz w:val="20"/>
          <w:szCs w:val="20"/>
          <w:color w:val="auto"/>
        </w:rPr>
      </w:pPr>
    </w:p>
    <w:p>
      <w:pPr>
        <w:ind w:left="1860"/>
        <w:spacing w:after="0" w:line="231" w:lineRule="auto"/>
        <w:rPr>
          <w:sz w:val="20"/>
          <w:szCs w:val="20"/>
          <w:color w:val="auto"/>
        </w:rPr>
      </w:pPr>
      <w:r>
        <w:rPr>
          <w:rFonts w:ascii="Arial Narrow" w:cs="Arial Narrow" w:eastAsia="Arial Narrow" w:hAnsi="Arial Narrow"/>
          <w:sz w:val="20"/>
          <w:szCs w:val="20"/>
          <w:color w:val="auto"/>
        </w:rPr>
        <w:t>Mr. Murphy, 55,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6527800" cy="314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2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2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2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and Chief Business Officer</w:t>
      </w:r>
    </w:p>
    <w:p>
      <w:pPr>
        <w:spacing w:after="0" w:line="51" w:lineRule="exact"/>
        <w:rPr>
          <w:sz w:val="20"/>
          <w:szCs w:val="20"/>
          <w:color w:val="auto"/>
        </w:rPr>
      </w:pPr>
    </w:p>
    <w:p>
      <w:pPr>
        <w:ind w:left="1860"/>
        <w:spacing w:after="0" w:line="231" w:lineRule="auto"/>
        <w:rPr>
          <w:sz w:val="20"/>
          <w:szCs w:val="20"/>
          <w:color w:val="auto"/>
        </w:rPr>
      </w:pPr>
      <w:r>
        <w:rPr>
          <w:rFonts w:ascii="Arial Narrow" w:cs="Arial Narrow" w:eastAsia="Arial Narrow" w:hAnsi="Arial Narrow"/>
          <w:sz w:val="20"/>
          <w:szCs w:val="20"/>
          <w:color w:val="auto"/>
        </w:rPr>
        <w:t>Mr. Sadana, 54,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80010</wp:posOffset>
                </wp:positionV>
                <wp:extent cx="65151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3pt" to="512.5pt,6.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80010</wp:posOffset>
                </wp:positionV>
                <wp:extent cx="65151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3pt" to="512.5pt,6.3pt" o:allowincell="f" strokecolor="#D1D2D4" strokeweight="1pt"/>
            </w:pict>
          </mc:Fallback>
        </mc:AlternateConten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are no family relationships between any of our directors or executive officers.</w:t>
      </w:r>
    </w:p>
    <w:p>
      <w:pPr>
        <w:sectPr>
          <w:pgSz w:w="12240" w:h="15840" w:orient="portrait"/>
          <w:cols w:equalWidth="0" w:num="1">
            <w:col w:w="10180"/>
          </w:cols>
          <w:pgMar w:left="1000" w:top="94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 2023 10-K</w:t>
      </w:r>
    </w:p>
    <w:p>
      <w:pPr>
        <w:sectPr>
          <w:pgSz w:w="12240" w:h="15840" w:orient="portrait"/>
          <w:cols w:equalWidth="0" w:num="1">
            <w:col w:w="10180"/>
          </w:cols>
          <w:pgMar w:left="1000" w:top="946" w:right="1060" w:bottom="0" w:gutter="0" w:footer="0" w:header="0"/>
          <w:type w:val="continuous"/>
        </w:sectPr>
      </w:pPr>
    </w:p>
    <w:bookmarkStart w:id="20" w:name="page21"/>
    <w:bookmarkEnd w:id="20"/>
    <w:p>
      <w:pPr>
        <w:spacing w:after="0"/>
        <w:rPr>
          <w:sz w:val="20"/>
          <w:szCs w:val="20"/>
          <w:color w:val="auto"/>
        </w:rPr>
      </w:pPr>
      <w:r>
        <w:rPr>
          <w:rFonts w:ascii="Arial Narrow" w:cs="Arial Narrow" w:eastAsia="Arial Narrow" w:hAnsi="Arial Narrow"/>
          <w:sz w:val="44"/>
          <w:szCs w:val="44"/>
          <w:b w:val="1"/>
          <w:bCs w:val="1"/>
          <w:color w:val="auto"/>
        </w:rPr>
        <w:t>Available Information</w:t>
      </w:r>
    </w:p>
    <w:p>
      <w:pPr>
        <w:spacing w:after="0" w:line="375"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Our executive offices are located at 8000 South Federal Way, Boise, Idaho 83716-9632 and our telephone number is (208) 368-4000. Information about us is available on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We intend to satisfy the disclosure requirement under Item 5.05 of Form 8-K regarding any amendments to, or waivers from, our Code of Business Conduct and Ethics by posting such information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 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5107305</wp:posOffset>
            </wp:positionV>
            <wp:extent cx="736600" cy="200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10260"/>
          </w:cols>
          <w:pgMar w:left="1000" w:top="732" w:right="980" w:bottom="0" w:gutter="0" w:footer="0" w:header="0"/>
          <w:type w:val="continuous"/>
        </w:sectPr>
      </w:pPr>
    </w:p>
    <w:bookmarkStart w:id="21" w:name="page22"/>
    <w:bookmarkEnd w:id="21"/>
    <w:p>
      <w:pPr>
        <w:spacing w:after="0"/>
        <w:rPr>
          <w:sz w:val="20"/>
          <w:szCs w:val="20"/>
          <w:color w:val="auto"/>
        </w:rPr>
      </w:pPr>
      <w:r>
        <w:rPr>
          <w:rFonts w:ascii="Arial Narrow" w:cs="Arial Narrow" w:eastAsia="Arial Narrow" w:hAnsi="Arial Narrow"/>
          <w:sz w:val="28"/>
          <w:szCs w:val="28"/>
          <w:b w:val="1"/>
          <w:bCs w:val="1"/>
          <w:color w:val="auto"/>
        </w:rPr>
        <w:t>ITEM 1A. RISK FACTORS</w:t>
      </w:r>
    </w:p>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9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 Factor Summary</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Operations, and Industry</w:t>
      </w:r>
    </w:p>
    <w:p>
      <w:pPr>
        <w:spacing w:after="0" w:line="28" w:lineRule="exact"/>
        <w:rPr>
          <w:sz w:val="20"/>
          <w:szCs w:val="20"/>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average selling prices of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range of factors that may adversely affect our gross margins;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our international operations, including geopolitical risks;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highly competitive nature of our industry;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develop and produce new and competitive memory and storage technologies and products;</w:t>
      </w:r>
    </w:p>
    <w:p>
      <w:pPr>
        <w:spacing w:after="0" w:line="33" w:lineRule="exact"/>
        <w:rPr>
          <w:rFonts w:ascii="Arial" w:cs="Arial" w:eastAsia="Arial" w:hAnsi="Arial"/>
          <w:sz w:val="18"/>
          <w:szCs w:val="18"/>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realizing expected returns from capacity expansions;</w:t>
      </w:r>
    </w:p>
    <w:p>
      <w:pPr>
        <w:spacing w:after="0" w:line="10" w:lineRule="exact"/>
        <w:rPr>
          <w:rFonts w:ascii="Arial" w:cs="Arial" w:eastAsia="Arial" w:hAnsi="Arial"/>
          <w:sz w:val="20"/>
          <w:szCs w:val="20"/>
          <w:b w:val="1"/>
          <w:bCs w:val="1"/>
          <w:color w:val="auto"/>
        </w:rPr>
      </w:pPr>
    </w:p>
    <w:p>
      <w:pPr>
        <w:ind w:left="720" w:right="20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achieving or maintaining certain performance or other obligations associated with incentives from various governments;</w:t>
      </w:r>
    </w:p>
    <w:p>
      <w:pPr>
        <w:ind w:left="720" w:right="8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and quality of materials, supplies, and capital equipment and dependency on third-party service providers;</w:t>
      </w: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downturn in regional or worldwide economies;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disruptions to our manufacturing process from operational issues, natural disasters, or other events;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dependency on a select number of key customers, including international customers;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products that fail to meet specifications, are defective, or are incompatible with end uses;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breaches of our security systems or products, or those of our customers, suppliers, or business partners;</w:t>
      </w:r>
    </w:p>
    <w:p>
      <w:pPr>
        <w:spacing w:after="0" w:line="33" w:lineRule="exact"/>
        <w:rPr>
          <w:rFonts w:ascii="Arial" w:cs="Arial" w:eastAsia="Arial" w:hAnsi="Arial"/>
          <w:sz w:val="18"/>
          <w:szCs w:val="18"/>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attracting, retaining, and motivating highly skilled employees;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responsible sourcing requirements and related regulations;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environmental, social, and governance considerations;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 and/or alliances;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restructure plans may not realize expected savings or other benefits.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Intellectual Property and Litigation</w:t>
      </w:r>
    </w:p>
    <w:p>
      <w:pPr>
        <w:spacing w:after="0" w:line="28" w:lineRule="exact"/>
        <w:rPr>
          <w:sz w:val="20"/>
          <w:szCs w:val="20"/>
          <w:color w:val="auto"/>
        </w:rPr>
      </w:pPr>
    </w:p>
    <w:p>
      <w:pPr>
        <w:ind w:left="72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protecting our intellectual property and retaining key employees who are knowledgeable of and develop our intellectual property;</w:t>
      </w:r>
    </w:p>
    <w:p>
      <w:pPr>
        <w:ind w:left="720" w:hanging="370"/>
        <w:spacing w:after="0"/>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legal proceedings and claims; and</w:t>
      </w:r>
    </w:p>
    <w:p>
      <w:pPr>
        <w:spacing w:after="0" w:line="10" w:lineRule="exact"/>
        <w:rPr>
          <w:rFonts w:ascii="Arial" w:cs="Arial" w:eastAsia="Arial" w:hAnsi="Arial"/>
          <w:sz w:val="20"/>
          <w:szCs w:val="20"/>
          <w:b w:val="1"/>
          <w:bCs w:val="1"/>
          <w:color w:val="auto"/>
        </w:rPr>
      </w:pPr>
    </w:p>
    <w:p>
      <w:pPr>
        <w:ind w:left="720" w:right="220" w:hanging="370"/>
        <w:spacing w:after="0" w:line="322"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Laws and Regulations</w:t>
      </w:r>
    </w:p>
    <w:p>
      <w:pPr>
        <w:spacing w:after="0" w:line="28" w:lineRule="exact"/>
        <w:rPr>
          <w:sz w:val="20"/>
          <w:szCs w:val="20"/>
          <w:color w:val="auto"/>
        </w:rPr>
      </w:pPr>
    </w:p>
    <w:p>
      <w:pPr>
        <w:ind w:left="720" w:hanging="370"/>
        <w:spacing w:after="0"/>
        <w:tabs>
          <w:tab w:leader="none" w:pos="72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impacts of government actions and compliance with tariffs, trade restrictions, and/or trade regulations;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tax expense and tax laws in key jurisdictions;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 regulations, or industry standards, including environmental considerations.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Capitalization and Financial Markets</w:t>
      </w:r>
    </w:p>
    <w:p>
      <w:pPr>
        <w:spacing w:after="0" w:line="28" w:lineRule="exact"/>
        <w:rPr>
          <w:sz w:val="20"/>
          <w:szCs w:val="20"/>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generate sufficient cash flows or obtain access to external financing;</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debt obligations;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foreign currency exchange rates;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counterparty default risk;</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the trading price of our common stock; and</w:t>
      </w:r>
    </w:p>
    <w:p>
      <w:pPr>
        <w:spacing w:after="0" w:line="10" w:lineRule="exact"/>
        <w:rPr>
          <w:rFonts w:ascii="Arial" w:cs="Arial" w:eastAsia="Arial" w:hAnsi="Arial"/>
          <w:sz w:val="20"/>
          <w:szCs w:val="20"/>
          <w:b w:val="1"/>
          <w:bCs w:val="1"/>
          <w:color w:val="auto"/>
        </w:rPr>
      </w:pPr>
    </w:p>
    <w:p>
      <w:pPr>
        <w:ind w:left="720" w:hanging="370"/>
        <w:spacing w:after="0" w:line="266"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the amount and frequency of our common stock repurchases and payment of cash dividends and resulting impacts.</w:t>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 2023 10-K</w:t>
      </w:r>
    </w:p>
    <w:p>
      <w:pPr>
        <w:sectPr>
          <w:pgSz w:w="12240" w:h="15840" w:orient="portrait"/>
          <w:cols w:equalWidth="0" w:num="1">
            <w:col w:w="10180"/>
          </w:cols>
          <w:pgMar w:left="1000" w:top="793" w:right="1060" w:bottom="0" w:gutter="0" w:footer="0" w:header="0"/>
          <w:type w:val="continuous"/>
        </w:sectPr>
      </w:pPr>
    </w:p>
    <w:bookmarkStart w:id="22" w:name="page23"/>
    <w:bookmarkEnd w:id="22"/>
    <w:p>
      <w:pPr>
        <w:spacing w:after="0"/>
        <w:rPr>
          <w:sz w:val="20"/>
          <w:szCs w:val="20"/>
          <w:color w:val="auto"/>
        </w:rPr>
      </w:pPr>
      <w:r>
        <w:rPr>
          <w:rFonts w:ascii="Arial Narrow" w:cs="Arial Narrow" w:eastAsia="Arial Narrow" w:hAnsi="Arial Narrow"/>
          <w:sz w:val="44"/>
          <w:szCs w:val="44"/>
          <w:b w:val="1"/>
          <w:bCs w:val="1"/>
          <w:color w:val="auto"/>
        </w:rPr>
        <w:t>Risks Related to Our Business, Operations, and Industry</w:t>
      </w:r>
    </w:p>
    <w:p>
      <w:pPr>
        <w:spacing w:after="0" w:line="375"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Volatility in average selling prices for our semiconductor memory and storage products may adversely affect our business.</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b w:val="1"/>
          <w:bCs w:val="1"/>
          <w:color w:val="auto"/>
        </w:rPr>
        <w:t>We have experienced significant volatility in our average selling prices and may continue to experience such volatility in the future. For example, average selling prices for DRAM declined in the high-40s percent range and NAND declined in the low-50s percent range for 2023 as compared to 2022. Since 2017, annual percentage changes in DRAM average selling prices have ranged from approximately plus 35% to a minus high-40s percent range. Since 2017, annual percentage changes in NAND average selling prices have ranged from nearly flat to a minus low-50s percent range. In current and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gross margins may be adversely affected by a range of factors.</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b w:val="1"/>
          <w:bCs w:val="1"/>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96" w:lineRule="exact"/>
        <w:rPr>
          <w:sz w:val="20"/>
          <w:szCs w:val="20"/>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product diversification decisions affecting product mix;</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complexity of manufacturing processes;</w:t>
      </w:r>
    </w:p>
    <w:p>
      <w:pPr>
        <w:spacing w:after="0" w:line="10" w:lineRule="exact"/>
        <w:rPr>
          <w:rFonts w:ascii="Arial" w:cs="Arial" w:eastAsia="Arial" w:hAnsi="Arial"/>
          <w:sz w:val="20"/>
          <w:szCs w:val="20"/>
          <w:b w:val="1"/>
          <w:bCs w:val="1"/>
          <w:color w:val="auto"/>
        </w:rPr>
      </w:pPr>
    </w:p>
    <w:p>
      <w:pPr>
        <w:ind w:left="720" w:right="520" w:hanging="370"/>
        <w:spacing w:after="0" w:line="250"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transitioning to smaller line-width process technologies or additional 3D memory layers or NAND cell levels;</w:t>
      </w: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process complexity including number of mask layers and fabrication steps;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yield;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technological barriers;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process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new products that may require relatively larger die sizes;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start-up or other costs associated with capacity expansions;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higher costs of goods and services due to inflationary pressures or market conditions; and</w:t>
      </w:r>
    </w:p>
    <w:p>
      <w:pPr>
        <w:spacing w:after="0" w:line="10" w:lineRule="exact"/>
        <w:rPr>
          <w:rFonts w:ascii="Arial" w:cs="Arial" w:eastAsia="Arial" w:hAnsi="Arial"/>
          <w:sz w:val="20"/>
          <w:szCs w:val="20"/>
          <w:b w:val="1"/>
          <w:bCs w:val="1"/>
          <w:color w:val="auto"/>
        </w:rPr>
      </w:pPr>
    </w:p>
    <w:p>
      <w:pPr>
        <w:ind w:left="720" w:right="380" w:hanging="370"/>
        <w:spacing w:after="0" w:line="266"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higher manufacturing costs per gigabit due to fabrication facility underutilization, lower wafer output, and insufficient volume to run new technology nodes to achieve cost optimization.</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II – Item 7. Management’s Discussion and Analysis of Financial Condition and Results of Operations – Overview – Industry Conditions” for information regarding our current underutilization. A significant portion of our manufacturing costs are fixed and do not vary proportionally with changes in production output. As a result, lower utilization, lower wafer output, and corresponding increases in our per gigabit manufacturing costs have resulted in higher inventory carrying costs, and have had, and may continue to have, an adverse effect on our gross margins,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1892300</wp:posOffset>
            </wp:positionV>
            <wp:extent cx="736600" cy="20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10260"/>
          </w:cols>
          <w:pgMar w:left="1000" w:top="732" w:right="980" w:bottom="0" w:gutter="0" w:footer="0" w:header="0"/>
          <w:type w:val="continuous"/>
        </w:sectPr>
      </w:pPr>
    </w:p>
    <w:bookmarkStart w:id="23" w:name="page24"/>
    <w:bookmarkEnd w:id="23"/>
    <w:p>
      <w:pPr>
        <w:spacing w:after="0" w:line="268" w:lineRule="auto"/>
        <w:rPr>
          <w:sz w:val="20"/>
          <w:szCs w:val="20"/>
          <w:color w:val="auto"/>
        </w:rPr>
      </w:pPr>
      <w:r>
        <w:rPr>
          <w:rFonts w:ascii="Arial" w:cs="Arial" w:eastAsia="Arial" w:hAnsi="Arial"/>
          <w:sz w:val="19"/>
          <w:szCs w:val="19"/>
          <w:b w:val="1"/>
          <w:bCs w:val="1"/>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6" w:lineRule="exact"/>
        <w:rPr>
          <w:sz w:val="20"/>
          <w:szCs w:val="20"/>
          <w:color w:val="auto"/>
        </w:rPr>
      </w:pPr>
    </w:p>
    <w:p>
      <w:pPr>
        <w:ind w:right="660"/>
        <w:spacing w:after="0" w:line="287" w:lineRule="auto"/>
        <w:rPr>
          <w:sz w:val="20"/>
          <w:szCs w:val="20"/>
          <w:color w:val="auto"/>
        </w:rPr>
      </w:pPr>
      <w:r>
        <w:rPr>
          <w:rFonts w:ascii="Arial" w:cs="Arial" w:eastAsia="Arial" w:hAnsi="Arial"/>
          <w:sz w:val="20"/>
          <w:szCs w:val="20"/>
          <w:b w:val="1"/>
          <w:bCs w:val="1"/>
          <w:color w:val="auto"/>
        </w:rPr>
        <w:t>Our inability to prevent deterioration of or improve gross margins could have a material adverse effect on our business, results of operations, or financial condition.</w:t>
      </w:r>
    </w:p>
    <w:p>
      <w:pPr>
        <w:spacing w:after="0" w:line="170" w:lineRule="exact"/>
        <w:rPr>
          <w:sz w:val="20"/>
          <w:szCs w:val="20"/>
          <w:color w:val="auto"/>
        </w:rPr>
      </w:pPr>
    </w:p>
    <w:p>
      <w:pPr>
        <w:ind w:right="600"/>
        <w:spacing w:after="0" w:line="297" w:lineRule="auto"/>
        <w:rPr>
          <w:sz w:val="20"/>
          <w:szCs w:val="20"/>
          <w:color w:val="auto"/>
        </w:rPr>
      </w:pPr>
      <w:r>
        <w:rPr>
          <w:rFonts w:ascii="Arial" w:cs="Arial" w:eastAsia="Arial" w:hAnsi="Arial"/>
          <w:sz w:val="20"/>
          <w:szCs w:val="20"/>
          <w:b w:val="1"/>
          <w:bCs w:val="1"/>
          <w:color w:val="auto"/>
        </w:rPr>
        <w:t>We face geopolitical and other risks associated with our international operations that could materially adversely affect our business, results of operations, or financial condition.</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In addition to our U.S. operations, a substantial portion of our operations are conducted in Taiwan, Singapore, Japan, Malaysia, China, and India, and many of our customers, suppliers, and vendors also operate internationally. In 2023, nearly half of our revenue was from sales to customers who have headquarters located outside the United States, while over 80% of our revenue in 2023 was from products shipped to customer locations outside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international operations are subject to a number of risks, including:</w:t>
      </w:r>
    </w:p>
    <w:p>
      <w:pPr>
        <w:spacing w:after="0" w:line="250"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sales of goods or services to one or more of our significant foreign customers;</w:t>
      </w:r>
    </w:p>
    <w:p>
      <w:pPr>
        <w:spacing w:after="0" w:line="30" w:lineRule="exact"/>
        <w:rPr>
          <w:rFonts w:ascii="Arial" w:cs="Arial" w:eastAsia="Arial" w:hAnsi="Arial"/>
          <w:sz w:val="20"/>
          <w:szCs w:val="20"/>
          <w:b w:val="1"/>
          <w:bCs w:val="1"/>
          <w:color w:val="auto"/>
        </w:rPr>
      </w:pPr>
    </w:p>
    <w:p>
      <w:pPr>
        <w:ind w:left="720" w:right="140" w:hanging="370"/>
        <w:spacing w:after="0" w:line="278"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U.S. and international laws involving international operations, including the Foreign Corrupt Practices Act of 1977, as amended, sanctions and anti-corruption laws, export and import laws, and similar rules and regulations;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theft of intellectual property;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political and economic instability, including instability resulting from domestic and international conflicts;</w:t>
      </w:r>
    </w:p>
    <w:p>
      <w:pPr>
        <w:spacing w:after="0" w:line="33" w:lineRule="exact"/>
        <w:rPr>
          <w:rFonts w:ascii="Arial" w:cs="Arial" w:eastAsia="Arial" w:hAnsi="Arial"/>
          <w:sz w:val="18"/>
          <w:szCs w:val="18"/>
          <w:b w:val="1"/>
          <w:bCs w:val="1"/>
          <w:color w:val="auto"/>
        </w:rPr>
      </w:pPr>
    </w:p>
    <w:p>
      <w:pPr>
        <w:ind w:left="720" w:right="640" w:hanging="370"/>
        <w:spacing w:after="0" w:line="278"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actions or civil unrest preventing the flow of products and materials, including delays in shipping and obtaining products and materials, cancellation of orders, or loss or damage of products;</w:t>
      </w: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problems with the transportation or delivery of products and materials;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issues arising from cultural or language differences and labor unrest;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longer payment cycles and greater difficulty in collecting accounts receivable;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trade, technical standards, and other laws in a variety of jurisdictions;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contractual and regulatory limitations on the ability to maintain flexibility with staffing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disruptions to manufacturing or R&amp;D activities as a result of actions imposed by foreign governments;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economic policies of foreign governments;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staffing and managing international operations;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public health issues.</w:t>
      </w:r>
    </w:p>
    <w:p>
      <w:pPr>
        <w:spacing w:after="0" w:line="230"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b w:val="1"/>
          <w:bCs w:val="1"/>
          <w:color w:val="auto"/>
        </w:rPr>
        <w:t>If we or our customers, suppliers, or vendors are impacted by any of these risks, it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 2023 10-K</w:t>
      </w:r>
    </w:p>
    <w:p>
      <w:pPr>
        <w:sectPr>
          <w:pgSz w:w="12240" w:h="15840" w:orient="portrait"/>
          <w:cols w:equalWidth="0" w:num="1">
            <w:col w:w="10240"/>
          </w:cols>
          <w:pgMar w:left="1000" w:top="844" w:right="1000" w:bottom="0" w:gutter="0" w:footer="0" w:header="0"/>
          <w:type w:val="continuous"/>
        </w:sectPr>
      </w:pPr>
    </w:p>
    <w:bookmarkStart w:id="24" w:name="page25"/>
    <w:bookmarkEnd w:id="24"/>
    <w:p>
      <w:pPr>
        <w:ind w:right="20"/>
        <w:spacing w:after="0" w:line="255" w:lineRule="auto"/>
        <w:rPr>
          <w:sz w:val="20"/>
          <w:szCs w:val="20"/>
          <w:color w:val="auto"/>
        </w:rPr>
      </w:pPr>
      <w:r>
        <w:rPr>
          <w:rFonts w:ascii="Arial" w:cs="Arial" w:eastAsia="Arial" w:hAnsi="Arial"/>
          <w:sz w:val="20"/>
          <w:szCs w:val="20"/>
          <w:b w:val="1"/>
          <w:bCs w:val="1"/>
          <w:color w:val="auto"/>
        </w:rPr>
        <w:t>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As we try to mitigate possible impacts due to the CAC decision, revenue may come at lower prices or gross margins due to product or customer mix changes, which may impact our business results.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01"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Political, economic, or other actions may adversely affect our operations in Taiwan. A majority of our DRAM production output in 2023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19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semiconductor memory and storage markets are highly competitive.</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80"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b w:val="1"/>
          <w:bCs w:val="1"/>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impact on our ability to compete effectively in China and elsewhere.</w:t>
      </w:r>
    </w:p>
    <w:p>
      <w:pPr>
        <w:spacing w:after="0" w:line="175"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96"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b w:val="1"/>
          <w:bCs w:val="1"/>
          <w:color w:val="auto"/>
        </w:rPr>
        <w:t>The competitive nature of our industry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392430</wp:posOffset>
            </wp:positionV>
            <wp:extent cx="736600" cy="200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10260"/>
          </w:cols>
          <w:pgMar w:left="1000" w:top="844" w:right="980" w:bottom="0" w:gutter="0" w:footer="0" w:header="0"/>
          <w:type w:val="continuous"/>
        </w:sectPr>
      </w:pPr>
    </w:p>
    <w:bookmarkStart w:id="25" w:name="page26"/>
    <w:bookmarkEnd w:id="25"/>
    <w:p>
      <w:pPr>
        <w:ind w:right="660"/>
        <w:spacing w:after="0" w:line="297" w:lineRule="auto"/>
        <w:rPr>
          <w:sz w:val="20"/>
          <w:szCs w:val="20"/>
          <w:color w:val="auto"/>
        </w:rPr>
      </w:pPr>
      <w:r>
        <w:rPr>
          <w:rFonts w:ascii="Arial" w:cs="Arial" w:eastAsia="Arial" w:hAnsi="Arial"/>
          <w:sz w:val="20"/>
          <w:szCs w:val="20"/>
          <w:b w:val="1"/>
          <w:bCs w:val="1"/>
          <w:color w:val="auto"/>
        </w:rPr>
        <w:t>Our future success depends on our ability to develop and produce new and competitive memory and storage technologies and products.</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can be no assurance of the following:</w:t>
      </w:r>
    </w:p>
    <w:p>
      <w:pPr>
        <w:spacing w:after="0" w:line="250" w:lineRule="exact"/>
        <w:rPr>
          <w:sz w:val="20"/>
          <w:szCs w:val="20"/>
          <w:color w:val="auto"/>
        </w:rPr>
      </w:pPr>
    </w:p>
    <w:p>
      <w:pPr>
        <w:ind w:left="720" w:right="140" w:hanging="370"/>
        <w:spacing w:after="0" w:line="26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successful in developing competitive new semiconductor memory and storage technologies and products;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cost-effectively manufacture new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successfully market these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margins generated from sales of these products will allow us to recover costs of development efforts;</w:t>
      </w:r>
    </w:p>
    <w:p>
      <w:pPr>
        <w:spacing w:after="0" w:line="21" w:lineRule="exact"/>
        <w:rPr>
          <w:rFonts w:ascii="Arial" w:cs="Arial" w:eastAsia="Arial" w:hAnsi="Arial"/>
          <w:sz w:val="19"/>
          <w:szCs w:val="19"/>
          <w:b w:val="1"/>
          <w:bCs w:val="1"/>
          <w:color w:val="auto"/>
        </w:rPr>
      </w:pPr>
    </w:p>
    <w:p>
      <w:pPr>
        <w:ind w:left="720" w:right="320" w:hanging="370"/>
        <w:spacing w:after="0" w:line="25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establish or maintain key relationships with customers, or that we will not be prohibited from working with certain customers, for specific chip set or design requirements;</w:t>
      </w: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accurately predict and design products that meet our customers' specifications; or</w:t>
      </w:r>
    </w:p>
    <w:p>
      <w:pPr>
        <w:spacing w:after="0" w:line="10" w:lineRule="exact"/>
        <w:rPr>
          <w:rFonts w:ascii="Arial" w:cs="Arial" w:eastAsia="Arial" w:hAnsi="Arial"/>
          <w:sz w:val="20"/>
          <w:szCs w:val="20"/>
          <w:b w:val="1"/>
          <w:bCs w:val="1"/>
          <w:color w:val="auto"/>
        </w:rPr>
      </w:pPr>
    </w:p>
    <w:p>
      <w:pPr>
        <w:ind w:left="720" w:right="240" w:hanging="370"/>
        <w:spacing w:after="0" w:line="266"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introduce new products into the market and qualify them with our customers on a timely basis.</w:t>
      </w:r>
    </w:p>
    <w:p>
      <w:pPr>
        <w:spacing w:after="0" w:line="190"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b w:val="1"/>
          <w:bCs w:val="1"/>
          <w:color w:val="auto"/>
        </w:rPr>
        <w:t>Unsuccessful efforts to develop new memory and storage technologies and products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 2023 10-K</w:t>
      </w:r>
    </w:p>
    <w:p>
      <w:pPr>
        <w:sectPr>
          <w:pgSz w:w="12240" w:h="15840" w:orient="portrait"/>
          <w:cols w:equalWidth="0" w:num="1">
            <w:col w:w="10240"/>
          </w:cols>
          <w:pgMar w:left="1000" w:top="844" w:right="10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We may not be able to achieve expected returns from capacity expansions.</w:t>
      </w:r>
    </w:p>
    <w:p>
      <w:pPr>
        <w:spacing w:after="0" w:line="250"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We have announced our intent to expand our production capacity and/or make capital investments in the United States and in other regions where we operate.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expansions involve several risks including the following:</w:t>
      </w:r>
    </w:p>
    <w:p>
      <w:pPr>
        <w:spacing w:after="0" w:line="250" w:lineRule="exact"/>
        <w:rPr>
          <w:sz w:val="20"/>
          <w:szCs w:val="20"/>
          <w:color w:val="auto"/>
        </w:rPr>
      </w:pPr>
    </w:p>
    <w:p>
      <w:pPr>
        <w:ind w:left="720" w:right="480" w:hanging="370"/>
        <w:spacing w:after="0" w:line="260"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capital expenditure requirements for capacity expansions during periods of relatively low free cash flow generation, resulting from challenging memory and storage industry conditions;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of necessary funding, which may include external sources;</w:t>
      </w:r>
    </w:p>
    <w:p>
      <w:pPr>
        <w:spacing w:after="0" w:line="10" w:lineRule="exact"/>
        <w:rPr>
          <w:rFonts w:ascii="Arial" w:cs="Arial" w:eastAsia="Arial" w:hAnsi="Arial"/>
          <w:sz w:val="20"/>
          <w:szCs w:val="20"/>
          <w:b w:val="1"/>
          <w:bCs w:val="1"/>
          <w:color w:val="auto"/>
        </w:rPr>
      </w:pPr>
    </w:p>
    <w:p>
      <w:pPr>
        <w:ind w:left="720" w:right="100" w:hanging="370"/>
        <w:spacing w:after="0" w:line="250"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ability to realize expected grants, investment tax credits, and other government incentives, including through the U.S. CHIPS and Science Act of 2022 (“CHIPS Act”) and other national, international, state, and local grants;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changes in laws or provisions of grants, investment tax credits, and other government incentives;</w:t>
      </w:r>
    </w:p>
    <w:p>
      <w:pPr>
        <w:spacing w:after="0" w:line="33" w:lineRule="exact"/>
        <w:rPr>
          <w:rFonts w:ascii="Arial" w:cs="Arial" w:eastAsia="Arial" w:hAnsi="Arial"/>
          <w:sz w:val="18"/>
          <w:szCs w:val="18"/>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restrictions on expanding in certain geographies;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of equipment and construction materials;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ability to complete construction as scheduled and within budget;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of the necessary workforce;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ability to timely ramp production in a cost-effective manner;</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increases to our cost structure until new production is ramped to adequate scale;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sufficient customer demand to utilize our increased capacity.</w:t>
      </w:r>
    </w:p>
    <w:p>
      <w:pPr>
        <w:spacing w:after="0" w:line="230"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2"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Any of the above factors could have a material adverse effect on our business, results of operations, or financial condition.</w:t>
      </w:r>
    </w:p>
    <w:p>
      <w:pPr>
        <w:spacing w:after="0" w:line="170" w:lineRule="exact"/>
        <w:rPr>
          <w:sz w:val="20"/>
          <w:szCs w:val="20"/>
          <w:color w:val="auto"/>
        </w:rPr>
      </w:pPr>
    </w:p>
    <w:p>
      <w:pPr>
        <w:ind w:right="540"/>
        <w:spacing w:after="0" w:line="273" w:lineRule="auto"/>
        <w:rPr>
          <w:sz w:val="20"/>
          <w:szCs w:val="20"/>
          <w:color w:val="auto"/>
        </w:rPr>
      </w:pPr>
      <w:r>
        <w:rPr>
          <w:rFonts w:ascii="Arial" w:cs="Arial" w:eastAsia="Arial" w:hAnsi="Arial"/>
          <w:sz w:val="20"/>
          <w:szCs w:val="20"/>
          <w:b w:val="1"/>
          <w:bCs w:val="1"/>
          <w:color w:val="auto"/>
        </w:rPr>
        <w:t>Our incentives from various governments are conditional upon achieving or maintaining certain performance or other obligations and are subject to reduction, termination, clawback, or could impose certain limitations on our business.</w:t>
      </w:r>
    </w:p>
    <w:p>
      <w:pPr>
        <w:spacing w:after="0" w:line="175"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b w:val="1"/>
          <w:bCs w:val="1"/>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or other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1476375</wp:posOffset>
            </wp:positionV>
            <wp:extent cx="736600" cy="200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10260"/>
          </w:cols>
          <w:pgMar w:left="1000" w:top="844" w:right="980" w:bottom="0" w:gutter="0" w:footer="0" w:header="0"/>
          <w:type w:val="continuous"/>
        </w:sectPr>
      </w:pPr>
    </w:p>
    <w:bookmarkStart w:id="27" w:name="page28"/>
    <w:bookmarkEnd w:id="27"/>
    <w:p>
      <w:pPr>
        <w:ind w:right="220"/>
        <w:spacing w:after="0" w:line="325" w:lineRule="auto"/>
        <w:rPr>
          <w:sz w:val="20"/>
          <w:szCs w:val="20"/>
          <w:color w:val="auto"/>
        </w:rPr>
      </w:pPr>
      <w:r>
        <w:rPr>
          <w:rFonts w:ascii="Arial" w:cs="Arial" w:eastAsia="Arial" w:hAnsi="Arial"/>
          <w:sz w:val="19"/>
          <w:szCs w:val="19"/>
          <w:b w:val="1"/>
          <w:bCs w:val="1"/>
          <w:color w:val="auto"/>
        </w:rPr>
        <w:t>Our business, results of operations, or financial condition could be adversely affected by the availability and quality of materials, supplies, and capital equipment, or dependency on third-party service providers.</w:t>
      </w:r>
    </w:p>
    <w:p>
      <w:pPr>
        <w:spacing w:after="0" w:line="128"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 2023 10-K</w:t>
      </w:r>
    </w:p>
    <w:p>
      <w:pPr>
        <w:sectPr>
          <w:pgSz w:w="12240" w:h="15840" w:orient="portrait"/>
          <w:cols w:equalWidth="0" w:num="1">
            <w:col w:w="10240"/>
          </w:cols>
          <w:pgMar w:left="1000" w:top="844" w:right="1000" w:bottom="0" w:gutter="0" w:footer="0" w:header="0"/>
          <w:type w:val="continuous"/>
        </w:sectPr>
      </w:pPr>
    </w:p>
    <w:bookmarkStart w:id="28" w:name="page29"/>
    <w:bookmarkEnd w:id="28"/>
    <w:p>
      <w:pPr>
        <w:ind w:right="140"/>
        <w:spacing w:after="0" w:line="255" w:lineRule="auto"/>
        <w:rPr>
          <w:sz w:val="20"/>
          <w:szCs w:val="20"/>
          <w:color w:val="auto"/>
        </w:rPr>
      </w:pPr>
      <w:r>
        <w:rPr>
          <w:rFonts w:ascii="Arial" w:cs="Arial" w:eastAsia="Arial" w:hAnsi="Arial"/>
          <w:sz w:val="20"/>
          <w:szCs w:val="20"/>
          <w:b w:val="1"/>
          <w:bCs w:val="1"/>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01" w:lineRule="exact"/>
        <w:rPr>
          <w:sz w:val="20"/>
          <w:szCs w:val="20"/>
          <w:color w:val="auto"/>
        </w:rPr>
      </w:pPr>
    </w:p>
    <w:p>
      <w:pPr>
        <w:ind w:right="440"/>
        <w:spacing w:after="0" w:line="295" w:lineRule="auto"/>
        <w:rPr>
          <w:sz w:val="20"/>
          <w:szCs w:val="20"/>
          <w:color w:val="auto"/>
        </w:rPr>
      </w:pPr>
      <w:r>
        <w:rPr>
          <w:rFonts w:ascii="Arial" w:cs="Arial" w:eastAsia="Arial" w:hAnsi="Arial"/>
          <w:sz w:val="18"/>
          <w:szCs w:val="18"/>
          <w:b w:val="1"/>
          <w:bCs w:val="1"/>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80"/>
        <w:spacing w:after="0" w:line="278"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Downturns in regional or worldwide economies may harm our business.</w:t>
      </w:r>
    </w:p>
    <w:p>
      <w:pPr>
        <w:spacing w:after="0" w:line="250"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regional or worldwide economies could have a material adverse effect on our business, results of operations, or financial condition.</w:t>
      </w:r>
    </w:p>
    <w:p>
      <w:pPr>
        <w:spacing w:after="0" w:line="202" w:lineRule="exact"/>
        <w:rPr>
          <w:sz w:val="20"/>
          <w:szCs w:val="20"/>
          <w:color w:val="auto"/>
        </w:rPr>
      </w:pPr>
    </w:p>
    <w:p>
      <w:pPr>
        <w:ind w:right="520"/>
        <w:spacing w:after="0" w:line="297" w:lineRule="auto"/>
        <w:rPr>
          <w:sz w:val="20"/>
          <w:szCs w:val="20"/>
          <w:color w:val="auto"/>
        </w:rPr>
      </w:pPr>
      <w:r>
        <w:rPr>
          <w:rFonts w:ascii="Arial" w:cs="Arial" w:eastAsia="Arial" w:hAnsi="Arial"/>
          <w:sz w:val="20"/>
          <w:szCs w:val="20"/>
          <w:b w:val="1"/>
          <w:bCs w:val="1"/>
          <w:color w:val="auto"/>
        </w:rPr>
        <w:t>If our manufacturing process is disrupted by operational issues, natural disasters, or other events, our business, results of operations, or financial condition could be materially adversely affected.</w:t>
      </w:r>
    </w:p>
    <w:p>
      <w:pPr>
        <w:spacing w:after="0" w:line="151"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b w:val="1"/>
          <w:bCs w:val="1"/>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575310</wp:posOffset>
            </wp:positionV>
            <wp:extent cx="736600" cy="200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10260"/>
          </w:cols>
          <w:pgMar w:left="1000" w:top="844" w:right="980" w:bottom="0" w:gutter="0" w:footer="0" w:header="0"/>
          <w:type w:val="continuous"/>
        </w:sectPr>
      </w:pPr>
    </w:p>
    <w:bookmarkStart w:id="29" w:name="page30"/>
    <w:bookmarkEnd w:id="29"/>
    <w:p>
      <w:pPr>
        <w:spacing w:after="0" w:line="268" w:lineRule="auto"/>
        <w:rPr>
          <w:sz w:val="20"/>
          <w:szCs w:val="20"/>
          <w:color w:val="auto"/>
        </w:rPr>
      </w:pPr>
      <w:r>
        <w:rPr>
          <w:rFonts w:ascii="Arial" w:cs="Arial" w:eastAsia="Arial" w:hAnsi="Arial"/>
          <w:sz w:val="19"/>
          <w:szCs w:val="19"/>
          <w:b w:val="1"/>
          <w:bCs w:val="1"/>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192"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b w:val="1"/>
          <w:bCs w:val="1"/>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significant portion of our revenue is concentrated with a select number of customers.</w:t>
      </w:r>
    </w:p>
    <w:p>
      <w:pPr>
        <w:spacing w:after="0" w:line="250"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191" w:lineRule="exact"/>
        <w:rPr>
          <w:sz w:val="20"/>
          <w:szCs w:val="20"/>
          <w:color w:val="auto"/>
        </w:rPr>
      </w:pPr>
    </w:p>
    <w:p>
      <w:pPr>
        <w:ind w:right="460"/>
        <w:spacing w:after="0" w:line="297" w:lineRule="auto"/>
        <w:rPr>
          <w:sz w:val="20"/>
          <w:szCs w:val="20"/>
          <w:color w:val="auto"/>
        </w:rPr>
      </w:pPr>
      <w:r>
        <w:rPr>
          <w:rFonts w:ascii="Arial" w:cs="Arial" w:eastAsia="Arial" w:hAnsi="Arial"/>
          <w:sz w:val="20"/>
          <w:szCs w:val="20"/>
          <w:b w:val="1"/>
          <w:bCs w:val="1"/>
          <w:color w:val="auto"/>
        </w:rPr>
        <w:t>Increases in sales of system solutions may increase our dependency upon specific customers and our costs to develop, qualify, and manufacture our system solutions.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 2023 10-K</w:t>
      </w:r>
    </w:p>
    <w:p>
      <w:pPr>
        <w:sectPr>
          <w:pgSz w:w="12240" w:h="15840" w:orient="portrait"/>
          <w:cols w:equalWidth="0" w:num="1">
            <w:col w:w="10220"/>
          </w:cols>
          <w:pgMar w:left="1000" w:top="844" w:right="1020" w:bottom="0" w:gutter="0" w:footer="0" w:header="0"/>
          <w:type w:val="continuous"/>
        </w:sectPr>
      </w:pPr>
    </w:p>
    <w:bookmarkStart w:id="30" w:name="page31"/>
    <w:bookmarkEnd w:id="30"/>
    <w:p>
      <w:pPr>
        <w:ind w:right="40"/>
        <w:spacing w:after="0" w:line="283" w:lineRule="auto"/>
        <w:rPr>
          <w:sz w:val="20"/>
          <w:szCs w:val="20"/>
          <w:color w:val="auto"/>
        </w:rPr>
      </w:pPr>
      <w:r>
        <w:rPr>
          <w:rFonts w:ascii="Arial" w:cs="Arial" w:eastAsia="Arial" w:hAnsi="Arial"/>
          <w:sz w:val="18"/>
          <w:szCs w:val="18"/>
          <w:b w:val="1"/>
          <w:bCs w:val="1"/>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187" w:lineRule="exact"/>
        <w:rPr>
          <w:sz w:val="20"/>
          <w:szCs w:val="20"/>
          <w:color w:val="auto"/>
        </w:rPr>
      </w:pPr>
    </w:p>
    <w:p>
      <w:pPr>
        <w:ind w:right="240"/>
        <w:spacing w:after="0" w:line="297" w:lineRule="auto"/>
        <w:rPr>
          <w:sz w:val="20"/>
          <w:szCs w:val="20"/>
          <w:color w:val="auto"/>
        </w:rPr>
      </w:pPr>
      <w:r>
        <w:rPr>
          <w:rFonts w:ascii="Arial" w:cs="Arial" w:eastAsia="Arial" w:hAnsi="Arial"/>
          <w:sz w:val="20"/>
          <w:szCs w:val="20"/>
          <w:b w:val="1"/>
          <w:bCs w:val="1"/>
          <w:color w:val="auto"/>
        </w:rPr>
        <w:t>Products that fail to meet specifications, are defective, or are otherwise incompatible with end uses could impose significant costs on us.</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1" w:lineRule="exact"/>
        <w:rPr>
          <w:sz w:val="20"/>
          <w:szCs w:val="20"/>
          <w:color w:val="auto"/>
        </w:rPr>
      </w:pPr>
    </w:p>
    <w:p>
      <w:pPr>
        <w:ind w:left="720" w:right="120" w:hanging="370"/>
        <w:spacing w:after="0" w:line="261"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may be required or agree to compensate customers for costs incurred or damages caused by defective or incompatible products and to replace products;</w:t>
      </w:r>
    </w:p>
    <w:p>
      <w:pPr>
        <w:ind w:left="720" w:right="380" w:hanging="370"/>
        <w:spacing w:after="0" w:line="250"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could incur a decrease in revenue or adjustment to pricing commensurate with the reimbursement of such costs or alleged damages; and</w:t>
      </w:r>
    </w:p>
    <w:p>
      <w:pPr>
        <w:spacing w:after="0" w:line="1" w:lineRule="exact"/>
        <w:rPr>
          <w:rFonts w:ascii="Arial" w:cs="Arial" w:eastAsia="Arial" w:hAnsi="Arial"/>
          <w:sz w:val="20"/>
          <w:szCs w:val="20"/>
          <w:b w:val="1"/>
          <w:bCs w:val="1"/>
          <w:color w:val="auto"/>
        </w:rPr>
      </w:pPr>
    </w:p>
    <w:p>
      <w:pPr>
        <w:ind w:left="720" w:right="380" w:hanging="370"/>
        <w:spacing w:after="0" w:line="266"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may encounter adverse publicity, which could cause a decrease in sales of our products or harm our reputation or relationships with existing or potential customers.</w:t>
      </w:r>
    </w:p>
    <w:p>
      <w:pPr>
        <w:spacing w:after="0" w:line="190"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b w:val="1"/>
          <w:bCs w:val="1"/>
          <w:color w:val="auto"/>
        </w:rPr>
        <w:t>Any of the foregoing items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2981325</wp:posOffset>
            </wp:positionV>
            <wp:extent cx="736600" cy="200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10260"/>
          </w:cols>
          <w:pgMar w:left="1000" w:top="844" w:right="980" w:bottom="0" w:gutter="0" w:footer="0" w:header="0"/>
          <w:type w:val="continuous"/>
        </w:sectPr>
      </w:pPr>
    </w:p>
    <w:bookmarkStart w:id="31" w:name="page32"/>
    <w:bookmarkEnd w:id="31"/>
    <w:p>
      <w:pPr>
        <w:ind w:right="160"/>
        <w:spacing w:after="0" w:line="297" w:lineRule="auto"/>
        <w:rPr>
          <w:sz w:val="20"/>
          <w:szCs w:val="20"/>
          <w:color w:val="auto"/>
        </w:rPr>
      </w:pPr>
      <w:r>
        <w:rPr>
          <w:rFonts w:ascii="Arial" w:cs="Arial" w:eastAsia="Arial" w:hAnsi="Arial"/>
          <w:sz w:val="20"/>
          <w:szCs w:val="20"/>
          <w:b w:val="1"/>
          <w:bCs w:val="1"/>
          <w:color w:val="auto"/>
        </w:rPr>
        <w:t>Breaches of our security systems or products, or those of our customers, suppliers, or business partners, could expose us to losses.</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nation states, or other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open source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Additionally, some actors are using artificial intelligence technology to launch more automated, targeted and coordinated attacks.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188"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b w:val="1"/>
          <w:bCs w:val="1"/>
          <w:color w:val="auto"/>
        </w:rPr>
        <w:t>Any of the foregoing security risks could have a material adverse effect on our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must attract, retain, and motivate highly skilled employees.</w:t>
      </w:r>
    </w:p>
    <w:p>
      <w:pPr>
        <w:spacing w:after="0" w:line="250"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color w:val="auto"/>
        </w:rPr>
        <w:t>To remain competitive, we must attract, retain, and motivate executives and other highly skilled, diverse employees, as well as effectively manage succession for key employees. Competition for experienced employees in our industry can be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b w:val="1"/>
          <w:bCs w:val="1"/>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b w:val="1"/>
          <w:bCs w:val="1"/>
          <w:color w:val="auto"/>
        </w:rPr>
        <w:t>Our inability to attract, retain, and motivate executives and other employees or effectively manage succession of key roles may inhibit our ability to maintain or expand our business operations.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 2023 10-K</w:t>
      </w:r>
    </w:p>
    <w:p>
      <w:pPr>
        <w:sectPr>
          <w:pgSz w:w="12240" w:h="15840" w:orient="portrait"/>
          <w:cols w:equalWidth="0" w:num="1">
            <w:col w:w="10240"/>
          </w:cols>
          <w:pgMar w:left="1000" w:top="844" w:right="1000" w:bottom="0" w:gutter="0" w:footer="0" w:header="0"/>
          <w:type w:val="continuous"/>
        </w:sectPr>
      </w:pPr>
    </w:p>
    <w:bookmarkStart w:id="32" w:name="page33"/>
    <w:bookmarkEnd w:id="32"/>
    <w:p>
      <w:pPr>
        <w:ind w:right="80"/>
        <w:spacing w:after="0" w:line="273" w:lineRule="auto"/>
        <w:rPr>
          <w:sz w:val="20"/>
          <w:szCs w:val="20"/>
          <w:color w:val="auto"/>
        </w:rPr>
      </w:pPr>
      <w:r>
        <w:rPr>
          <w:rFonts w:ascii="Arial" w:cs="Arial" w:eastAsia="Arial" w:hAnsi="Arial"/>
          <w:sz w:val="20"/>
          <w:szCs w:val="20"/>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7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179" w:lineRule="exact"/>
        <w:rPr>
          <w:sz w:val="20"/>
          <w:szCs w:val="20"/>
          <w:color w:val="auto"/>
        </w:rPr>
      </w:pPr>
    </w:p>
    <w:p>
      <w:pPr>
        <w:ind w:right="440"/>
        <w:spacing w:after="0" w:line="325" w:lineRule="auto"/>
        <w:rPr>
          <w:sz w:val="20"/>
          <w:szCs w:val="20"/>
          <w:color w:val="auto"/>
        </w:rPr>
      </w:pPr>
      <w:r>
        <w:rPr>
          <w:rFonts w:ascii="Arial" w:cs="Arial" w:eastAsia="Arial" w:hAnsi="Arial"/>
          <w:sz w:val="19"/>
          <w:szCs w:val="19"/>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b w:val="1"/>
          <w:bCs w:val="1"/>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relevant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Such risks and uncertainties include:</w:t>
      </w:r>
    </w:p>
    <w:p>
      <w:pPr>
        <w:spacing w:after="0" w:line="250" w:lineRule="exact"/>
        <w:rPr>
          <w:sz w:val="20"/>
          <w:szCs w:val="20"/>
          <w:color w:val="auto"/>
        </w:rPr>
      </w:pPr>
    </w:p>
    <w:p>
      <w:pPr>
        <w:ind w:left="720" w:right="40" w:hanging="370"/>
        <w:spacing w:after="0" w:line="26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harm, including damage to our relationships with customers, suppliers, investors, governments, or other stakeholders;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ability to manufacture and sell products and maintain our market share;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the success of our collaborations with third parties;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risk of litigation, investigations, or regulatory enforcement action;</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unfavorable environmental, social, and governance ratings or investor sentiment;</w:t>
      </w:r>
    </w:p>
    <w:p>
      <w:pPr>
        <w:spacing w:after="0" w:line="10" w:lineRule="exact"/>
        <w:rPr>
          <w:rFonts w:ascii="Arial" w:cs="Arial" w:eastAsia="Arial" w:hAnsi="Arial"/>
          <w:sz w:val="20"/>
          <w:szCs w:val="20"/>
          <w:b w:val="1"/>
          <w:bCs w:val="1"/>
          <w:color w:val="auto"/>
        </w:rPr>
      </w:pPr>
    </w:p>
    <w:p>
      <w:pPr>
        <w:ind w:left="720" w:right="480" w:hanging="370"/>
        <w:spacing w:after="0" w:line="25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diversion of resources and increased costs to control, assess, and report on environmental, social, and governance metrics;</w:t>
      </w: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achieve our goals, commitments, and targets within timeframes announced;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 to achieve our goals, commitments, and targets;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unforeseen operational and technological difficulties;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access to and increased cost of capital;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735330</wp:posOffset>
            </wp:positionV>
            <wp:extent cx="736600" cy="200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10260"/>
          </w:cols>
          <w:pgMar w:left="1000" w:top="844" w:right="980" w:bottom="0" w:gutter="0" w:footer="0" w:header="0"/>
          <w:type w:val="continuous"/>
        </w:sectPr>
      </w:pPr>
    </w:p>
    <w:bookmarkStart w:id="33" w:name="page34"/>
    <w:bookmarkEnd w:id="33"/>
    <w:p>
      <w:pPr>
        <w:ind w:right="240"/>
        <w:spacing w:after="0" w:line="268" w:lineRule="auto"/>
        <w:rPr>
          <w:sz w:val="20"/>
          <w:szCs w:val="20"/>
          <w:color w:val="auto"/>
        </w:rPr>
      </w:pPr>
      <w:r>
        <w:rPr>
          <w:rFonts w:ascii="Arial" w:cs="Arial" w:eastAsia="Arial" w:hAnsi="Arial"/>
          <w:sz w:val="20"/>
          <w:szCs w:val="20"/>
          <w:b w:val="1"/>
          <w:bCs w:val="1"/>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and/or alliances involve numerous risks.</w:t>
      </w:r>
    </w:p>
    <w:p>
      <w:pPr>
        <w:spacing w:after="0" w:line="250"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b w:val="1"/>
          <w:bCs w:val="1"/>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720" w:right="820" w:hanging="370"/>
        <w:spacing w:after="0" w:line="26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integrating the operations, technologies, and products of acquired or newly formed entities into our operations;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capital expenditures to upgrade and maintain facilities;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debt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the assumption of unknown or underestimated liabilities;</w:t>
      </w:r>
    </w:p>
    <w:p>
      <w:pPr>
        <w:spacing w:after="0" w:line="10" w:lineRule="exact"/>
        <w:rPr>
          <w:rFonts w:ascii="Arial" w:cs="Arial" w:eastAsia="Arial" w:hAnsi="Arial"/>
          <w:sz w:val="20"/>
          <w:szCs w:val="20"/>
          <w:b w:val="1"/>
          <w:bCs w:val="1"/>
          <w:color w:val="auto"/>
        </w:rPr>
      </w:pPr>
    </w:p>
    <w:p>
      <w:pPr>
        <w:ind w:left="720" w:right="20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the use of cash to finance a transaction, which may reduce the availability of cash to fund working capital, capital expenditures, R&amp;D expenditures, and other business activities;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diverting management’s attention from daily operations;</w:t>
      </w:r>
    </w:p>
    <w:p>
      <w:pPr>
        <w:spacing w:after="0" w:line="10" w:lineRule="exact"/>
        <w:rPr>
          <w:rFonts w:ascii="Arial" w:cs="Arial" w:eastAsia="Arial" w:hAnsi="Arial"/>
          <w:sz w:val="20"/>
          <w:szCs w:val="20"/>
          <w:b w:val="1"/>
          <w:bCs w:val="1"/>
          <w:color w:val="auto"/>
        </w:rPr>
      </w:pPr>
    </w:p>
    <w:p>
      <w:pPr>
        <w:ind w:left="720" w:right="8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managing larger or more complex operations and facilities and employees in separate and diverse geographic areas;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hiring and retaining key employees;</w:t>
      </w:r>
    </w:p>
    <w:p>
      <w:pPr>
        <w:spacing w:after="0" w:line="10" w:lineRule="exact"/>
        <w:rPr>
          <w:rFonts w:ascii="Arial" w:cs="Arial" w:eastAsia="Arial" w:hAnsi="Arial"/>
          <w:sz w:val="20"/>
          <w:szCs w:val="20"/>
          <w:b w:val="1"/>
          <w:bCs w:val="1"/>
          <w:color w:val="auto"/>
        </w:rPr>
      </w:pPr>
    </w:p>
    <w:p>
      <w:pPr>
        <w:ind w:left="720" w:right="1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requirements imposed by government authorities in connection with the regulatory review of a transaction, which may include, among other things, divestitures or restrictions on the conduct of our business or the acquired business;</w:t>
      </w:r>
    </w:p>
    <w:p>
      <w:pPr>
        <w:spacing w:after="0" w:line="1" w:lineRule="exact"/>
        <w:rPr>
          <w:rFonts w:ascii="Arial" w:cs="Arial" w:eastAsia="Arial" w:hAnsi="Arial"/>
          <w:sz w:val="20"/>
          <w:szCs w:val="20"/>
          <w:b w:val="1"/>
          <w:bCs w:val="1"/>
          <w:color w:val="auto"/>
        </w:rPr>
      </w:pPr>
    </w:p>
    <w:p>
      <w:pPr>
        <w:ind w:left="720" w:right="580" w:hanging="370"/>
        <w:spacing w:after="0" w:line="278"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underestimating the costs or overestimating the benefits, including product, revenue, cost and other synergies and growth opportunities that we expect to realize, and we may not achieve those benefits;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failure to maintain customer, vendor, and other relationships;</w:t>
      </w:r>
    </w:p>
    <w:p>
      <w:pPr>
        <w:spacing w:after="0" w:line="10" w:lineRule="exact"/>
        <w:rPr>
          <w:rFonts w:ascii="Arial" w:cs="Arial" w:eastAsia="Arial" w:hAnsi="Arial"/>
          <w:sz w:val="20"/>
          <w:szCs w:val="20"/>
          <w:b w:val="1"/>
          <w:bCs w:val="1"/>
          <w:color w:val="auto"/>
        </w:rPr>
      </w:pPr>
    </w:p>
    <w:p>
      <w:pPr>
        <w:ind w:left="720" w:right="1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spacing w:after="0" w:line="1" w:lineRule="exact"/>
        <w:rPr>
          <w:rFonts w:ascii="Arial" w:cs="Arial" w:eastAsia="Arial" w:hAnsi="Arial"/>
          <w:sz w:val="20"/>
          <w:szCs w:val="20"/>
          <w:b w:val="1"/>
          <w:bCs w:val="1"/>
          <w:color w:val="auto"/>
        </w:rPr>
      </w:pPr>
    </w:p>
    <w:p>
      <w:pPr>
        <w:ind w:left="720" w:right="760" w:hanging="370"/>
        <w:spacing w:after="0" w:line="266"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impairment of acquired intangible assets, goodwill, or other assets as a result of changing business conditions or technological advancements.</w:t>
      </w:r>
    </w:p>
    <w:p>
      <w:pPr>
        <w:spacing w:after="0" w:line="19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168" w:lineRule="exact"/>
        <w:rPr>
          <w:sz w:val="20"/>
          <w:szCs w:val="20"/>
          <w:color w:val="auto"/>
        </w:rPr>
      </w:pPr>
    </w:p>
    <w:p>
      <w:pPr>
        <w:ind w:right="420"/>
        <w:spacing w:after="0" w:line="297" w:lineRule="auto"/>
        <w:rPr>
          <w:sz w:val="20"/>
          <w:szCs w:val="20"/>
          <w:color w:val="auto"/>
        </w:rPr>
      </w:pPr>
      <w:r>
        <w:rPr>
          <w:rFonts w:ascii="Arial" w:cs="Arial" w:eastAsia="Arial" w:hAnsi="Arial"/>
          <w:sz w:val="20"/>
          <w:szCs w:val="20"/>
          <w:b w:val="1"/>
          <w:bCs w:val="1"/>
          <w:color w:val="auto"/>
        </w:rPr>
        <w:t>We have incurred restructure charges and may incur restructure charges in future periods and may not realize expected savings or other benefits from restructure plans.</w:t>
      </w:r>
    </w:p>
    <w:p>
      <w:pPr>
        <w:spacing w:after="0" w:line="15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In 2023, we initiated a restructure plan in response to current market conditions. See “Part II – Item 8. Financial Statements and Supplementary Data – Notes to Consolidated Financial Statements – Restructure and Asset Impairments” and “Part II – Item 7. Management’s Discussion and Analysis of Financial Condition and Results of Operations – Overview.”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 2023 10-K</w:t>
      </w:r>
    </w:p>
    <w:p>
      <w:pPr>
        <w:sectPr>
          <w:pgSz w:w="12240" w:h="15840" w:orient="portrait"/>
          <w:cols w:equalWidth="0" w:num="1">
            <w:col w:w="10220"/>
          </w:cols>
          <w:pgMar w:left="1000" w:top="844" w:right="1020" w:bottom="0" w:gutter="0" w:footer="0" w:header="0"/>
          <w:type w:val="continuous"/>
        </w:sectPr>
      </w:pPr>
    </w:p>
    <w:bookmarkStart w:id="34" w:name="page35"/>
    <w:bookmarkEnd w:id="34"/>
    <w:p>
      <w:pPr>
        <w:spacing w:after="0"/>
        <w:rPr>
          <w:sz w:val="20"/>
          <w:szCs w:val="20"/>
          <w:color w:val="auto"/>
        </w:rPr>
      </w:pPr>
      <w:r>
        <w:rPr>
          <w:rFonts w:ascii="Arial Narrow" w:cs="Arial Narrow" w:eastAsia="Arial Narrow" w:hAnsi="Arial Narrow"/>
          <w:sz w:val="44"/>
          <w:szCs w:val="44"/>
          <w:b w:val="1"/>
          <w:bCs w:val="1"/>
          <w:color w:val="auto"/>
        </w:rPr>
        <w:t>Risks Related to Intellectual Property and Litigation</w:t>
      </w:r>
    </w:p>
    <w:p>
      <w:pPr>
        <w:spacing w:after="0" w:line="375" w:lineRule="exact"/>
        <w:rPr>
          <w:sz w:val="20"/>
          <w:szCs w:val="20"/>
          <w:color w:val="auto"/>
        </w:rPr>
      </w:pPr>
    </w:p>
    <w:p>
      <w:pPr>
        <w:ind w:right="340"/>
        <w:spacing w:after="0" w:line="297" w:lineRule="auto"/>
        <w:rPr>
          <w:sz w:val="20"/>
          <w:szCs w:val="20"/>
          <w:color w:val="auto"/>
        </w:rPr>
      </w:pPr>
      <w:r>
        <w:rPr>
          <w:rFonts w:ascii="Arial" w:cs="Arial" w:eastAsia="Arial" w:hAnsi="Arial"/>
          <w:sz w:val="20"/>
          <w:szCs w:val="20"/>
          <w:b w:val="1"/>
          <w:bCs w:val="1"/>
          <w:color w:val="auto"/>
        </w:rPr>
        <w:t>We may be unable to protect our intellectual property or retain key employees who are knowledgeable of and develop our intellectual property.</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75"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90"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b w:val="1"/>
          <w:bCs w:val="1"/>
          <w:color w:val="auto"/>
        </w:rPr>
        <w:t>Legal proceedings and claims could have a material adverse effect on our business, results of operations, or financial condition.</w:t>
      </w:r>
    </w:p>
    <w:p>
      <w:pPr>
        <w:spacing w:after="0" w:line="151"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b w:val="1"/>
          <w:bCs w:val="1"/>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II – Item 8. Financial Statements and Supplementary Data – Notes to Consolidated Financial Statements – Contingencies.”</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90" w:lineRule="exact"/>
        <w:rPr>
          <w:sz w:val="20"/>
          <w:szCs w:val="20"/>
          <w:color w:val="auto"/>
        </w:rPr>
      </w:pPr>
    </w:p>
    <w:p>
      <w:pPr>
        <w:ind w:left="720" w:right="800" w:hanging="370"/>
        <w:spacing w:after="0" w:line="26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actions of our vendors, subcontractors, or business partners;</w:t>
      </w:r>
    </w:p>
    <w:p>
      <w:pPr>
        <w:spacing w:after="0" w:line="10" w:lineRule="exact"/>
        <w:rPr>
          <w:rFonts w:ascii="Arial" w:cs="Arial" w:eastAsia="Arial" w:hAnsi="Arial"/>
          <w:sz w:val="20"/>
          <w:szCs w:val="20"/>
          <w:b w:val="1"/>
          <w:bCs w:val="1"/>
          <w:color w:val="auto"/>
        </w:rPr>
      </w:pPr>
    </w:p>
    <w:p>
      <w:pPr>
        <w:ind w:left="720" w:right="460" w:hanging="370"/>
        <w:spacing w:after="0" w:line="25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indemnification obligations, including obligations to defend our customers against third-party claims asserting infringement of certain intellectual property rights, which may include patents, trademarks, copyrights, or trade secrets; and</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terms of our product warranties or from product liability claims.</w:t>
      </w:r>
    </w:p>
    <w:p>
      <w:pPr>
        <w:spacing w:after="0" w:line="230"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b w:val="1"/>
          <w:bCs w:val="1"/>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1291590</wp:posOffset>
            </wp:positionV>
            <wp:extent cx="736600" cy="200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10260"/>
          </w:cols>
          <w:pgMar w:left="1000" w:top="732" w:right="980" w:bottom="0" w:gutter="0" w:footer="0" w:header="0"/>
          <w:type w:val="continuous"/>
        </w:sectPr>
      </w:pPr>
    </w:p>
    <w:bookmarkStart w:id="35" w:name="page36"/>
    <w:bookmarkEnd w:id="35"/>
    <w:p>
      <w:pPr>
        <w:jc w:val="both"/>
        <w:ind w:right="80"/>
        <w:spacing w:after="0" w:line="273" w:lineRule="auto"/>
        <w:rPr>
          <w:sz w:val="20"/>
          <w:szCs w:val="20"/>
          <w:color w:val="auto"/>
        </w:rPr>
      </w:pPr>
      <w:r>
        <w:rPr>
          <w:rFonts w:ascii="Arial" w:cs="Arial" w:eastAsia="Arial" w:hAnsi="Arial"/>
          <w:sz w:val="20"/>
          <w:szCs w:val="20"/>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2"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pay significant monetary damages, fines, royalties, or penalties;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enter into license or settlement agreements covering such intellectual property rights;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make material changes to or redesign our products and/or manufacturing processes; and/or</w:t>
      </w:r>
    </w:p>
    <w:p>
      <w:pPr>
        <w:spacing w:after="0" w:line="10" w:lineRule="exact"/>
        <w:rPr>
          <w:rFonts w:ascii="Arial" w:cs="Arial" w:eastAsia="Arial" w:hAnsi="Arial"/>
          <w:sz w:val="20"/>
          <w:szCs w:val="20"/>
          <w:b w:val="1"/>
          <w:bCs w:val="1"/>
          <w:color w:val="auto"/>
        </w:rPr>
      </w:pPr>
    </w:p>
    <w:p>
      <w:pPr>
        <w:ind w:left="720" w:right="40" w:hanging="370"/>
        <w:spacing w:after="0" w:line="266"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cease manufacturing, having made, selling, offering for sale, importing, marketing, or using products and/or manufacturing processes in certain jurisdictions.</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8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Laws and Regulations</w:t>
      </w:r>
    </w:p>
    <w:p>
      <w:pPr>
        <w:spacing w:after="0" w:line="375" w:lineRule="exact"/>
        <w:rPr>
          <w:sz w:val="20"/>
          <w:szCs w:val="20"/>
          <w:color w:val="auto"/>
        </w:rPr>
      </w:pPr>
    </w:p>
    <w:p>
      <w:pPr>
        <w:jc w:val="both"/>
        <w:ind w:right="340"/>
        <w:spacing w:after="0" w:line="273" w:lineRule="auto"/>
        <w:rPr>
          <w:sz w:val="20"/>
          <w:szCs w:val="20"/>
          <w:color w:val="auto"/>
        </w:rPr>
      </w:pPr>
      <w:r>
        <w:rPr>
          <w:rFonts w:ascii="Arial" w:cs="Arial" w:eastAsia="Arial" w:hAnsi="Arial"/>
          <w:sz w:val="20"/>
          <w:szCs w:val="20"/>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 2023 10-K</w:t>
      </w:r>
    </w:p>
    <w:p>
      <w:pPr>
        <w:sectPr>
          <w:pgSz w:w="12240" w:h="15840" w:orient="portrait"/>
          <w:cols w:equalWidth="0" w:num="1">
            <w:col w:w="10220"/>
          </w:cols>
          <w:pgMar w:left="1000" w:top="844" w:right="1020" w:bottom="0" w:gutter="0" w:footer="0" w:header="0"/>
          <w:type w:val="continuous"/>
        </w:sectPr>
      </w:pPr>
    </w:p>
    <w:bookmarkStart w:id="36" w:name="page37"/>
    <w:bookmarkEnd w:id="36"/>
    <w:p>
      <w:pPr>
        <w:ind w:right="20"/>
        <w:spacing w:after="0" w:line="285" w:lineRule="auto"/>
        <w:rPr>
          <w:sz w:val="20"/>
          <w:szCs w:val="20"/>
          <w:color w:val="auto"/>
        </w:rPr>
      </w:pPr>
      <w:r>
        <w:rPr>
          <w:rFonts w:ascii="Arial" w:cs="Arial" w:eastAsia="Arial" w:hAnsi="Arial"/>
          <w:sz w:val="18"/>
          <w:szCs w:val="18"/>
          <w:b w:val="1"/>
          <w:bCs w:val="1"/>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182"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20"/>
          <w:szCs w:val="20"/>
          <w:b w:val="1"/>
          <w:bCs w:val="1"/>
          <w:color w:val="auto"/>
        </w:rPr>
        <w:t>Tax-related matters could have a material adverse effect on our business, results of operations, or financial condition.</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3"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b w:val="1"/>
          <w:bCs w:val="1"/>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is expected to be enacted into the national law of the EU member states by December 31, 2023. If similar directives under Pillar Two are adopted by taxing authorities in other countries where we do business, such changes could have a material adverse effect on our business, results of operations, or financial condition.</w:t>
      </w:r>
    </w:p>
    <w:p>
      <w:pPr>
        <w:spacing w:after="0" w:line="200" w:lineRule="exact"/>
        <w:rPr>
          <w:sz w:val="20"/>
          <w:szCs w:val="20"/>
          <w:color w:val="auto"/>
        </w:rPr>
      </w:pPr>
    </w:p>
    <w:p>
      <w:pPr>
        <w:ind w:right="380"/>
        <w:spacing w:after="0" w:line="273" w:lineRule="auto"/>
        <w:rPr>
          <w:sz w:val="20"/>
          <w:szCs w:val="20"/>
          <w:color w:val="auto"/>
        </w:rPr>
      </w:pPr>
      <w:r>
        <w:rPr>
          <w:rFonts w:ascii="Arial" w:cs="Arial" w:eastAsia="Arial" w:hAnsi="Arial"/>
          <w:sz w:val="20"/>
          <w:szCs w:val="20"/>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75"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b w:val="1"/>
          <w:bCs w:val="1"/>
          <w:color w:val="auto"/>
        </w:rPr>
        <w:t>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406400</wp:posOffset>
            </wp:positionV>
            <wp:extent cx="736600" cy="200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10260"/>
          </w:cols>
          <w:pgMar w:left="1000" w:top="844" w:right="980" w:bottom="0" w:gutter="0" w:footer="0" w:header="0"/>
          <w:type w:val="continuous"/>
        </w:sectPr>
      </w:pPr>
    </w:p>
    <w:bookmarkStart w:id="37" w:name="page38"/>
    <w:bookmarkEnd w:id="37"/>
    <w:p>
      <w:pPr>
        <w:ind w:right="100"/>
        <w:spacing w:after="0" w:line="272" w:lineRule="auto"/>
        <w:rPr>
          <w:sz w:val="20"/>
          <w:szCs w:val="20"/>
          <w:color w:val="auto"/>
        </w:rPr>
      </w:pPr>
      <w:r>
        <w:rPr>
          <w:rFonts w:ascii="Arial" w:cs="Arial" w:eastAsia="Arial" w:hAnsi="Arial"/>
          <w:sz w:val="19"/>
          <w:szCs w:val="19"/>
          <w:b w:val="1"/>
          <w:bCs w:val="1"/>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a result of the considerations detailed in this risk factor, we could experience the following:</w:t>
      </w:r>
    </w:p>
    <w:p>
      <w:pPr>
        <w:spacing w:after="0" w:line="250"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production or sales of our products;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limited supplies of chemicals or materials used to make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remediation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compliance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 of our manufacturing processes;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penalties, fines, civil or criminal sanctions, and other legal liabilities;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challenges.</w:t>
      </w:r>
    </w:p>
    <w:p>
      <w:pPr>
        <w:spacing w:after="0" w:line="230"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Capitalization and Financial Markets</w:t>
      </w:r>
    </w:p>
    <w:p>
      <w:pPr>
        <w:spacing w:after="0" w:line="375" w:lineRule="exact"/>
        <w:rPr>
          <w:sz w:val="20"/>
          <w:szCs w:val="20"/>
          <w:color w:val="auto"/>
        </w:rPr>
      </w:pPr>
    </w:p>
    <w:p>
      <w:pPr>
        <w:ind w:right="440"/>
        <w:spacing w:after="0" w:line="273" w:lineRule="auto"/>
        <w:rPr>
          <w:sz w:val="20"/>
          <w:szCs w:val="20"/>
          <w:color w:val="auto"/>
        </w:rPr>
      </w:pPr>
      <w:r>
        <w:rPr>
          <w:rFonts w:ascii="Arial" w:cs="Arial" w:eastAsia="Arial" w:hAnsi="Arial"/>
          <w:sz w:val="20"/>
          <w:szCs w:val="20"/>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2024 for property, plant, and equipment, net of partner contributions, to be slightly above $7 billion.</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 | 2023 10-K</w:t>
      </w:r>
    </w:p>
    <w:p>
      <w:pPr>
        <w:sectPr>
          <w:pgSz w:w="12240" w:h="15840" w:orient="portrait"/>
          <w:cols w:equalWidth="0" w:num="1">
            <w:col w:w="10240"/>
          </w:cols>
          <w:pgMar w:left="1000" w:top="844" w:right="100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Debt obligations could adversely affect our financial condition.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have incurred in the past, and expect to incur in the future, debt to finance our capital investments, business acquisitions, and to realign our capital structure. As of August 31, 2023, we had debt with a carrying value of $13.33 billion and may incur additional debt, including under our $2.50 billion Revolving Credit Facility. Our debt obligations could adversely impact us as follows:</w:t>
      </w:r>
    </w:p>
    <w:p>
      <w:pPr>
        <w:spacing w:after="0" w:line="196" w:lineRule="exact"/>
        <w:rPr>
          <w:sz w:val="20"/>
          <w:szCs w:val="20"/>
          <w:color w:val="auto"/>
        </w:rPr>
      </w:pPr>
    </w:p>
    <w:p>
      <w:pPr>
        <w:ind w:left="720" w:right="100" w:hanging="370"/>
        <w:spacing w:after="0" w:line="26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adversely impact our credit rating, which could increase borrowing costs;</w:t>
      </w:r>
    </w:p>
    <w:p>
      <w:pPr>
        <w:spacing w:after="0" w:line="10" w:lineRule="exact"/>
        <w:rPr>
          <w:rFonts w:ascii="Arial" w:cs="Arial" w:eastAsia="Arial" w:hAnsi="Arial"/>
          <w:sz w:val="20"/>
          <w:szCs w:val="20"/>
          <w:b w:val="1"/>
          <w:bCs w:val="1"/>
          <w:color w:val="auto"/>
        </w:rPr>
      </w:pPr>
    </w:p>
    <w:p>
      <w:pPr>
        <w:ind w:left="720" w:right="40" w:hanging="370"/>
        <w:spacing w:after="0" w:line="25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limit our future ability to raise funds for capital expenditures, strategic acquisitions or business opportunities, R&amp;D, and other general corporate requirements;</w:t>
      </w:r>
    </w:p>
    <w:p>
      <w:pPr>
        <w:ind w:left="720" w:right="900" w:hanging="370"/>
        <w:spacing w:after="0" w:line="25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restrict our ability to incur specified indebtedness, create or incur certain liens, and enter into sale-leaseback financing transactions;</w:t>
      </w: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vulnerability to adverse economic and industry conditions;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exposure to rising interest rates from variable rate indebtedness; and</w:t>
      </w:r>
    </w:p>
    <w:p>
      <w:pPr>
        <w:spacing w:after="0" w:line="10" w:lineRule="exact"/>
        <w:rPr>
          <w:rFonts w:ascii="Arial" w:cs="Arial" w:eastAsia="Arial" w:hAnsi="Arial"/>
          <w:sz w:val="20"/>
          <w:szCs w:val="20"/>
          <w:b w:val="1"/>
          <w:bCs w:val="1"/>
          <w:color w:val="auto"/>
        </w:rPr>
      </w:pPr>
    </w:p>
    <w:p>
      <w:pPr>
        <w:ind w:left="720" w:right="260" w:hanging="370"/>
        <w:spacing w:after="0" w:line="292" w:lineRule="auto"/>
        <w:tabs>
          <w:tab w:leader="none" w:pos="72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result in certain of our debt instruments becoming immediately due and payable or being deemed to be in default if applicable cross default, cross-acceleration and/or similar provisions are triggered.</w:t>
      </w:r>
    </w:p>
    <w:p>
      <w:pPr>
        <w:spacing w:after="0" w:line="1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2023, we amended the financial covenants in our Revolving Credit Facility and term loan agreements. See “Part II – Item 7. Management’s Discussion and Analysis of Financial Condition and Results of Operations – Overview – Industry Conditions” and “Part II - Item 8. Financial Statements and Supplementary Data – Notes to Consolidated Financial Statements – Debt.”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85" w:lineRule="exact"/>
        <w:rPr>
          <w:sz w:val="20"/>
          <w:szCs w:val="20"/>
          <w:color w:val="auto"/>
        </w:rPr>
      </w:pPr>
    </w:p>
    <w:p>
      <w:pPr>
        <w:ind w:right="600"/>
        <w:spacing w:after="0" w:line="297" w:lineRule="auto"/>
        <w:rPr>
          <w:sz w:val="20"/>
          <w:szCs w:val="20"/>
          <w:color w:val="auto"/>
        </w:rPr>
      </w:pPr>
      <w:r>
        <w:rPr>
          <w:rFonts w:ascii="Arial" w:cs="Arial" w:eastAsia="Arial" w:hAnsi="Arial"/>
          <w:sz w:val="20"/>
          <w:szCs w:val="20"/>
          <w:b w:val="1"/>
          <w:bCs w:val="1"/>
          <w:color w:val="auto"/>
        </w:rPr>
        <w:t>Changes in foreign currency exchange rates could materially adversely affect our business, results of operations, or financial condition.</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b w:val="1"/>
          <w:bCs w:val="1"/>
          <w:color w:val="auto"/>
        </w:rPr>
        <w:t>Across our global operations, significant transactions and balances are denominated in currencies other than the U.S. dollar (our reporting currency), primarily the Chinese yuan, euro, Indian rupee, Japanese yen, Malaysian ringgit, New Taiwan dollar, and Singapore dollar.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2244090</wp:posOffset>
            </wp:positionV>
            <wp:extent cx="736600" cy="200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10260"/>
          </w:cols>
          <w:pgMar w:left="1000" w:top="844" w:right="98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We are subject to counterparty default risks.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trading price of our common stock has been and may continue to be volatile.</w:t>
      </w:r>
    </w:p>
    <w:p>
      <w:pPr>
        <w:spacing w:after="0" w:line="250"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188" w:lineRule="exact"/>
        <w:rPr>
          <w:sz w:val="20"/>
          <w:szCs w:val="20"/>
          <w:color w:val="auto"/>
        </w:rPr>
      </w:pPr>
    </w:p>
    <w:p>
      <w:pPr>
        <w:jc w:val="both"/>
        <w:ind w:right="440"/>
        <w:spacing w:after="0" w:line="276" w:lineRule="auto"/>
        <w:rPr>
          <w:sz w:val="20"/>
          <w:szCs w:val="20"/>
          <w:color w:val="auto"/>
        </w:rPr>
      </w:pPr>
      <w:r>
        <w:rPr>
          <w:rFonts w:ascii="Arial" w:cs="Arial" w:eastAsia="Arial" w:hAnsi="Arial"/>
          <w:sz w:val="19"/>
          <w:szCs w:val="19"/>
          <w:b w:val="1"/>
          <w:bCs w:val="1"/>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84" w:lineRule="exact"/>
        <w:rPr>
          <w:sz w:val="20"/>
          <w:szCs w:val="20"/>
          <w:color w:val="auto"/>
        </w:rPr>
      </w:pPr>
    </w:p>
    <w:p>
      <w:pPr>
        <w:jc w:val="both"/>
        <w:ind w:right="180"/>
        <w:spacing w:after="0" w:line="266" w:lineRule="auto"/>
        <w:rPr>
          <w:sz w:val="20"/>
          <w:szCs w:val="20"/>
          <w:color w:val="auto"/>
        </w:rPr>
      </w:pPr>
      <w:r>
        <w:rPr>
          <w:rFonts w:ascii="Arial" w:cs="Arial" w:eastAsia="Arial" w:hAnsi="Arial"/>
          <w:sz w:val="20"/>
          <w:szCs w:val="20"/>
          <w:b w:val="1"/>
          <w:b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0"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b w:val="1"/>
          <w:bCs w:val="1"/>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$425 million in 2023, $2.43 billion in 2022, $1.20 billion in 2021.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187"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180"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b w:val="1"/>
          <w:bCs w:val="1"/>
          <w:color w:val="auto"/>
        </w:rPr>
        <w:t>There can be no assurance that we will continue to declare cash dividends in any particular amounts or at all.</w:t>
      </w:r>
    </w:p>
    <w:p>
      <w:pPr>
        <w:spacing w:after="0" w:line="15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 | 2023 10-K</w:t>
      </w:r>
    </w:p>
    <w:p>
      <w:pPr>
        <w:sectPr>
          <w:pgSz w:w="12240" w:h="15840" w:orient="portrait"/>
          <w:cols w:equalWidth="0" w:num="1">
            <w:col w:w="10220"/>
          </w:cols>
          <w:pgMar w:left="1000" w:top="844" w:right="1020" w:bottom="0" w:gutter="0" w:footer="0" w:header="0"/>
          <w:type w:val="continuous"/>
        </w:sectPr>
      </w:pPr>
    </w:p>
    <w:bookmarkStart w:id="40" w:name="page41"/>
    <w:bookmarkEnd w:id="40"/>
    <w:p>
      <w:pPr>
        <w:ind w:right="60"/>
        <w:spacing w:after="0" w:line="259" w:lineRule="auto"/>
        <w:rPr>
          <w:sz w:val="20"/>
          <w:szCs w:val="20"/>
          <w:color w:val="auto"/>
        </w:rPr>
      </w:pPr>
      <w:r>
        <w:rPr>
          <w:rFonts w:ascii="Arial" w:cs="Arial" w:eastAsia="Arial" w:hAnsi="Arial"/>
          <w:sz w:val="20"/>
          <w:szCs w:val="20"/>
          <w:b w:val="1"/>
          <w:bCs w:val="1"/>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388"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1B. UNRESOLVED STAFF COMMENTS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2. PROPERTIES</w:t>
      </w:r>
    </w:p>
    <w:p>
      <w:pPr>
        <w:spacing w:after="0" w:line="306"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6519545" cy="384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51954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Location</w:t>
            </w:r>
          </w:p>
        </w:tc>
        <w:tc>
          <w:tcPr>
            <w:tcW w:w="8700" w:type="dxa"/>
            <w:vAlign w:val="bottom"/>
            <w:tcBorders>
              <w:bottom w:val="single" w:sz="8" w:color="auto"/>
            </w:tcBorders>
            <w:gridSpan w:val="2"/>
          </w:tcPr>
          <w:p>
            <w:pPr>
              <w:ind w:left="540"/>
              <w:spacing w:after="0"/>
              <w:rPr>
                <w:sz w:val="20"/>
                <w:szCs w:val="20"/>
                <w:color w:val="auto"/>
              </w:rPr>
            </w:pPr>
            <w:r>
              <w:rPr>
                <w:rFonts w:ascii="Arial Narrow" w:cs="Arial Narrow" w:eastAsia="Arial Narrow" w:hAnsi="Arial Narrow"/>
                <w:sz w:val="20"/>
                <w:szCs w:val="20"/>
                <w:b w:val="1"/>
                <w:bCs w:val="1"/>
                <w:color w:val="auto"/>
              </w:rPr>
              <w:t>Principal Operations</w:t>
            </w:r>
          </w:p>
        </w:tc>
        <w:tc>
          <w:tcPr>
            <w:tcW w:w="0" w:type="dxa"/>
            <w:vAlign w:val="bottom"/>
          </w:tcPr>
          <w:p>
            <w:pPr>
              <w:spacing w:after="0"/>
              <w:rPr>
                <w:sz w:val="1"/>
                <w:szCs w:val="1"/>
                <w:color w:val="auto"/>
              </w:rPr>
            </w:pPr>
          </w:p>
        </w:tc>
      </w:tr>
      <w:tr>
        <w:trPr>
          <w:trHeight w:val="50"/>
        </w:trPr>
        <w:tc>
          <w:tcPr>
            <w:tcW w:w="15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Taiwan</w:t>
            </w:r>
          </w:p>
        </w:tc>
        <w:tc>
          <w:tcPr>
            <w:tcW w:w="8680" w:type="dxa"/>
            <w:vAlign w:val="bottom"/>
            <w:vMerge w:val="restart"/>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560" w:type="dxa"/>
            <w:vAlign w:val="bottom"/>
            <w:vMerge w:val="continue"/>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R&amp;D, wafer fabrication</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 reticle manufacturing</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-1095375</wp:posOffset>
            </wp:positionV>
            <wp:extent cx="6540500" cy="1111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540500" cy="111125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864870</wp:posOffset>
            </wp:positionV>
            <wp:extent cx="736600" cy="200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10260"/>
          </w:cols>
          <w:pgMar w:left="1000" w:top="844" w:right="980" w:bottom="0" w:gutter="0" w:footer="0" w:header="0"/>
          <w:type w:val="continuous"/>
        </w:sectPr>
      </w:pPr>
    </w:p>
    <w:bookmarkStart w:id="41" w:name="page42"/>
    <w:bookmarkEnd w:id="41"/>
    <w:p>
      <w:pPr>
        <w:ind w:right="100"/>
        <w:spacing w:after="0" w:line="280" w:lineRule="auto"/>
        <w:rPr>
          <w:sz w:val="20"/>
          <w:szCs w:val="20"/>
          <w:color w:val="auto"/>
        </w:rPr>
      </w:pPr>
      <w:r>
        <w:rPr>
          <w:rFonts w:ascii="Arial" w:cs="Arial" w:eastAsia="Arial" w:hAnsi="Arial"/>
          <w:sz w:val="19"/>
          <w:szCs w:val="19"/>
          <w:b w:val="1"/>
          <w:bCs w:val="1"/>
          <w:color w:val="auto"/>
        </w:rPr>
        <w:t>We believe that our existing facilities are suitable and adequate for our present purposes. We generally utilize all of our manufacturing capacity; however, a portion of our facilities were underutilized for 2023 due to industry conditions. See “Part II – Item 7. Management’s Discussion and Analysis of Financial Condition and Results of Operations – Overview – Industry Conditions” for information regarding our current underutilization.</w:t>
      </w:r>
    </w:p>
    <w:p>
      <w:pPr>
        <w:spacing w:after="0" w:line="180"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176"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We do not identify or allocate assets by operating segment, other than goodwill. For a breakout of the carrying value of our long-lived assets by geographic area see “Part II – Item 8. Financial Statements and Supplementary Data – Notes to Consolidated Financial Statements – Geographic Information.”</w:t>
      </w:r>
    </w:p>
    <w:p>
      <w:pPr>
        <w:spacing w:after="0" w:line="3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3. LEGAL PROCEEDINGS</w:t>
      </w:r>
    </w:p>
    <w:p>
      <w:pPr>
        <w:spacing w:after="0" w:line="306" w:lineRule="exact"/>
        <w:rPr>
          <w:sz w:val="20"/>
          <w:szCs w:val="20"/>
          <w:color w:val="auto"/>
        </w:rPr>
      </w:pPr>
    </w:p>
    <w:p>
      <w:pPr>
        <w:jc w:val="both"/>
        <w:ind w:right="80"/>
        <w:spacing w:after="0" w:line="268" w:lineRule="auto"/>
        <w:rPr>
          <w:sz w:val="20"/>
          <w:szCs w:val="20"/>
          <w:color w:val="auto"/>
        </w:rPr>
      </w:pPr>
      <w:r>
        <w:rPr>
          <w:rFonts w:ascii="Arial" w:cs="Arial" w:eastAsia="Arial" w:hAnsi="Arial"/>
          <w:sz w:val="20"/>
          <w:szCs w:val="20"/>
          <w:b w:val="1"/>
          <w:bCs w:val="1"/>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190"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3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4. MINE SAFETY DISCLOSURES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w:t>
      </w:r>
    </w:p>
    <w:p>
      <w:pPr>
        <w:spacing w:after="0" w:line="271" w:lineRule="exact"/>
        <w:rPr>
          <w:sz w:val="20"/>
          <w:szCs w:val="20"/>
          <w:color w:val="auto"/>
        </w:rPr>
      </w:pPr>
    </w:p>
    <w:p>
      <w:pPr>
        <w:ind w:right="960"/>
        <w:spacing w:after="0" w:line="305" w:lineRule="auto"/>
        <w:rPr>
          <w:sz w:val="20"/>
          <w:szCs w:val="20"/>
          <w:color w:val="auto"/>
        </w:rPr>
      </w:pPr>
      <w:r>
        <w:rPr>
          <w:rFonts w:ascii="Arial Narrow" w:cs="Arial Narrow" w:eastAsia="Arial Narrow" w:hAnsi="Arial Narrow"/>
          <w:sz w:val="28"/>
          <w:szCs w:val="28"/>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Market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common stock is listed on The Nasdaq Global Select Market under the trading symbol “MU.”</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 | 2023 10-K</w:t>
      </w:r>
    </w:p>
    <w:p>
      <w:pPr>
        <w:sectPr>
          <w:pgSz w:w="12240" w:h="15840" w:orient="portrait"/>
          <w:cols w:equalWidth="0" w:num="1">
            <w:col w:w="10220"/>
          </w:cols>
          <w:pgMar w:left="1000" w:top="844" w:right="1020" w:bottom="0" w:gutter="0" w:footer="0" w:header="0"/>
          <w:type w:val="continuous"/>
        </w:sectPr>
      </w:pPr>
    </w:p>
    <w:bookmarkStart w:id="42" w:name="page43"/>
    <w:bookmarkEnd w:id="42"/>
    <w:p>
      <w:pPr>
        <w:spacing w:after="0"/>
        <w:rPr>
          <w:sz w:val="20"/>
          <w:szCs w:val="20"/>
          <w:color w:val="auto"/>
        </w:rPr>
      </w:pPr>
      <w:r>
        <w:rPr>
          <w:rFonts w:ascii="Arial Narrow" w:cs="Arial Narrow" w:eastAsia="Arial Narrow" w:hAnsi="Arial Narrow"/>
          <w:sz w:val="44"/>
          <w:szCs w:val="44"/>
          <w:b w:val="1"/>
          <w:bCs w:val="1"/>
          <w:color w:val="auto"/>
        </w:rPr>
        <w:t>Holders of Record</w:t>
      </w:r>
    </w:p>
    <w:p>
      <w:pPr>
        <w:spacing w:after="0" w:line="375"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b w:val="1"/>
          <w:bCs w:val="1"/>
          <w:color w:val="auto"/>
        </w:rPr>
        <w:t>As of September 29, 2023, there were approximately 1,719 shareholders of record of our common stock. A substantially greater number of holders of our common stock are "street name" or beneficial holders, whose shares are held of record by banks, brokers, and other financial institutions.</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Dividends</w:t>
      </w:r>
    </w:p>
    <w:p>
      <w:pPr>
        <w:spacing w:after="0" w:line="375" w:lineRule="exact"/>
        <w:rPr>
          <w:sz w:val="20"/>
          <w:szCs w:val="20"/>
          <w:color w:val="auto"/>
        </w:rPr>
      </w:pPr>
    </w:p>
    <w:p>
      <w:pPr>
        <w:ind w:right="180"/>
        <w:spacing w:after="0" w:line="287" w:lineRule="auto"/>
        <w:rPr>
          <w:sz w:val="20"/>
          <w:szCs w:val="20"/>
          <w:color w:val="auto"/>
        </w:rPr>
      </w:pPr>
      <w:r>
        <w:rPr>
          <w:rFonts w:ascii="Arial" w:cs="Arial" w:eastAsia="Arial" w:hAnsi="Arial"/>
          <w:sz w:val="20"/>
          <w:szCs w:val="20"/>
          <w:b w:val="1"/>
          <w:bCs w:val="1"/>
          <w:color w:val="auto"/>
        </w:rPr>
        <w:t>On September 27, 2023, our Board of Directors declared a quarterly dividend of $0.115 per share, payable in cash on October 25, 2023, to shareholders of record as of the close of business on October 10, 2023.</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b w:val="1"/>
          <w:bCs w:val="1"/>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7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Equity Compensation Plan Information</w:t>
      </w:r>
    </w:p>
    <w:p>
      <w:pPr>
        <w:spacing w:after="0" w:line="375"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The information required by this item is incorporated by reference from the information to be included in our 2023 Proxy Statement under the section entitled “Equity Compensation Plan Information,” which will be filed with the SEC within 120 days after August 31, 2023.</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Issuer Purchase of Equity Securities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 Authorization</w:t>
      </w:r>
    </w:p>
    <w:p>
      <w:pPr>
        <w:spacing w:after="0" w:line="263"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b w:val="1"/>
          <w:bCs w:val="1"/>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August 31, 2023, we did not repurchase any common stock under the authorization and as of August 31, 2023, $3.11 billion of the authorization remained available for the repurchase of our common stock.</w:t>
      </w:r>
    </w:p>
    <w:p>
      <w:pPr>
        <w:spacing w:after="0" w:line="187" w:lineRule="exact"/>
        <w:rPr>
          <w:sz w:val="20"/>
          <w:szCs w:val="20"/>
          <w:color w:val="auto"/>
        </w:rPr>
      </w:pPr>
    </w:p>
    <w:p>
      <w:pPr>
        <w:jc w:val="both"/>
        <w:ind w:right="440"/>
        <w:spacing w:after="0" w:line="262" w:lineRule="auto"/>
        <w:rPr>
          <w:sz w:val="20"/>
          <w:szCs w:val="20"/>
          <w:color w:val="auto"/>
        </w:rPr>
      </w:pPr>
      <w:r>
        <w:rPr>
          <w:rFonts w:ascii="Arial" w:cs="Arial" w:eastAsia="Arial" w:hAnsi="Arial"/>
          <w:sz w:val="20"/>
          <w:szCs w:val="20"/>
          <w:b w:val="1"/>
          <w:bCs w:val="1"/>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2085340</wp:posOffset>
            </wp:positionV>
            <wp:extent cx="736600" cy="200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10260"/>
          </w:cols>
          <w:pgMar w:left="1000" w:top="732" w:right="980" w:bottom="0" w:gutter="0" w:footer="0" w:header="0"/>
          <w:type w:val="continuous"/>
        </w:sectPr>
      </w:pPr>
    </w:p>
    <w:bookmarkStart w:id="43" w:name="page44"/>
    <w:bookmarkEnd w:id="43"/>
    <w:p>
      <w:pPr>
        <w:spacing w:after="0"/>
        <w:rPr>
          <w:sz w:val="20"/>
          <w:szCs w:val="20"/>
          <w:color w:val="auto"/>
        </w:rPr>
      </w:pPr>
      <w:r>
        <w:rPr>
          <w:rFonts w:ascii="Arial Narrow" w:cs="Arial Narrow" w:eastAsia="Arial Narrow" w:hAnsi="Arial Narrow"/>
          <w:sz w:val="44"/>
          <w:szCs w:val="44"/>
          <w:b w:val="1"/>
          <w:bCs w:val="1"/>
          <w:color w:val="auto"/>
        </w:rPr>
        <w:t>Performance Graph</w:t>
      </w:r>
    </w:p>
    <w:p>
      <w:pPr>
        <w:spacing w:after="0" w:line="375"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color w:val="auto"/>
        </w:rPr>
        <w:t>The following graph illustrates a five-year comparison of cumulative total returns for our common stock, the S&amp;P 500 Composite Index, and the Philadelphia Semiconductor Index (SOX) from August 31, 2018, through August 31, 2023.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3"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-61595</wp:posOffset>
            </wp:positionV>
            <wp:extent cx="5901690" cy="20427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5901690" cy="204279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250</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200</w:t>
      </w:r>
    </w:p>
    <w:p>
      <w:pPr>
        <w:spacing w:after="0" w:line="387"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150</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100</w:t>
      </w:r>
    </w:p>
    <w:p>
      <w:pPr>
        <w:spacing w:after="0" w:line="387" w:lineRule="exact"/>
        <w:rPr>
          <w:sz w:val="20"/>
          <w:szCs w:val="20"/>
          <w:color w:val="auto"/>
        </w:rPr>
      </w:pPr>
    </w:p>
    <w:p>
      <w:pPr>
        <w:ind w:left="220"/>
        <w:spacing w:after="0"/>
        <w:rPr>
          <w:sz w:val="20"/>
          <w:szCs w:val="20"/>
          <w:color w:val="auto"/>
        </w:rPr>
      </w:pPr>
      <w:r>
        <w:rPr>
          <w:rFonts w:ascii="Arial Narrow" w:cs="Arial Narrow" w:eastAsia="Arial Narrow" w:hAnsi="Arial Narrow"/>
          <w:sz w:val="20"/>
          <w:szCs w:val="20"/>
          <w:color w:val="auto"/>
        </w:rPr>
        <w:t>50</w:t>
      </w:r>
    </w:p>
    <w:p>
      <w:pPr>
        <w:spacing w:after="0" w:line="41" w:lineRule="exact"/>
        <w:rPr>
          <w:sz w:val="20"/>
          <w:szCs w:val="20"/>
          <w:color w:val="auto"/>
        </w:rPr>
      </w:pPr>
    </w:p>
    <w:tbl>
      <w:tblPr>
        <w:tblLayout w:type="fixed"/>
        <w:tblInd w:w="1200" w:type="dxa"/>
        <w:tblCellMar>
          <w:top w:w="0" w:type="dxa"/>
          <w:left w:w="0" w:type="dxa"/>
          <w:bottom w:w="0" w:type="dxa"/>
          <w:right w:w="0" w:type="dxa"/>
        </w:tblCellMar>
      </w:tblPr>
      <w:tr>
        <w:trPr>
          <w:trHeight w:val="278"/>
        </w:trPr>
        <w:tc>
          <w:tcPr>
            <w:tcW w:w="600" w:type="dxa"/>
            <w:vAlign w:val="bottom"/>
          </w:tcPr>
          <w:p>
            <w:pPr>
              <w:jc w:val="right"/>
              <w:ind w:right="120"/>
              <w:spacing w:after="0"/>
              <w:rPr>
                <w:sz w:val="20"/>
                <w:szCs w:val="20"/>
                <w:color w:val="auto"/>
              </w:rPr>
            </w:pPr>
            <w:r>
              <w:rPr>
                <w:rFonts w:ascii="Arial Narrow" w:cs="Arial Narrow" w:eastAsia="Arial Narrow" w:hAnsi="Arial Narrow"/>
                <w:sz w:val="20"/>
                <w:szCs w:val="20"/>
                <w:color w:val="auto"/>
                <w:w w:val="98"/>
              </w:rPr>
              <w:t>2018</w:t>
            </w:r>
          </w:p>
        </w:tc>
        <w:tc>
          <w:tcPr>
            <w:tcW w:w="2120" w:type="dxa"/>
            <w:vAlign w:val="bottom"/>
          </w:tcPr>
          <w:p>
            <w:pPr>
              <w:jc w:val="right"/>
              <w:ind w:right="720"/>
              <w:spacing w:after="0"/>
              <w:rPr>
                <w:sz w:val="20"/>
                <w:szCs w:val="20"/>
                <w:color w:val="auto"/>
              </w:rPr>
            </w:pPr>
            <w:r>
              <w:rPr>
                <w:rFonts w:ascii="Arial Narrow" w:cs="Arial Narrow" w:eastAsia="Arial Narrow" w:hAnsi="Arial Narrow"/>
                <w:sz w:val="20"/>
                <w:szCs w:val="20"/>
                <w:color w:val="auto"/>
              </w:rPr>
              <w:t>2019</w:t>
            </w:r>
          </w:p>
        </w:tc>
        <w:tc>
          <w:tcPr>
            <w:tcW w:w="1400" w:type="dxa"/>
            <w:vAlign w:val="bottom"/>
          </w:tcPr>
          <w:p>
            <w:pPr>
              <w:jc w:val="right"/>
              <w:ind w:right="580"/>
              <w:spacing w:after="0"/>
              <w:rPr>
                <w:sz w:val="20"/>
                <w:szCs w:val="20"/>
                <w:color w:val="auto"/>
              </w:rPr>
            </w:pPr>
            <w:r>
              <w:rPr>
                <w:rFonts w:ascii="Arial Narrow" w:cs="Arial Narrow" w:eastAsia="Arial Narrow" w:hAnsi="Arial Narrow"/>
                <w:sz w:val="20"/>
                <w:szCs w:val="20"/>
                <w:color w:val="auto"/>
              </w:rPr>
              <w:t>2020</w:t>
            </w:r>
          </w:p>
        </w:tc>
        <w:tc>
          <w:tcPr>
            <w:tcW w:w="1440" w:type="dxa"/>
            <w:vAlign w:val="bottom"/>
          </w:tcPr>
          <w:p>
            <w:pPr>
              <w:ind w:left="480"/>
              <w:spacing w:after="0"/>
              <w:rPr>
                <w:sz w:val="20"/>
                <w:szCs w:val="20"/>
                <w:color w:val="auto"/>
              </w:rPr>
            </w:pPr>
            <w:r>
              <w:rPr>
                <w:rFonts w:ascii="Arial Narrow" w:cs="Arial Narrow" w:eastAsia="Arial Narrow" w:hAnsi="Arial Narrow"/>
                <w:sz w:val="20"/>
                <w:szCs w:val="20"/>
                <w:color w:val="auto"/>
              </w:rPr>
              <w:t>2021</w:t>
            </w:r>
          </w:p>
        </w:tc>
        <w:tc>
          <w:tcPr>
            <w:tcW w:w="154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2022</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2023</w:t>
            </w:r>
          </w:p>
        </w:tc>
        <w:tc>
          <w:tcPr>
            <w:tcW w:w="0" w:type="dxa"/>
            <w:vAlign w:val="bottom"/>
          </w:tcPr>
          <w:p>
            <w:pPr>
              <w:spacing w:after="0"/>
              <w:rPr>
                <w:sz w:val="1"/>
                <w:szCs w:val="1"/>
                <w:color w:val="auto"/>
              </w:rPr>
            </w:pPr>
          </w:p>
        </w:tc>
      </w:tr>
      <w:tr>
        <w:trPr>
          <w:trHeight w:val="358"/>
        </w:trPr>
        <w:tc>
          <w:tcPr>
            <w:tcW w:w="600" w:type="dxa"/>
            <w:vAlign w:val="bottom"/>
            <w:tcBorders>
              <w:bottom w:val="single" w:sz="8" w:color="0090DA"/>
            </w:tcBorders>
          </w:tcPr>
          <w:p>
            <w:pPr>
              <w:spacing w:after="0"/>
              <w:rPr>
                <w:sz w:val="24"/>
                <w:szCs w:val="24"/>
                <w:color w:val="auto"/>
              </w:rPr>
            </w:pPr>
          </w:p>
        </w:tc>
        <w:tc>
          <w:tcPr>
            <w:tcW w:w="212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Micron Technology, Inc</w:t>
            </w:r>
          </w:p>
        </w:tc>
        <w:tc>
          <w:tcPr>
            <w:tcW w:w="1400" w:type="dxa"/>
            <w:vAlign w:val="bottom"/>
          </w:tcPr>
          <w:p>
            <w:pPr>
              <w:spacing w:after="0"/>
              <w:rPr>
                <w:sz w:val="24"/>
                <w:szCs w:val="24"/>
                <w:color w:val="auto"/>
              </w:rPr>
            </w:pPr>
          </w:p>
        </w:tc>
        <w:tc>
          <w:tcPr>
            <w:tcW w:w="2980" w:type="dxa"/>
            <w:vAlign w:val="bottom"/>
            <w:gridSpan w:val="2"/>
            <w:vMerge w:val="restart"/>
          </w:tcPr>
          <w:p>
            <w:pPr>
              <w:ind w:left="480"/>
              <w:spacing w:after="0"/>
              <w:rPr>
                <w:sz w:val="20"/>
                <w:szCs w:val="20"/>
                <w:color w:val="auto"/>
              </w:rPr>
            </w:pPr>
            <w:r>
              <w:rPr>
                <w:rFonts w:ascii="Arial Narrow" w:cs="Arial Narrow" w:eastAsia="Arial Narrow" w:hAnsi="Arial Narrow"/>
                <w:sz w:val="20"/>
                <w:szCs w:val="20"/>
                <w:color w:val="auto"/>
              </w:rPr>
              <w:t>S&amp;P 500 Composite 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Narrow" w:cs="Arial Narrow" w:eastAsia="Arial Narrow" w:hAnsi="Arial Narrow"/>
                <w:sz w:val="20"/>
                <w:szCs w:val="20"/>
                <w:color w:val="auto"/>
              </w:rPr>
              <w:t>Philadelphia Semiconductor Index (SOX)</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-276225</wp:posOffset>
            </wp:positionV>
            <wp:extent cx="101600" cy="101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-276225</wp:posOffset>
            </wp:positionV>
            <wp:extent cx="381635" cy="101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381635" cy="10160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-123825</wp:posOffset>
            </wp:positionV>
            <wp:extent cx="381635" cy="101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381635" cy="101600"/>
                    </a:xfrm>
                    <a:prstGeom prst="rect">
                      <a:avLst/>
                    </a:prstGeom>
                    <a:noFill/>
                  </pic:spPr>
                </pic:pic>
              </a:graphicData>
            </a:graphic>
          </wp:anchor>
        </w:drawing>
      </w:r>
    </w:p>
    <w:p>
      <w:pPr>
        <w:spacing w:after="0" w:line="242" w:lineRule="exact"/>
        <w:rPr>
          <w:sz w:val="20"/>
          <w:szCs w:val="20"/>
          <w:color w:val="auto"/>
        </w:rPr>
      </w:pPr>
    </w:p>
    <w:p>
      <w:pPr>
        <w:ind w:right="420"/>
        <w:spacing w:after="0" w:line="284" w:lineRule="auto"/>
        <w:rPr>
          <w:sz w:val="20"/>
          <w:szCs w:val="20"/>
          <w:color w:val="auto"/>
        </w:rPr>
      </w:pPr>
      <w:r>
        <w:rPr>
          <w:rFonts w:ascii="Arial" w:cs="Arial" w:eastAsia="Arial" w:hAnsi="Arial"/>
          <w:sz w:val="20"/>
          <w:szCs w:val="20"/>
          <w:b w:val="1"/>
          <w:bCs w:val="1"/>
          <w:i w:val="1"/>
          <w:iCs w:val="1"/>
          <w:color w:val="auto"/>
        </w:rPr>
        <w:t>Note: Management cautions that the stock price performance information shown in the graph above may not be indicative of current stock price levels or future stock price performance.</w:t>
      </w:r>
    </w:p>
    <w:p>
      <w:pPr>
        <w:spacing w:after="0" w:line="174"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The performance graph above assumes $100 was invested on August 31, 2018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2018</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2019</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2020</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Micron Technology, Inc.</w:t>
            </w: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86</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87</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140</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108</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135</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36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S&amp;P 500 Composite Index</w:t>
            </w:r>
          </w:p>
        </w:tc>
        <w:tc>
          <w:tcPr>
            <w:tcW w:w="8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103</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125</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165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146</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Philadelphia Semiconductor Index (SOX)</w:t>
            </w: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110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168</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257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204</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283</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568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6. [RESERVED]</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 2023 10-K</w:t>
      </w:r>
    </w:p>
    <w:p>
      <w:pPr>
        <w:sectPr>
          <w:pgSz w:w="12240" w:h="15840" w:orient="portrait"/>
          <w:cols w:equalWidth="0" w:num="1">
            <w:col w:w="10260"/>
          </w:cols>
          <w:pgMar w:left="1000" w:top="732" w:right="980" w:bottom="0" w:gutter="0" w:footer="0" w:header="0"/>
          <w:type w:val="continuous"/>
        </w:sectPr>
      </w:pPr>
    </w:p>
    <w:bookmarkStart w:id="44" w:name="page45"/>
    <w:bookmarkEnd w:id="44"/>
    <w:p>
      <w:pPr>
        <w:ind w:right="640"/>
        <w:spacing w:after="0" w:line="305" w:lineRule="auto"/>
        <w:rPr>
          <w:sz w:val="20"/>
          <w:szCs w:val="20"/>
          <w:color w:val="auto"/>
        </w:rPr>
      </w:pPr>
      <w:r>
        <w:rPr>
          <w:rFonts w:ascii="Arial Narrow" w:cs="Arial Narrow" w:eastAsia="Arial Narrow" w:hAnsi="Arial Narrow"/>
          <w:sz w:val="28"/>
          <w:szCs w:val="28"/>
          <w:b w:val="1"/>
          <w:bCs w:val="1"/>
          <w:color w:val="auto"/>
        </w:rPr>
        <w:t>ITEM 7. MANAGEMENT’S DISCUSSION AND ANALYSIS OF FINANCIAL CONDITION AND RESULTS OF OPERATIONS</w:t>
      </w:r>
    </w:p>
    <w:p>
      <w:pPr>
        <w:spacing w:after="0" w:line="148" w:lineRule="exact"/>
        <w:rPr>
          <w:sz w:val="20"/>
          <w:szCs w:val="20"/>
          <w:color w:val="auto"/>
        </w:rPr>
      </w:pPr>
    </w:p>
    <w:p>
      <w:pPr>
        <w:jc w:val="both"/>
        <w:ind w:right="220"/>
        <w:spacing w:after="0" w:line="279" w:lineRule="auto"/>
        <w:rPr>
          <w:sz w:val="20"/>
          <w:szCs w:val="20"/>
          <w:color w:val="auto"/>
        </w:rPr>
      </w:pPr>
      <w:r>
        <w:rPr>
          <w:rFonts w:ascii="Arial" w:cs="Arial" w:eastAsia="Arial" w:hAnsi="Arial"/>
          <w:sz w:val="19"/>
          <w:szCs w:val="19"/>
          <w:b w:val="1"/>
          <w:bCs w:val="1"/>
          <w:i w:val="1"/>
          <w:iCs w:val="1"/>
          <w:color w:val="auto"/>
        </w:rPr>
        <w:t>This discussion should be read in conjunction with the consolidated financial statements and accompanying notes for the year ended August 31, 2023. All period references are to our fiscal periods unless otherwise indicated. Our fiscal year is the 52 or 53-week period ending on the Thursday closest to August 31. Fiscal 2023, 2022, and 2021 each contained 52 weeks. All tabular dollar amounts are in millions, except per share amounts.</w:t>
      </w:r>
    </w:p>
    <w:p>
      <w:pPr>
        <w:spacing w:after="0" w:line="7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 overview of our business, see “Part I – Item 1. Business – Overview.”</w:t>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Industry Conditions</w:t>
      </w:r>
    </w:p>
    <w:p>
      <w:pPr>
        <w:spacing w:after="0" w:line="263"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The memory and storage industry environment deteriorated sharply in the fourth quarter of 2022 and throughout 2023 due to weak demand in many end markets combined with global and macroeconomic challenges and lower demand resulting from customer actions to reduce inventory levels. This led to significant reductions in average selling prices for both DRAM and NAND and bit shipments for DRAM, resulting in declines in revenue across all our business segments and nearly all our end markets. Due to the challenging pricing environment, we recognized charges of $1.83 billion in 2023 to write down inventories to their estimated net realizable value. Ongoing demand growth, customer inventory normalization, and industry-wide supply discipline have set the stage for increased revenue, and improved pricing and profitability throughout fiscal 2024. As a result, pricing trends have started to improve and there were no write downs of inventories to net realizable value in the fourth quarter of 2023. However, further write-downs of inventories in future quarters could occur if pricing expectations deteriorate. Given the challenging pricing environment, elevated levels of inventories for suppliers and customers, and significant supply-demand mismatch, we expect industry profitability will remain challenged into 2024.</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As a result of these conditions and increases in our inventory levels, we have reduced capital expenditures and also significantly reduced wafer starts in 2023 for both DRAM and NAND. We expect wafer starts will remain significantly below peak capacity levels for the foreseeable future as we remain focused on managing down our inventories and controlling our supply. We recognized period costs from fabrication facility underutilization of $382 million in 2023 due to wafer start reductions. We estimate that we will recognize approximately $200 million of period costs from underutilization due to wafer start reductions in the first quarter of 2024. We have also taken significant steps to reduce our costs and operating expenses. These actions include the 2023 Restructure Plan discussed below and additional reductions in external spending, including implementing productivity programs across the business, suspension of our 2023 bonus company-wide, reductions in select product programs, lower discretionary spending, and cuts to 2023 executive salaries across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Impact of China Cyberspace Administration Decision</w:t>
      </w:r>
    </w:p>
    <w:p>
      <w:pPr>
        <w:spacing w:after="0" w:line="263"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b w:val="1"/>
          <w:bCs w:val="1"/>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may not purchase Micron products. There is no list of the companies that have been designated as critical information infrastructure operators published by the Chinese government or otherwise available to us. Therefore, the full impact of the CAC decision on our business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1541145</wp:posOffset>
            </wp:positionV>
            <wp:extent cx="736600" cy="200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10260"/>
          </w:cols>
          <w:pgMar w:left="1000" w:top="793" w:right="980" w:bottom="0" w:gutter="0" w:footer="0" w:header="0"/>
          <w:type w:val="continuous"/>
        </w:sectPr>
      </w:pPr>
    </w:p>
    <w:bookmarkStart w:id="45" w:name="page46"/>
    <w:bookmarkEnd w:id="45"/>
    <w:p>
      <w:pPr>
        <w:ind w:right="100"/>
        <w:spacing w:after="0" w:line="268" w:lineRule="auto"/>
        <w:rPr>
          <w:sz w:val="20"/>
          <w:szCs w:val="20"/>
          <w:color w:val="auto"/>
        </w:rPr>
      </w:pPr>
      <w:r>
        <w:rPr>
          <w:rFonts w:ascii="Arial" w:cs="Arial" w:eastAsia="Arial" w:hAnsi="Arial"/>
          <w:sz w:val="19"/>
          <w:szCs w:val="19"/>
          <w:b w:val="1"/>
          <w:bCs w:val="1"/>
          <w:color w:val="auto"/>
        </w:rPr>
        <w:t>The CAC decision has impacted our business, particularly in the domestic data center and networking markets in China. In addition, although demand for DRAM and NAND is improving as customer inventory levels continue to normalize and secular growth drivers remain intact, the CAC decision continues to impact our revenue opportunity in China. This significant headwind is impacting our outlook and slowing our recovery. We are working to mitigate this impact over time and expect quarter-to-quarter revenue variability. Our revenue with companies headquartered in mainland China and Hong Kong, including direct sales as well as indirect sales through distributors, is approximately a quarter of our worldwide revenue and remains our principal exposure to the CAC decision. Although the impact of the CAC decision remains uncertain, we believe that approximately half of that China-headquartered customer revenue, which equates to a low-double-digit percentage of our worldwide revenue, is at risk of being impacted. Despite the near-term impact to our demand as a result of the CAC decision, our long-term goal is to retain our worldwide DRAM and NAND market share.</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2023 Restructure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initiated a restructure plan in response to challenging industry conditions (the “2023 Restructure Plan”). Under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 we expect our headcount reduction to approach 15% by the end of calendar 2023, through a combination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voluntary attrition and personnel reductions. In connection with the plan, we incurred restructure charges of $171</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million in 2023 primarily related to employee severance costs. The 2023 Restructure Plan was substantially</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completed in 2023. As a result of the 2023 Restructure Plan, we expect to realize cost savings of approximately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$130 million per quarter (approximately 60% in cost of goods sold, 30% in R&amp;D, and 10% in SG&amp;A) subsequent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Further information on restructure activities can be found in “Item 8. Financial Statements and Supplementary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 Notes to Consolidated Financial Statements – Restructure and Asset Impairments.”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Lehi, Utah Fab and 3D XPoint</w:t>
      </w: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In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for the sale of our facility located in Lehi, Utah that was dedicated to 3D XPoint production. As a result, we classified the property, plant, and equipment as held for sale in 2021, ceased depreciating the assets, and recognized a $435 million restructure and asset impairment charge and a $104 million tax benefit.</w:t>
      </w:r>
    </w:p>
    <w:p>
      <w:pPr>
        <w:spacing w:after="0" w:line="203" w:lineRule="exact"/>
        <w:rPr>
          <w:sz w:val="20"/>
          <w:szCs w:val="20"/>
          <w:color w:val="auto"/>
        </w:rPr>
      </w:pPr>
    </w:p>
    <w:p>
      <w:pPr>
        <w:ind w:right="380"/>
        <w:spacing w:after="0" w:line="268" w:lineRule="auto"/>
        <w:rPr>
          <w:sz w:val="20"/>
          <w:szCs w:val="20"/>
          <w:color w:val="auto"/>
        </w:rPr>
      </w:pPr>
      <w:r>
        <w:rPr>
          <w:rFonts w:ascii="Arial" w:cs="Arial" w:eastAsia="Arial" w:hAnsi="Arial"/>
          <w:sz w:val="20"/>
          <w:szCs w:val="20"/>
          <w:b w:val="1"/>
          <w:bCs w:val="1"/>
          <w:color w:val="auto"/>
        </w:rPr>
        <w:t>We closed the sale of our Lehi facility to TI in 2022 for $893 million and disposed of $918 million of net assets, consisting primarily of property, plant, and equipment, resulting in a $23 million loss, net of selling expenses and other adjustments.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 2023 10-K</w:t>
      </w:r>
    </w:p>
    <w:p>
      <w:pPr>
        <w:sectPr>
          <w:pgSz w:w="12240" w:h="15840" w:orient="portrait"/>
          <w:cols w:equalWidth="0" w:num="1">
            <w:col w:w="10240"/>
          </w:cols>
          <w:pgMar w:left="1000" w:top="844" w:right="1000" w:bottom="0" w:gutter="0" w:footer="0" w:header="0"/>
          <w:type w:val="continuous"/>
        </w:sectPr>
      </w:pPr>
    </w:p>
    <w:bookmarkStart w:id="46" w:name="page47"/>
    <w:bookmarkEnd w:id="46"/>
    <w:p>
      <w:pPr>
        <w:spacing w:after="0"/>
        <w:rPr>
          <w:sz w:val="20"/>
          <w:szCs w:val="20"/>
          <w:color w:val="auto"/>
        </w:rPr>
      </w:pPr>
      <w:r>
        <w:rPr>
          <w:rFonts w:ascii="Arial Narrow" w:cs="Arial Narrow" w:eastAsia="Arial Narrow" w:hAnsi="Arial Narrow"/>
          <w:sz w:val="44"/>
          <w:szCs w:val="44"/>
          <w:b w:val="1"/>
          <w:bCs w:val="1"/>
          <w:color w:val="auto"/>
        </w:rPr>
        <w:t>Results of Operations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Results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2022</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2021</w:t>
            </w:r>
          </w:p>
        </w:tc>
        <w:tc>
          <w:tcPr>
            <w:tcW w:w="54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30,758</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27,705</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100 %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109 %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16,860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55 %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17,282</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62 %</w:t>
            </w:r>
          </w:p>
        </w:tc>
      </w:tr>
      <w:tr>
        <w:trPr>
          <w:trHeight w:val="277"/>
        </w:trPr>
        <w:tc>
          <w:tcPr>
            <w:tcW w:w="5760" w:type="dxa"/>
            <w:vAlign w:val="bottom"/>
          </w:tcPr>
          <w:p>
            <w:pPr>
              <w:ind w:left="40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13,898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45 %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10,423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38 %</w:t>
            </w:r>
          </w:p>
        </w:tc>
      </w:tr>
      <w:tr>
        <w:trPr>
          <w:trHeight w:val="556"/>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3,116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2,663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6 %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1,066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894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124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(34)</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95</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77"/>
        </w:trPr>
        <w:tc>
          <w:tcPr>
            <w:tcW w:w="5760" w:type="dxa"/>
            <w:vAlign w:val="bottom"/>
          </w:tcPr>
          <w:p>
            <w:pPr>
              <w:ind w:left="40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(5,745)</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9,702</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32 %</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6,283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r>
      <w:tr>
        <w:trPr>
          <w:trHeight w:val="556"/>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Interest income (expense), net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(146)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(394)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45"/>
        </w:trPr>
        <w:tc>
          <w:tcPr>
            <w:tcW w:w="5760" w:type="dxa"/>
            <w:vAlign w:val="bottom"/>
          </w:tcPr>
          <w:p>
            <w:pPr>
              <w:ind w:left="46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8,687</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28 %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5,861</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21 %</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540500" cy="27654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6540500" cy="2765425"/>
                    </a:xfrm>
                    <a:prstGeom prst="rect">
                      <a:avLst/>
                    </a:prstGeom>
                    <a:noFill/>
                  </pic:spPr>
                </pic:pic>
              </a:graphicData>
            </a:graphic>
          </wp:anchor>
        </w:drawing>
      </w:r>
    </w:p>
    <w:p>
      <w:pPr>
        <w:spacing w:after="0" w:line="209" w:lineRule="exact"/>
        <w:rPr>
          <w:sz w:val="20"/>
          <w:szCs w:val="20"/>
          <w:color w:val="auto"/>
        </w:rPr>
      </w:pPr>
    </w:p>
    <w:p>
      <w:pPr>
        <w:ind w:right="720"/>
        <w:spacing w:after="0" w:line="268" w:lineRule="auto"/>
        <w:rPr>
          <w:sz w:val="20"/>
          <w:szCs w:val="20"/>
          <w:color w:val="auto"/>
        </w:rPr>
      </w:pPr>
      <w:r>
        <w:rPr>
          <w:rFonts w:ascii="Arial" w:cs="Arial" w:eastAsia="Arial" w:hAnsi="Arial"/>
          <w:sz w:val="20"/>
          <w:szCs w:val="20"/>
          <w:b w:val="1"/>
          <w:bCs w:val="1"/>
          <w:i w:val="1"/>
          <w:iCs w:val="1"/>
          <w:color w:val="auto"/>
        </w:rPr>
        <w:t xml:space="preserve">Total Revenue: </w:t>
      </w:r>
      <w:r>
        <w:rPr>
          <w:rFonts w:ascii="Arial" w:cs="Arial" w:eastAsia="Arial" w:hAnsi="Arial"/>
          <w:sz w:val="20"/>
          <w:szCs w:val="20"/>
          <w:b w:val="1"/>
          <w:bCs w:val="1"/>
          <w:color w:val="auto"/>
        </w:rPr>
        <w:t>Total revenue for 2023 was adversely impacted by the factors described in the section titled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“Industry Conditions” above. Total revenue for 2023 decreased 49% as compared to 2022 primarily due to decreases in sales of both DRAM and NAND products.</w:t>
      </w:r>
    </w:p>
    <w:p>
      <w:pPr>
        <w:spacing w:after="0" w:line="190" w:lineRule="exact"/>
        <w:rPr>
          <w:sz w:val="20"/>
          <w:szCs w:val="20"/>
          <w:color w:val="auto"/>
        </w:rPr>
      </w:pPr>
    </w:p>
    <w:p>
      <w:pPr>
        <w:ind w:left="720" w:right="540" w:hanging="370"/>
        <w:spacing w:after="0" w:line="260" w:lineRule="auto"/>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Sales of DRAM products decreased 51% primarily due to a high-40s percent range decline in average selling prices and decreases in bit shipments in the high-single-digit percent range.</w:t>
      </w:r>
    </w:p>
    <w:p>
      <w:pPr>
        <w:spacing w:after="0" w:line="1" w:lineRule="exact"/>
        <w:rPr>
          <w:rFonts w:ascii="Arial" w:cs="Arial" w:eastAsia="Arial" w:hAnsi="Arial"/>
          <w:sz w:val="20"/>
          <w:szCs w:val="20"/>
          <w:b w:val="1"/>
          <w:bCs w:val="1"/>
          <w:color w:val="auto"/>
        </w:rPr>
      </w:pPr>
    </w:p>
    <w:p>
      <w:pPr>
        <w:ind w:left="720" w:right="20" w:hanging="370"/>
        <w:spacing w:after="0" w:line="266" w:lineRule="auto"/>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Sales of NAND products decreased 46% primarily due to a low-50s percent range decline in average selling prices partially offset by increases in bit shipments in the high-single-digit percent range.</w:t>
      </w:r>
    </w:p>
    <w:p>
      <w:pPr>
        <w:spacing w:after="0" w:line="190"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b w:val="1"/>
          <w:bCs w:val="1"/>
          <w:color w:val="auto"/>
        </w:rPr>
        <w:t>Total revenue for 2022 increased 11% as compared to 2021 primarily due to increases in sales of both DRAM and NAND products.</w:t>
      </w:r>
    </w:p>
    <w:p>
      <w:pPr>
        <w:spacing w:after="0" w:line="170" w:lineRule="exact"/>
        <w:rPr>
          <w:sz w:val="20"/>
          <w:szCs w:val="20"/>
          <w:color w:val="auto"/>
        </w:rPr>
      </w:pPr>
    </w:p>
    <w:p>
      <w:pPr>
        <w:ind w:left="720" w:hanging="370"/>
        <w:spacing w:after="0"/>
        <w:tabs>
          <w:tab w:leader="none" w:pos="720" w:val="left"/>
        </w:tabs>
        <w:numPr>
          <w:ilvl w:val="0"/>
          <w:numId w:val="20"/>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Sales of DRAM products increased 12% primarily due to increases in bit shipments of slightly over 10%.</w:t>
      </w:r>
    </w:p>
    <w:p>
      <w:pPr>
        <w:spacing w:after="0" w:line="41" w:lineRule="exact"/>
        <w:rPr>
          <w:rFonts w:ascii="Arial" w:cs="Arial" w:eastAsia="Arial" w:hAnsi="Arial"/>
          <w:sz w:val="19"/>
          <w:szCs w:val="19"/>
          <w:b w:val="1"/>
          <w:bCs w:val="1"/>
          <w:i w:val="1"/>
          <w:iCs w:val="1"/>
          <w:color w:val="auto"/>
        </w:rPr>
      </w:pPr>
    </w:p>
    <w:p>
      <w:pPr>
        <w:ind w:left="720" w:right="960" w:hanging="370"/>
        <w:spacing w:after="0" w:line="292" w:lineRule="auto"/>
        <w:tabs>
          <w:tab w:leader="none" w:pos="72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Sales of NAND products increased 11% primarily due to a high-single-digit percent increase in bit shipments and a low-single-digit percent increase in average selling prices.</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i w:val="1"/>
          <w:iCs w:val="1"/>
          <w:color w:val="auto"/>
        </w:rPr>
        <w:t>Consolidated Gross Margin</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Our consolidated gross margin has been adversely impacted by the factors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described in the section titled “Industry Conditions” above. Our consolidated gross margin percentage decreased to negative 9% for 2023 from 45% for 2022 primarily due to declines in average selling prices for both DRAM and NAND and charges to write down inventories (as detailed in “Inventory NRV write-downs” below), and $382 million of facility underutilization costs in 2023.</w:t>
      </w:r>
    </w:p>
    <w:p>
      <w:pPr>
        <w:spacing w:after="0" w:line="199"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b w:val="1"/>
          <w:bCs w:val="1"/>
          <w:i w:val="1"/>
          <w:iCs w:val="1"/>
          <w:u w:val="single" w:color="auto"/>
          <w:color w:val="auto"/>
        </w:rPr>
        <w:t>Inventory NRV write-downs: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Our consolidated gross margin was impacted by charges to write down inventories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their estimated net realizable value as a result of declines in average 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859155</wp:posOffset>
            </wp:positionV>
            <wp:extent cx="736600" cy="200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10260"/>
          </w:cols>
          <w:pgMar w:left="1000" w:top="732" w:right="98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31"/>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Provision to write down inventory to NRV</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ind w:left="780"/>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79"/>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844</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80"/>
              <w:spacing w:after="0"/>
              <w:rPr>
                <w:sz w:val="20"/>
                <w:szCs w:val="20"/>
                <w:color w:val="auto"/>
              </w:rPr>
            </w:pPr>
            <w:r>
              <w:rPr>
                <w:rFonts w:ascii="Arial Narrow" w:cs="Arial Narrow" w:eastAsia="Arial Narrow" w:hAnsi="Arial Narrow"/>
                <w:sz w:val="20"/>
                <w:szCs w:val="20"/>
                <w:color w:val="auto"/>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ind w:left="780"/>
              <w:spacing w:after="0"/>
              <w:rPr>
                <w:sz w:val="20"/>
                <w:szCs w:val="20"/>
                <w:color w:val="auto"/>
              </w:rPr>
            </w:pPr>
            <w:r>
              <w:rPr>
                <w:rFonts w:ascii="Arial Narrow" w:cs="Arial Narrow" w:eastAsia="Arial Narrow" w:hAnsi="Arial Narrow"/>
                <w:sz w:val="20"/>
                <w:szCs w:val="20"/>
                <w:color w:val="auto"/>
              </w:rPr>
              <w:t>—</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5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Our consolidated gross margin percentage increased to 45% for 2022 from 38% for 2021, as a result of improvements in margins for both DRAM and NAND products, primarily due to reductions in manufacturing costs. Manufacturing cost reductions were driven by strong execution in ramping our 1α DRAM and 176-layer NAND technology nodes. For 2021, our gross margins included the impact of underutilization costs at MTU of $335 million. See “Item 8. Financial Statements and Supplementary Data – Notes to Consolidated Financial Statements – Lehi, Utah Fab and 3D XPoint.” Also, effective as of the beginning of the second quarter of 2021, we changed our method of inventory costing from average cost to first-in, first-out (“FIFO”). Concurrently, as of the beginning of the second quarter of 2021, we modified our inventory cost absorption processes used to estimate inventory values, which affects the timing of when costs are recognized. These changes resulted in a one-time increase to cost of goods sold of approximately $293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2023</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2022</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2021</w:t>
            </w:r>
          </w:p>
        </w:tc>
        <w:tc>
          <w:tcPr>
            <w:tcW w:w="48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5,710</w:t>
            </w:r>
          </w:p>
        </w:tc>
        <w:tc>
          <w:tcPr>
            <w:tcW w:w="2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37 % $ 13,693</w:t>
            </w:r>
          </w:p>
        </w:tc>
        <w:tc>
          <w:tcPr>
            <w:tcW w:w="2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45 % $ 12,280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44 %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3,630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7,260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24 %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7,203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26 %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3,637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5,235</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17 %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4,209</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2,553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16 %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4,553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3,973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14 %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45"/>
        </w:trPr>
        <w:tc>
          <w:tcPr>
            <w:tcW w:w="57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$ 30,758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$ 27,705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of total revenue may not total 100%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2023 as compared to 2022 were as follows:</w:t>
      </w:r>
    </w:p>
    <w:p>
      <w:pPr>
        <w:spacing w:after="0" w:line="250" w:lineRule="exact"/>
        <w:rPr>
          <w:sz w:val="20"/>
          <w:szCs w:val="20"/>
          <w:color w:val="auto"/>
        </w:rPr>
      </w:pPr>
    </w:p>
    <w:p>
      <w:pPr>
        <w:ind w:left="720" w:right="60" w:hanging="370"/>
        <w:spacing w:after="0" w:line="260"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CNBU revenue decreased 58% primarily due to declines in average selling prices for DRAM and decreases in bit shipments.</w:t>
      </w:r>
    </w:p>
    <w:p>
      <w:pPr>
        <w:spacing w:after="0" w:line="1" w:lineRule="exact"/>
        <w:rPr>
          <w:rFonts w:ascii="Arial" w:cs="Arial" w:eastAsia="Arial" w:hAnsi="Arial"/>
          <w:sz w:val="20"/>
          <w:szCs w:val="20"/>
          <w:b w:val="1"/>
          <w:bCs w:val="1"/>
          <w:color w:val="auto"/>
        </w:rPr>
      </w:pPr>
    </w:p>
    <w:p>
      <w:pPr>
        <w:ind w:left="720" w:right="80" w:hanging="370"/>
        <w:spacing w:after="0" w:line="250"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MBU revenue decreased 50% primarily due to declines in average selling prices for both DRAM and NAND and decreases in NAND bit shipments.</w:t>
      </w:r>
    </w:p>
    <w:p>
      <w:pPr>
        <w:ind w:left="720" w:right="120" w:hanging="370"/>
        <w:spacing w:after="0" w:line="250"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EBU revenue decreased 31% primarily due to declines in average selling prices for both DRAM and NAND and decreases in bit shipments.</w:t>
      </w:r>
    </w:p>
    <w:p>
      <w:pPr>
        <w:ind w:left="720" w:right="40" w:hanging="370"/>
        <w:spacing w:after="0" w:line="266"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SBU revenue decreased 44% primarily due to declines in average selling prices for NAND partially offset by increases in bit shipments.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2022 as compared to 2021 were as follows:</w:t>
      </w:r>
    </w:p>
    <w:p>
      <w:pPr>
        <w:spacing w:after="0" w:line="250" w:lineRule="exact"/>
        <w:rPr>
          <w:sz w:val="20"/>
          <w:szCs w:val="20"/>
          <w:color w:val="auto"/>
        </w:rPr>
      </w:pPr>
    </w:p>
    <w:p>
      <w:pPr>
        <w:ind w:left="720" w:right="860" w:hanging="370"/>
        <w:spacing w:after="0" w:line="260"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CNBU revenue increased 12% primarily due to increases in bit shipments to cloud, enterprise, and networking markets.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MBU revenue was relatively unchanged as both DRAM and NAND revenue was relatively flat.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EBU revenue increased 24% primarily due to strong demand growth in industrial and automotive markets.</w:t>
      </w:r>
    </w:p>
    <w:p>
      <w:pPr>
        <w:spacing w:after="0" w:line="33" w:lineRule="exact"/>
        <w:rPr>
          <w:rFonts w:ascii="Arial" w:cs="Arial" w:eastAsia="Arial" w:hAnsi="Arial"/>
          <w:sz w:val="18"/>
          <w:szCs w:val="18"/>
          <w:b w:val="1"/>
          <w:bCs w:val="1"/>
          <w:color w:val="auto"/>
        </w:rPr>
      </w:pPr>
    </w:p>
    <w:p>
      <w:pPr>
        <w:ind w:left="720" w:right="260" w:hanging="370"/>
        <w:spacing w:after="0" w:line="266"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SBU revenue increased 15% primarily due to higher average selling prices and increases in shipments of SSD products.</w:t>
      </w:r>
    </w:p>
    <w:p>
      <w:pPr>
        <w:sectPr>
          <w:pgSz w:w="12240" w:h="15840" w:orient="portrait"/>
          <w:cols w:equalWidth="0" w:num="1">
            <w:col w:w="10260"/>
          </w:cols>
          <w:pgMar w:left="1000" w:top="92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 2023 10-K</w:t>
      </w:r>
    </w:p>
    <w:p>
      <w:pPr>
        <w:sectPr>
          <w:pgSz w:w="12240" w:h="15840" w:orient="portrait"/>
          <w:cols w:equalWidth="0" w:num="1">
            <w:col w:w="10260"/>
          </w:cols>
          <w:pgMar w:left="1000" w:top="921" w:right="98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4"/>
          <w:szCs w:val="24"/>
          <w:b w:val="1"/>
          <w:bCs w:val="1"/>
          <w:color w:val="auto"/>
        </w:rPr>
        <w:t>Operating Income (Loss)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2022</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2021</w:t>
            </w:r>
          </w:p>
        </w:tc>
        <w:tc>
          <w:tcPr>
            <w:tcW w:w="48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(585)</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5,844</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43 % $</w:t>
            </w:r>
          </w:p>
        </w:tc>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4,295</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35 %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(1,750)</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2,160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30 %</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2,173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30 %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382</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1,752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33 %</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1,006</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24 %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(1,887)</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(74)%</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11 %</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173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80 %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71 %</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50 %</w:t>
            </w:r>
          </w:p>
        </w:tc>
      </w:tr>
      <w:tr>
        <w:trPr>
          <w:trHeight w:val="245"/>
        </w:trPr>
        <w:tc>
          <w:tcPr>
            <w:tcW w:w="57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(3,832)</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10,281</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7,667</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reflect operating income (loss) as a percentage of revenue for each business unit.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2023 as compared to 2022 were as follows:</w:t>
      </w:r>
    </w:p>
    <w:p>
      <w:pPr>
        <w:spacing w:after="0" w:line="250" w:lineRule="exact"/>
        <w:rPr>
          <w:sz w:val="20"/>
          <w:szCs w:val="20"/>
          <w:color w:val="auto"/>
        </w:rPr>
      </w:pPr>
    </w:p>
    <w:p>
      <w:pPr>
        <w:ind w:left="720" w:right="120" w:hanging="370"/>
        <w:spacing w:after="0" w:line="26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CNBU operating income (loss) deteriorated primarily due to declines in average selling prices and lower bit shipments.</w:t>
      </w:r>
    </w:p>
    <w:p>
      <w:pPr>
        <w:spacing w:after="0" w:line="1" w:lineRule="exact"/>
        <w:rPr>
          <w:rFonts w:ascii="Arial" w:cs="Arial" w:eastAsia="Arial" w:hAnsi="Arial"/>
          <w:sz w:val="20"/>
          <w:szCs w:val="20"/>
          <w:b w:val="1"/>
          <w:bCs w:val="1"/>
          <w:color w:val="auto"/>
        </w:rPr>
      </w:pPr>
    </w:p>
    <w:p>
      <w:pPr>
        <w:ind w:left="720" w:right="520" w:hanging="370"/>
        <w:spacing w:after="0" w:line="25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MBU operating income (loss) deteriorated primarily due to declines in average selling prices and lower NAND bit shipments.</w:t>
      </w:r>
    </w:p>
    <w:p>
      <w:pPr>
        <w:ind w:left="720" w:right="960" w:hanging="370"/>
        <w:spacing w:after="0" w:line="25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EBU operating income decreased primarily due to declines in average selling prices and lower bit shipments.</w:t>
      </w: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SBU operating income (loss) deteriorated primarily due to declines in average selling prices.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2022 as compared to 2021 were as follows:</w:t>
      </w:r>
    </w:p>
    <w:p>
      <w:pPr>
        <w:spacing w:after="0" w:line="250" w:lineRule="exact"/>
        <w:rPr>
          <w:sz w:val="20"/>
          <w:szCs w:val="20"/>
          <w:color w:val="auto"/>
        </w:rPr>
      </w:pPr>
    </w:p>
    <w:p>
      <w:pPr>
        <w:ind w:left="720" w:hanging="370"/>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CNBU operating income increased primarily due to higher bit shipments and manufacturing cost reductions.</w:t>
      </w:r>
    </w:p>
    <w:p>
      <w:pPr>
        <w:spacing w:after="0" w:line="53" w:lineRule="exact"/>
        <w:rPr>
          <w:rFonts w:ascii="Arial" w:cs="Arial" w:eastAsia="Arial" w:hAnsi="Arial"/>
          <w:sz w:val="18"/>
          <w:szCs w:val="18"/>
          <w:b w:val="1"/>
          <w:bCs w:val="1"/>
          <w:color w:val="auto"/>
        </w:rPr>
      </w:pPr>
    </w:p>
    <w:p>
      <w:pPr>
        <w:ind w:left="720" w:right="80" w:hanging="370"/>
        <w:spacing w:after="0" w:line="250"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MBU operating income was relatively unchanged as slight increases in gross margins were offset by higher operating expenses.</w:t>
      </w:r>
    </w:p>
    <w:p>
      <w:pPr>
        <w:ind w:left="720" w:right="200" w:hanging="370"/>
        <w:spacing w:after="0" w:line="250"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EBU operating income increased primarily due to manufacturing cost reductions from an increasing mix of leading-edge bits, higher bit shipments, and improved DRAM pricing in industrial and consumer markets, partially offset by higher R&amp;D expenses.</w:t>
      </w:r>
    </w:p>
    <w:p>
      <w:pPr>
        <w:spacing w:after="0" w:line="1" w:lineRule="exact"/>
        <w:rPr>
          <w:rFonts w:ascii="Arial" w:cs="Arial" w:eastAsia="Arial" w:hAnsi="Arial"/>
          <w:sz w:val="20"/>
          <w:szCs w:val="20"/>
          <w:b w:val="1"/>
          <w:bCs w:val="1"/>
          <w:color w:val="auto"/>
        </w:rPr>
      </w:pPr>
    </w:p>
    <w:p>
      <w:pPr>
        <w:ind w:left="720" w:right="80" w:hanging="370"/>
        <w:spacing w:after="0" w:line="258"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SBU operating income increased primarily due to improved product mix driving increases in average selling prices, increases in SSD shipments, and manufacturing cost reductions, partially offset by higher R&amp;D expenses.</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Operating Expenses and Other</w:t>
      </w:r>
    </w:p>
    <w:p>
      <w:pPr>
        <w:spacing w:after="0" w:line="26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b w:val="1"/>
          <w:bCs w:val="1"/>
          <w:i w:val="1"/>
          <w:iCs w:val="1"/>
          <w:color w:val="auto"/>
        </w:rPr>
        <w:t xml:space="preserve">Research and Development: </w:t>
      </w:r>
      <w:r>
        <w:rPr>
          <w:rFonts w:ascii="Arial" w:cs="Arial" w:eastAsia="Arial" w:hAnsi="Arial"/>
          <w:sz w:val="20"/>
          <w:szCs w:val="20"/>
          <w:b w:val="1"/>
          <w:bCs w:val="1"/>
          <w:color w:val="auto"/>
        </w:rPr>
        <w:t>R&amp;D expenses vary primarily with the number of development and pre-qualification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color w:val="auto"/>
        </w:rPr>
        <w:t>R&amp;D expenses for 2023 were relatively unchanged as compared to 2022 as decreases in employee compensation were offset by higher depreciation expense. R&amp;D expenses for 2022 increased 17% as compared to 2021 primarily due to higher employee compensation from increases in headcount, higher volumes of development and prequalification wafers, and higher depreciation expense.</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i w:val="1"/>
          <w:iCs w:val="1"/>
          <w:color w:val="auto"/>
        </w:rPr>
        <w:t xml:space="preserve">Selling, General, and Administrative: </w:t>
      </w:r>
      <w:r>
        <w:rPr>
          <w:rFonts w:ascii="Arial" w:cs="Arial" w:eastAsia="Arial" w:hAnsi="Arial"/>
          <w:sz w:val="20"/>
          <w:szCs w:val="20"/>
          <w:b w:val="1"/>
          <w:bCs w:val="1"/>
          <w:color w:val="auto"/>
        </w:rPr>
        <w:t>SG&amp;A expenses for 2023 were 14% lower as compared to 2022 primarily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due to decreases in employee compensation, legal fees, advertising, and professional services. SG&amp;A expenses for 2022 were 19% higher as compared to 2021 primarily due to increases in employee compensation, professional services, and legal fees.</w:t>
      </w:r>
    </w:p>
    <w:p>
      <w:pPr>
        <w:spacing w:after="0" w:line="196"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b w:val="1"/>
          <w:bCs w:val="1"/>
          <w:i w:val="1"/>
          <w:iCs w:val="1"/>
          <w:color w:val="auto"/>
        </w:rPr>
        <w:t xml:space="preserve">Restructure and Asset Impairments: </w:t>
      </w:r>
      <w:r>
        <w:rPr>
          <w:rFonts w:ascii="Arial" w:cs="Arial" w:eastAsia="Arial" w:hAnsi="Arial"/>
          <w:sz w:val="20"/>
          <w:szCs w:val="20"/>
          <w:b w:val="1"/>
          <w:bCs w:val="1"/>
          <w:color w:val="auto"/>
        </w:rPr>
        <w:t>For a discussion of restructure and asset impairments, see the Overview</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sections above titled “2023 Restructure Plan” and “Lehi, Utah Fab and 3D XPoint.”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487045</wp:posOffset>
            </wp:positionV>
            <wp:extent cx="736600" cy="200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10260"/>
          </w:cols>
          <w:pgMar w:left="1000" w:top="833" w:right="980" w:bottom="0" w:gutter="0" w:footer="0" w:header="0"/>
          <w:type w:val="continuous"/>
        </w:sectPr>
      </w:pPr>
    </w:p>
    <w:bookmarkStart w:id="49" w:name="page50"/>
    <w:bookmarkEnd w:id="49"/>
    <w:p>
      <w:pPr>
        <w:ind w:right="80"/>
        <w:spacing w:after="0" w:line="259" w:lineRule="auto"/>
        <w:rPr>
          <w:sz w:val="20"/>
          <w:szCs w:val="20"/>
          <w:color w:val="auto"/>
        </w:rPr>
      </w:pPr>
      <w:r>
        <w:rPr>
          <w:rFonts w:ascii="Arial" w:cs="Arial" w:eastAsia="Arial" w:hAnsi="Arial"/>
          <w:sz w:val="20"/>
          <w:szCs w:val="20"/>
          <w:b w:val="1"/>
          <w:bCs w:val="1"/>
          <w:i w:val="1"/>
          <w:iCs w:val="1"/>
          <w:color w:val="auto"/>
        </w:rPr>
        <w:t>Interest Income (Expense), Net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Interest income (expense) improved for 2023 as compared to 2022 primarily as a</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result of increases in interest income due to higher interest rates on our cash and investments, partially offset by increases in interest expense due to higher debt balances and interest rates. Interest income (expense) improved for 2022 as compared to 2021 primarily due to an increase of $59 million in interest income as a result of increases in interest rates on our cash and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b w:val="1"/>
          <w:bCs w:val="1"/>
          <w:color w:val="auto"/>
        </w:rPr>
        <w:t>Our income tax (provision) benefit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Income (loss) before taxes</w:t>
            </w:r>
          </w:p>
        </w:tc>
        <w:tc>
          <w:tcPr>
            <w:tcW w:w="236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(5,658)</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9,571</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6,218</w:t>
            </w:r>
          </w:p>
        </w:tc>
      </w:tr>
      <w:tr>
        <w:trPr>
          <w:trHeight w:val="285"/>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236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(177)</w:t>
            </w:r>
          </w:p>
        </w:tc>
        <w:tc>
          <w:tcPr>
            <w:tcW w:w="30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(888)</w:t>
            </w:r>
          </w:p>
        </w:tc>
        <w:tc>
          <w:tcPr>
            <w:tcW w:w="30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(394)</w:t>
            </w:r>
          </w:p>
        </w:tc>
      </w:tr>
      <w:tr>
        <w:trPr>
          <w:trHeight w:val="285"/>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Effective tax rate</w:t>
            </w:r>
          </w:p>
        </w:tc>
        <w:tc>
          <w:tcPr>
            <w:tcW w:w="2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9.3 %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-547370</wp:posOffset>
            </wp:positionV>
            <wp:extent cx="6540500" cy="568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77" w:lineRule="exact"/>
        <w:rPr>
          <w:sz w:val="20"/>
          <w:szCs w:val="20"/>
          <w:color w:val="auto"/>
        </w:rPr>
      </w:pPr>
    </w:p>
    <w:p>
      <w:pPr>
        <w:ind w:right="160"/>
        <w:spacing w:after="0" w:line="295" w:lineRule="auto"/>
        <w:rPr>
          <w:sz w:val="20"/>
          <w:szCs w:val="20"/>
          <w:color w:val="auto"/>
        </w:rPr>
      </w:pPr>
      <w:r>
        <w:rPr>
          <w:rFonts w:ascii="Arial" w:cs="Arial" w:eastAsia="Arial" w:hAnsi="Arial"/>
          <w:sz w:val="18"/>
          <w:szCs w:val="18"/>
          <w:b w:val="1"/>
          <w:bCs w:val="1"/>
          <w:color w:val="auto"/>
        </w:rPr>
        <w:t>The change in our effective tax rate for 2023 as compared to 2022 was primarily due to a pre-tax loss in 2023. Despite a consolidated pre-tax loss on a worldwide basis, we have taxes payable in certain geographies due to minimum taxable income reportable in those geographies. Our effective tax rate increased in 2022 as compared to 2021 primarily due to the geographic mix of our earnings and a valuation allowance recorded against our Idaho deferred tax assets of $189 million, partially offset by tax impacts of changes in foreign currency exchange rates.</w:t>
      </w:r>
    </w:p>
    <w:p>
      <w:pPr>
        <w:spacing w:after="0" w:line="16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geographical mix of income, the benefit from tax incentive arrangements was not material for 2023. The effect of tax incentive arrangements reduced our tax provision by $1.12 billion (benefiting our diluted earnings per share by $1.00) for 2022 and by $758 million ($0.66 per diluted share) for 2021.</w:t>
      </w:r>
    </w:p>
    <w:p>
      <w:pPr>
        <w:spacing w:after="0" w:line="189" w:lineRule="exact"/>
        <w:rPr>
          <w:sz w:val="20"/>
          <w:szCs w:val="20"/>
          <w:color w:val="auto"/>
        </w:rPr>
      </w:pPr>
    </w:p>
    <w:p>
      <w:pPr>
        <w:ind w:right="540"/>
        <w:spacing w:after="0" w:line="262" w:lineRule="auto"/>
        <w:rPr>
          <w:sz w:val="20"/>
          <w:szCs w:val="20"/>
          <w:color w:val="auto"/>
        </w:rPr>
      </w:pPr>
      <w:r>
        <w:rPr>
          <w:rFonts w:ascii="Arial" w:cs="Arial" w:eastAsia="Arial" w:hAnsi="Arial"/>
          <w:sz w:val="20"/>
          <w:szCs w:val="20"/>
          <w:b w:val="1"/>
          <w:bCs w:val="1"/>
          <w:color w:val="auto"/>
        </w:rPr>
        <w:t>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w:t>
      </w:r>
    </w:p>
    <w:p>
      <w:pPr>
        <w:spacing w:after="0" w:line="196" w:lineRule="exact"/>
        <w:rPr>
          <w:sz w:val="20"/>
          <w:szCs w:val="20"/>
          <w:color w:val="auto"/>
        </w:rPr>
      </w:pPr>
    </w:p>
    <w:p>
      <w:pPr>
        <w:ind w:right="580"/>
        <w:spacing w:after="0" w:line="268" w:lineRule="auto"/>
        <w:rPr>
          <w:sz w:val="20"/>
          <w:szCs w:val="20"/>
          <w:color w:val="auto"/>
        </w:rPr>
      </w:pPr>
      <w:r>
        <w:rPr>
          <w:rFonts w:ascii="Arial" w:cs="Arial" w:eastAsia="Arial" w:hAnsi="Arial"/>
          <w:sz w:val="20"/>
          <w:szCs w:val="20"/>
          <w:b w:val="1"/>
          <w:bCs w:val="1"/>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b w:val="1"/>
          <w:bCs w:val="1"/>
          <w:color w:val="auto"/>
        </w:rPr>
        <w:t>Further information can be found in the following notes contained in “Item 8. Financial Statements and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Supplementary Data – Notes to Consolidated Financial Statements”:</w:t>
      </w:r>
    </w:p>
    <w:p>
      <w:pPr>
        <w:spacing w:after="0" w:line="230" w:lineRule="exact"/>
        <w:rPr>
          <w:sz w:val="20"/>
          <w:szCs w:val="20"/>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Lehi, Utah Fab and 3D XPoint</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Equity Plans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Restructure and Asset Impairments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Expense, Net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Other Non-Operating Income (Expense), Net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46 | 2023 10-K</w:t>
      </w:r>
    </w:p>
    <w:p>
      <w:pPr>
        <w:sectPr>
          <w:pgSz w:w="12240" w:h="15840" w:orient="portrait"/>
          <w:cols w:equalWidth="0" w:num="1">
            <w:col w:w="10260"/>
          </w:cols>
          <w:pgMar w:left="1000" w:top="844" w:right="980" w:bottom="0" w:gutter="0" w:footer="0" w:header="0"/>
          <w:type w:val="continuous"/>
        </w:sectPr>
      </w:pPr>
    </w:p>
    <w:bookmarkStart w:id="50" w:name="page51"/>
    <w:bookmarkEnd w:id="50"/>
    <w:p>
      <w:pPr>
        <w:spacing w:after="0"/>
        <w:rPr>
          <w:sz w:val="20"/>
          <w:szCs w:val="20"/>
          <w:color w:val="auto"/>
        </w:rPr>
      </w:pPr>
      <w:r>
        <w:rPr>
          <w:rFonts w:ascii="Arial Narrow" w:cs="Arial Narrow" w:eastAsia="Arial Narrow" w:hAnsi="Arial Narrow"/>
          <w:sz w:val="44"/>
          <w:szCs w:val="44"/>
          <w:b w:val="1"/>
          <w:bCs w:val="1"/>
          <w:color w:val="auto"/>
        </w:rPr>
        <w:t>Liquidity and Capital Resources</w:t>
      </w:r>
    </w:p>
    <w:p>
      <w:pPr>
        <w:spacing w:after="0" w:line="375"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$10.44 billion as of August 31, 2023, and $10.98 billion as of September 1, 2022.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31, 2023, $2.45 billion of our cash and marketable investments was held by our foreign subsidiaries.</w:t>
      </w:r>
    </w:p>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We continuously evaluate alternatives for efficiently funding our capital expenditures and ongoing operations. We expect, from time to time, to engage in a variety of financing transactions for such purposes, including the issuance of securities. As of August 31, 2023, $2.50 billion was available to draw under our Revolving Credit Facility. On March 27, 2023, we entered into amendments to the Multi-Tranche Term Loan Agreement and the agreements governing the Revolving Credit Facility and the 2024 Term Loan A to revise the leverage ratio covenant in each such agreement, as further described in “Item 8. Financial Statements and Supplementary Data – Notes to Consolidated Financial Statements – Debt.” Funding of certain significant capital projects is also dependent on the receipt of government incentives, which are subject to conditions and may not be obtained.</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2024 for property, plant, and equipment, net of partner contributions, to be slightly above $7 billion. Actual amounts for 2024 will vary depending on market conditions. As of August 31, 2023, we had purchase obligations of approximately $915 million for the acquisition of property, plant, and equipment, of which approximately $812 million is expected to be paid within one year. For a description of other contractual obligations, such as leases, debt, and commitments, see “Item 8. Financial Statements and Supplementary Data – Notes to Consolidated Financial Statements – Leases,” “ – Debt,” and “ – Commitments.”</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and our ongoing determination of the best use of available cash. Through August 31, 2023, we had repurchased an aggregate of $6.89 billion of the authorized amount. See “Item 8. Financial Statements and Supplementary Data – Notes to Consolidated Financial Statements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535305</wp:posOffset>
            </wp:positionV>
            <wp:extent cx="736600" cy="200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10260"/>
          </w:cols>
          <w:pgMar w:left="1000" w:top="732" w:right="980" w:bottom="0" w:gutter="0" w:footer="0" w:header="0"/>
          <w:type w:val="continuous"/>
        </w:sectPr>
      </w:pPr>
    </w:p>
    <w:bookmarkStart w:id="51" w:name="page52"/>
    <w:bookmarkEnd w:id="51"/>
    <w:p>
      <w:pPr>
        <w:ind w:right="20"/>
        <w:spacing w:after="0" w:line="272" w:lineRule="auto"/>
        <w:rPr>
          <w:sz w:val="20"/>
          <w:szCs w:val="20"/>
          <w:color w:val="auto"/>
        </w:rPr>
      </w:pPr>
      <w:r>
        <w:rPr>
          <w:rFonts w:ascii="Arial" w:cs="Arial" w:eastAsia="Arial" w:hAnsi="Arial"/>
          <w:sz w:val="19"/>
          <w:szCs w:val="19"/>
          <w:b w:val="1"/>
          <w:bCs w:val="1"/>
          <w:color w:val="auto"/>
        </w:rPr>
        <w:t>On September 27, 2023, our Board of Directors declared a quarterly dividend of $0.115 per share, payable in cash on October 25, 2023, to shareholders of record as of the close of business on October 10, 2023.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87" w:lineRule="exact"/>
        <w:rPr>
          <w:sz w:val="20"/>
          <w:szCs w:val="20"/>
          <w:color w:val="auto"/>
        </w:rPr>
      </w:pPr>
    </w:p>
    <w:p>
      <w:pPr>
        <w:ind w:right="300"/>
        <w:spacing w:after="0" w:line="345" w:lineRule="auto"/>
        <w:rPr>
          <w:sz w:val="20"/>
          <w:szCs w:val="20"/>
          <w:color w:val="auto"/>
        </w:rPr>
      </w:pPr>
      <w:r>
        <w:rPr>
          <w:rFonts w:ascii="Arial" w:cs="Arial" w:eastAsia="Arial" w:hAnsi="Arial"/>
          <w:sz w:val="18"/>
          <w:szCs w:val="18"/>
          <w:b w:val="1"/>
          <w:bCs w:val="1"/>
          <w:color w:val="auto"/>
        </w:rPr>
        <w:t>We expect that our cash and investments, cash flows from operations, and available financing will be sufficient to meet our requirements at least through the next 12 months and thereafter for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1,559</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15,181</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12,468</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(used for) investing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(6,191)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(11,585)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(10,589)</w:t>
            </w: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4,983</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(2,980)</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(1,781)</w:t>
            </w:r>
          </w:p>
        </w:tc>
        <w:tc>
          <w:tcPr>
            <w:tcW w:w="0" w:type="dxa"/>
            <w:vAlign w:val="bottom"/>
          </w:tcPr>
          <w:p>
            <w:pPr>
              <w:spacing w:after="0"/>
              <w:rPr>
                <w:sz w:val="1"/>
                <w:szCs w:val="1"/>
                <w:color w:val="auto"/>
              </w:rPr>
            </w:pPr>
          </w:p>
        </w:tc>
      </w:tr>
      <w:tr>
        <w:trPr>
          <w:trHeight w:val="217"/>
        </w:trPr>
        <w:tc>
          <w:tcPr>
            <w:tcW w:w="6340" w:type="dxa"/>
            <w:vAlign w:val="bottom"/>
          </w:tcPr>
          <w:p>
            <w:pPr>
              <w:ind w:left="40"/>
              <w:spacing w:after="0" w:line="218" w:lineRule="exact"/>
              <w:rPr>
                <w:sz w:val="20"/>
                <w:szCs w:val="20"/>
                <w:color w:val="auto"/>
              </w:rPr>
            </w:pPr>
            <w:r>
              <w:rPr>
                <w:rFonts w:ascii="Arial Narrow" w:cs="Arial Narrow" w:eastAsia="Arial Narrow" w:hAnsi="Arial Narrow"/>
                <w:sz w:val="20"/>
                <w:szCs w:val="20"/>
                <w:color w:val="auto"/>
              </w:rPr>
              <w:t>Effect of changes in currency exchange rates on cash, cash equivalents, and</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w:t>
            </w: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(106)</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41</w:t>
            </w:r>
          </w:p>
        </w:tc>
        <w:tc>
          <w:tcPr>
            <w:tcW w:w="0" w:type="dxa"/>
            <w:vAlign w:val="bottom"/>
          </w:tcPr>
          <w:p>
            <w:pPr>
              <w:spacing w:after="0"/>
              <w:rPr>
                <w:sz w:val="1"/>
                <w:szCs w:val="1"/>
                <w:color w:val="auto"/>
              </w:rPr>
            </w:pPr>
          </w:p>
        </w:tc>
      </w:tr>
      <w:tr>
        <w:trPr>
          <w:trHeight w:val="262"/>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restricted cash</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510</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-1050290</wp:posOffset>
            </wp:positionV>
            <wp:extent cx="6553200" cy="1069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553200" cy="1069975"/>
                    </a:xfrm>
                    <a:prstGeom prst="rect">
                      <a:avLst/>
                    </a:prstGeom>
                    <a:noFill/>
                  </pic:spPr>
                </pic:pic>
              </a:graphicData>
            </a:graphic>
          </wp:anchor>
        </w:drawing>
      </w:r>
    </w:p>
    <w:p>
      <w:pPr>
        <w:spacing w:after="0" w:line="235"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b w:val="1"/>
          <w:bCs w:val="1"/>
          <w:i w:val="1"/>
          <w:iCs w:val="1"/>
          <w:color w:val="auto"/>
        </w:rPr>
        <w:t xml:space="preserve">Operating Activities: </w:t>
      </w:r>
      <w:r>
        <w:rPr>
          <w:rFonts w:ascii="Arial" w:cs="Arial" w:eastAsia="Arial" w:hAnsi="Arial"/>
          <w:sz w:val="19"/>
          <w:szCs w:val="19"/>
          <w:b w:val="1"/>
          <w:bCs w:val="1"/>
          <w:color w:val="auto"/>
        </w:rPr>
        <w:t>Cash provided by operating activities reflects net income (loss) adjusted for certain non-cash</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items, including depreciation expense, amortization of intangible assets, inventory write-downs, asset impairments, and stock-based compensation, and the effects of changes in operating assets and liabilities. The decrease in cash provided by operating activities for 2023 as compared to 2022 was primarily due to a net loss in the current year adjusted for non-cash items and the effect of an increase in inventories and a decline in accounts payable and accrued expenses, partially offset by a decrease in receivables.</w:t>
      </w:r>
    </w:p>
    <w:p>
      <w:pPr>
        <w:spacing w:after="0" w:line="189" w:lineRule="exact"/>
        <w:rPr>
          <w:sz w:val="20"/>
          <w:szCs w:val="20"/>
          <w:color w:val="auto"/>
        </w:rPr>
      </w:pPr>
    </w:p>
    <w:p>
      <w:pPr>
        <w:ind w:right="40"/>
        <w:spacing w:after="0" w:line="345" w:lineRule="auto"/>
        <w:rPr>
          <w:sz w:val="20"/>
          <w:szCs w:val="20"/>
          <w:color w:val="auto"/>
        </w:rPr>
      </w:pPr>
      <w:r>
        <w:rPr>
          <w:rFonts w:ascii="Arial" w:cs="Arial" w:eastAsia="Arial" w:hAnsi="Arial"/>
          <w:sz w:val="18"/>
          <w:szCs w:val="18"/>
          <w:b w:val="1"/>
          <w:bCs w:val="1"/>
          <w:color w:val="auto"/>
        </w:rPr>
        <w:t>The increase in cash provided by operating activities for 2022 as compared to 2021 was primarily due to higher net income adjusted for non-cash items and the effect of lower receivables, partially offset by an increase in inventories.</w:t>
      </w:r>
    </w:p>
    <w:p>
      <w:pPr>
        <w:spacing w:after="0" w:line="125" w:lineRule="exact"/>
        <w:rPr>
          <w:sz w:val="20"/>
          <w:szCs w:val="20"/>
          <w:color w:val="auto"/>
        </w:rPr>
      </w:pPr>
    </w:p>
    <w:p>
      <w:pPr>
        <w:ind w:right="40"/>
        <w:spacing w:after="0" w:line="311"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b w:val="1"/>
          <w:bCs w:val="1"/>
          <w:color w:val="auto"/>
        </w:rPr>
        <w:t>For 2023, net cash used for investing activities consisted primarily of $7.68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expenditures for property, plant, and equipment; contributions of $710 million received from partners to offset capital expenditures; and $868 million of net inflows from maturities, sales, and purchases of available-for-sale securities.</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For 2022, net cash used for investing activities consisted primarily of $12.07 billion of expenditures for property, plant, and equipment; contributions of $115 million received from partners to offset capital expenditures; $888 million of net inflows from the sale of the Lehi, Utah fab; and $155 million of net outflows from purchases, sales, and maturities of available-for-sale securities.</w:t>
      </w:r>
    </w:p>
    <w:p>
      <w:pPr>
        <w:spacing w:after="0" w:line="196" w:lineRule="exact"/>
        <w:rPr>
          <w:sz w:val="20"/>
          <w:szCs w:val="20"/>
          <w:color w:val="auto"/>
        </w:rPr>
      </w:pPr>
    </w:p>
    <w:p>
      <w:pPr>
        <w:ind w:right="80"/>
        <w:spacing w:after="0" w:line="311" w:lineRule="auto"/>
        <w:rPr>
          <w:sz w:val="20"/>
          <w:szCs w:val="20"/>
          <w:color w:val="auto"/>
        </w:rPr>
      </w:pPr>
      <w:r>
        <w:rPr>
          <w:rFonts w:ascii="Arial" w:cs="Arial" w:eastAsia="Arial" w:hAnsi="Arial"/>
          <w:sz w:val="18"/>
          <w:szCs w:val="18"/>
          <w:b w:val="1"/>
          <w:bCs w:val="1"/>
          <w:color w:val="auto"/>
        </w:rPr>
        <w:t>For 2021, net cash used for investing activities consisted primarily of $10.03 billion of expenditures for property, plant, and equipment, partially offset by contributions of $502 million received from partners to offset capital expenditures, and $1.06 billion of net outflows from purchases, sales, and maturities of available-for-sale securities.</w:t>
      </w:r>
    </w:p>
    <w:p>
      <w:pPr>
        <w:spacing w:after="0" w:line="155"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i w:val="1"/>
          <w:iCs w:val="1"/>
          <w:color w:val="auto"/>
        </w:rPr>
        <w:t xml:space="preserve">Financing Activities: </w:t>
      </w:r>
      <w:r>
        <w:rPr>
          <w:rFonts w:ascii="Arial" w:cs="Arial" w:eastAsia="Arial" w:hAnsi="Arial"/>
          <w:sz w:val="20"/>
          <w:szCs w:val="20"/>
          <w:b w:val="1"/>
          <w:bCs w:val="1"/>
          <w:color w:val="auto"/>
        </w:rPr>
        <w:t>For 2023, net cash provided by financing activities consisted primarily of $3.20 billion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proceeds from our 2025, 2026, and 2027 Term Loan A borrowings, $1.27 billion from the issuance of the 2029 B Notes, $896 million from the issuance of the 2033 B Notes, $749 million from the issuance of the 2033 A Notes, and $599 million from the issuance of the 2028 Notes. Cash used for financing activities included $761 million for repayments of debt, $504 million for payments of dividends to shareholders, $425 million for the acquisition of 8.6 million shares of our common stock under our share repurchase authorization, and $138 million of payments on equipment purchase contracts.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48 | 2023 10-K</w:t>
      </w:r>
    </w:p>
    <w:p>
      <w:pPr>
        <w:sectPr>
          <w:pgSz w:w="12240" w:h="15840" w:orient="portrait"/>
          <w:cols w:equalWidth="0" w:num="1">
            <w:col w:w="10260"/>
          </w:cols>
          <w:pgMar w:left="1000" w:top="844" w:right="980" w:bottom="0" w:gutter="0" w:footer="0" w:header="0"/>
          <w:type w:val="continuous"/>
        </w:sectPr>
      </w:pPr>
    </w:p>
    <w:bookmarkStart w:id="52" w:name="page53"/>
    <w:bookmarkEnd w:id="52"/>
    <w:p>
      <w:pPr>
        <w:ind w:right="100"/>
        <w:spacing w:after="0" w:line="295" w:lineRule="auto"/>
        <w:rPr>
          <w:sz w:val="20"/>
          <w:szCs w:val="20"/>
          <w:color w:val="auto"/>
        </w:rPr>
      </w:pPr>
      <w:r>
        <w:rPr>
          <w:rFonts w:ascii="Arial" w:cs="Arial" w:eastAsia="Arial" w:hAnsi="Arial"/>
          <w:sz w:val="18"/>
          <w:szCs w:val="18"/>
          <w:b w:val="1"/>
          <w:bCs w:val="1"/>
          <w:color w:val="auto"/>
        </w:rPr>
        <w:t>For 2022, net cash used for financing activities included $2.43 billion for the acquisition of 35.4 million shares of our common stock under our share repurchase authorization, $2.03 billion of repayments of debt primarily to redeem the 2023 Notes and 2024 Notes, $461 million of cash payments of dividends to shareholders, and $141 million of payments on equipment purchase contracts. Cash used for financing activities was partially offset by aggregate proceeds of $2.00 billion from the issuance of the unsecured 2032 Green Bonds, 2041 Notes, and 2051 Notes.</w:t>
      </w:r>
    </w:p>
    <w:p>
      <w:pPr>
        <w:spacing w:after="0" w:line="168"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color w:val="auto"/>
        </w:rPr>
        <w:t>For 2021, net cash used for financing activities consisted primarily of $1.20 billion for the acquisition of 15.6 million shares of our common stock under our share repurchase authorization, $295 million of payments on equipment purchase contracts, $185 million of cash payments to settle conversions of our 2032D Notes, and $147 million of repayments of finance leases and other debt. In addition, we received proceeds of $1.19 billion under an unsecured 2024 Term Loan A and used the proceeds to repay the $1.19 billion Extinguished 2024 Term Loan 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“Item 8. Financial Statements and Supplementary Data – Notes to Consolidated Financial Statements –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Critical Accounting Estimates</w:t>
      </w:r>
    </w:p>
    <w:p>
      <w:pPr>
        <w:spacing w:after="0" w:line="37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b w:val="1"/>
          <w:bCs w:val="1"/>
          <w:i w:val="1"/>
          <w:iCs w:val="1"/>
          <w:color w:val="auto"/>
        </w:rPr>
        <w:t>Contingencies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We are subject to the possibility of losses from various contingencies. Significant judgment 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2"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test goodwill for impairment in our fourth quarter each year, or more frequently if indicators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SBU reporting unit based on our quantitative assessment for impairment in the current year. The quantitative assessment indicated that the fair value for all of our other reporting units substantially exceeded their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1741805</wp:posOffset>
            </wp:positionV>
            <wp:extent cx="736600" cy="200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10260"/>
          </w:cols>
          <w:pgMar w:left="1000" w:top="844" w:right="980" w:bottom="0" w:gutter="0" w:footer="0" w:header="0"/>
          <w:type w:val="continuous"/>
        </w:sectPr>
      </w:pPr>
    </w:p>
    <w:bookmarkStart w:id="53" w:name="page54"/>
    <w:bookmarkEnd w:id="53"/>
    <w:p>
      <w:pPr>
        <w:spacing w:after="0" w:line="268" w:lineRule="auto"/>
        <w:rPr>
          <w:sz w:val="20"/>
          <w:szCs w:val="20"/>
          <w:color w:val="auto"/>
        </w:rPr>
      </w:pPr>
      <w:r>
        <w:rPr>
          <w:rFonts w:ascii="Arial" w:cs="Arial" w:eastAsia="Arial" w:hAnsi="Arial"/>
          <w:sz w:val="19"/>
          <w:szCs w:val="19"/>
          <w:b w:val="1"/>
          <w:bCs w:val="1"/>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for our reporting units to our market capitalization.</w:t>
      </w:r>
    </w:p>
    <w:p>
      <w:pPr>
        <w:spacing w:after="0" w:line="196" w:lineRule="exact"/>
        <w:rPr>
          <w:sz w:val="20"/>
          <w:szCs w:val="20"/>
          <w:color w:val="auto"/>
        </w:rPr>
      </w:pPr>
    </w:p>
    <w:p>
      <w:pPr>
        <w:ind w:right="200"/>
        <w:spacing w:after="0" w:line="26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are required to estimate our provision for income taxes and amounts ultimately payable 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recoverable in numerous tax 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Malaysia, the United States, Taiwan,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Inventories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Inventories are stated at the lower of cost or net realizable value, with cost being determined on a first-in, first-out (“FIFO”) basis. Cost 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with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$600 million as of August 31,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GAAP provides for products to be grouped into categories in order to compare costs to net realizable</w:t>
      </w:r>
    </w:p>
    <w:p>
      <w:pPr>
        <w:spacing w:after="0" w:line="30"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3"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periodically assess the estimated useful lives of our property, plant,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equipment based on 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 2023 10-K</w:t>
      </w:r>
    </w:p>
    <w:p>
      <w:pPr>
        <w:sectPr>
          <w:pgSz w:w="12240" w:h="15840" w:orient="portrait"/>
          <w:cols w:equalWidth="0" w:num="1">
            <w:col w:w="10240"/>
          </w:cols>
          <w:pgMar w:left="1000" w:top="844" w:right="1000" w:bottom="0" w:gutter="0" w:footer="0" w:header="0"/>
          <w:type w:val="continuous"/>
        </w:sectPr>
      </w:pPr>
    </w:p>
    <w:bookmarkStart w:id="54" w:name="page55"/>
    <w:bookmarkEnd w:id="54"/>
    <w:p>
      <w:pPr>
        <w:ind w:right="80"/>
        <w:spacing w:after="0" w:line="28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Revenue is primarily recognized at a point in time when control of the promised goods 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30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Adopted Accounting Standards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material items.</w:t>
      </w:r>
    </w:p>
    <w:p>
      <w:pPr>
        <w:spacing w:after="0" w:line="37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Issued Accounting Standards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material items.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7A. QUANTITATIVE AND QUALITATIVE DISCLOSURES ABOUT MARKET RISK</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Interest Rate Risk</w:t>
      </w:r>
    </w:p>
    <w:p>
      <w:pPr>
        <w:spacing w:after="0" w:line="263"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color w:val="auto"/>
        </w:rPr>
        <w:t>We are exposed to interest rate risk related to our indebtedness and our investment portfolio. As of August 31, 2023 and September 1, 2022, we had fixed-rate debt with an aggregate carrying value of $7.52 billion and $4.03 billion, respectively, and as a result, the fair value of our debt fluctuates with changes in market interest rates. We estimate that, as of August 31, 2023 and September 1, 2022, a hypothetical 1% decrease in market interest rates would increase the fair value of our fixed-rate debt by approximately $475 million and $275 million, respectively.</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Interest rate risk related to our investment portfolio is managed by primarily investing in shorter term securities. We estimate that, as of August 31, 2023 and September 1, 2022, a hypothetical 1% increase in interest rates would decrease the fair value of our portfolio by approximately $20 million and $30 million, respectively. Such impact would only be realized if investments were sold prior to maturity.</w:t>
      </w:r>
    </w:p>
    <w:p>
      <w:pPr>
        <w:spacing w:after="0" w:line="196"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b w:val="1"/>
          <w:bCs w:val="1"/>
          <w:color w:val="auto"/>
        </w:rPr>
        <w:t>As of August 31, 2023 and September 1, 2022, we had floating-rate debt, including fixed-rate debt that is swapped to floating-rate debt, with an aggregate principal amount of $4.63 billion and $2.09 billion, respectively. A hypothetical 1% increase in the interest rates of this floating-rate debt would result in an increase in annual interest expense of $46 million and $21 million as of August 31, 2023 and September 1, 2022, respectively.</w:t>
      </w: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Foreign Currency Exchange Rate Risk</w:t>
      </w:r>
    </w:p>
    <w:p>
      <w:pPr>
        <w:spacing w:after="0" w:line="263"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The information in this section should be read in conjunction with the information related to changes in the currency exchange rates in “Part I – Item 1A. Risk Factors.” Changes in foreign currency exchange rates could materially adversely affect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1626870</wp:posOffset>
            </wp:positionV>
            <wp:extent cx="736600" cy="200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10260"/>
          </w:cols>
          <w:pgMar w:left="1000" w:top="844" w:right="980" w:bottom="0" w:gutter="0" w:footer="0" w:header="0"/>
          <w:type w:val="continuous"/>
        </w:sectPr>
      </w:pPr>
    </w:p>
    <w:bookmarkStart w:id="55" w:name="page56"/>
    <w:bookmarkEnd w:id="55"/>
    <w:p>
      <w:pPr>
        <w:spacing w:after="0" w:line="270" w:lineRule="auto"/>
        <w:rPr>
          <w:sz w:val="20"/>
          <w:szCs w:val="20"/>
          <w:color w:val="auto"/>
        </w:rPr>
      </w:pPr>
      <w:r>
        <w:rPr>
          <w:rFonts w:ascii="Arial" w:cs="Arial" w:eastAsia="Arial" w:hAnsi="Arial"/>
          <w:sz w:val="19"/>
          <w:szCs w:val="19"/>
          <w:b w:val="1"/>
          <w:bCs w:val="1"/>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Chinese yuan, euro, Indian rupee, Japanese yen, Malaysian ringgit, New Taiwan dollar, and Singapore dollar.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color w:val="auto"/>
        </w:rPr>
        <w:t>Based on monetary assets and liabilities denominated in foreign currencies, we estimate that a hypothetical 10% adverse change in exchange rates versus the U.S. dollar would result in losses of approximately $129 million as of August 31, 2023 and $186 million as of September 1, 2022.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 | 2023 10-K</w:t>
      </w:r>
    </w:p>
    <w:p>
      <w:pPr>
        <w:sectPr>
          <w:pgSz w:w="12240" w:h="15840" w:orient="portrait"/>
          <w:cols w:equalWidth="0" w:num="1">
            <w:col w:w="10220"/>
          </w:cols>
          <w:pgMar w:left="1000" w:top="844" w:right="1020" w:bottom="0" w:gutter="0" w:footer="0" w:header="0"/>
          <w:type w:val="continuous"/>
        </w:sectPr>
      </w:pPr>
    </w:p>
    <w:bookmarkStart w:id="56" w:name="page57"/>
    <w:bookmarkEnd w:id="56"/>
    <w:p>
      <w:pPr>
        <w:spacing w:after="0"/>
        <w:rPr>
          <w:sz w:val="20"/>
          <w:szCs w:val="20"/>
          <w:color w:val="auto"/>
        </w:rPr>
      </w:pPr>
      <w:r>
        <w:rPr>
          <w:rFonts w:ascii="Arial Narrow" w:cs="Arial Narrow" w:eastAsia="Arial Narrow" w:hAnsi="Arial Narrow"/>
          <w:sz w:val="28"/>
          <w:szCs w:val="28"/>
          <w:b w:val="1"/>
          <w:bCs w:val="1"/>
          <w:color w:val="auto"/>
        </w:rPr>
        <w:t>ITEM 8. FINANCIAL STATEMENTS AND SUPPLEMENTARY DATA</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540500" cy="1457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540500" cy="1457325"/>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Operations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Comprehensive Income (Loss)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55</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Balance Sheets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56</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Changes in Equity</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Cash Flows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Notes to Consolidated Financial Statements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59</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Report of Independent Registered Public Accounting Firm (PCAOB ID 238)</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6957060</wp:posOffset>
            </wp:positionV>
            <wp:extent cx="736600" cy="200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10260"/>
          </w:cols>
          <w:pgMar w:left="1000" w:top="793" w:right="980" w:bottom="0" w:gutter="0" w:footer="0" w:header="0"/>
          <w:type w:val="continuous"/>
        </w:sectPr>
      </w:pPr>
    </w:p>
    <w:bookmarkStart w:id="57" w:name="page58"/>
    <w:bookmarkEnd w:id="57"/>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40" w:type="dxa"/>
            <w:vAlign w:val="bottom"/>
          </w:tcPr>
          <w:p>
            <w:pPr>
              <w:spacing w:after="0"/>
              <w:rPr>
                <w:sz w:val="20"/>
                <w:szCs w:val="20"/>
                <w:color w:val="auto"/>
              </w:rPr>
            </w:pPr>
            <w:r>
              <w:rPr>
                <w:rFonts w:ascii="Arial" w:cs="Arial" w:eastAsia="Arial" w:hAnsi="Arial"/>
                <w:sz w:val="20"/>
                <w:szCs w:val="20"/>
                <w:b w:val="1"/>
                <w:bCs w:val="1"/>
                <w:color w:val="auto"/>
              </w:rPr>
              <w:t>(In millions, except per share amounts)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19"/>
                <w:szCs w:val="19"/>
                <w:color w:val="auto"/>
              </w:rPr>
            </w:pPr>
          </w:p>
        </w:tc>
        <w:tc>
          <w:tcPr>
            <w:tcW w:w="1140" w:type="dxa"/>
            <w:vAlign w:val="bottom"/>
          </w:tcPr>
          <w:p>
            <w:pPr>
              <w:jc w:val="right"/>
              <w:ind w:right="16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60"/>
              <w:spacing w:after="0" w:line="223" w:lineRule="exact"/>
              <w:rPr>
                <w:sz w:val="20"/>
                <w:szCs w:val="20"/>
                <w:color w:val="auto"/>
              </w:rPr>
            </w:pPr>
            <w:r>
              <w:rPr>
                <w:rFonts w:ascii="Arial Narrow" w:cs="Arial Narrow" w:eastAsia="Arial Narrow" w:hAnsi="Arial Narrow"/>
                <w:sz w:val="20"/>
                <w:szCs w:val="20"/>
                <w:b w:val="1"/>
                <w:bCs w:val="1"/>
                <w:color w:val="auto"/>
              </w:rPr>
              <w:t>September 1,</w:t>
            </w:r>
          </w:p>
        </w:tc>
        <w:tc>
          <w:tcPr>
            <w:tcW w:w="130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2,</w:t>
            </w:r>
          </w:p>
        </w:tc>
        <w:tc>
          <w:tcPr>
            <w:tcW w:w="0" w:type="dxa"/>
            <w:vAlign w:val="bottom"/>
          </w:tcPr>
          <w:p>
            <w:pPr>
              <w:spacing w:after="0"/>
              <w:rPr>
                <w:sz w:val="1"/>
                <w:szCs w:val="1"/>
                <w:color w:val="auto"/>
              </w:rPr>
            </w:pPr>
          </w:p>
        </w:tc>
      </w:tr>
      <w:tr>
        <w:trPr>
          <w:trHeight w:val="262"/>
        </w:trPr>
        <w:tc>
          <w:tcPr>
            <w:tcW w:w="63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30,758</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27,705</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16,860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17,282</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13,898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10,423</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3,116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2,663</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1,066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894</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(5,745)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9,702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6,283</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income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468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expense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(388)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(183)</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81</w:t>
            </w: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(5,658)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9,571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6,218</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(394)</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w:t>
            </w:r>
          </w:p>
        </w:tc>
        <w:tc>
          <w:tcPr>
            <w:tcW w:w="0" w:type="dxa"/>
            <w:vAlign w:val="bottom"/>
          </w:tcPr>
          <w:p>
            <w:pPr>
              <w:spacing w:after="0"/>
              <w:rPr>
                <w:sz w:val="1"/>
                <w:szCs w:val="1"/>
                <w:color w:val="auto"/>
              </w:rPr>
            </w:pPr>
          </w:p>
        </w:tc>
      </w:tr>
      <w:tr>
        <w:trPr>
          <w:trHeight w:val="24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8,687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5,861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7.81</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5.23</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7.75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Number of shares used in per share calculations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1,120</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1,122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-4709795</wp:posOffset>
            </wp:positionV>
            <wp:extent cx="6553200" cy="4730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553200" cy="473075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54 | 2023 10-K</w:t>
      </w:r>
    </w:p>
    <w:p>
      <w:pPr>
        <w:sectPr>
          <w:pgSz w:w="12240" w:h="15840" w:orient="portrait"/>
          <w:cols w:equalWidth="0" w:num="1">
            <w:col w:w="10260"/>
          </w:cols>
          <w:pgMar w:left="1000" w:top="732" w:right="980" w:bottom="0" w:gutter="0" w:footer="0" w:header="0"/>
          <w:type w:val="continuous"/>
        </w:sectPr>
      </w:pPr>
    </w:p>
    <w:bookmarkStart w:id="58" w:name="page59"/>
    <w:bookmarkEnd w:id="58"/>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Comprehensive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00" w:type="dxa"/>
            <w:vAlign w:val="bottom"/>
          </w:tcPr>
          <w:p>
            <w:pPr>
              <w:spacing w:after="0"/>
              <w:rPr>
                <w:sz w:val="19"/>
                <w:szCs w:val="19"/>
                <w:color w:val="auto"/>
              </w:rPr>
            </w:pPr>
          </w:p>
        </w:tc>
        <w:tc>
          <w:tcPr>
            <w:tcW w:w="112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128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1,</w:t>
            </w:r>
          </w:p>
        </w:tc>
        <w:tc>
          <w:tcPr>
            <w:tcW w:w="130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2,</w:t>
            </w:r>
          </w:p>
        </w:tc>
        <w:tc>
          <w:tcPr>
            <w:tcW w:w="0" w:type="dxa"/>
            <w:vAlign w:val="bottom"/>
          </w:tcPr>
          <w:p>
            <w:pPr>
              <w:spacing w:after="0"/>
              <w:rPr>
                <w:sz w:val="1"/>
                <w:szCs w:val="1"/>
                <w:color w:val="auto"/>
              </w:rPr>
            </w:pPr>
          </w:p>
        </w:tc>
      </w:tr>
      <w:tr>
        <w:trPr>
          <w:trHeight w:val="262"/>
        </w:trPr>
        <w:tc>
          <w:tcPr>
            <w:tcW w:w="63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28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5,861</w:t>
            </w:r>
          </w:p>
        </w:tc>
        <w:tc>
          <w:tcPr>
            <w:tcW w:w="0" w:type="dxa"/>
            <w:vAlign w:val="bottom"/>
          </w:tcPr>
          <w:p>
            <w:pPr>
              <w:spacing w:after="0"/>
              <w:rPr>
                <w:sz w:val="1"/>
                <w:szCs w:val="1"/>
                <w:color w:val="auto"/>
              </w:rPr>
            </w:pPr>
          </w:p>
        </w:tc>
      </w:tr>
      <w:tr>
        <w:trPr>
          <w:trHeight w:val="570"/>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 net of tax</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Gains (losses) on derivative instruments</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234</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(67)</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Pension liability adjustments</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Unrealized gains (losses) on investments</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287"/>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Foreign currency translation adjustments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265"/>
        </w:trPr>
        <w:tc>
          <w:tcPr>
            <w:tcW w:w="6360" w:type="dxa"/>
            <w:vAlign w:val="bottom"/>
          </w:tcPr>
          <w:p>
            <w:pPr>
              <w:ind w:left="260"/>
              <w:spacing w:after="0"/>
              <w:rPr>
                <w:sz w:val="20"/>
                <w:szCs w:val="20"/>
                <w:color w:val="auto"/>
              </w:rPr>
            </w:pPr>
            <w:r>
              <w:rPr>
                <w:rFonts w:ascii="Arial Narrow" w:cs="Arial Narrow" w:eastAsia="Arial Narrow" w:hAnsi="Arial Narrow"/>
                <w:sz w:val="20"/>
                <w:szCs w:val="20"/>
                <w:color w:val="auto"/>
              </w:rPr>
              <w:t>Other comprehensive income (loss)</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(562)</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w:t>
            </w:r>
          </w:p>
        </w:tc>
        <w:tc>
          <w:tcPr>
            <w:tcW w:w="0" w:type="dxa"/>
            <w:vAlign w:val="bottom"/>
          </w:tcPr>
          <w:p>
            <w:pPr>
              <w:spacing w:after="0"/>
              <w:rPr>
                <w:sz w:val="1"/>
                <w:szCs w:val="1"/>
                <w:color w:val="auto"/>
              </w:rPr>
            </w:pPr>
          </w:p>
        </w:tc>
      </w:tr>
      <w:tr>
        <w:trPr>
          <w:trHeight w:val="245"/>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Total comprehensive income (loss)</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(5,585)</w:t>
            </w:r>
          </w:p>
        </w:tc>
        <w:tc>
          <w:tcPr>
            <w:tcW w:w="28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8,125</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5,792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5975350</wp:posOffset>
            </wp:positionV>
            <wp:extent cx="736600" cy="200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10260"/>
          </w:cols>
          <w:pgMar w:left="1000" w:top="732" w:right="980" w:bottom="0" w:gutter="0" w:footer="0" w:header="0"/>
          <w:type w:val="continuous"/>
        </w:sectPr>
      </w:pPr>
    </w:p>
    <w:bookmarkStart w:id="59" w:name="page60"/>
    <w:bookmarkEnd w:id="59"/>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Balance Sheets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40" w:type="dxa"/>
            <w:vAlign w:val="bottom"/>
          </w:tcPr>
          <w:p>
            <w:pPr>
              <w:spacing w:after="0"/>
              <w:rPr>
                <w:sz w:val="20"/>
                <w:szCs w:val="20"/>
                <w:color w:val="auto"/>
              </w:rPr>
            </w:pPr>
            <w:r>
              <w:rPr>
                <w:rFonts w:ascii="Arial" w:cs="Arial" w:eastAsia="Arial" w:hAnsi="Arial"/>
                <w:sz w:val="20"/>
                <w:szCs w:val="20"/>
                <w:b w:val="1"/>
                <w:bCs w:val="1"/>
                <w:color w:val="auto"/>
              </w:rPr>
              <w:t>(In millions, except par value amounts)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Cash and equivalents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8,577</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8,262</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Short-term investments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1,017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1,069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2,443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5,130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8,387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6,663</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657</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assets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21,244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21,781</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marketable investments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844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1,647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37,928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38,549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right-of-use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666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678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Intangible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404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421</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756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702</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Goodwill</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1,150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1,228</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1,262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1,277</w:t>
            </w:r>
          </w:p>
        </w:tc>
        <w:tc>
          <w:tcPr>
            <w:tcW w:w="0" w:type="dxa"/>
            <w:vAlign w:val="bottom"/>
          </w:tcPr>
          <w:p>
            <w:pPr>
              <w:spacing w:after="0"/>
              <w:rPr>
                <w:sz w:val="1"/>
                <w:szCs w:val="1"/>
                <w:color w:val="auto"/>
              </w:rPr>
            </w:pPr>
          </w:p>
        </w:tc>
      </w:tr>
      <w:tr>
        <w:trPr>
          <w:trHeight w:val="245"/>
        </w:trPr>
        <w:tc>
          <w:tcPr>
            <w:tcW w:w="7640" w:type="dxa"/>
            <w:vAlign w:val="bottom"/>
          </w:tcPr>
          <w:p>
            <w:pPr>
              <w:ind w:left="540"/>
              <w:spacing w:after="0"/>
              <w:rPr>
                <w:sz w:val="20"/>
                <w:szCs w:val="20"/>
                <w:color w:val="auto"/>
              </w:rPr>
            </w:pPr>
            <w:r>
              <w:rPr>
                <w:rFonts w:ascii="Arial Narrow" w:cs="Arial Narrow" w:eastAsia="Arial Narrow" w:hAnsi="Arial Narrow"/>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64,254</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66,283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3,958</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6,090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Current debt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278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103</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1,346</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liabilities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4,765</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7,539</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debt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13,052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6,803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operating lease liabilities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603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610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727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589</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835</w:t>
            </w:r>
          </w:p>
        </w:tc>
        <w:tc>
          <w:tcPr>
            <w:tcW w:w="0" w:type="dxa"/>
            <w:vAlign w:val="bottom"/>
          </w:tcPr>
          <w:p>
            <w:pPr>
              <w:spacing w:after="0"/>
              <w:rPr>
                <w:sz w:val="1"/>
                <w:szCs w:val="1"/>
                <w:color w:val="auto"/>
              </w:rPr>
            </w:pPr>
          </w:p>
        </w:tc>
      </w:tr>
      <w:tr>
        <w:trPr>
          <w:trHeight w:val="265"/>
        </w:trPr>
        <w:tc>
          <w:tcPr>
            <w:tcW w:w="7640" w:type="dxa"/>
            <w:vAlign w:val="bottom"/>
          </w:tcPr>
          <w:p>
            <w:pPr>
              <w:ind w:left="540"/>
              <w:spacing w:after="0"/>
              <w:rPr>
                <w:sz w:val="20"/>
                <w:szCs w:val="20"/>
                <w:color w:val="auto"/>
              </w:rPr>
            </w:pPr>
            <w:r>
              <w:rPr>
                <w:rFonts w:ascii="Arial Narrow" w:cs="Arial Narrow" w:eastAsia="Arial Narrow" w:hAnsi="Arial Narrow"/>
                <w:sz w:val="20"/>
                <w:szCs w:val="20"/>
                <w:color w:val="auto"/>
              </w:rPr>
              <w:t>Total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20,134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16,376</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Commitments and contingencies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Shareholders’ equity</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tcPr>
          <w:p>
            <w:pPr>
              <w:ind w:left="260"/>
              <w:spacing w:after="0" w:line="218" w:lineRule="exact"/>
              <w:rPr>
                <w:sz w:val="20"/>
                <w:szCs w:val="20"/>
                <w:color w:val="auto"/>
              </w:rPr>
            </w:pPr>
            <w:r>
              <w:rPr>
                <w:rFonts w:ascii="Arial Narrow" w:cs="Arial Narrow" w:eastAsia="Arial Narrow" w:hAnsi="Arial Narrow"/>
                <w:sz w:val="20"/>
                <w:szCs w:val="20"/>
                <w:color w:val="auto"/>
              </w:rPr>
              <w:t>Common stock, $0.10 par value, 3,000 shares authorized, 1,239 shares issued and 1,098</w:t>
            </w: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124</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123</w:t>
            </w:r>
          </w:p>
        </w:tc>
        <w:tc>
          <w:tcPr>
            <w:tcW w:w="0" w:type="dxa"/>
            <w:vAlign w:val="bottom"/>
          </w:tcPr>
          <w:p>
            <w:pPr>
              <w:spacing w:after="0"/>
              <w:rPr>
                <w:sz w:val="1"/>
                <w:szCs w:val="1"/>
                <w:color w:val="auto"/>
              </w:rPr>
            </w:pPr>
          </w:p>
        </w:tc>
      </w:tr>
      <w:tr>
        <w:trPr>
          <w:trHeight w:val="268"/>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outstanding (1,226 shares issued and 1,094 outstanding as of September 1, 2022)</w:t>
            </w:r>
          </w:p>
        </w:tc>
        <w:tc>
          <w:tcPr>
            <w:tcW w:w="18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Additional capital</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11,036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10,197</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Retained earnings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40,824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47,274</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Treasury stock, 141 shares held (132 shares as of September 1, 2022)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(7,552)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(7,127)</w:t>
            </w:r>
          </w:p>
        </w:tc>
        <w:tc>
          <w:tcPr>
            <w:tcW w:w="0" w:type="dxa"/>
            <w:vAlign w:val="bottom"/>
          </w:tcPr>
          <w:p>
            <w:pPr>
              <w:spacing w:after="0"/>
              <w:rPr>
                <w:sz w:val="1"/>
                <w:szCs w:val="1"/>
                <w:color w:val="auto"/>
              </w:rPr>
            </w:pPr>
          </w:p>
        </w:tc>
      </w:tr>
      <w:tr>
        <w:trPr>
          <w:trHeight w:val="28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Accumulated other comprehensive income (loss)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(560)</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Total equity</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44,120</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49,907</w:t>
            </w:r>
          </w:p>
        </w:tc>
        <w:tc>
          <w:tcPr>
            <w:tcW w:w="0" w:type="dxa"/>
            <w:vAlign w:val="bottom"/>
          </w:tcPr>
          <w:p>
            <w:pPr>
              <w:spacing w:after="0"/>
              <w:rPr>
                <w:sz w:val="1"/>
                <w:szCs w:val="1"/>
                <w:color w:val="auto"/>
              </w:rPr>
            </w:pPr>
          </w:p>
        </w:tc>
      </w:tr>
      <w:tr>
        <w:trPr>
          <w:trHeight w:val="245"/>
        </w:trPr>
        <w:tc>
          <w:tcPr>
            <w:tcW w:w="7640" w:type="dxa"/>
            <w:vAlign w:val="bottom"/>
          </w:tcPr>
          <w:p>
            <w:pPr>
              <w:ind w:left="540"/>
              <w:spacing w:after="0"/>
              <w:rPr>
                <w:sz w:val="20"/>
                <w:szCs w:val="20"/>
                <w:color w:val="auto"/>
              </w:rPr>
            </w:pPr>
            <w:r>
              <w:rPr>
                <w:rFonts w:ascii="Arial Narrow" w:cs="Arial Narrow" w:eastAsia="Arial Narrow" w:hAnsi="Arial Narrow"/>
                <w:sz w:val="20"/>
                <w:szCs w:val="20"/>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64,254</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66,283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-6841490</wp:posOffset>
            </wp:positionV>
            <wp:extent cx="6553200" cy="6861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6553200" cy="686117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56 | 2023 10-K</w:t>
      </w:r>
    </w:p>
    <w:p>
      <w:pPr>
        <w:sectPr>
          <w:pgSz w:w="12240" w:h="15840" w:orient="portrait"/>
          <w:cols w:equalWidth="0" w:num="1">
            <w:col w:w="10260"/>
          </w:cols>
          <w:pgMar w:left="1000" w:top="732" w:right="980" w:bottom="0" w:gutter="0" w:footer="0" w:header="0"/>
          <w:type w:val="continuous"/>
        </w:sectPr>
      </w:pPr>
    </w:p>
    <w:bookmarkStart w:id="60" w:name="page61"/>
    <w:bookmarkEnd w:id="60"/>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Changes in Equity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0"/>
                <w:szCs w:val="20"/>
                <w:color w:val="auto"/>
              </w:rPr>
            </w:pPr>
            <w:r>
              <w:rPr>
                <w:rFonts w:ascii="Arial" w:cs="Arial" w:eastAsia="Arial" w:hAnsi="Arial"/>
                <w:sz w:val="20"/>
                <w:szCs w:val="20"/>
                <w:b w:val="1"/>
                <w:bCs w:val="1"/>
                <w:color w:val="auto"/>
                <w:w w:val="96"/>
              </w:rPr>
              <w:t>(In millions, except per share amounts)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3620" w:type="dxa"/>
            <w:vAlign w:val="bottom"/>
          </w:tcPr>
          <w:p>
            <w:pPr>
              <w:spacing w:after="0"/>
              <w:rPr>
                <w:sz w:val="24"/>
                <w:szCs w:val="24"/>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Arial Narrow" w:cs="Arial Narrow" w:eastAsia="Arial Narrow" w:hAnsi="Arial Narrow"/>
                <w:sz w:val="20"/>
                <w:szCs w:val="20"/>
                <w:b w:val="1"/>
                <w:bCs w:val="1"/>
                <w:color w:val="auto"/>
              </w:rPr>
              <w:t>Common Stock</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Accumulated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92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b w:val="1"/>
                <w:bCs w:val="1"/>
                <w:color w:val="auto"/>
              </w:rPr>
              <w:t>Number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Narrow" w:cs="Arial Narrow" w:eastAsia="Arial Narrow" w:hAnsi="Arial Narrow"/>
                <w:sz w:val="20"/>
                <w:szCs w:val="20"/>
                <w:b w:val="1"/>
                <w:bCs w:val="1"/>
                <w:color w:val="auto"/>
              </w:rPr>
              <w:t>Additional</w:t>
            </w:r>
          </w:p>
        </w:tc>
        <w:tc>
          <w:tcPr>
            <w:tcW w:w="92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rPr>
              <w:t>Retained</w:t>
            </w:r>
          </w:p>
        </w:tc>
        <w:tc>
          <w:tcPr>
            <w:tcW w:w="900" w:type="dxa"/>
            <w:vAlign w:val="bottom"/>
            <w:gridSpan w:val="2"/>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Treasury</w:t>
            </w:r>
          </w:p>
        </w:tc>
        <w:tc>
          <w:tcPr>
            <w:tcW w:w="140" w:type="dxa"/>
            <w:vAlign w:val="bottom"/>
          </w:tcPr>
          <w:p>
            <w:pPr>
              <w:spacing w:after="0"/>
              <w:rPr>
                <w:sz w:val="14"/>
                <w:szCs w:val="14"/>
                <w:color w:val="auto"/>
              </w:rPr>
            </w:pPr>
          </w:p>
        </w:tc>
        <w:tc>
          <w:tcPr>
            <w:tcW w:w="1260" w:type="dxa"/>
            <w:vAlign w:val="bottom"/>
          </w:tcPr>
          <w:p>
            <w:pPr>
              <w:jc w:val="center"/>
              <w:ind w:right="80"/>
              <w:spacing w:after="0" w:line="163" w:lineRule="exact"/>
              <w:rPr>
                <w:sz w:val="20"/>
                <w:szCs w:val="20"/>
                <w:color w:val="auto"/>
              </w:rPr>
            </w:pPr>
            <w:r>
              <w:rPr>
                <w:rFonts w:ascii="Arial Narrow" w:cs="Arial Narrow" w:eastAsia="Arial Narrow" w:hAnsi="Arial Narrow"/>
                <w:sz w:val="18"/>
                <w:szCs w:val="18"/>
                <w:b w:val="1"/>
                <w:bCs w:val="1"/>
                <w:color w:val="auto"/>
              </w:rPr>
              <w:t>Other</w:t>
            </w:r>
          </w:p>
        </w:tc>
        <w:tc>
          <w:tcPr>
            <w:tcW w:w="220" w:type="dxa"/>
            <w:vAlign w:val="bottom"/>
          </w:tcPr>
          <w:p>
            <w:pPr>
              <w:spacing w:after="0"/>
              <w:rPr>
                <w:sz w:val="14"/>
                <w:szCs w:val="14"/>
                <w:color w:val="auto"/>
              </w:rPr>
            </w:pPr>
          </w:p>
        </w:tc>
        <w:tc>
          <w:tcPr>
            <w:tcW w:w="960" w:type="dxa"/>
            <w:vAlign w:val="bottom"/>
          </w:tcPr>
          <w:p>
            <w:pPr>
              <w:jc w:val="right"/>
              <w:ind w:right="300"/>
              <w:spacing w:after="0" w:line="163" w:lineRule="exact"/>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w w:val="96"/>
              </w:rPr>
              <w:t>Amount</w:t>
            </w:r>
          </w:p>
        </w:tc>
        <w:tc>
          <w:tcPr>
            <w:tcW w:w="9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Comprehensive</w:t>
            </w:r>
          </w:p>
        </w:tc>
        <w:tc>
          <w:tcPr>
            <w:tcW w:w="1180" w:type="dxa"/>
            <w:vAlign w:val="bottom"/>
            <w:gridSpan w:val="2"/>
          </w:tcPr>
          <w:p>
            <w:pPr>
              <w:ind w:left="40"/>
              <w:spacing w:after="0" w:line="200" w:lineRule="exact"/>
              <w:rPr>
                <w:sz w:val="20"/>
                <w:szCs w:val="20"/>
                <w:color w:val="auto"/>
              </w:rPr>
            </w:pPr>
            <w:r>
              <w:rPr>
                <w:rFonts w:ascii="Arial Narrow" w:cs="Arial Narrow" w:eastAsia="Arial Narrow" w:hAnsi="Arial Narrow"/>
                <w:sz w:val="20"/>
                <w:szCs w:val="20"/>
                <w:b w:val="1"/>
                <w:bCs w:val="1"/>
                <w:color w:val="auto"/>
              </w:rPr>
              <w:t>Shareholders’</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of Shares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Capital</w:t>
            </w:r>
          </w:p>
        </w:tc>
        <w:tc>
          <w:tcPr>
            <w:tcW w:w="92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Stock</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8"/>
              </w:rPr>
              <w:t>Income (Loss)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Equity</w:t>
            </w:r>
          </w:p>
        </w:tc>
        <w:tc>
          <w:tcPr>
            <w:tcW w:w="0" w:type="dxa"/>
            <w:vAlign w:val="bottom"/>
          </w:tcPr>
          <w:p>
            <w:pPr>
              <w:spacing w:after="0"/>
              <w:rPr>
                <w:sz w:val="1"/>
                <w:szCs w:val="1"/>
                <w:color w:val="auto"/>
              </w:rPr>
            </w:pPr>
          </w:p>
        </w:tc>
      </w:tr>
      <w:tr>
        <w:trPr>
          <w:trHeight w:val="323"/>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September 3, 2020</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1,194</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119</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8,917</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33,384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(3,495)</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38,996</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5,861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5,861</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(69)</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(69)</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stock plans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223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378</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378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(1,200)</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(1,200)</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(82)</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(94)</w:t>
            </w:r>
          </w:p>
        </w:tc>
        <w:tc>
          <w:tcPr>
            <w:tcW w:w="0" w:type="dxa"/>
            <w:vAlign w:val="bottom"/>
          </w:tcPr>
          <w:p>
            <w:pPr>
              <w:spacing w:after="0"/>
              <w:rPr>
                <w:sz w:val="1"/>
                <w:szCs w:val="1"/>
                <w:color w:val="auto"/>
              </w:rPr>
            </w:pPr>
          </w:p>
        </w:tc>
      </w:tr>
      <w:tr>
        <w:trPr>
          <w:trHeight w:val="268"/>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for convertible notes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Cash settlement of convertible notes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(52)</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(112)</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(112)</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($0.10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September 2, 2021</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1,216</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122</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9,453</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39,051</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(4,695)</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43,933</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(562)</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(562)</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stock plans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244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245</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(112)</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(126)</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(352)</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(352)</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($0.315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September 1, 2022</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1,226</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123</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10,197</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47,274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(7,127)</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(560)</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49,907</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stock plans</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15</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262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263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300"/>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(108)</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(127)</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August 31, 2023</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1,239</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16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11,036</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40,824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(7,552)</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(312)</w:t>
            </w:r>
          </w:p>
        </w:tc>
        <w:tc>
          <w:tcPr>
            <w:tcW w:w="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44,120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2293620</wp:posOffset>
                </wp:positionH>
                <wp:positionV relativeFrom="paragraph">
                  <wp:posOffset>-1905000</wp:posOffset>
                </wp:positionV>
                <wp:extent cx="17430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50pt" to="317.85pt,-15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2293620</wp:posOffset>
                </wp:positionH>
                <wp:positionV relativeFrom="paragraph">
                  <wp:posOffset>-200025</wp:posOffset>
                </wp:positionV>
                <wp:extent cx="23241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5.7499pt" to="363.6pt,-15.7499pt" o:allowincell="f" strokecolor="#000000" strokeweight="0pt"/>
            </w:pict>
          </mc:Fallback>
        </mc:AlternateContent>
        <w:drawing>
          <wp:anchor simplePos="0" relativeHeight="251657728" behindDoc="1" locked="0" layoutInCell="0" allowOverlap="1">
            <wp:simplePos x="0" y="0"/>
            <wp:positionH relativeFrom="column">
              <wp:posOffset>-13970</wp:posOffset>
            </wp:positionH>
            <wp:positionV relativeFrom="paragraph">
              <wp:posOffset>-5669915</wp:posOffset>
            </wp:positionV>
            <wp:extent cx="6886575" cy="5689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886575" cy="5689600"/>
                    </a:xfrm>
                    <a:prstGeom prst="rect">
                      <a:avLst/>
                    </a:prstGeom>
                    <a:noFill/>
                  </pic:spPr>
                </pic:pic>
              </a:graphicData>
            </a:graphic>
          </wp:anchor>
        </w:drawing>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1698625</wp:posOffset>
            </wp:positionV>
            <wp:extent cx="736600" cy="200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800"/>
          </w:cols>
          <w:pgMar w:left="640" w:top="68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10800"/>
          </w:cols>
          <w:pgMar w:left="640" w:top="687" w:right="800" w:bottom="0" w:gutter="0" w:footer="0" w:header="0"/>
          <w:type w:val="continuous"/>
        </w:sectPr>
      </w:pPr>
    </w:p>
    <w:bookmarkStart w:id="61" w:name="page62"/>
    <w:bookmarkEnd w:id="61"/>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2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4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128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126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2,</w:t>
            </w:r>
          </w:p>
        </w:tc>
        <w:tc>
          <w:tcPr>
            <w:tcW w:w="0" w:type="dxa"/>
            <w:vAlign w:val="bottom"/>
          </w:tcPr>
          <w:p>
            <w:pPr>
              <w:spacing w:after="0"/>
              <w:rPr>
                <w:sz w:val="1"/>
                <w:szCs w:val="1"/>
                <w:color w:val="auto"/>
              </w:rPr>
            </w:pPr>
          </w:p>
        </w:tc>
      </w:tr>
      <w:tr>
        <w:trPr>
          <w:trHeight w:val="234"/>
        </w:trPr>
        <w:tc>
          <w:tcPr>
            <w:tcW w:w="64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290"/>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operating activities</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(5,833)</w:t>
            </w:r>
          </w:p>
        </w:tc>
        <w:tc>
          <w:tcPr>
            <w:tcW w:w="28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8,687</w:t>
            </w:r>
          </w:p>
        </w:tc>
        <w:tc>
          <w:tcPr>
            <w:tcW w:w="28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5,861</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Adjustments to reconcile net income (loss) to net cash provided by operating activities:</w:t>
            </w:r>
          </w:p>
        </w:tc>
        <w:tc>
          <w:tcPr>
            <w:tcW w:w="18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7,756</w:t>
            </w:r>
          </w:p>
        </w:tc>
        <w:tc>
          <w:tcPr>
            <w:tcW w:w="28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7,116</w:t>
            </w:r>
          </w:p>
        </w:tc>
        <w:tc>
          <w:tcPr>
            <w:tcW w:w="28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6,214</w:t>
            </w:r>
          </w:p>
        </w:tc>
        <w:tc>
          <w:tcPr>
            <w:tcW w:w="0" w:type="dxa"/>
            <w:vAlign w:val="bottom"/>
          </w:tcPr>
          <w:p>
            <w:pPr>
              <w:spacing w:after="0"/>
              <w:rPr>
                <w:sz w:val="1"/>
                <w:szCs w:val="1"/>
                <w:color w:val="auto"/>
              </w:rPr>
            </w:pPr>
          </w:p>
        </w:tc>
      </w:tr>
      <w:tr>
        <w:trPr>
          <w:trHeight w:val="236"/>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Depreciation expense and amortization of intangible assets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Stock-based compensation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378</w:t>
            </w: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Goodwill impairment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55"/>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454</w:t>
            </w:r>
          </w:p>
        </w:tc>
        <w:tc>
          <w:tcPr>
            <w:tcW w:w="0" w:type="dxa"/>
            <w:vAlign w:val="bottom"/>
          </w:tcPr>
          <w:p>
            <w:pPr>
              <w:spacing w:after="0"/>
              <w:rPr>
                <w:sz w:val="1"/>
                <w:szCs w:val="1"/>
                <w:color w:val="auto"/>
              </w:rPr>
            </w:pPr>
          </w:p>
        </w:tc>
      </w:tr>
      <w:tr>
        <w:trPr>
          <w:trHeight w:val="274"/>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Loss on debt repurchases and conversions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55"/>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Change in operating assets and liabilities:</w:t>
            </w:r>
          </w:p>
        </w:tc>
        <w:tc>
          <w:tcPr>
            <w:tcW w:w="1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2,763</w:t>
            </w:r>
          </w:p>
        </w:tc>
        <w:tc>
          <w:tcPr>
            <w:tcW w:w="28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190</w:t>
            </w:r>
          </w:p>
        </w:tc>
        <w:tc>
          <w:tcPr>
            <w:tcW w:w="2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(1,446)</w:t>
            </w:r>
          </w:p>
        </w:tc>
        <w:tc>
          <w:tcPr>
            <w:tcW w:w="0" w:type="dxa"/>
            <w:vAlign w:val="bottom"/>
          </w:tcPr>
          <w:p>
            <w:pPr>
              <w:spacing w:after="0"/>
              <w:rPr>
                <w:sz w:val="1"/>
                <w:szCs w:val="1"/>
                <w:color w:val="auto"/>
              </w:rPr>
            </w:pPr>
          </w:p>
        </w:tc>
      </w:tr>
      <w:tr>
        <w:trPr>
          <w:trHeight w:val="236"/>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(3,555)</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(2,179)</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866</w:t>
            </w: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(2,104)</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744</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210</w:t>
            </w:r>
          </w:p>
        </w:tc>
        <w:tc>
          <w:tcPr>
            <w:tcW w:w="0" w:type="dxa"/>
            <w:vAlign w:val="bottom"/>
          </w:tcPr>
          <w:p>
            <w:pPr>
              <w:spacing w:after="0"/>
              <w:rPr>
                <w:sz w:val="1"/>
                <w:szCs w:val="1"/>
                <w:color w:val="auto"/>
              </w:rPr>
            </w:pPr>
          </w:p>
        </w:tc>
      </w:tr>
      <w:tr>
        <w:trPr>
          <w:trHeight w:val="279"/>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1,559</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12,468</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investing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(7,676)</w:t>
            </w:r>
          </w:p>
        </w:tc>
        <w:tc>
          <w:tcPr>
            <w:tcW w:w="2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(12,067)</w:t>
            </w:r>
          </w:p>
        </w:tc>
        <w:tc>
          <w:tcPr>
            <w:tcW w:w="2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(10,030)</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Expenditures for property, plant, and equipment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Purchases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(723)</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(1,770)</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(3,163)</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maturities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1,566</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1,321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government incentives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710</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115</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495</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sales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25</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294</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856</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sale of Lehi, Utah fab</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(366)</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(used for) investing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(6,191)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(11,585)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(10,589)</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financing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6,716</w:t>
            </w:r>
          </w:p>
        </w:tc>
        <w:tc>
          <w:tcPr>
            <w:tcW w:w="2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2,000</w:t>
            </w:r>
          </w:p>
        </w:tc>
        <w:tc>
          <w:tcPr>
            <w:tcW w:w="2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1,188</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issuance of debt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Repayments of debt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(761)</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(2,032)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(1,520)</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of dividends to shareholders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(504)</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(461)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Repurchases of common stock - repurchase program</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(1,200)</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on equipment purchase contracts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(138)</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(141)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(295)</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4,983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(2,980)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-5542915</wp:posOffset>
            </wp:positionV>
            <wp:extent cx="6553200" cy="7464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553200" cy="74644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35" w:lineRule="exact"/>
        <w:rPr>
          <w:sz w:val="20"/>
          <w:szCs w:val="20"/>
          <w:color w:val="auto"/>
        </w:rPr>
      </w:pPr>
    </w:p>
    <w:p>
      <w:pPr>
        <w:ind w:left="40" w:right="220"/>
        <w:spacing w:after="0" w:line="259" w:lineRule="auto"/>
        <w:rPr>
          <w:sz w:val="20"/>
          <w:szCs w:val="20"/>
          <w:color w:val="auto"/>
        </w:rPr>
      </w:pPr>
      <w:r>
        <w:rPr>
          <w:rFonts w:ascii="Arial Narrow" w:cs="Arial Narrow" w:eastAsia="Arial Narrow" w:hAnsi="Arial Narrow"/>
          <w:sz w:val="20"/>
          <w:szCs w:val="20"/>
          <w:color w:val="auto"/>
        </w:rPr>
        <w:t>Effect of changes in currency exchange rates on cash, cash equivalents, and restricted cash</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beginning of period</w:t>
            </w: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end of period</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(34)</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(106)</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r>
      <w:tr>
        <w:trPr>
          <w:trHeight w:val="488"/>
        </w:trPr>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317</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510</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r>
      <w:tr>
        <w:trPr>
          <w:trHeight w:val="255"/>
        </w:trPr>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w w:val="97"/>
              </w:rPr>
              <w:t>8,339</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7,829</w:t>
            </w:r>
          </w:p>
        </w:tc>
        <w:tc>
          <w:tcPr>
            <w:tcW w:w="4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7,690</w:t>
            </w:r>
          </w:p>
        </w:tc>
      </w:tr>
      <w:tr>
        <w:trPr>
          <w:trHeight w:val="277"/>
        </w:trPr>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w w:val="97"/>
              </w:rPr>
              <w:t>8,656</w:t>
            </w:r>
          </w:p>
        </w:tc>
        <w:tc>
          <w:tcPr>
            <w:tcW w:w="44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8,339</w:t>
            </w:r>
          </w:p>
        </w:tc>
        <w:tc>
          <w:tcPr>
            <w:tcW w:w="44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7,829</w:t>
            </w:r>
          </w:p>
        </w:tc>
      </w:tr>
    </w:tbl>
    <w:p>
      <w:pPr>
        <w:spacing w:after="0" w:line="218" w:lineRule="exact"/>
        <w:rPr>
          <w:sz w:val="20"/>
          <w:szCs w:val="20"/>
          <w:color w:val="auto"/>
        </w:rPr>
      </w:pPr>
    </w:p>
    <w:p>
      <w:pPr>
        <w:sectPr>
          <w:pgSz w:w="12240" w:h="15840" w:orient="portrait"/>
          <w:cols w:equalWidth="0" w:num="2">
            <w:col w:w="6560" w:space="660"/>
            <w:col w:w="3040"/>
          </w:cols>
          <w:pgMar w:left="1000" w:top="732" w:right="980" w:bottom="0" w:gutter="0" w:footer="0" w:header="0"/>
          <w:type w:val="continuous"/>
        </w:sectPr>
      </w:pP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5180" w:type="dxa"/>
            <w:vAlign w:val="bottom"/>
          </w:tcPr>
          <w:p>
            <w:pPr>
              <w:spacing w:after="0"/>
              <w:rPr>
                <w:sz w:val="20"/>
                <w:szCs w:val="20"/>
                <w:color w:val="auto"/>
              </w:rPr>
            </w:pPr>
            <w:r>
              <w:rPr>
                <w:rFonts w:ascii="Arial Narrow" w:cs="Arial Narrow" w:eastAsia="Arial Narrow" w:hAnsi="Arial Narrow"/>
                <w:sz w:val="20"/>
                <w:szCs w:val="20"/>
                <w:b w:val="1"/>
                <w:bCs w:val="1"/>
                <w:color w:val="auto"/>
              </w:rPr>
              <w:t>Supplemental disclosures</w:t>
            </w:r>
          </w:p>
        </w:tc>
        <w:tc>
          <w:tcPr>
            <w:tcW w:w="172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(532)</w:t>
            </w:r>
          </w:p>
        </w:tc>
        <w:tc>
          <w:tcPr>
            <w:tcW w:w="50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(493)</w:t>
            </w:r>
          </w:p>
        </w:tc>
        <w:tc>
          <w:tcPr>
            <w:tcW w:w="480" w:type="dxa"/>
            <w:vAlign w:val="bottom"/>
            <w:vMerge w:val="restart"/>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(361)</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Income taxes paid, net</w:t>
            </w:r>
          </w:p>
        </w:tc>
        <w:tc>
          <w:tcPr>
            <w:tcW w:w="17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Interest paid, net of amounts capitalized</w:t>
            </w:r>
          </w:p>
        </w:tc>
        <w:tc>
          <w:tcPr>
            <w:tcW w:w="1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(323)</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(154)</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0" w:type="dxa"/>
            <w:vAlign w:val="bottom"/>
          </w:tcPr>
          <w:p>
            <w:pPr>
              <w:spacing w:after="0"/>
              <w:rPr>
                <w:sz w:val="1"/>
                <w:szCs w:val="1"/>
                <w:color w:val="auto"/>
              </w:rPr>
            </w:pPr>
          </w:p>
        </w:tc>
      </w:tr>
      <w:tr>
        <w:trPr>
          <w:trHeight w:val="296"/>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Noncash equipment acquisitions on contracts payable</w:t>
            </w:r>
          </w:p>
        </w:tc>
        <w:tc>
          <w:tcPr>
            <w:tcW w:w="1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165</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157</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289</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58 | 2023 10-K</w:t>
      </w:r>
    </w:p>
    <w:p>
      <w:pPr>
        <w:sectPr>
          <w:pgSz w:w="12240" w:h="15840" w:orient="portrait"/>
          <w:cols w:equalWidth="0" w:num="1">
            <w:col w:w="10260"/>
          </w:cols>
          <w:pgMar w:left="1000" w:top="732" w:right="980" w:bottom="0" w:gutter="0" w:footer="0" w:header="0"/>
          <w:type w:val="continuous"/>
        </w:sectPr>
      </w:pPr>
    </w:p>
    <w:bookmarkStart w:id="62" w:name="page63"/>
    <w:bookmarkEnd w:id="62"/>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11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tabular amounts in millions, except per share amounts)</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Significant Accounting Policies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Basis of Presentation</w:t>
      </w:r>
    </w:p>
    <w:p>
      <w:pPr>
        <w:spacing w:after="0" w:line="263"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74"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See “Inventories” below for changes to our significant accounting policies, and the “Inventories” note for additional information.</w:t>
      </w:r>
    </w:p>
    <w:p>
      <w:pPr>
        <w:spacing w:after="0" w:line="202" w:lineRule="exact"/>
        <w:rPr>
          <w:sz w:val="20"/>
          <w:szCs w:val="20"/>
          <w:color w:val="auto"/>
        </w:rPr>
      </w:pPr>
    </w:p>
    <w:p>
      <w:pPr>
        <w:ind w:right="380"/>
        <w:spacing w:after="0" w:line="314" w:lineRule="auto"/>
        <w:rPr>
          <w:sz w:val="20"/>
          <w:szCs w:val="20"/>
          <w:color w:val="auto"/>
        </w:rPr>
      </w:pPr>
      <w:r>
        <w:rPr>
          <w:rFonts w:ascii="Arial" w:cs="Arial" w:eastAsia="Arial" w:hAnsi="Arial"/>
          <w:sz w:val="19"/>
          <w:szCs w:val="19"/>
          <w:b w:val="1"/>
          <w:bCs w:val="1"/>
          <w:color w:val="auto"/>
        </w:rPr>
        <w:t>Our fiscal year is the 52 or 53-week period ending on the Thursday closest to August 31. Fiscal 2023, 2022, and 2021 each contained 52 weeks. All period references are to our fiscal periods unless otherwise indicated.</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and Hedging Instruments</w:t>
      </w:r>
    </w:p>
    <w:p>
      <w:pPr>
        <w:spacing w:after="0" w:line="263"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b w:val="1"/>
          <w:bCs w:val="1"/>
          <w:color w:val="auto"/>
        </w:rPr>
        <w:t>We use derivative instruments to manage our exposure to changes in currency exchange rates from (1) our monetary assets and liabilities denominated in currencies other than the U.S. dollar and (2)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cash flow hedges, time value is excluded from the assessment of effectiveness and the gains and losses attributable to time value are recognized in earnings through an amortization approach. For derivative instruments designated as fair value hedges, changes in the fair values of the derivative instruments and the offsetting changes in the fair values of the underlying hedged items are both recognized in earnings. Cash flows from derivative instruments designated as cash flow hedges or fair value hedges are classified in the same category as the items being hedged.</w:t>
      </w:r>
    </w:p>
    <w:p>
      <w:pPr>
        <w:spacing w:after="0" w:line="192"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b w:val="1"/>
          <w:bCs w:val="1"/>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835660</wp:posOffset>
            </wp:positionV>
            <wp:extent cx="736600" cy="200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10260"/>
          </w:cols>
          <w:pgMar w:left="1000" w:top="732" w:right="9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4"/>
          <w:szCs w:val="24"/>
          <w:b w:val="1"/>
          <w:bCs w:val="1"/>
          <w:color w:val="auto"/>
        </w:rPr>
        <w:t>Financial Instruments</w:t>
      </w:r>
    </w:p>
    <w:p>
      <w:pPr>
        <w:spacing w:after="0" w:line="263"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auto"/>
        </w:rPr>
        <w:t>Cash equivalents include highly liquid short-term investments with original maturities to us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Functional Currency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U.S. dollar is the functional currency for us and all of our consolidated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Goodwill</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perform an annual impairment assessment for goodwill in our fourth quarter each year.</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Government Incentives</w:t>
      </w:r>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We receive incentives from governmental entities related to capital expenditures, expenses,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asset costs or a reduction of expenses. Incentives related to the acquisition or construction of fixed assets are recognized as a reduction in the carrying amounts of the related assets and reduce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or restricted cash,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Inventories</w:t>
      </w:r>
    </w:p>
    <w:p>
      <w:pPr>
        <w:spacing w:after="0" w:line="263"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color w:val="auto"/>
        </w:rPr>
        <w:t>Effective as of the beginning of the second quarter of 2021, we changed the method of inventory costing from average cost to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Leases</w:t>
      </w:r>
    </w:p>
    <w:p>
      <w:pPr>
        <w:spacing w:after="0" w:line="26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 2023 10-K</w:t>
      </w:r>
    </w:p>
    <w:p>
      <w:pPr>
        <w:sectPr>
          <w:pgSz w:w="12240" w:h="15840" w:orient="portrait"/>
          <w:cols w:equalWidth="0" w:num="1">
            <w:col w:w="10240"/>
          </w:cols>
          <w:pgMar w:left="1000" w:top="833" w:right="100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4"/>
          <w:szCs w:val="24"/>
          <w:b w:val="1"/>
          <w:bCs w:val="1"/>
          <w:color w:val="auto"/>
        </w:rPr>
        <w:t>Product and Process Technology</w:t>
      </w:r>
    </w:p>
    <w:p>
      <w:pPr>
        <w:spacing w:after="0" w:line="263"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b w:val="1"/>
          <w:bCs w:val="1"/>
          <w:color w:val="auto"/>
        </w:rPr>
        <w:t>Costs incurred to (1) acquire product and process technology, (2) patent technology, and (3) maintain patent technology,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Warranty</w:t>
      </w:r>
    </w:p>
    <w:p>
      <w:pPr>
        <w:spacing w:after="0" w:line="263"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Property, Plant, and Equipment</w:t>
      </w:r>
    </w:p>
    <w:p>
      <w:pPr>
        <w:spacing w:after="0" w:line="26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168" w:lineRule="exact"/>
        <w:rPr>
          <w:sz w:val="20"/>
          <w:szCs w:val="20"/>
          <w:color w:val="auto"/>
        </w:rPr>
      </w:pPr>
    </w:p>
    <w:p>
      <w:pPr>
        <w:ind w:right="240"/>
        <w:spacing w:after="0" w:line="345" w:lineRule="auto"/>
        <w:rPr>
          <w:sz w:val="20"/>
          <w:szCs w:val="20"/>
          <w:color w:val="auto"/>
        </w:rPr>
      </w:pPr>
      <w:r>
        <w:rPr>
          <w:rFonts w:ascii="Arial" w:cs="Arial" w:eastAsia="Arial" w:hAnsi="Arial"/>
          <w:sz w:val="18"/>
          <w:szCs w:val="18"/>
          <w:b w:val="1"/>
          <w:bCs w:val="1"/>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Research and Development</w:t>
      </w:r>
    </w:p>
    <w:p>
      <w:pPr>
        <w:spacing w:after="0" w:line="263"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b w:val="1"/>
          <w:bCs w:val="1"/>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 Amounts from cost-sharing arrangements are reflected as a reduction of R&amp;D expense.</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Recognition</w:t>
      </w: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Stock-based Compensation</w:t>
      </w: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Treasury Stock</w:t>
      </w:r>
    </w:p>
    <w:p>
      <w:pPr>
        <w:spacing w:after="0" w:line="263"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b w:val="1"/>
          <w:bCs w:val="1"/>
          <w:color w:val="auto"/>
        </w:rPr>
        <w:t>Treasury stock is carried at cost. When we retire our treasury stock, any excess of the repurchase price paid over par value is allocated between additional capital and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179070</wp:posOffset>
            </wp:positionV>
            <wp:extent cx="736600" cy="200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10260"/>
          </w:cols>
          <w:pgMar w:left="1000" w:top="833" w:right="9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4"/>
          <w:szCs w:val="24"/>
          <w:b w:val="1"/>
          <w:bCs w:val="1"/>
          <w:color w:val="auto"/>
        </w:rPr>
        <w:t>Use of Estimates</w:t>
      </w:r>
    </w:p>
    <w:p>
      <w:pPr>
        <w:spacing w:after="0" w:line="263"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3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Lehi, Utah Fab and 3D XPoint</w:t>
      </w:r>
    </w:p>
    <w:p>
      <w:pPr>
        <w:spacing w:after="0" w:line="375"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In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for the sale of our facility located in Lehi, Utah that was dedicated to 3D XPoint production. As a result, we classified the property, plant, and equipment as held for sale in 2021, ceased depreciating the assets, and recognized a $435 million restructure and asset impairment charge and a $104 million tax benefit.</w:t>
      </w:r>
    </w:p>
    <w:p>
      <w:pPr>
        <w:spacing w:after="0" w:line="203" w:lineRule="exact"/>
        <w:rPr>
          <w:sz w:val="20"/>
          <w:szCs w:val="20"/>
          <w:color w:val="auto"/>
        </w:rPr>
      </w:pPr>
    </w:p>
    <w:p>
      <w:pPr>
        <w:ind w:right="380"/>
        <w:spacing w:after="0" w:line="268" w:lineRule="auto"/>
        <w:rPr>
          <w:sz w:val="20"/>
          <w:szCs w:val="20"/>
          <w:color w:val="auto"/>
        </w:rPr>
      </w:pPr>
      <w:r>
        <w:rPr>
          <w:rFonts w:ascii="Arial" w:cs="Arial" w:eastAsia="Arial" w:hAnsi="Arial"/>
          <w:sz w:val="20"/>
          <w:szCs w:val="20"/>
          <w:b w:val="1"/>
          <w:bCs w:val="1"/>
          <w:color w:val="auto"/>
        </w:rPr>
        <w:t>We closed the sale of our Lehi facility to TI in 2022 for $893 million and disposed of $918 million of net assets, consisting primarily of property, plant, and equipment, resulting in a $23 million loss, net of selling expenses and other adjustments.</w:t>
      </w:r>
    </w:p>
    <w:p>
      <w:pPr>
        <w:spacing w:after="0" w:line="31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Variable Interest Entities</w:t>
      </w:r>
    </w:p>
    <w:p>
      <w:pPr>
        <w:spacing w:after="0" w:line="375"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w:t>
      </w: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 2023 10-K</w:t>
      </w:r>
    </w:p>
    <w:p>
      <w:pPr>
        <w:sectPr>
          <w:pgSz w:w="12240" w:h="15840" w:orient="portrait"/>
          <w:cols w:equalWidth="0" w:num="1">
            <w:col w:w="10240"/>
          </w:cols>
          <w:pgMar w:left="1000" w:top="833" w:right="1000" w:bottom="0" w:gutter="0" w:footer="0" w:header="0"/>
          <w:type w:val="continuous"/>
        </w:sectPr>
      </w:pPr>
    </w:p>
    <w:bookmarkStart w:id="66" w:name="page67"/>
    <w:bookmarkEnd w:id="66"/>
    <w:p>
      <w:pPr>
        <w:ind w:left="10"/>
        <w:spacing w:after="0"/>
        <w:rPr>
          <w:sz w:val="20"/>
          <w:szCs w:val="20"/>
          <w:color w:val="auto"/>
        </w:rPr>
      </w:pPr>
      <w:r>
        <w:rPr>
          <w:rFonts w:ascii="Arial Narrow" w:cs="Arial Narrow" w:eastAsia="Arial Narrow" w:hAnsi="Arial Narrow"/>
          <w:sz w:val="44"/>
          <w:szCs w:val="44"/>
          <w:b w:val="1"/>
          <w:bCs w:val="1"/>
          <w:color w:val="auto"/>
        </w:rPr>
        <w:t>Cash and Investments</w:t>
      </w:r>
    </w:p>
    <w:p>
      <w:pPr>
        <w:spacing w:after="0" w:line="375" w:lineRule="exact"/>
        <w:rPr>
          <w:sz w:val="20"/>
          <w:szCs w:val="20"/>
          <w:color w:val="auto"/>
        </w:rPr>
      </w:pPr>
    </w:p>
    <w:p>
      <w:pPr>
        <w:ind w:left="10" w:right="240"/>
        <w:spacing w:after="0" w:line="266" w:lineRule="auto"/>
        <w:rPr>
          <w:sz w:val="20"/>
          <w:szCs w:val="20"/>
          <w:color w:val="auto"/>
        </w:rPr>
      </w:pPr>
      <w:r>
        <w:rPr>
          <w:rFonts w:ascii="Arial" w:cs="Arial" w:eastAsia="Arial" w:hAnsi="Arial"/>
          <w:sz w:val="20"/>
          <w:szCs w:val="20"/>
          <w:b w:val="1"/>
          <w:bCs w:val="1"/>
          <w:color w:val="auto"/>
        </w:rPr>
        <w:t>All of our short-term investments and long-term marketable investments were classified as available-for-sale as of the dates noted below. Cash and equivalents and the fair values of our available-for-sale investments, which approximated amortized costs, were as follows: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00"/>
              <w:spacing w:after="0"/>
              <w:rPr>
                <w:sz w:val="20"/>
                <w:szCs w:val="20"/>
                <w:color w:val="auto"/>
              </w:rPr>
            </w:pPr>
            <w:r>
              <w:rPr>
                <w:rFonts w:ascii="Arial Narrow" w:cs="Arial Narrow" w:eastAsia="Arial Narrow" w:hAnsi="Arial Narrow"/>
                <w:sz w:val="20"/>
                <w:szCs w:val="20"/>
                <w:b w:val="1"/>
                <w:bCs w:val="1"/>
                <w:color w:val="auto"/>
                <w:w w:val="99"/>
              </w:rPr>
              <w:t>As of August 31, 2023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00"/>
              <w:spacing w:after="0"/>
              <w:rPr>
                <w:sz w:val="20"/>
                <w:szCs w:val="20"/>
                <w:color w:val="auto"/>
              </w:rPr>
            </w:pPr>
            <w:r>
              <w:rPr>
                <w:rFonts w:ascii="Arial Narrow" w:cs="Arial Narrow" w:eastAsia="Arial Narrow" w:hAnsi="Arial Narrow"/>
                <w:sz w:val="20"/>
                <w:szCs w:val="20"/>
                <w:b w:val="1"/>
                <w:bCs w:val="1"/>
                <w:color w:val="auto"/>
              </w:rPr>
              <w:t>As of September 1, 2022</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w w:val="97"/>
              </w:rPr>
              <w:t>Cash and</w:t>
            </w:r>
          </w:p>
        </w:tc>
        <w:tc>
          <w:tcPr>
            <w:tcW w:w="106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Short-term</w:t>
            </w:r>
          </w:p>
        </w:tc>
        <w:tc>
          <w:tcPr>
            <w:tcW w:w="180" w:type="dxa"/>
            <w:vAlign w:val="bottom"/>
          </w:tcPr>
          <w:p>
            <w:pPr>
              <w:spacing w:after="0"/>
              <w:rPr>
                <w:sz w:val="16"/>
                <w:szCs w:val="16"/>
                <w:color w:val="auto"/>
              </w:rPr>
            </w:pPr>
          </w:p>
        </w:tc>
        <w:tc>
          <w:tcPr>
            <w:tcW w:w="106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rPr>
              <w:t>Long-term</w:t>
            </w:r>
          </w:p>
        </w:tc>
        <w:tc>
          <w:tcPr>
            <w:tcW w:w="180" w:type="dxa"/>
            <w:vAlign w:val="bottom"/>
          </w:tcPr>
          <w:p>
            <w:pPr>
              <w:spacing w:after="0"/>
              <w:rPr>
                <w:sz w:val="16"/>
                <w:szCs w:val="16"/>
                <w:color w:val="auto"/>
              </w:rPr>
            </w:pPr>
          </w:p>
        </w:tc>
        <w:tc>
          <w:tcPr>
            <w:tcW w:w="620" w:type="dxa"/>
            <w:vAlign w:val="bottom"/>
          </w:tcPr>
          <w:p>
            <w:pPr>
              <w:jc w:val="center"/>
              <w:ind w:right="20"/>
              <w:spacing w:after="0" w:line="193" w:lineRule="exact"/>
              <w:rPr>
                <w:sz w:val="20"/>
                <w:szCs w:val="20"/>
                <w:color w:val="auto"/>
              </w:rPr>
            </w:pPr>
            <w:r>
              <w:rPr>
                <w:rFonts w:ascii="Arial Narrow" w:cs="Arial Narrow" w:eastAsia="Arial Narrow" w:hAnsi="Arial Narrow"/>
                <w:sz w:val="20"/>
                <w:szCs w:val="20"/>
                <w:b w:val="1"/>
                <w:bCs w:val="1"/>
                <w:color w:val="auto"/>
                <w:w w:val="96"/>
              </w:rPr>
              <w:t>Total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Cash and</w:t>
            </w:r>
          </w:p>
        </w:tc>
        <w:tc>
          <w:tcPr>
            <w:tcW w:w="108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Short-term</w:t>
            </w:r>
          </w:p>
        </w:tc>
        <w:tc>
          <w:tcPr>
            <w:tcW w:w="160" w:type="dxa"/>
            <w:vAlign w:val="bottom"/>
          </w:tcPr>
          <w:p>
            <w:pPr>
              <w:spacing w:after="0"/>
              <w:rPr>
                <w:sz w:val="16"/>
                <w:szCs w:val="16"/>
                <w:color w:val="auto"/>
              </w:rPr>
            </w:pPr>
          </w:p>
        </w:tc>
        <w:tc>
          <w:tcPr>
            <w:tcW w:w="106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rPr>
              <w:t>Long-term</w:t>
            </w:r>
          </w:p>
        </w:tc>
        <w:tc>
          <w:tcPr>
            <w:tcW w:w="180" w:type="dxa"/>
            <w:vAlign w:val="bottom"/>
          </w:tcPr>
          <w:p>
            <w:pPr>
              <w:spacing w:after="0"/>
              <w:rPr>
                <w:sz w:val="16"/>
                <w:szCs w:val="16"/>
                <w:color w:val="auto"/>
              </w:rPr>
            </w:pPr>
          </w:p>
        </w:tc>
        <w:tc>
          <w:tcPr>
            <w:tcW w:w="640" w:type="dxa"/>
            <w:vAlign w:val="bottom"/>
          </w:tcPr>
          <w:p>
            <w:pPr>
              <w:jc w:val="center"/>
              <w:ind w:right="40"/>
              <w:spacing w:after="0" w:line="193" w:lineRule="exact"/>
              <w:rPr>
                <w:sz w:val="20"/>
                <w:szCs w:val="20"/>
                <w:color w:val="auto"/>
              </w:rPr>
            </w:pPr>
            <w:r>
              <w:rPr>
                <w:rFonts w:ascii="Arial Narrow" w:cs="Arial Narrow" w:eastAsia="Arial Narrow" w:hAnsi="Arial Narrow"/>
                <w:sz w:val="20"/>
                <w:szCs w:val="20"/>
                <w:b w:val="1"/>
                <w:bCs w:val="1"/>
                <w:color w:val="auto"/>
                <w:w w:val="96"/>
              </w:rPr>
              <w:t>Total</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20" w:type="dxa"/>
            <w:vAlign w:val="bottom"/>
          </w:tcPr>
          <w:p>
            <w:pPr>
              <w:jc w:val="center"/>
              <w:ind w:right="2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40" w:type="dxa"/>
            <w:vAlign w:val="bottom"/>
          </w:tcPr>
          <w:p>
            <w:pPr>
              <w:jc w:val="center"/>
              <w:ind w:right="4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0" w:type="dxa"/>
            <w:vAlign w:val="bottom"/>
          </w:tcPr>
          <w:p>
            <w:pPr>
              <w:spacing w:after="0"/>
              <w:rPr>
                <w:sz w:val="1"/>
                <w:szCs w:val="1"/>
                <w:color w:val="auto"/>
              </w:rPr>
            </w:pPr>
          </w:p>
        </w:tc>
      </w:tr>
      <w:tr>
        <w:trPr>
          <w:trHeight w:val="262"/>
        </w:trPr>
        <w:tc>
          <w:tcPr>
            <w:tcW w:w="19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Narrow" w:cs="Arial Narrow" w:eastAsia="Arial Narrow" w:hAnsi="Arial Narrow"/>
                <w:sz w:val="20"/>
                <w:szCs w:val="20"/>
                <w:b w:val="1"/>
                <w:bCs w:val="1"/>
                <w:color w:val="auto"/>
              </w:rPr>
              <w:t>Equivalents Investments</w:t>
            </w:r>
          </w:p>
        </w:tc>
        <w:tc>
          <w:tcPr>
            <w:tcW w:w="124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7"/>
              </w:rPr>
              <w:t>Investments</w:t>
            </w:r>
            <w:r>
              <w:rPr>
                <w:rFonts w:ascii="Arial Narrow" w:cs="Arial Narrow" w:eastAsia="Arial Narrow" w:hAnsi="Arial Narrow"/>
                <w:sz w:val="26"/>
                <w:szCs w:val="26"/>
                <w:color w:val="auto"/>
                <w:w w:val="97"/>
                <w:vertAlign w:val="superscript"/>
              </w:rPr>
              <w:t>(1)</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Value</w:t>
            </w:r>
          </w:p>
        </w:tc>
        <w:tc>
          <w:tcPr>
            <w:tcW w:w="80" w:type="dxa"/>
            <w:vAlign w:val="bottom"/>
          </w:tcPr>
          <w:p>
            <w:pPr>
              <w:spacing w:after="0"/>
              <w:rPr>
                <w:sz w:val="22"/>
                <w:szCs w:val="22"/>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w w:val="99"/>
              </w:rPr>
              <w:t>Equivalents</w:t>
            </w:r>
          </w:p>
        </w:tc>
        <w:tc>
          <w:tcPr>
            <w:tcW w:w="1080" w:type="dxa"/>
            <w:vAlign w:val="bottom"/>
            <w:tcBorders>
              <w:bottom w:val="single" w:sz="8" w:color="auto"/>
            </w:tcBorders>
            <w:gridSpan w:val="2"/>
          </w:tcPr>
          <w:p>
            <w:pPr>
              <w:ind w:left="80"/>
              <w:spacing w:after="0"/>
              <w:rPr>
                <w:sz w:val="20"/>
                <w:szCs w:val="20"/>
                <w:color w:val="auto"/>
              </w:rPr>
            </w:pPr>
            <w:r>
              <w:rPr>
                <w:rFonts w:ascii="Arial Narrow" w:cs="Arial Narrow" w:eastAsia="Arial Narrow" w:hAnsi="Arial Narrow"/>
                <w:sz w:val="20"/>
                <w:szCs w:val="20"/>
                <w:b w:val="1"/>
                <w:bCs w:val="1"/>
                <w:color w:val="auto"/>
              </w:rPr>
              <w:t>Investments</w:t>
            </w:r>
          </w:p>
        </w:tc>
        <w:tc>
          <w:tcPr>
            <w:tcW w:w="122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7"/>
              </w:rPr>
              <w:t>Investments</w:t>
            </w:r>
            <w:r>
              <w:rPr>
                <w:rFonts w:ascii="Arial Narrow" w:cs="Arial Narrow" w:eastAsia="Arial Narrow" w:hAnsi="Arial Narrow"/>
                <w:sz w:val="26"/>
                <w:szCs w:val="26"/>
                <w:color w:val="auto"/>
                <w:w w:val="97"/>
                <w:vertAlign w:val="superscript"/>
              </w:rPr>
              <w:t>(1)</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w w:val="95"/>
              </w:rPr>
              <w:t>Value</w:t>
            </w:r>
          </w:p>
        </w:tc>
        <w:tc>
          <w:tcPr>
            <w:tcW w:w="0" w:type="dxa"/>
            <w:vAlign w:val="bottom"/>
          </w:tcPr>
          <w:p>
            <w:pPr>
              <w:spacing w:after="0"/>
              <w:rPr>
                <w:sz w:val="1"/>
                <w:szCs w:val="1"/>
                <w:color w:val="auto"/>
              </w:rPr>
            </w:pPr>
          </w:p>
        </w:tc>
      </w:tr>
      <w:tr>
        <w:trPr>
          <w:trHeight w:val="323"/>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Cash</w:t>
            </w:r>
          </w:p>
        </w:tc>
        <w:tc>
          <w:tcPr>
            <w:tcW w:w="140" w:type="dxa"/>
            <w:vAlign w:val="bottom"/>
          </w:tcPr>
          <w:p>
            <w:pPr>
              <w:ind w:left="40"/>
              <w:spacing w:after="0"/>
              <w:rPr>
                <w:sz w:val="20"/>
                <w:szCs w:val="20"/>
                <w:color w:val="auto"/>
              </w:rPr>
            </w:pPr>
            <w:r>
              <w:rPr>
                <w:rFonts w:ascii="Arial Narrow" w:cs="Arial Narrow" w:eastAsia="Arial Narrow" w:hAnsi="Arial Narrow"/>
                <w:sz w:val="20"/>
                <w:szCs w:val="20"/>
                <w:color w:val="auto"/>
                <w:w w:val="87"/>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5,771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5,771</w:t>
            </w:r>
          </w:p>
        </w:tc>
        <w:tc>
          <w:tcPr>
            <w:tcW w:w="220" w:type="dxa"/>
            <w:vAlign w:val="bottom"/>
            <w:gridSpan w:val="2"/>
          </w:tcPr>
          <w:p>
            <w:pPr>
              <w:ind w:left="140"/>
              <w:spacing w:after="0"/>
              <w:rPr>
                <w:sz w:val="20"/>
                <w:szCs w:val="20"/>
                <w:color w:val="auto"/>
              </w:rPr>
            </w:pPr>
            <w:r>
              <w:rPr>
                <w:rFonts w:ascii="Arial Narrow" w:cs="Arial Narrow" w:eastAsia="Arial Narrow" w:hAnsi="Arial Narrow"/>
                <w:sz w:val="18"/>
                <w:szCs w:val="18"/>
                <w:color w:val="auto"/>
                <w:w w:val="72"/>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6,055</w:t>
            </w:r>
          </w:p>
        </w:tc>
        <w:tc>
          <w:tcPr>
            <w:tcW w:w="360" w:type="dxa"/>
            <w:vAlign w:val="bottom"/>
          </w:tcPr>
          <w:p>
            <w:pPr>
              <w:ind w:left="60"/>
              <w:spacing w:after="0"/>
              <w:rPr>
                <w:sz w:val="20"/>
                <w:szCs w:val="20"/>
                <w:color w:val="auto"/>
              </w:rPr>
            </w:pPr>
            <w:r>
              <w:rPr>
                <w:rFonts w:ascii="Arial Narrow" w:cs="Arial Narrow" w:eastAsia="Arial Narrow" w:hAnsi="Arial Narrow"/>
                <w:sz w:val="20"/>
                <w:szCs w:val="20"/>
                <w:color w:val="auto"/>
              </w:rPr>
              <w:t>$</w:t>
            </w: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6,055</w:t>
            </w:r>
          </w:p>
        </w:tc>
        <w:tc>
          <w:tcPr>
            <w:tcW w:w="0" w:type="dxa"/>
            <w:vAlign w:val="bottom"/>
          </w:tcPr>
          <w:p>
            <w:pPr>
              <w:spacing w:after="0"/>
              <w:rPr>
                <w:sz w:val="1"/>
                <w:szCs w:val="1"/>
                <w:color w:val="auto"/>
              </w:rPr>
            </w:pPr>
          </w:p>
        </w:tc>
      </w:tr>
      <w:tr>
        <w:trPr>
          <w:trHeight w:val="308"/>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Level 1</w:t>
            </w:r>
            <w:r>
              <w:rPr>
                <w:rFonts w:ascii="Arial Narrow" w:cs="Arial Narrow" w:eastAsia="Arial Narrow" w:hAnsi="Arial Narrow"/>
                <w:sz w:val="26"/>
                <w:szCs w:val="26"/>
                <w:color w:val="auto"/>
                <w:vertAlign w:val="superscript"/>
              </w:rPr>
              <w:t>(2)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Money market funds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1,629</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1,629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1,196</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1,196</w:t>
            </w:r>
          </w:p>
        </w:tc>
        <w:tc>
          <w:tcPr>
            <w:tcW w:w="0" w:type="dxa"/>
            <w:vAlign w:val="bottom"/>
          </w:tcPr>
          <w:p>
            <w:pPr>
              <w:spacing w:after="0"/>
              <w:rPr>
                <w:sz w:val="1"/>
                <w:szCs w:val="1"/>
                <w:color w:val="auto"/>
              </w:rPr>
            </w:pPr>
          </w:p>
        </w:tc>
      </w:tr>
      <w:tr>
        <w:trPr>
          <w:trHeight w:val="323"/>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Level 2</w:t>
            </w:r>
            <w:r>
              <w:rPr>
                <w:rFonts w:ascii="Arial Narrow" w:cs="Arial Narrow" w:eastAsia="Arial Narrow" w:hAnsi="Arial Narrow"/>
                <w:sz w:val="26"/>
                <w:szCs w:val="26"/>
                <w:color w:val="auto"/>
                <w:vertAlign w:val="superscript"/>
              </w:rPr>
              <w:t>(3)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Certificates of deposit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1,172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1,197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976</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50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1,026</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Corporate bonds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737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437</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1,174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759</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1,754</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Asset-backed securities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387</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402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608</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628</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Government securities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131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Narrow" w:cs="Arial Narrow" w:eastAsia="Arial Narrow" w:hAnsi="Arial Narrow"/>
                <w:sz w:val="20"/>
                <w:szCs w:val="20"/>
                <w:color w:val="auto"/>
              </w:rPr>
              <w:t>155</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201</w:t>
            </w:r>
          </w:p>
        </w:tc>
        <w:tc>
          <w:tcPr>
            <w:tcW w:w="0" w:type="dxa"/>
            <w:vAlign w:val="bottom"/>
          </w:tcPr>
          <w:p>
            <w:pPr>
              <w:spacing w:after="0"/>
              <w:rPr>
                <w:sz w:val="1"/>
                <w:szCs w:val="1"/>
                <w:color w:val="auto"/>
              </w:rPr>
            </w:pPr>
          </w:p>
        </w:tc>
      </w:tr>
      <w:tr>
        <w:trPr>
          <w:trHeight w:val="302"/>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Commercial paper</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118</w:t>
            </w: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8,577</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1,017</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844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10,438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8,262</w:t>
            </w:r>
          </w:p>
        </w:tc>
        <w:tc>
          <w:tcPr>
            <w:tcW w:w="36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1,069</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1,647</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10,978</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Restricted cash</w:t>
            </w:r>
            <w:r>
              <w:rPr>
                <w:rFonts w:ascii="Arial Narrow" w:cs="Arial Narrow" w:eastAsia="Arial Narrow" w:hAnsi="Arial Narrow"/>
                <w:sz w:val="26"/>
                <w:szCs w:val="26"/>
                <w:color w:val="auto"/>
                <w:vertAlign w:val="superscript"/>
              </w:rPr>
              <w:t>(4)</w:t>
            </w: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79</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w:t>
            </w: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6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40"/>
              <w:spacing w:after="0" w:line="211" w:lineRule="exact"/>
              <w:rPr>
                <w:sz w:val="20"/>
                <w:szCs w:val="20"/>
                <w:color w:val="auto"/>
              </w:rPr>
            </w:pPr>
            <w:r>
              <w:rPr>
                <w:rFonts w:ascii="Arial Narrow" w:cs="Arial Narrow" w:eastAsia="Arial Narrow" w:hAnsi="Arial Narrow"/>
                <w:sz w:val="20"/>
                <w:szCs w:val="20"/>
                <w:color w:val="auto"/>
              </w:rPr>
              <w:t>Cash, cash equivalents,</w:t>
            </w:r>
          </w:p>
        </w:tc>
        <w:tc>
          <w:tcPr>
            <w:tcW w:w="1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w w:val="87"/>
              </w:rPr>
              <w:t>$</w:t>
            </w: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8,656</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restart"/>
          </w:tcPr>
          <w:p>
            <w:pPr>
              <w:ind w:left="140"/>
              <w:spacing w:after="0"/>
              <w:rPr>
                <w:sz w:val="20"/>
                <w:szCs w:val="20"/>
                <w:color w:val="auto"/>
              </w:rPr>
            </w:pPr>
            <w:r>
              <w:rPr>
                <w:rFonts w:ascii="Arial Narrow" w:cs="Arial Narrow" w:eastAsia="Arial Narrow" w:hAnsi="Arial Narrow"/>
                <w:sz w:val="18"/>
                <w:szCs w:val="18"/>
                <w:color w:val="auto"/>
                <w:w w:val="72"/>
              </w:rPr>
              <w:t>$</w:t>
            </w: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8,339</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tcPr>
          <w:p>
            <w:pPr>
              <w:ind w:left="40"/>
              <w:spacing w:after="0" w:line="215" w:lineRule="exact"/>
              <w:rPr>
                <w:sz w:val="20"/>
                <w:szCs w:val="20"/>
                <w:color w:val="auto"/>
              </w:rPr>
            </w:pPr>
            <w:r>
              <w:rPr>
                <w:rFonts w:ascii="Arial Narrow" w:cs="Arial Narrow" w:eastAsia="Arial Narrow" w:hAnsi="Arial Narrow"/>
                <w:sz w:val="20"/>
                <w:szCs w:val="20"/>
                <w:color w:val="auto"/>
              </w:rPr>
              <w:t>and restricted cash</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-2393315</wp:posOffset>
            </wp:positionV>
            <wp:extent cx="6553200" cy="2413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553200" cy="2413000"/>
                    </a:xfrm>
                    <a:prstGeom prst="rect">
                      <a:avLst/>
                    </a:prstGeom>
                    <a:noFill/>
                  </pic:spPr>
                </pic:pic>
              </a:graphicData>
            </a:graphic>
          </wp:anchor>
        </w:drawing>
      </w:r>
    </w:p>
    <w:p>
      <w:pPr>
        <w:ind w:left="270" w:right="500" w:hanging="270"/>
        <w:spacing w:after="0" w:line="225" w:lineRule="auto"/>
        <w:tabs>
          <w:tab w:leader="none" w:pos="270" w:val="left"/>
        </w:tabs>
        <w:numPr>
          <w:ilvl w:val="0"/>
          <w:numId w:val="26"/>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maturities of long-term marketable investments primarily range from one to five years, except for asset-backed securities which are not due at a single maturity date.</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200" w:lineRule="auto"/>
        <w:tabs>
          <w:tab w:leader="none" w:pos="270" w:val="left"/>
        </w:tabs>
        <w:numPr>
          <w:ilvl w:val="0"/>
          <w:numId w:val="26"/>
        </w:numPr>
        <w:rPr>
          <w:rFonts w:ascii="Arial" w:cs="Arial" w:eastAsia="Arial" w:hAnsi="Arial"/>
          <w:sz w:val="25"/>
          <w:szCs w:val="25"/>
          <w:b w:val="1"/>
          <w:bCs w:val="1"/>
          <w:color w:val="auto"/>
          <w:vertAlign w:val="superscript"/>
        </w:rPr>
      </w:pPr>
      <w:r>
        <w:rPr>
          <w:rFonts w:ascii="Arial" w:cs="Arial" w:eastAsia="Arial" w:hAnsi="Arial"/>
          <w:sz w:val="19"/>
          <w:szCs w:val="19"/>
          <w:b w:val="1"/>
          <w:bCs w:val="1"/>
          <w:i w:val="1"/>
          <w:iCs w:val="1"/>
          <w:color w:val="auto"/>
        </w:rPr>
        <w:t>The fair value of Level 1 securities is measured based on quoted prices in active markets for identical assets.</w:t>
      </w:r>
    </w:p>
    <w:p>
      <w:pPr>
        <w:ind w:left="270" w:right="60" w:hanging="270"/>
        <w:spacing w:after="0" w:line="238" w:lineRule="auto"/>
        <w:tabs>
          <w:tab w:leader="none" w:pos="270" w:val="left"/>
        </w:tabs>
        <w:numPr>
          <w:ilvl w:val="0"/>
          <w:numId w:val="26"/>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31, 2023 or September 1, 2022.</w:t>
      </w:r>
    </w:p>
    <w:p>
      <w:pPr>
        <w:spacing w:after="0" w:line="3" w:lineRule="exact"/>
        <w:rPr>
          <w:rFonts w:ascii="Arial" w:cs="Arial" w:eastAsia="Arial" w:hAnsi="Arial"/>
          <w:sz w:val="26"/>
          <w:szCs w:val="26"/>
          <w:b w:val="1"/>
          <w:bCs w:val="1"/>
          <w:i w:val="1"/>
          <w:iCs w:val="1"/>
          <w:color w:val="auto"/>
          <w:vertAlign w:val="superscript"/>
        </w:rPr>
      </w:pPr>
    </w:p>
    <w:p>
      <w:pPr>
        <w:ind w:left="270" w:right="320" w:hanging="270"/>
        <w:spacing w:after="0"/>
        <w:tabs>
          <w:tab w:leader="none" w:pos="270" w:val="left"/>
        </w:tabs>
        <w:numPr>
          <w:ilvl w:val="0"/>
          <w:numId w:val="26"/>
        </w:numPr>
        <w:rPr>
          <w:rFonts w:ascii="Arial" w:cs="Arial" w:eastAsia="Arial" w:hAnsi="Arial"/>
          <w:sz w:val="25"/>
          <w:szCs w:val="25"/>
          <w:b w:val="1"/>
          <w:bCs w:val="1"/>
          <w:i w:val="1"/>
          <w:iCs w:val="1"/>
          <w:color w:val="auto"/>
          <w:vertAlign w:val="superscript"/>
        </w:rPr>
      </w:pPr>
      <w:r>
        <w:rPr>
          <w:rFonts w:ascii="Arial" w:cs="Arial" w:eastAsia="Arial" w:hAnsi="Arial"/>
          <w:sz w:val="19"/>
          <w:szCs w:val="19"/>
          <w:b w:val="1"/>
          <w:bCs w:val="1"/>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16" w:lineRule="exact"/>
        <w:rPr>
          <w:sz w:val="20"/>
          <w:szCs w:val="20"/>
          <w:color w:val="auto"/>
        </w:rPr>
      </w:pPr>
    </w:p>
    <w:p>
      <w:pPr>
        <w:ind w:left="10" w:right="720"/>
        <w:spacing w:after="0" w:line="287" w:lineRule="auto"/>
        <w:rPr>
          <w:sz w:val="20"/>
          <w:szCs w:val="20"/>
          <w:color w:val="auto"/>
        </w:rPr>
      </w:pPr>
      <w:r>
        <w:rPr>
          <w:rFonts w:ascii="Arial" w:cs="Arial" w:eastAsia="Arial" w:hAnsi="Arial"/>
          <w:sz w:val="20"/>
          <w:szCs w:val="20"/>
          <w:b w:val="1"/>
          <w:bCs w:val="1"/>
          <w:color w:val="auto"/>
        </w:rPr>
        <w:t>Gross realized gains and losses from sales of available-for-sale securities were not significant for any period presented.</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Non-marketable Equity Investments</w:t>
      </w:r>
    </w:p>
    <w:p>
      <w:pPr>
        <w:spacing w:after="0" w:line="263" w:lineRule="exact"/>
        <w:rPr>
          <w:sz w:val="20"/>
          <w:szCs w:val="20"/>
          <w:color w:val="auto"/>
        </w:rPr>
      </w:pPr>
    </w:p>
    <w:p>
      <w:pPr>
        <w:jc w:val="both"/>
        <w:ind w:left="10" w:right="420"/>
        <w:spacing w:after="0" w:line="265" w:lineRule="auto"/>
        <w:rPr>
          <w:sz w:val="20"/>
          <w:szCs w:val="20"/>
          <w:color w:val="auto"/>
        </w:rPr>
      </w:pPr>
      <w:r>
        <w:rPr>
          <w:rFonts w:ascii="Arial" w:cs="Arial" w:eastAsia="Arial" w:hAnsi="Arial"/>
          <w:sz w:val="18"/>
          <w:szCs w:val="18"/>
          <w:b w:val="1"/>
          <w:bCs w:val="1"/>
          <w:color w:val="auto"/>
        </w:rPr>
        <w:t>In addition to the amounts included in the table above, we had $218 million and $222 million of non-marketable equity investments without a readily determinable fair value that were included in other noncurrent assets as of August 31, 2023 and September 1, 2022, respectively. For non-marketable investments, we recognized in other non-operating income (expense) a net loss of $7 million for 2023 and net gains of $36 million for 2022 and</w:t>
      </w:r>
    </w:p>
    <w:p>
      <w:pPr>
        <w:spacing w:after="0" w:line="2" w:lineRule="exact"/>
        <w:rPr>
          <w:sz w:val="20"/>
          <w:szCs w:val="20"/>
          <w:color w:val="auto"/>
        </w:rPr>
      </w:pPr>
    </w:p>
    <w:p>
      <w:pPr>
        <w:ind w:left="10" w:right="40"/>
        <w:spacing w:after="0" w:line="249" w:lineRule="auto"/>
        <w:rPr>
          <w:sz w:val="20"/>
          <w:szCs w:val="20"/>
          <w:color w:val="auto"/>
        </w:rPr>
      </w:pPr>
      <w:r>
        <w:rPr>
          <w:rFonts w:ascii="Arial" w:cs="Arial" w:eastAsia="Arial" w:hAnsi="Arial"/>
          <w:sz w:val="20"/>
          <w:szCs w:val="20"/>
          <w:b w:val="1"/>
          <w:bCs w:val="1"/>
          <w:color w:val="auto"/>
        </w:rPr>
        <w:t>$70 million for 2021. Our non-marketable equity investments are recorded at fair value on a non-recurring basis and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1447165</wp:posOffset>
            </wp:positionV>
            <wp:extent cx="736600" cy="2000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10270"/>
          </w:cols>
          <w:pgMar w:left="990" w:top="732" w:right="980" w:bottom="0" w:gutter="0" w:footer="0" w:header="0"/>
          <w:type w:val="continuous"/>
        </w:sectPr>
      </w:pPr>
    </w:p>
    <w:bookmarkStart w:id="67" w:name="page68"/>
    <w:bookmarkEnd w:id="67"/>
    <w:p>
      <w:pPr>
        <w:ind w:left="10"/>
        <w:spacing w:after="0"/>
        <w:rPr>
          <w:sz w:val="20"/>
          <w:szCs w:val="20"/>
          <w:color w:val="auto"/>
        </w:rPr>
      </w:pPr>
      <w:r>
        <w:rPr>
          <w:rFonts w:ascii="Arial Narrow" w:cs="Arial Narrow" w:eastAsia="Arial Narrow" w:hAnsi="Arial Narrow"/>
          <w:sz w:val="44"/>
          <w:szCs w:val="44"/>
          <w:b w:val="1"/>
          <w:bCs w:val="1"/>
          <w:color w:val="auto"/>
        </w:rPr>
        <w:t>Receivables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31,</w:t>
            </w:r>
          </w:p>
        </w:tc>
        <w:tc>
          <w:tcPr>
            <w:tcW w:w="132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Trade receivables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2,048</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4,765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251</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114</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2,443</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5,130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362"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Inventories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31,</w:t>
            </w:r>
          </w:p>
        </w:tc>
        <w:tc>
          <w:tcPr>
            <w:tcW w:w="132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Finished goods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1,616</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1,028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Work in process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6,111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4,830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Raw materials and supplies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805</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8,387</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6,663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48" w:lineRule="exact"/>
        <w:rPr>
          <w:sz w:val="20"/>
          <w:szCs w:val="20"/>
          <w:color w:val="auto"/>
        </w:rPr>
      </w:pPr>
    </w:p>
    <w:p>
      <w:pPr>
        <w:ind w:left="10" w:right="620"/>
        <w:spacing w:after="0" w:line="276" w:lineRule="auto"/>
        <w:rPr>
          <w:sz w:val="20"/>
          <w:szCs w:val="20"/>
          <w:color w:val="auto"/>
        </w:rPr>
      </w:pPr>
      <w:r>
        <w:rPr>
          <w:rFonts w:ascii="Arial" w:cs="Arial" w:eastAsia="Arial" w:hAnsi="Arial"/>
          <w:sz w:val="20"/>
          <w:szCs w:val="20"/>
          <w:b w:val="1"/>
          <w:bCs w:val="1"/>
          <w:color w:val="auto"/>
        </w:rPr>
        <w:t>In 2023, we recorded charges of $1.83 billion to cost of goods sold to write down the carrying value of work in process and finished goods inventories to their estimated net realizable value.</w:t>
      </w:r>
    </w:p>
    <w:p>
      <w:pPr>
        <w:spacing w:after="0" w:line="161" w:lineRule="exact"/>
        <w:rPr>
          <w:sz w:val="20"/>
          <w:szCs w:val="20"/>
          <w:color w:val="auto"/>
        </w:rPr>
      </w:pPr>
    </w:p>
    <w:p>
      <w:pPr>
        <w:ind w:left="10" w:right="80"/>
        <w:spacing w:after="0" w:line="274" w:lineRule="auto"/>
        <w:rPr>
          <w:sz w:val="20"/>
          <w:szCs w:val="20"/>
          <w:color w:val="auto"/>
        </w:rPr>
      </w:pPr>
      <w:r>
        <w:rPr>
          <w:rFonts w:ascii="Arial" w:cs="Arial" w:eastAsia="Arial" w:hAnsi="Arial"/>
          <w:sz w:val="18"/>
          <w:szCs w:val="18"/>
          <w:b w:val="1"/>
          <w:bCs w:val="1"/>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(loss), a $128 million reduction to net income (loss), and an $0.11 reduction to diluted earnings per share for both the second quarter and the year ended 2021.</w:t>
      </w:r>
    </w:p>
    <w:p>
      <w:pPr>
        <w:spacing w:after="0" w:line="65"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Property, Plant, and Equipment</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Land</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283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280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Buildings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17,967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16,676</w:t>
            </w:r>
          </w:p>
        </w:tc>
        <w:tc>
          <w:tcPr>
            <w:tcW w:w="0" w:type="dxa"/>
            <w:vAlign w:val="bottom"/>
          </w:tcPr>
          <w:p>
            <w:pPr>
              <w:spacing w:after="0"/>
              <w:rPr>
                <w:sz w:val="1"/>
                <w:szCs w:val="1"/>
                <w:color w:val="auto"/>
              </w:rPr>
            </w:pPr>
          </w:p>
        </w:tc>
      </w:tr>
      <w:tr>
        <w:trPr>
          <w:trHeight w:val="30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Equipment</w:t>
            </w:r>
            <w:r>
              <w:rPr>
                <w:rFonts w:ascii="Arial Narrow" w:cs="Arial Narrow" w:eastAsia="Arial Narrow" w:hAnsi="Arial Narrow"/>
                <w:sz w:val="26"/>
                <w:szCs w:val="26"/>
                <w:color w:val="auto"/>
                <w:vertAlign w:val="superscript"/>
              </w:rPr>
              <w:t>(1)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65,555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61,354</w:t>
            </w:r>
          </w:p>
        </w:tc>
        <w:tc>
          <w:tcPr>
            <w:tcW w:w="0" w:type="dxa"/>
            <w:vAlign w:val="bottom"/>
          </w:tcPr>
          <w:p>
            <w:pPr>
              <w:spacing w:after="0"/>
              <w:rPr>
                <w:sz w:val="1"/>
                <w:szCs w:val="1"/>
                <w:color w:val="auto"/>
              </w:rPr>
            </w:pPr>
          </w:p>
        </w:tc>
      </w:tr>
      <w:tr>
        <w:trPr>
          <w:trHeight w:val="301"/>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Construction in progress</w:t>
            </w:r>
            <w:r>
              <w:rPr>
                <w:rFonts w:ascii="Arial Narrow" w:cs="Arial Narrow" w:eastAsia="Arial Narrow" w:hAnsi="Arial Narrow"/>
                <w:sz w:val="26"/>
                <w:szCs w:val="26"/>
                <w:color w:val="auto"/>
                <w:vertAlign w:val="superscript"/>
              </w:rPr>
              <w:t>(2)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2,464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1,897</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Software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1,124</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87,585</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81,331</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Accumulated depreciation</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(49,657)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(42,782)</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37,928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38,549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-1497965</wp:posOffset>
            </wp:positionV>
            <wp:extent cx="6553200" cy="15176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553200" cy="1517650"/>
                    </a:xfrm>
                    <a:prstGeom prst="rect">
                      <a:avLst/>
                    </a:prstGeom>
                    <a:noFill/>
                  </pic:spPr>
                </pic:pic>
              </a:graphicData>
            </a:graphic>
          </wp:anchor>
        </w:drawing>
      </w:r>
    </w:p>
    <w:p>
      <w:pPr>
        <w:spacing w:after="0" w:line="117" w:lineRule="exact"/>
        <w:rPr>
          <w:sz w:val="20"/>
          <w:szCs w:val="20"/>
          <w:color w:val="auto"/>
        </w:rPr>
      </w:pPr>
    </w:p>
    <w:p>
      <w:pPr>
        <w:ind w:left="270" w:right="1080" w:hanging="270"/>
        <w:spacing w:after="0" w:line="225" w:lineRule="auto"/>
        <w:tabs>
          <w:tab w:leader="none" w:pos="270" w:val="left"/>
        </w:tabs>
        <w:numPr>
          <w:ilvl w:val="0"/>
          <w:numId w:val="27"/>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Includes costs related to equipment not placed into service of $2.91 billion as of August 31, 2023 and $3.35 billion as of September 1, 2022.</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204" w:lineRule="auto"/>
        <w:tabs>
          <w:tab w:leader="none" w:pos="270" w:val="left"/>
        </w:tabs>
        <w:numPr>
          <w:ilvl w:val="0"/>
          <w:numId w:val="27"/>
        </w:numPr>
        <w:rPr>
          <w:rFonts w:ascii="Arial" w:cs="Arial" w:eastAsia="Arial" w:hAnsi="Arial"/>
          <w:sz w:val="25"/>
          <w:szCs w:val="25"/>
          <w:b w:val="1"/>
          <w:bCs w:val="1"/>
          <w:i w:val="1"/>
          <w:iCs w:val="1"/>
          <w:color w:val="auto"/>
          <w:vertAlign w:val="superscript"/>
        </w:rPr>
      </w:pPr>
      <w:r>
        <w:rPr>
          <w:rFonts w:ascii="Arial" w:cs="Arial" w:eastAsia="Arial" w:hAnsi="Arial"/>
          <w:sz w:val="19"/>
          <w:szCs w:val="19"/>
          <w:b w:val="1"/>
          <w:bCs w:val="1"/>
          <w:i w:val="1"/>
          <w:iCs w:val="1"/>
          <w:color w:val="auto"/>
        </w:rPr>
        <w:t>Includes building-related construction, tool installation, and software costs for assets not placed into service.</w:t>
      </w:r>
    </w:p>
    <w:p>
      <w:pPr>
        <w:spacing w:after="0" w:line="216" w:lineRule="exact"/>
        <w:rPr>
          <w:sz w:val="20"/>
          <w:szCs w:val="20"/>
          <w:color w:val="auto"/>
        </w:rPr>
      </w:pPr>
    </w:p>
    <w:p>
      <w:pPr>
        <w:jc w:val="both"/>
        <w:ind w:left="10" w:right="560"/>
        <w:spacing w:after="0" w:line="268" w:lineRule="auto"/>
        <w:rPr>
          <w:sz w:val="20"/>
          <w:szCs w:val="20"/>
          <w:color w:val="auto"/>
        </w:rPr>
      </w:pPr>
      <w:r>
        <w:rPr>
          <w:rFonts w:ascii="Arial" w:cs="Arial" w:eastAsia="Arial" w:hAnsi="Arial"/>
          <w:sz w:val="20"/>
          <w:szCs w:val="20"/>
          <w:b w:val="1"/>
          <w:bCs w:val="1"/>
          <w:color w:val="auto"/>
        </w:rPr>
        <w:t>Depreciation expense was $7.67 billion, $7.03 billion, and $6.13 billion for 2023, 2022, and 2021, respectively. Interest capitalized as part of the cost of property, plant, and equipment was $208 million, $77 million, and $66 million for 2023, 2022, and 2021, respectively.</w:t>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64 | 2023 10-K</w:t>
      </w:r>
    </w:p>
    <w:p>
      <w:pPr>
        <w:sectPr>
          <w:pgSz w:w="12240" w:h="15840" w:orient="portrait"/>
          <w:cols w:equalWidth="0" w:num="1">
            <w:col w:w="10270"/>
          </w:cols>
          <w:pgMar w:left="990" w:top="732" w:right="980" w:bottom="0" w:gutter="0" w:footer="0" w:header="0"/>
          <w:type w:val="continuous"/>
        </w:sectPr>
      </w:pPr>
    </w:p>
    <w:bookmarkStart w:id="68" w:name="page69"/>
    <w:bookmarkEnd w:id="68"/>
    <w:p>
      <w:pPr>
        <w:spacing w:after="0"/>
        <w:rPr>
          <w:sz w:val="20"/>
          <w:szCs w:val="20"/>
          <w:color w:val="auto"/>
        </w:rPr>
      </w:pPr>
      <w:r>
        <w:rPr>
          <w:rFonts w:ascii="Arial Narrow" w:cs="Arial Narrow" w:eastAsia="Arial Narrow" w:hAnsi="Arial Narrow"/>
          <w:sz w:val="43"/>
          <w:szCs w:val="43"/>
          <w:b w:val="1"/>
          <w:bCs w:val="1"/>
          <w:color w:val="auto"/>
        </w:rPr>
        <w:t>Intangible Assets</w:t>
      </w:r>
    </w:p>
    <w:p>
      <w:pPr>
        <w:sectPr>
          <w:pgSz w:w="12240" w:h="15840" w:orient="portrait"/>
          <w:cols w:equalWidth="0" w:num="1">
            <w:col w:w="10260"/>
          </w:cols>
          <w:pgMar w:left="1000" w:top="972" w:right="980" w:bottom="0" w:gutter="0" w:footer="0" w:header="0"/>
        </w:sectPr>
      </w:pPr>
    </w:p>
    <w:p>
      <w:pPr>
        <w:spacing w:after="0" w:line="194" w:lineRule="exact"/>
        <w:rPr>
          <w:sz w:val="20"/>
          <w:szCs w:val="20"/>
          <w:color w:val="auto"/>
        </w:rPr>
      </w:pPr>
    </w:p>
    <w:p>
      <w:pPr>
        <w:ind w:left="3580"/>
        <w:spacing w:after="0"/>
        <w:rPr>
          <w:sz w:val="20"/>
          <w:szCs w:val="20"/>
          <w:color w:val="auto"/>
        </w:rPr>
      </w:pPr>
      <w:r>
        <w:rPr>
          <w:rFonts w:ascii="Arial Narrow" w:cs="Arial Narrow" w:eastAsia="Arial Narrow" w:hAnsi="Arial Narrow"/>
          <w:sz w:val="20"/>
          <w:szCs w:val="20"/>
          <w:b w:val="1"/>
          <w:bCs w:val="1"/>
          <w:color w:val="auto"/>
        </w:rPr>
        <w:t>As of August 31,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2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6540500" cy="206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spacing w:after="0"/>
        <w:rPr>
          <w:sz w:val="20"/>
          <w:szCs w:val="20"/>
          <w:color w:val="auto"/>
        </w:rPr>
      </w:pPr>
      <w:r>
        <w:rPr>
          <w:rFonts w:ascii="Arial Narrow" w:cs="Arial Narrow" w:eastAsia="Arial Narrow" w:hAnsi="Arial Narrow"/>
          <w:sz w:val="20"/>
          <w:szCs w:val="20"/>
          <w:b w:val="1"/>
          <w:bCs w:val="1"/>
          <w:color w:val="auto"/>
        </w:rPr>
        <w:t>As of September 1,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46" w:lineRule="exact"/>
        <w:rPr>
          <w:sz w:val="20"/>
          <w:szCs w:val="20"/>
          <w:color w:val="auto"/>
        </w:rPr>
      </w:pPr>
    </w:p>
    <w:p>
      <w:pPr>
        <w:sectPr>
          <w:pgSz w:w="12240" w:h="15840" w:orient="portrait"/>
          <w:cols w:equalWidth="0" w:num="2">
            <w:col w:w="6360" w:space="60"/>
            <w:col w:w="3840"/>
          </w:cols>
          <w:pgMar w:left="1000" w:top="972" w:right="980" w:bottom="0" w:gutter="0" w:footer="0" w:header="0"/>
          <w:type w:val="continuous"/>
        </w:sectPr>
      </w:pPr>
    </w:p>
    <w:p>
      <w:pPr>
        <w:ind w:left="40"/>
        <w:spacing w:after="0"/>
        <w:tabs>
          <w:tab w:leader="none" w:pos="2560" w:val="left"/>
          <w:tab w:leader="none" w:pos="3440" w:val="left"/>
          <w:tab w:leader="none" w:pos="4660" w:val="left"/>
          <w:tab w:leader="none" w:pos="5980" w:val="left"/>
          <w:tab w:leader="none" w:pos="6460" w:val="left"/>
          <w:tab w:leader="none" w:pos="7340" w:val="left"/>
          <w:tab w:leader="none" w:pos="8560" w:val="left"/>
          <w:tab w:leader="none" w:pos="9880" w:val="left"/>
        </w:tabs>
        <w:rPr>
          <w:sz w:val="20"/>
          <w:szCs w:val="20"/>
          <w:color w:val="auto"/>
        </w:rPr>
      </w:pPr>
      <w:r>
        <w:rPr>
          <w:rFonts w:ascii="Arial Narrow" w:cs="Arial Narrow" w:eastAsia="Arial Narrow" w:hAnsi="Arial Narrow"/>
          <w:sz w:val="20"/>
          <w:szCs w:val="20"/>
          <w:color w:val="auto"/>
        </w:rPr>
        <w:t>Product and process technology</w:t>
        <w:tab/>
        <w:t>$</w:t>
      </w:r>
      <w:r>
        <w:rPr>
          <w:sz w:val="20"/>
          <w:szCs w:val="20"/>
          <w:color w:val="auto"/>
        </w:rPr>
        <w:tab/>
      </w:r>
      <w:r>
        <w:rPr>
          <w:rFonts w:ascii="Arial Narrow" w:cs="Arial Narrow" w:eastAsia="Arial Narrow" w:hAnsi="Arial Narrow"/>
          <w:sz w:val="20"/>
          <w:szCs w:val="20"/>
          <w:color w:val="auto"/>
        </w:rPr>
        <w:t>613  $</w:t>
      </w:r>
      <w:r>
        <w:rPr>
          <w:sz w:val="20"/>
          <w:szCs w:val="20"/>
          <w:color w:val="auto"/>
        </w:rPr>
        <w:tab/>
      </w:r>
      <w:r>
        <w:rPr>
          <w:rFonts w:ascii="Arial Narrow" w:cs="Arial Narrow" w:eastAsia="Arial Narrow" w:hAnsi="Arial Narrow"/>
          <w:sz w:val="20"/>
          <w:szCs w:val="20"/>
          <w:color w:val="auto"/>
        </w:rPr>
        <w:t>(209) $</w:t>
      </w:r>
      <w:r>
        <w:rPr>
          <w:sz w:val="20"/>
          <w:szCs w:val="20"/>
          <w:color w:val="auto"/>
        </w:rPr>
        <w:tab/>
      </w:r>
      <w:r>
        <w:rPr>
          <w:rFonts w:ascii="Arial Narrow" w:cs="Arial Narrow" w:eastAsia="Arial Narrow" w:hAnsi="Arial Narrow"/>
          <w:sz w:val="20"/>
          <w:szCs w:val="20"/>
          <w:color w:val="auto"/>
        </w:rPr>
        <w:t>404</w:t>
        <w:tab/>
        <w:t>$</w:t>
      </w:r>
      <w:r>
        <w:rPr>
          <w:sz w:val="20"/>
          <w:szCs w:val="20"/>
          <w:color w:val="auto"/>
        </w:rPr>
        <w:tab/>
      </w:r>
      <w:r>
        <w:rPr>
          <w:rFonts w:ascii="Arial Narrow" w:cs="Arial Narrow" w:eastAsia="Arial Narrow" w:hAnsi="Arial Narrow"/>
          <w:sz w:val="20"/>
          <w:szCs w:val="20"/>
          <w:color w:val="auto"/>
        </w:rPr>
        <w:t>742  $</w:t>
      </w:r>
      <w:r>
        <w:rPr>
          <w:sz w:val="20"/>
          <w:szCs w:val="20"/>
          <w:color w:val="auto"/>
        </w:rPr>
        <w:tab/>
      </w:r>
      <w:r>
        <w:rPr>
          <w:rFonts w:ascii="Arial Narrow" w:cs="Arial Narrow" w:eastAsia="Arial Narrow" w:hAnsi="Arial Narrow"/>
          <w:sz w:val="20"/>
          <w:szCs w:val="20"/>
          <w:color w:val="auto"/>
        </w:rPr>
        <w:t>(321) $</w:t>
      </w:r>
      <w:r>
        <w:rPr>
          <w:sz w:val="20"/>
          <w:szCs w:val="20"/>
          <w:color w:val="auto"/>
        </w:rPr>
        <w:tab/>
      </w:r>
      <w:r>
        <w:rPr>
          <w:rFonts w:ascii="Arial Narrow" w:cs="Arial Narrow" w:eastAsia="Arial Narrow" w:hAnsi="Arial Narrow"/>
          <w:sz w:val="20"/>
          <w:szCs w:val="20"/>
          <w:color w:val="auto"/>
        </w:rPr>
        <w:t>421</w:t>
      </w:r>
    </w:p>
    <w:p>
      <w:pPr>
        <w:spacing w:after="0" w:line="344" w:lineRule="exact"/>
        <w:rPr>
          <w:sz w:val="20"/>
          <w:szCs w:val="20"/>
          <w:color w:val="auto"/>
        </w:rPr>
      </w:pPr>
    </w:p>
    <w:p>
      <w:pPr>
        <w:ind w:right="380"/>
        <w:spacing w:after="0" w:line="280" w:lineRule="auto"/>
        <w:rPr>
          <w:sz w:val="20"/>
          <w:szCs w:val="20"/>
          <w:color w:val="auto"/>
        </w:rPr>
      </w:pPr>
      <w:r>
        <w:rPr>
          <w:rFonts w:ascii="Arial" w:cs="Arial" w:eastAsia="Arial" w:hAnsi="Arial"/>
          <w:sz w:val="19"/>
          <w:szCs w:val="19"/>
          <w:b w:val="1"/>
          <w:bCs w:val="1"/>
          <w:color w:val="auto"/>
        </w:rPr>
        <w:t>In 2023, 2022, and 2021, we capitalized $87 million, $158 million, and $106 million, respectively, for product and process technology with weighted-average useful lives of 9 years. Amortization expense was $86 million, $85 million, and $82 million for 2023, 2022, and 2021, respectively. Expected amortization expense is $75 million for 2024, $51 million for 2025, $47 million for 2026, $43 million for 2027, and $42 million for 2028.</w:t>
      </w:r>
    </w:p>
    <w:p>
      <w:pPr>
        <w:spacing w:after="0" w:line="30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Goodwill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3660" w:type="dxa"/>
            <w:vAlign w:val="bottom"/>
          </w:tcPr>
          <w:p>
            <w:pPr>
              <w:spacing w:after="0"/>
              <w:rPr>
                <w:sz w:val="19"/>
                <w:szCs w:val="19"/>
                <w:color w:val="auto"/>
              </w:rPr>
            </w:pPr>
          </w:p>
        </w:tc>
        <w:tc>
          <w:tcPr>
            <w:tcW w:w="1100" w:type="dxa"/>
            <w:vAlign w:val="bottom"/>
          </w:tcPr>
          <w:p>
            <w:pPr>
              <w:jc w:val="center"/>
              <w:ind w:right="80"/>
              <w:spacing w:after="0"/>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September 1,</w:t>
            </w:r>
          </w:p>
        </w:tc>
        <w:tc>
          <w:tcPr>
            <w:tcW w:w="0" w:type="dxa"/>
            <w:vAlign w:val="bottom"/>
          </w:tcPr>
          <w:p>
            <w:pPr>
              <w:spacing w:after="0"/>
              <w:rPr>
                <w:sz w:val="1"/>
                <w:szCs w:val="1"/>
                <w:color w:val="auto"/>
              </w:rPr>
            </w:pPr>
          </w:p>
        </w:tc>
      </w:tr>
      <w:tr>
        <w:trPr>
          <w:trHeight w:val="262"/>
        </w:trPr>
        <w:tc>
          <w:tcPr>
            <w:tcW w:w="4200" w:type="dxa"/>
            <w:vAlign w:val="bottom"/>
            <w:tcBorders>
              <w:bottom w:val="single" w:sz="8" w:color="auto"/>
            </w:tcBorders>
            <w:vMerge w:val="continue"/>
          </w:tcPr>
          <w:p>
            <w:pPr>
              <w:spacing w:after="0"/>
              <w:rPr>
                <w:sz w:val="22"/>
                <w:szCs w:val="22"/>
                <w:color w:val="auto"/>
              </w:rPr>
            </w:pPr>
          </w:p>
        </w:tc>
        <w:tc>
          <w:tcPr>
            <w:tcW w:w="3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4200" w:type="dxa"/>
            <w:vAlign w:val="bottom"/>
          </w:tcPr>
          <w:p>
            <w:pPr>
              <w:ind w:left="40"/>
              <w:spacing w:after="0"/>
              <w:rPr>
                <w:sz w:val="20"/>
                <w:szCs w:val="20"/>
                <w:color w:val="auto"/>
              </w:rPr>
            </w:pPr>
            <w:r>
              <w:rPr>
                <w:rFonts w:ascii="Arial Narrow" w:cs="Arial Narrow" w:eastAsia="Arial Narrow" w:hAnsi="Arial Narrow"/>
                <w:sz w:val="20"/>
                <w:szCs w:val="20"/>
                <w:color w:val="auto"/>
              </w:rPr>
              <w:t>Goodwill</w:t>
            </w:r>
          </w:p>
        </w:tc>
        <w:tc>
          <w:tcPr>
            <w:tcW w:w="3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1,150</w:t>
            </w:r>
          </w:p>
        </w:tc>
        <w:tc>
          <w:tcPr>
            <w:tcW w:w="3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40500" cy="206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77"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color w:val="auto"/>
        </w:rPr>
        <w:t>In the fourth quarter of 2023, we recognized a charge of $101 million included in other operating income (loss) to impair all of the goodwill assigned to our SBU reporting unit based on a quantitative assessment for impairment. We evaluated the fair value of our reporting units for the assessment based on an income approach, which uses a discounted cash flow methodology. The impairment of SBU goodwill reflects lower forecasted cash flows for SBU as a result of adverse conditions in the storage industry environment due to weak demand in many end markets combined with global and macroeconomic challenges and lower demand resulting from customer actions to reduce elevated inventory levels. These conditions led to significant reductions in SBU’s average selling prices and bit shipments, driving declines in revenue and cash flows. The quantitative assessment for impairment indicated that the fair value for all of our other reporting units substantially exceeded their carrying value.</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As of August 31, 2023, CNBU, MBU, and EBU had goodwill of $855 million, $198 million, and $97 million, respectively. As of September 1, 2022, CNBU, MBU, SBU, and EBU had goodwill of $832 million, $198 million, $101 million, and $97 million, respectively. The Company added $23 million of goodwill to CNBU from an acquisition in the third quarter of 2023.</w:t>
      </w:r>
    </w:p>
    <w:p>
      <w:pPr>
        <w:spacing w:after="0" w:line="32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Leases</w:t>
      </w:r>
    </w:p>
    <w:p>
      <w:pPr>
        <w:spacing w:after="0" w:line="375"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b w:val="1"/>
          <w:bCs w:val="1"/>
          <w:color w:val="auto"/>
        </w:rPr>
        <w:t>We have finance and operating leases through which we obtain the right to use facilities, land, and equipment that support our business operations. Our finance leases consist primarily of (i) gas and other supply agreements that are deemed to contain embedded leases and (ii) equipment leases. Our operating leases consist primarily of offices, laboratories, other facilities, and land. Certain of our operating leases include one or more options to extend the lease term for periods from one year to 10 years for real estate and one year to 99 years for land.</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b w:val="1"/>
          <w:bCs w:val="1"/>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any options to renew or terminate a lease or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358775</wp:posOffset>
            </wp:positionV>
            <wp:extent cx="736600" cy="2000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97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10260"/>
          </w:cols>
          <w:pgMar w:left="1000" w:top="972" w:right="980" w:bottom="0" w:gutter="0" w:footer="0" w:header="0"/>
          <w:type w:val="continuous"/>
        </w:sectPr>
      </w:pPr>
    </w:p>
    <w:bookmarkStart w:id="69" w:name="page70"/>
    <w:bookmarkEnd w:id="69"/>
    <w:tbl>
      <w:tblPr>
        <w:tblLayout w:type="fixed"/>
        <w:tblInd w:w="1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The components of lease cost are presented below:</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3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53"/>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cost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Amortization of right-of-use asset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c>
          <w:tcPr>
            <w:tcW w:w="3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69</w:t>
            </w:r>
          </w:p>
        </w:tc>
      </w:tr>
      <w:tr>
        <w:trPr>
          <w:trHeight w:val="315"/>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Interest on lease liability</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r>
      <w:tr>
        <w:trPr>
          <w:trHeight w:val="317"/>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cost</w:t>
            </w:r>
            <w:r>
              <w:rPr>
                <w:rFonts w:ascii="Arial Narrow" w:cs="Arial Narrow" w:eastAsia="Arial Narrow" w:hAnsi="Arial Narrow"/>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137</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108</w:t>
            </w:r>
          </w:p>
        </w:tc>
      </w:tr>
      <w:tr>
        <w:trPr>
          <w:trHeight w:val="275"/>
        </w:trPr>
        <w:tc>
          <w:tcPr>
            <w:tcW w:w="63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266</w:t>
            </w:r>
          </w:p>
        </w:tc>
        <w:tc>
          <w:tcPr>
            <w:tcW w:w="32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197</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-1031240</wp:posOffset>
            </wp:positionV>
            <wp:extent cx="6553200" cy="1050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553200" cy="1050925"/>
                    </a:xfrm>
                    <a:prstGeom prst="rect">
                      <a:avLst/>
                    </a:prstGeom>
                    <a:noFill/>
                  </pic:spPr>
                </pic:pic>
              </a:graphicData>
            </a:graphic>
          </wp:anchor>
        </w:drawing>
      </w:r>
    </w:p>
    <w:p>
      <w:pPr>
        <w:ind w:left="190" w:right="360" w:hanging="190"/>
        <w:spacing w:after="0" w:line="276" w:lineRule="auto"/>
        <w:tabs>
          <w:tab w:leader="none" w:pos="190" w:val="left"/>
        </w:tabs>
        <w:numPr>
          <w:ilvl w:val="0"/>
          <w:numId w:val="28"/>
        </w:numPr>
        <w:rPr>
          <w:rFonts w:ascii="Arial" w:cs="Arial" w:eastAsia="Arial" w:hAnsi="Arial"/>
          <w:sz w:val="23"/>
          <w:szCs w:val="23"/>
          <w:b w:val="1"/>
          <w:bCs w:val="1"/>
          <w:i w:val="1"/>
          <w:iCs w:val="1"/>
          <w:color w:val="auto"/>
          <w:vertAlign w:val="superscript"/>
        </w:rPr>
      </w:pPr>
      <w:r>
        <w:rPr>
          <w:rFonts w:ascii="Arial" w:cs="Arial" w:eastAsia="Arial" w:hAnsi="Arial"/>
          <w:sz w:val="18"/>
          <w:szCs w:val="18"/>
          <w:b w:val="1"/>
          <w:bCs w:val="1"/>
          <w:i w:val="1"/>
          <w:iCs w:val="1"/>
          <w:color w:val="auto"/>
        </w:rPr>
        <w:t>Operating lease cost includes short-term and variable lease expenses, which were not material for the periods presented.</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220" w:type="dxa"/>
            <w:vAlign w:val="bottom"/>
            <w:gridSpan w:val="2"/>
          </w:tcPr>
          <w:p>
            <w:pPr>
              <w:spacing w:after="0"/>
              <w:rPr>
                <w:sz w:val="20"/>
                <w:szCs w:val="20"/>
                <w:color w:val="auto"/>
              </w:rPr>
            </w:pPr>
            <w:r>
              <w:rPr>
                <w:rFonts w:ascii="Arial" w:cs="Arial" w:eastAsia="Arial" w:hAnsi="Arial"/>
                <w:sz w:val="20"/>
                <w:szCs w:val="20"/>
                <w:b w:val="1"/>
                <w:bCs w:val="1"/>
                <w:color w:val="auto"/>
                <w:w w:val="94"/>
              </w:rPr>
              <w:t>Supplemental cash flow information related to leases was as follows: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ind w:left="2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w w:val="98"/>
              </w:rPr>
              <w:t>2022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8"/>
              </w:rPr>
              <w:t>2021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Cash flows used for operating activities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23</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Cash flows used for financing activities – Finance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103</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Noncash acquisitions of right-of-use assets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508</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309</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395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197</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6640" w:type="dxa"/>
            <w:vAlign w:val="bottom"/>
            <w:gridSpan w:val="3"/>
          </w:tcPr>
          <w:p>
            <w:pPr>
              <w:spacing w:after="0"/>
              <w:rPr>
                <w:sz w:val="20"/>
                <w:szCs w:val="20"/>
                <w:color w:val="auto"/>
              </w:rPr>
            </w:pPr>
            <w:r>
              <w:rPr>
                <w:rFonts w:ascii="Arial" w:cs="Arial" w:eastAsia="Arial" w:hAnsi="Arial"/>
                <w:sz w:val="20"/>
                <w:szCs w:val="20"/>
                <w:b w:val="1"/>
                <w:bCs w:val="1"/>
                <w:color w:val="auto"/>
                <w:w w:val="94"/>
              </w:rPr>
              <w:t>Supplemental balance sheet information related to leases was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140"/>
              <w:spacing w:after="0" w:line="223" w:lineRule="exact"/>
              <w:rPr>
                <w:sz w:val="20"/>
                <w:szCs w:val="20"/>
                <w:color w:val="auto"/>
              </w:rPr>
            </w:pPr>
            <w:r>
              <w:rPr>
                <w:rFonts w:ascii="Arial Narrow" w:cs="Arial Narrow" w:eastAsia="Arial Narrow" w:hAnsi="Arial Narrow"/>
                <w:sz w:val="20"/>
                <w:szCs w:val="20"/>
                <w:b w:val="1"/>
                <w:bCs w:val="1"/>
                <w:color w:val="auto"/>
                <w:w w:val="97"/>
              </w:rPr>
              <w:t>August 31,</w:t>
            </w:r>
          </w:p>
        </w:tc>
        <w:tc>
          <w:tcPr>
            <w:tcW w:w="1300" w:type="dxa"/>
            <w:vAlign w:val="bottom"/>
            <w:gridSpan w:val="3"/>
          </w:tcPr>
          <w:p>
            <w:pPr>
              <w:jc w:val="center"/>
              <w:ind w:right="80"/>
              <w:spacing w:after="0" w:line="223" w:lineRule="exact"/>
              <w:rPr>
                <w:sz w:val="20"/>
                <w:szCs w:val="20"/>
                <w:color w:val="auto"/>
              </w:rPr>
            </w:pPr>
            <w:r>
              <w:rPr>
                <w:rFonts w:ascii="Arial Narrow" w:cs="Arial Narrow" w:eastAsia="Arial Narrow" w:hAnsi="Arial Narrow"/>
                <w:sz w:val="20"/>
                <w:szCs w:val="20"/>
                <w:b w:val="1"/>
                <w:bCs w:val="1"/>
                <w:color w:val="auto"/>
                <w:w w:val="98"/>
              </w:rPr>
              <w:t>September 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rPr>
              <w:t>2023</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Narrow" w:cs="Arial Narrow" w:eastAsia="Arial Narrow" w:hAnsi="Arial Narrow"/>
                <w:sz w:val="20"/>
                <w:szCs w:val="20"/>
                <w:b w:val="1"/>
                <w:bCs w:val="1"/>
                <w:color w:val="auto"/>
                <w:w w:val="98"/>
              </w:rPr>
              <w:t>2022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right-of-use assets (included in property, plant, and equipment)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1,311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08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904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6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Current operating lease liabilities (included in accounts payable and accrued expenses)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66</w:t>
            </w:r>
          </w:p>
        </w:tc>
        <w:tc>
          <w:tcPr>
            <w:tcW w:w="18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remaining lease term (in years)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Narrow" w:cs="Arial Narrow" w:eastAsia="Arial Narrow" w:hAnsi="Arial Narrow"/>
                <w:sz w:val="20"/>
                <w:szCs w:val="20"/>
                <w:color w:val="auto"/>
              </w:rPr>
              <w:t>9</w:t>
            </w:r>
          </w:p>
        </w:tc>
        <w:tc>
          <w:tcPr>
            <w:tcW w:w="180" w:type="dxa"/>
            <w:vAlign w:val="bottom"/>
          </w:tcPr>
          <w:p>
            <w:pPr>
              <w:spacing w:after="0"/>
              <w:rPr>
                <w:sz w:val="24"/>
                <w:szCs w:val="24"/>
                <w:color w:val="auto"/>
              </w:rPr>
            </w:pPr>
          </w:p>
        </w:tc>
        <w:tc>
          <w:tcPr>
            <w:tcW w:w="108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Narrow" w:cs="Arial Narrow" w:eastAsia="Arial Narrow" w:hAnsi="Arial Narrow"/>
                <w:sz w:val="20"/>
                <w:szCs w:val="20"/>
                <w:color w:val="auto"/>
              </w:rPr>
              <w:t>11</w:t>
            </w:r>
          </w:p>
        </w:tc>
        <w:tc>
          <w:tcPr>
            <w:tcW w:w="180" w:type="dxa"/>
            <w:vAlign w:val="bottom"/>
          </w:tcPr>
          <w:p>
            <w:pPr>
              <w:spacing w:after="0"/>
              <w:rPr>
                <w:sz w:val="24"/>
                <w:szCs w:val="24"/>
                <w:color w:val="auto"/>
              </w:rPr>
            </w:pPr>
          </w:p>
        </w:tc>
        <w:tc>
          <w:tcPr>
            <w:tcW w:w="108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discount rate</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3.86 %</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2.65 %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3.21 %</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2.90 %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640" w:type="dxa"/>
            <w:vAlign w:val="bottom"/>
            <w:gridSpan w:val="4"/>
          </w:tcPr>
          <w:p>
            <w:pPr>
              <w:spacing w:after="0"/>
              <w:rPr>
                <w:sz w:val="20"/>
                <w:szCs w:val="20"/>
                <w:color w:val="auto"/>
              </w:rPr>
            </w:pPr>
            <w:r>
              <w:rPr>
                <w:rFonts w:ascii="Arial" w:cs="Arial" w:eastAsia="Arial" w:hAnsi="Arial"/>
                <w:sz w:val="20"/>
                <w:szCs w:val="20"/>
                <w:b w:val="1"/>
                <w:bCs w:val="1"/>
                <w:color w:val="auto"/>
                <w:w w:val="97"/>
              </w:rPr>
              <w:t>As of August 31, 2023, maturities of lease liabilities by fiscal year were as follows: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200" w:type="dxa"/>
            <w:vAlign w:val="bottom"/>
            <w:vMerge w:val="restart"/>
          </w:tcPr>
          <w:p>
            <w:pPr>
              <w:ind w:left="20"/>
              <w:spacing w:after="0"/>
              <w:rPr>
                <w:sz w:val="20"/>
                <w:szCs w:val="20"/>
                <w:color w:val="auto"/>
              </w:rPr>
            </w:pPr>
            <w:r>
              <w:rPr>
                <w:rFonts w:ascii="Arial Narrow" w:cs="Arial Narrow" w:eastAsia="Arial Narrow" w:hAnsi="Arial Narrow"/>
                <w:sz w:val="20"/>
                <w:szCs w:val="20"/>
                <w:b w:val="1"/>
                <w:bCs w:val="1"/>
                <w:color w:val="auto"/>
              </w:rPr>
              <w:t>For the year ending</w:t>
            </w: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center"/>
              <w:ind w:right="100"/>
              <w:spacing w:after="0"/>
              <w:rPr>
                <w:sz w:val="20"/>
                <w:szCs w:val="20"/>
                <w:color w:val="auto"/>
              </w:rPr>
            </w:pPr>
            <w:r>
              <w:rPr>
                <w:rFonts w:ascii="Arial Narrow" w:cs="Arial Narrow" w:eastAsia="Arial Narrow" w:hAnsi="Arial Narrow"/>
                <w:sz w:val="20"/>
                <w:szCs w:val="20"/>
                <w:b w:val="1"/>
                <w:bCs w:val="1"/>
                <w:color w:val="auto"/>
                <w:w w:val="99"/>
              </w:rPr>
              <w:t>Finance</w:t>
            </w:r>
          </w:p>
        </w:tc>
        <w:tc>
          <w:tcPr>
            <w:tcW w:w="18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Narrow" w:cs="Arial Narrow" w:eastAsia="Arial Narrow" w:hAnsi="Arial Narrow"/>
                <w:sz w:val="20"/>
                <w:szCs w:val="20"/>
                <w:b w:val="1"/>
                <w:bCs w:val="1"/>
                <w:color w:val="auto"/>
                <w:w w:val="98"/>
              </w:rPr>
              <w:t>Operating</w:t>
            </w:r>
          </w:p>
        </w:tc>
        <w:tc>
          <w:tcPr>
            <w:tcW w:w="0" w:type="dxa"/>
            <w:vAlign w:val="bottom"/>
          </w:tcPr>
          <w:p>
            <w:pPr>
              <w:spacing w:after="0"/>
              <w:rPr>
                <w:sz w:val="1"/>
                <w:szCs w:val="1"/>
                <w:color w:val="auto"/>
              </w:rPr>
            </w:pPr>
          </w:p>
        </w:tc>
      </w:tr>
      <w:tr>
        <w:trPr>
          <w:trHeight w:val="262"/>
        </w:trPr>
        <w:tc>
          <w:tcPr>
            <w:tcW w:w="2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Leases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Narrow" w:cs="Arial Narrow" w:eastAsia="Arial Narrow" w:hAnsi="Arial Narrow"/>
                <w:sz w:val="20"/>
                <w:szCs w:val="20"/>
                <w:b w:val="1"/>
                <w:bCs w:val="1"/>
                <w:color w:val="auto"/>
              </w:rPr>
              <w:t>Leases</w:t>
            </w:r>
          </w:p>
        </w:tc>
        <w:tc>
          <w:tcPr>
            <w:tcW w:w="0" w:type="dxa"/>
            <w:vAlign w:val="bottom"/>
          </w:tcPr>
          <w:p>
            <w:pPr>
              <w:spacing w:after="0"/>
              <w:rPr>
                <w:sz w:val="1"/>
                <w:szCs w:val="1"/>
                <w:color w:val="auto"/>
              </w:rPr>
            </w:pPr>
          </w:p>
        </w:tc>
      </w:tr>
      <w:tr>
        <w:trPr>
          <w:trHeight w:val="338"/>
        </w:trPr>
        <w:tc>
          <w:tcPr>
            <w:tcW w:w="62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2024</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219</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2025</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200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2026</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190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2027</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185</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2028</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2029 and thereafter</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506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Less imputed interest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(197)</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Narrow" w:cs="Arial Narrow" w:eastAsia="Arial Narrow" w:hAnsi="Arial Narrow"/>
                <w:sz w:val="20"/>
                <w:szCs w:val="20"/>
                <w:color w:val="auto"/>
              </w:rPr>
              <w:t>(149)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1,281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-5968365</wp:posOffset>
            </wp:positionV>
            <wp:extent cx="6540500" cy="1358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-3923665</wp:posOffset>
            </wp:positionV>
            <wp:extent cx="6511925" cy="1739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6511925" cy="1739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-1478915</wp:posOffset>
            </wp:positionV>
            <wp:extent cx="6553200" cy="1498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ectPr>
          <w:pgSz w:w="12240" w:h="15840" w:orient="portrait"/>
          <w:cols w:equalWidth="0" w:num="1">
            <w:col w:w="10270"/>
          </w:cols>
          <w:pgMar w:left="99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66 | 2023 10-K</w:t>
      </w:r>
    </w:p>
    <w:p>
      <w:pPr>
        <w:sectPr>
          <w:pgSz w:w="12240" w:h="15840" w:orient="portrait"/>
          <w:cols w:equalWidth="0" w:num="1">
            <w:col w:w="10270"/>
          </w:cols>
          <w:pgMar w:left="990" w:top="844" w:right="980" w:bottom="0" w:gutter="0" w:footer="0" w:header="0"/>
          <w:type w:val="continuous"/>
        </w:sectPr>
      </w:pPr>
    </w:p>
    <w:bookmarkStart w:id="70" w:name="page71"/>
    <w:bookmarkEnd w:id="70"/>
    <w:p>
      <w:pPr>
        <w:ind w:left="10" w:right="600"/>
        <w:spacing w:after="0" w:line="259" w:lineRule="auto"/>
        <w:rPr>
          <w:sz w:val="20"/>
          <w:szCs w:val="20"/>
          <w:color w:val="auto"/>
        </w:rPr>
      </w:pPr>
      <w:r>
        <w:rPr>
          <w:rFonts w:ascii="Arial" w:cs="Arial" w:eastAsia="Arial" w:hAnsi="Arial"/>
          <w:sz w:val="20"/>
          <w:szCs w:val="20"/>
          <w:b w:val="1"/>
          <w:bCs w:val="1"/>
          <w:color w:val="auto"/>
        </w:rPr>
        <w:t>The table above excludes obligations for leases that have been executed but have not yet commenced. As of August 31, 2023, excluded obligations consisted of $170 million of finance lease obligations over a weighted-average period of 12 years for gas supply arrangements deemed to contain embedded leases and equipment leases. We will recognize right-of-use assets and associated lease liabilities at the time such assets become available for our use.</w:t>
      </w:r>
    </w:p>
    <w:p>
      <w:pPr>
        <w:spacing w:after="0" w:line="351"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Accounts Payable and Accrued Expenses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31,</w:t>
            </w:r>
          </w:p>
        </w:tc>
        <w:tc>
          <w:tcPr>
            <w:tcW w:w="132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1,725</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2,142</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1,419</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2,170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Salaries, wages, and benefits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367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877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481</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3,958</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6,090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553200" cy="1136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362"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Debt</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0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Narrow" w:cs="Arial Narrow" w:eastAsia="Arial Narrow" w:hAnsi="Arial Narrow"/>
                <w:sz w:val="20"/>
                <w:szCs w:val="20"/>
                <w:b w:val="1"/>
                <w:bCs w:val="1"/>
                <w:color w:val="auto"/>
              </w:rPr>
              <w:t>As of August 31, 2023</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Narrow" w:cs="Arial Narrow" w:eastAsia="Arial Narrow" w:hAnsi="Arial Narrow"/>
                <w:sz w:val="20"/>
                <w:szCs w:val="20"/>
                <w:b w:val="1"/>
                <w:bCs w:val="1"/>
                <w:color w:val="auto"/>
              </w:rPr>
              <w:t>As of September 1, 2022</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3"/>
                <w:szCs w:val="23"/>
                <w:color w:val="auto"/>
              </w:rPr>
            </w:pPr>
          </w:p>
        </w:tc>
        <w:tc>
          <w:tcPr>
            <w:tcW w:w="7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Stated</w:t>
            </w:r>
          </w:p>
        </w:tc>
        <w:tc>
          <w:tcPr>
            <w:tcW w:w="980" w:type="dxa"/>
            <w:vAlign w:val="bottom"/>
            <w:gridSpan w:val="2"/>
            <w:vMerge w:val="restart"/>
          </w:tcPr>
          <w:p>
            <w:pPr>
              <w:jc w:val="right"/>
              <w:ind w:right="160"/>
              <w:spacing w:after="0"/>
              <w:rPr>
                <w:sz w:val="20"/>
                <w:szCs w:val="20"/>
                <w:color w:val="auto"/>
              </w:rPr>
            </w:pPr>
            <w:r>
              <w:rPr>
                <w:rFonts w:ascii="Arial Narrow" w:cs="Arial Narrow" w:eastAsia="Arial Narrow" w:hAnsi="Arial Narrow"/>
                <w:sz w:val="20"/>
                <w:szCs w:val="20"/>
                <w:b w:val="1"/>
                <w:bCs w:val="1"/>
                <w:color w:val="auto"/>
              </w:rPr>
              <w:t>Effective</w:t>
            </w:r>
          </w:p>
        </w:tc>
        <w:tc>
          <w:tcPr>
            <w:tcW w:w="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w w:val="99"/>
              </w:rPr>
              <w:t>Net Carrying Amount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rPr>
              <w:t>Net Carrying Amount</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40" w:type="dxa"/>
            <w:vAlign w:val="bottom"/>
          </w:tcPr>
          <w:p>
            <w:pPr>
              <w:jc w:val="center"/>
              <w:ind w:right="20"/>
              <w:spacing w:after="0" w:line="183" w:lineRule="exact"/>
              <w:rPr>
                <w:sz w:val="20"/>
                <w:szCs w:val="20"/>
                <w:color w:val="auto"/>
              </w:rPr>
            </w:pPr>
            <w:r>
              <w:rPr>
                <w:rFonts w:ascii="Arial Narrow" w:cs="Arial Narrow" w:eastAsia="Arial Narrow" w:hAnsi="Arial Narrow"/>
                <w:sz w:val="20"/>
                <w:szCs w:val="20"/>
                <w:b w:val="1"/>
                <w:bCs w:val="1"/>
                <w:color w:val="auto"/>
                <w:w w:val="96"/>
              </w:rPr>
              <w:t>Long-</w:t>
            </w:r>
          </w:p>
        </w:tc>
        <w:tc>
          <w:tcPr>
            <w:tcW w:w="200" w:type="dxa"/>
            <w:vAlign w:val="bottom"/>
          </w:tcPr>
          <w:p>
            <w:pPr>
              <w:spacing w:after="0"/>
              <w:rPr>
                <w:sz w:val="15"/>
                <w:szCs w:val="15"/>
                <w:color w:val="auto"/>
              </w:rPr>
            </w:pPr>
          </w:p>
        </w:tc>
        <w:tc>
          <w:tcPr>
            <w:tcW w:w="6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8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Principal</w:t>
            </w: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40" w:type="dxa"/>
            <w:vAlign w:val="bottom"/>
          </w:tcPr>
          <w:p>
            <w:pPr>
              <w:jc w:val="center"/>
              <w:ind w:right="40"/>
              <w:spacing w:after="0" w:line="183" w:lineRule="exact"/>
              <w:rPr>
                <w:sz w:val="20"/>
                <w:szCs w:val="20"/>
                <w:color w:val="auto"/>
              </w:rPr>
            </w:pPr>
            <w:r>
              <w:rPr>
                <w:rFonts w:ascii="Arial Narrow" w:cs="Arial Narrow" w:eastAsia="Arial Narrow" w:hAnsi="Arial Narrow"/>
                <w:sz w:val="20"/>
                <w:szCs w:val="20"/>
                <w:b w:val="1"/>
                <w:bCs w:val="1"/>
                <w:color w:val="auto"/>
              </w:rPr>
              <w:t>Long-</w:t>
            </w:r>
          </w:p>
        </w:tc>
        <w:tc>
          <w:tcPr>
            <w:tcW w:w="180" w:type="dxa"/>
            <w:vAlign w:val="bottom"/>
          </w:tcPr>
          <w:p>
            <w:pPr>
              <w:spacing w:after="0"/>
              <w:rPr>
                <w:sz w:val="15"/>
                <w:szCs w:val="15"/>
                <w:color w:val="auto"/>
              </w:rPr>
            </w:pPr>
          </w:p>
        </w:tc>
        <w:tc>
          <w:tcPr>
            <w:tcW w:w="66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2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Rate</w:t>
            </w:r>
          </w:p>
        </w:tc>
        <w:tc>
          <w:tcPr>
            <w:tcW w:w="1600" w:type="dxa"/>
            <w:vAlign w:val="bottom"/>
            <w:tcBorders>
              <w:bottom w:val="single" w:sz="8" w:color="auto"/>
            </w:tcBorders>
            <w:gridSpan w:val="3"/>
          </w:tcPr>
          <w:p>
            <w:pPr>
              <w:jc w:val="right"/>
              <w:spacing w:after="0"/>
              <w:rPr>
                <w:sz w:val="20"/>
                <w:szCs w:val="20"/>
                <w:color w:val="auto"/>
              </w:rPr>
            </w:pPr>
            <w:r>
              <w:rPr>
                <w:rFonts w:ascii="Arial Narrow" w:cs="Arial Narrow" w:eastAsia="Arial Narrow" w:hAnsi="Arial Narrow"/>
                <w:sz w:val="20"/>
                <w:szCs w:val="20"/>
                <w:b w:val="1"/>
                <w:bCs w:val="1"/>
                <w:color w:val="auto"/>
              </w:rPr>
              <w:t>Rate   Principal</w:t>
            </w: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Term</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bottom w:val="single" w:sz="8" w:color="auto"/>
            </w:tcBorders>
            <w:gridSpan w:val="2"/>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Term</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2024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6.146 %</w:t>
            </w:r>
          </w:p>
        </w:tc>
        <w:tc>
          <w:tcPr>
            <w:tcW w:w="9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6.18 % $</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588</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587</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587</w:t>
            </w:r>
          </w:p>
        </w:tc>
        <w:tc>
          <w:tcPr>
            <w:tcW w:w="3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1,188</w:t>
            </w:r>
          </w:p>
        </w:tc>
        <w:tc>
          <w:tcPr>
            <w:tcW w:w="28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1,187</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1,187</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2025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6.681 %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6.82 %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1,052</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6.806 %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6.94 %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971</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49</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921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6.931 %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7.07 %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1,123</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1,063</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4.975 %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5.07 %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498</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498</w:t>
            </w:r>
          </w:p>
        </w:tc>
        <w:tc>
          <w:tcPr>
            <w:tcW w:w="0" w:type="dxa"/>
            <w:vAlign w:val="bottom"/>
          </w:tcPr>
          <w:p>
            <w:pPr>
              <w:spacing w:after="0"/>
              <w:rPr>
                <w:sz w:val="1"/>
                <w:szCs w:val="1"/>
                <w:color w:val="auto"/>
              </w:rPr>
            </w:pPr>
          </w:p>
        </w:tc>
      </w:tr>
      <w:tr>
        <w:trPr>
          <w:trHeight w:val="323"/>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Notes</w:t>
            </w:r>
            <w:r>
              <w:rPr>
                <w:rFonts w:ascii="Arial Narrow" w:cs="Arial Narrow" w:eastAsia="Arial Narrow" w:hAnsi="Arial Narrow"/>
                <w:sz w:val="26"/>
                <w:szCs w:val="26"/>
                <w:color w:val="auto"/>
                <w:vertAlign w:val="superscript"/>
              </w:rPr>
              <w:t>(1)</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4.185 %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4.27 %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798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806</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806</w:t>
            </w:r>
          </w:p>
        </w:tc>
        <w:tc>
          <w:tcPr>
            <w:tcW w:w="0" w:type="dxa"/>
            <w:vAlign w:val="bottom"/>
          </w:tcPr>
          <w:p>
            <w:pPr>
              <w:spacing w:after="0"/>
              <w:rPr>
                <w:sz w:val="1"/>
                <w:szCs w:val="1"/>
                <w:color w:val="auto"/>
              </w:rPr>
            </w:pPr>
          </w:p>
        </w:tc>
      </w:tr>
      <w:tr>
        <w:trPr>
          <w:trHeight w:val="27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2028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5.52 %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600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5.327 %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5.40 %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6.750 %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6.54 %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1,263</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2030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4.663 %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4.73 %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2032 Green Bonds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2.703 %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5.96 %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6.01 %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2041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3.366 %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2051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3.477 %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3.52 %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8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obligations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3.86 %</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1,281</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1,109</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1,281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886</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103</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783</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886</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13,465</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13,052</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13,330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7,024</w:t>
            </w:r>
          </w:p>
        </w:tc>
        <w:tc>
          <w:tcPr>
            <w:tcW w:w="28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103</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6,803</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6,906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-3212465</wp:posOffset>
            </wp:positionV>
            <wp:extent cx="6553200" cy="3232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6553200" cy="3232150"/>
                    </a:xfrm>
                    <a:prstGeom prst="rect">
                      <a:avLst/>
                    </a:prstGeom>
                    <a:noFill/>
                  </pic:spPr>
                </pic:pic>
              </a:graphicData>
            </a:graphic>
          </wp:anchor>
        </w:drawing>
      </w:r>
    </w:p>
    <w:p>
      <w:pPr>
        <w:ind w:left="190" w:right="80" w:hanging="190"/>
        <w:spacing w:after="0" w:line="253" w:lineRule="auto"/>
        <w:tabs>
          <w:tab w:leader="none" w:pos="224" w:val="left"/>
        </w:tabs>
        <w:numPr>
          <w:ilvl w:val="0"/>
          <w:numId w:val="29"/>
        </w:numPr>
        <w:rPr>
          <w:rFonts w:ascii="Arial" w:cs="Arial" w:eastAsia="Arial" w:hAnsi="Arial"/>
          <w:sz w:val="25"/>
          <w:szCs w:val="25"/>
          <w:b w:val="1"/>
          <w:bCs w:val="1"/>
          <w:i w:val="1"/>
          <w:iCs w:val="1"/>
          <w:color w:val="auto"/>
          <w:vertAlign w:val="superscript"/>
        </w:rPr>
      </w:pPr>
      <w:r>
        <w:rPr>
          <w:rFonts w:ascii="Arial" w:cs="Arial" w:eastAsia="Arial" w:hAnsi="Arial"/>
          <w:sz w:val="19"/>
          <w:szCs w:val="19"/>
          <w:b w:val="1"/>
          <w:bCs w:val="1"/>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1010920</wp:posOffset>
            </wp:positionV>
            <wp:extent cx="736600" cy="200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70"/>
          </w:cols>
          <w:pgMar w:left="99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10270"/>
          </w:cols>
          <w:pgMar w:left="990" w:top="844" w:right="980" w:bottom="0" w:gutter="0" w:footer="0" w:header="0"/>
          <w:type w:val="continuous"/>
        </w:sectPr>
      </w:pPr>
    </w:p>
    <w:bookmarkStart w:id="71" w:name="page72"/>
    <w:bookmarkEnd w:id="71"/>
    <w:p>
      <w:pPr>
        <w:ind w:right="260"/>
        <w:spacing w:after="0" w:line="270" w:lineRule="auto"/>
        <w:rPr>
          <w:sz w:val="20"/>
          <w:szCs w:val="20"/>
          <w:color w:val="auto"/>
        </w:rPr>
      </w:pPr>
      <w:r>
        <w:rPr>
          <w:rFonts w:ascii="Arial" w:cs="Arial" w:eastAsia="Arial" w:hAnsi="Arial"/>
          <w:sz w:val="19"/>
          <w:szCs w:val="19"/>
          <w:b w:val="1"/>
          <w:bCs w:val="1"/>
          <w:color w:val="auto"/>
        </w:rPr>
        <w:t>As of August 31, 2023,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Debt Activity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table below presents the effects of debt financing and prepayment activities in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Increase</w:t>
            </w:r>
          </w:p>
        </w:tc>
        <w:tc>
          <w:tcPr>
            <w:tcW w:w="220" w:type="dxa"/>
            <w:vAlign w:val="bottom"/>
          </w:tcPr>
          <w:p>
            <w:pPr>
              <w:spacing w:after="0"/>
              <w:rPr>
                <w:sz w:val="19"/>
                <w:szCs w:val="19"/>
                <w:color w:val="auto"/>
              </w:rPr>
            </w:pPr>
          </w:p>
        </w:tc>
        <w:tc>
          <w:tcPr>
            <w:tcW w:w="1080" w:type="dxa"/>
            <w:vAlign w:val="bottom"/>
          </w:tcPr>
          <w:p>
            <w:pPr>
              <w:jc w:val="right"/>
              <w:ind w:right="220"/>
              <w:spacing w:after="0"/>
              <w:rPr>
                <w:sz w:val="20"/>
                <w:szCs w:val="20"/>
                <w:color w:val="auto"/>
              </w:rPr>
            </w:pPr>
            <w:r>
              <w:rPr>
                <w:rFonts w:ascii="Arial Narrow" w:cs="Arial Narrow" w:eastAsia="Arial Narrow" w:hAnsi="Arial Narrow"/>
                <w:sz w:val="20"/>
                <w:szCs w:val="20"/>
                <w:b w:val="1"/>
                <w:bCs w:val="1"/>
                <w:color w:val="auto"/>
              </w:rPr>
              <w:t>Increase</w:t>
            </w:r>
          </w:p>
        </w:tc>
        <w:tc>
          <w:tcPr>
            <w:tcW w:w="220" w:type="dxa"/>
            <w:vAlign w:val="bottom"/>
          </w:tcPr>
          <w:p>
            <w:pPr>
              <w:spacing w:after="0"/>
              <w:rPr>
                <w:sz w:val="19"/>
                <w:szCs w:val="19"/>
                <w:color w:val="auto"/>
              </w:rPr>
            </w:pPr>
          </w:p>
        </w:tc>
        <w:tc>
          <w:tcPr>
            <w:tcW w:w="108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rPr>
              <w:t>Increase</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00" w:type="dxa"/>
            <w:vAlign w:val="bottom"/>
            <w:vMerge w:val="restart"/>
          </w:tcPr>
          <w:p>
            <w:pPr>
              <w:ind w:left="1500"/>
              <w:spacing w:after="0"/>
              <w:rPr>
                <w:sz w:val="20"/>
                <w:szCs w:val="20"/>
                <w:color w:val="auto"/>
              </w:rPr>
            </w:pPr>
            <w:r>
              <w:rPr>
                <w:rFonts w:ascii="Arial Narrow" w:cs="Arial Narrow" w:eastAsia="Arial Narrow" w:hAnsi="Arial Narrow"/>
                <w:sz w:val="20"/>
                <w:szCs w:val="20"/>
                <w:b w:val="1"/>
                <w:bCs w:val="1"/>
                <w:color w:val="auto"/>
              </w:rPr>
              <w:t>Transaction Date</w:t>
            </w:r>
          </w:p>
        </w:tc>
        <w:tc>
          <w:tcPr>
            <w:tcW w:w="132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(Decrease) in</w:t>
            </w:r>
          </w:p>
        </w:tc>
        <w:tc>
          <w:tcPr>
            <w:tcW w:w="1300" w:type="dxa"/>
            <w:vAlign w:val="bottom"/>
            <w:gridSpan w:val="2"/>
          </w:tcPr>
          <w:p>
            <w:pPr>
              <w:jc w:val="right"/>
              <w:ind w:right="40"/>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13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0" w:type="dxa"/>
            <w:vAlign w:val="bottom"/>
          </w:tcPr>
          <w:p>
            <w:pPr>
              <w:spacing w:after="0"/>
              <w:rPr>
                <w:sz w:val="1"/>
                <w:szCs w:val="1"/>
                <w:color w:val="auto"/>
              </w:rPr>
            </w:pPr>
          </w:p>
        </w:tc>
      </w:tr>
      <w:tr>
        <w:trPr>
          <w:trHeight w:val="262"/>
        </w:trPr>
        <w:tc>
          <w:tcPr>
            <w:tcW w:w="5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rPr>
              <w:t>Principal</w:t>
            </w:r>
          </w:p>
        </w:tc>
        <w:tc>
          <w:tcPr>
            <w:tcW w:w="130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Carrying Value</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Cash</w:t>
            </w:r>
          </w:p>
        </w:tc>
        <w:tc>
          <w:tcPr>
            <w:tcW w:w="0" w:type="dxa"/>
            <w:vAlign w:val="bottom"/>
          </w:tcPr>
          <w:p>
            <w:pPr>
              <w:spacing w:after="0"/>
              <w:rPr>
                <w:sz w:val="1"/>
                <w:szCs w:val="1"/>
                <w:color w:val="auto"/>
              </w:rPr>
            </w:pPr>
          </w:p>
        </w:tc>
      </w:tr>
      <w:tr>
        <w:trPr>
          <w:trHeight w:val="338"/>
        </w:trPr>
        <w:tc>
          <w:tcPr>
            <w:tcW w:w="3020" w:type="dxa"/>
            <w:vAlign w:val="bottom"/>
            <w:gridSpan w:val="2"/>
          </w:tcPr>
          <w:p>
            <w:pPr>
              <w:ind w:left="60"/>
              <w:spacing w:after="0"/>
              <w:rPr>
                <w:sz w:val="20"/>
                <w:szCs w:val="20"/>
                <w:color w:val="auto"/>
              </w:rPr>
            </w:pPr>
            <w:r>
              <w:rPr>
                <w:rFonts w:ascii="Arial Narrow" w:cs="Arial Narrow" w:eastAsia="Arial Narrow" w:hAnsi="Arial Narrow"/>
                <w:sz w:val="20"/>
                <w:szCs w:val="20"/>
                <w:b w:val="1"/>
                <w:bCs w:val="1"/>
                <w:color w:val="auto"/>
              </w:rPr>
              <w:t>Issuances</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2029</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October 31, 2022</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744</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744</w:t>
            </w:r>
          </w:p>
        </w:tc>
        <w:tc>
          <w:tcPr>
            <w:tcW w:w="0" w:type="dxa"/>
            <w:vAlign w:val="bottom"/>
          </w:tcPr>
          <w:p>
            <w:pPr>
              <w:spacing w:after="0"/>
              <w:rPr>
                <w:sz w:val="1"/>
                <w:szCs w:val="1"/>
                <w:color w:val="auto"/>
              </w:rPr>
            </w:pPr>
          </w:p>
        </w:tc>
      </w:tr>
      <w:tr>
        <w:trPr>
          <w:trHeight w:val="285"/>
        </w:trPr>
        <w:tc>
          <w:tcPr>
            <w:tcW w:w="3020" w:type="dxa"/>
            <w:vAlign w:val="bottom"/>
            <w:gridSpan w:val="2"/>
          </w:tcPr>
          <w:p>
            <w:pPr>
              <w:ind w:left="180"/>
              <w:spacing w:after="0"/>
              <w:rPr>
                <w:sz w:val="20"/>
                <w:szCs w:val="20"/>
                <w:color w:val="auto"/>
              </w:rPr>
            </w:pPr>
            <w:r>
              <w:rPr>
                <w:rFonts w:ascii="Arial Narrow" w:cs="Arial Narrow" w:eastAsia="Arial Narrow" w:hAnsi="Arial Narrow"/>
                <w:sz w:val="20"/>
                <w:szCs w:val="20"/>
                <w:color w:val="auto"/>
              </w:rPr>
              <w:t>2025 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November 3, 2022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927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925</w:t>
            </w:r>
          </w:p>
        </w:tc>
        <w:tc>
          <w:tcPr>
            <w:tcW w:w="0" w:type="dxa"/>
            <w:vAlign w:val="bottom"/>
          </w:tcPr>
          <w:p>
            <w:pPr>
              <w:spacing w:after="0"/>
              <w:rPr>
                <w:sz w:val="1"/>
                <w:szCs w:val="1"/>
                <w:color w:val="auto"/>
              </w:rPr>
            </w:pPr>
          </w:p>
        </w:tc>
      </w:tr>
      <w:tr>
        <w:trPr>
          <w:trHeight w:val="285"/>
        </w:trPr>
        <w:tc>
          <w:tcPr>
            <w:tcW w:w="3020" w:type="dxa"/>
            <w:vAlign w:val="bottom"/>
            <w:gridSpan w:val="2"/>
          </w:tcPr>
          <w:p>
            <w:pPr>
              <w:ind w:left="180"/>
              <w:spacing w:after="0"/>
              <w:rPr>
                <w:sz w:val="20"/>
                <w:szCs w:val="20"/>
                <w:color w:val="auto"/>
              </w:rPr>
            </w:pPr>
            <w:r>
              <w:rPr>
                <w:rFonts w:ascii="Arial Narrow" w:cs="Arial Narrow" w:eastAsia="Arial Narrow" w:hAnsi="Arial Narrow"/>
                <w:sz w:val="20"/>
                <w:szCs w:val="20"/>
                <w:color w:val="auto"/>
              </w:rPr>
              <w:t>2026 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November 3, 2022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746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0" w:type="dxa"/>
            <w:vAlign w:val="bottom"/>
          </w:tcPr>
          <w:p>
            <w:pPr>
              <w:spacing w:after="0"/>
              <w:rPr>
                <w:sz w:val="1"/>
                <w:szCs w:val="1"/>
                <w:color w:val="auto"/>
              </w:rPr>
            </w:pPr>
          </w:p>
        </w:tc>
      </w:tr>
      <w:tr>
        <w:trPr>
          <w:trHeight w:val="285"/>
        </w:trPr>
        <w:tc>
          <w:tcPr>
            <w:tcW w:w="3020" w:type="dxa"/>
            <w:vAlign w:val="bottom"/>
            <w:gridSpan w:val="2"/>
          </w:tcPr>
          <w:p>
            <w:pPr>
              <w:ind w:left="180"/>
              <w:spacing w:after="0"/>
              <w:rPr>
                <w:sz w:val="20"/>
                <w:szCs w:val="20"/>
                <w:color w:val="auto"/>
              </w:rPr>
            </w:pPr>
            <w:r>
              <w:rPr>
                <w:rFonts w:ascii="Arial Narrow" w:cs="Arial Narrow" w:eastAsia="Arial Narrow" w:hAnsi="Arial Narrow"/>
                <w:sz w:val="20"/>
                <w:szCs w:val="20"/>
                <w:color w:val="auto"/>
              </w:rPr>
              <w:t>2027 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November 3, 2022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927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924</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2025</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5,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125</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2026</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5,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250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249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249</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2027</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5,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2029</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February 9,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2033</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February 9,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2028</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April 11,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600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285"/>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2033</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April 11, 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0" w:type="dxa"/>
            <w:vAlign w:val="bottom"/>
          </w:tcPr>
          <w:p>
            <w:pPr>
              <w:spacing w:after="0"/>
              <w:rPr>
                <w:sz w:val="1"/>
                <w:szCs w:val="1"/>
                <w:color w:val="auto"/>
              </w:rPr>
            </w:pPr>
          </w:p>
        </w:tc>
      </w:tr>
      <w:tr>
        <w:trPr>
          <w:trHeight w:val="285"/>
        </w:trPr>
        <w:tc>
          <w:tcPr>
            <w:tcW w:w="3020" w:type="dxa"/>
            <w:vAlign w:val="bottom"/>
            <w:gridSpan w:val="2"/>
          </w:tcPr>
          <w:p>
            <w:pPr>
              <w:ind w:left="60"/>
              <w:spacing w:after="0"/>
              <w:rPr>
                <w:sz w:val="20"/>
                <w:szCs w:val="20"/>
                <w:color w:val="auto"/>
              </w:rPr>
            </w:pPr>
            <w:r>
              <w:rPr>
                <w:rFonts w:ascii="Arial Narrow" w:cs="Arial Narrow" w:eastAsia="Arial Narrow" w:hAnsi="Arial Narrow"/>
                <w:sz w:val="20"/>
                <w:szCs w:val="20"/>
                <w:b w:val="1"/>
                <w:bCs w:val="1"/>
                <w:color w:val="auto"/>
              </w:rPr>
              <w:t>Prepayments</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60" w:type="dxa"/>
            <w:vAlign w:val="bottom"/>
          </w:tcPr>
          <w:p>
            <w:pPr>
              <w:ind w:left="180"/>
              <w:spacing w:after="0"/>
              <w:rPr>
                <w:sz w:val="20"/>
                <w:szCs w:val="20"/>
                <w:color w:val="auto"/>
              </w:rPr>
            </w:pPr>
            <w:r>
              <w:rPr>
                <w:rFonts w:ascii="Arial Narrow" w:cs="Arial Narrow" w:eastAsia="Arial Narrow" w:hAnsi="Arial Narrow"/>
                <w:sz w:val="20"/>
                <w:szCs w:val="20"/>
                <w:color w:val="auto"/>
                <w:w w:val="98"/>
              </w:rPr>
              <w:t>2024</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April 13, 2023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(600)</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6,100</w:t>
            </w:r>
          </w:p>
        </w:tc>
        <w:tc>
          <w:tcPr>
            <w:tcW w:w="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6,088</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6,088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-2755265</wp:posOffset>
            </wp:positionV>
            <wp:extent cx="6534150" cy="2774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6534150" cy="2774950"/>
                    </a:xfrm>
                    <a:prstGeom prst="rect">
                      <a:avLst/>
                    </a:prstGeom>
                    <a:noFill/>
                  </pic:spPr>
                </pic:pic>
              </a:graphicData>
            </a:graphic>
          </wp:anchor>
        </w:drawing>
      </w:r>
    </w:p>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In 2022, we issued $2.00 billion of senior unsecured notes and received cash of $1.99 billion. The approximate $1.00 billion of net proceeds from the issuance of the 2032 Green Bonds are being used to fund eligible sustainability-focused projects. The remaining proceeds, along with cash on hand, were used to repay $1.85 billion of principal amount of notes (carrying value of $1.85 billion) for $1.93 billion in cash. We recognized losses of $83 million in connection with these repayments.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In 2021, substantially all holders of our 2032D Notes converted their notes. We settled these conversions and all remaining 2032D Notes with $185 million in cash and 11.1 million shares of our stock, which approximated the carrying value of debt and equity for those notes.</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Senior Unsecured Notes</w:t>
      </w:r>
    </w:p>
    <w:p>
      <w:pPr>
        <w:spacing w:after="0" w:line="263"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color w:val="auto"/>
        </w:rPr>
        <w:t>We may redeem our 2026 Notes, 2027 Notes, 2028 Notes, 2029 A Notes, 2029 B Notes, 2030 Notes, 2032 Green Bonds, 2033 A Notes, 2033 B Notes, 2041 Notes, and 2051 Notes (the “Senior Unsecured Notes”), in whole or in part, at our option prior to their respective maturity dates at a redemption price equal to the greater of (i) 100% of the principal amount of the notes to be redeemed and (ii) the present value of the remaining scheduled payments of principal and interest, in each case plus accrued interest. We may also redeem any series of our Senior Unsecured Notes, in whole or in part, at a price equal to par between one and six months prior to maturity in accordance with the respective terms of such series.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68 | 2023 10-K</w:t>
      </w:r>
    </w:p>
    <w:p>
      <w:pPr>
        <w:sectPr>
          <w:pgSz w:w="12240" w:h="15840" w:orient="portrait"/>
          <w:cols w:equalWidth="0" w:num="1">
            <w:col w:w="10240"/>
          </w:cols>
          <w:pgMar w:left="1000" w:top="844" w:right="1000" w:bottom="0" w:gutter="0" w:footer="0" w:header="0"/>
          <w:type w:val="continuous"/>
        </w:sectPr>
      </w:pPr>
    </w:p>
    <w:bookmarkStart w:id="72" w:name="page73"/>
    <w:bookmarkEnd w:id="72"/>
    <w:p>
      <w:pPr>
        <w:jc w:val="both"/>
        <w:ind w:right="20"/>
        <w:spacing w:after="0" w:line="286" w:lineRule="auto"/>
        <w:rPr>
          <w:sz w:val="20"/>
          <w:szCs w:val="20"/>
          <w:color w:val="auto"/>
        </w:rPr>
      </w:pPr>
      <w:r>
        <w:rPr>
          <w:rFonts w:ascii="Arial" w:cs="Arial" w:eastAsia="Arial" w:hAnsi="Arial"/>
          <w:sz w:val="18"/>
          <w:szCs w:val="18"/>
          <w:b w:val="1"/>
          <w:bCs w:val="1"/>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series)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as defined in the indentures governing our Senior Unsecured Notes, occurs with respect to a series of Senior Unsecured Notes, we will be required to offer to purchase such Senior Unsecured Notes at 101% of the outstanding aggregate principal amount plus accrued interest up to the purchase date.</w:t>
      </w:r>
    </w:p>
    <w:p>
      <w:pPr>
        <w:spacing w:after="0" w:line="180"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b w:val="1"/>
          <w:bCs w:val="1"/>
          <w:i w:val="1"/>
          <w:iCs w:val="1"/>
          <w:color w:val="auto"/>
        </w:rPr>
        <w:t xml:space="preserve">2032 Green Bonds: </w:t>
      </w:r>
      <w:r>
        <w:rPr>
          <w:rFonts w:ascii="Arial" w:cs="Arial" w:eastAsia="Arial" w:hAnsi="Arial"/>
          <w:sz w:val="20"/>
          <w:szCs w:val="20"/>
          <w:b w:val="1"/>
          <w:bCs w:val="1"/>
          <w:color w:val="auto"/>
        </w:rPr>
        <w:t>We plan to allocate an amount equal to the approximate $1.00 billion of net proceeds of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unsecured 2032 Green Bonds by November 1, 2023, to fund eligible sustainability-focused projects involving renewable energy, green buildings, energy efficiency, water management, waste abatement, and a circular economy.</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Multi-Tranche Term Loan A</w:t>
      </w:r>
    </w:p>
    <w:p>
      <w:pPr>
        <w:spacing w:after="0" w:line="263" w:lineRule="exact"/>
        <w:rPr>
          <w:sz w:val="20"/>
          <w:szCs w:val="20"/>
          <w:color w:val="auto"/>
        </w:rPr>
      </w:pPr>
    </w:p>
    <w:p>
      <w:pPr>
        <w:ind w:right="140"/>
        <w:spacing w:after="0" w:line="311" w:lineRule="auto"/>
        <w:rPr>
          <w:sz w:val="20"/>
          <w:szCs w:val="20"/>
          <w:color w:val="auto"/>
        </w:rPr>
      </w:pPr>
      <w:r>
        <w:rPr>
          <w:rFonts w:ascii="Arial" w:cs="Arial" w:eastAsia="Arial" w:hAnsi="Arial"/>
          <w:sz w:val="18"/>
          <w:szCs w:val="18"/>
          <w:b w:val="1"/>
          <w:bCs w:val="1"/>
          <w:color w:val="auto"/>
        </w:rPr>
        <w:t>In 2023, we entered into a term loan agreement consisting of three tranches (the “Multi-Tranche Term Loan Agreement”) and borrowed $3.20 billion in aggregate principal amount. The tranches mature on November 3, 2025 (“2025 Term Loan A”); November 3, 2026 (“2026 Term Loan A”); and November 3, 2027 (“2027 Term Loan A”).</w:t>
      </w:r>
    </w:p>
    <w:p>
      <w:pPr>
        <w:spacing w:after="0" w:line="15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The 2026 Term Loan A and 2027 Term Loan A each require equal quarterly installment payments in an amount equal to 1.25% of the original principal amount. The 2025 Term Loan A does not require quarterly installment payments. Borrowings under the Multi-Tranche Term Loan Agreement will generally bear interest at adjusted term SOFR plus an applicable interest rate margin ranging from 1.00% to 2.00%, varying by tranche and depending on our corporate credit ratings. Adjusted term SOFR for the Multi-Tranche Term Loan Agreement is the SOFR benchmark plus 0.10%.</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The Multi-Tranche Term Loan Agreement requires us to maintain, on a consolidated basis, a leverage ratio of total indebtedness to adjusted EBITDA, as defined in the Multi-Tranche Term Loan Agreement and calculated as of the last day of each fiscal quarter, not to exceed 3.25 to 1.00. On March 27, 2023, we amended the Multi-Tranche Term Loan Agreement to provide that in lieu of the foregoing leverage ratio, during the fourth quarter of 2023 and each quarter of 2024, we will be required to maintain, on a consolidated basis, a net leverage ratio of total net indebtedness to adjusted EBITDA, as defined in the Multi-Tranche Term Loan Agreement and calculated as of the last day of each fiscal quarter, not to exceed 3.25 to 1.00. Alternatively, for up to three of such five quarters, we may elect to comply with a requirement of minimum liquidity, as defined in the Multi-Tranche Term Loan Agreement, of not less than $5.0 billion. In the fourth quarter of 2023, we complied with the net leverage ratio. Each of the leverage ratio and net leverage ratio maximums, as applicable, is subject to a temporary four quarter increase in such ratio to 3.75 to 1.00 following certain material acquisitions.</w:t>
      </w:r>
    </w:p>
    <w:p>
      <w:pPr>
        <w:spacing w:after="0" w:line="196"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The Multi-Tranche Term Loan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 Our obligations under the Multi-Tranche Term Loan Agreement are unsecured.</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2024 Term Loan A</w:t>
      </w:r>
    </w:p>
    <w:p>
      <w:pPr>
        <w:spacing w:after="0" w:line="263" w:lineRule="exact"/>
        <w:rPr>
          <w:sz w:val="20"/>
          <w:szCs w:val="20"/>
          <w:color w:val="auto"/>
        </w:rPr>
      </w:pPr>
    </w:p>
    <w:p>
      <w:pPr>
        <w:ind w:right="440"/>
        <w:spacing w:after="0" w:line="287" w:lineRule="auto"/>
        <w:rPr>
          <w:sz w:val="20"/>
          <w:szCs w:val="20"/>
          <w:color w:val="auto"/>
        </w:rPr>
      </w:pPr>
      <w:r>
        <w:rPr>
          <w:rFonts w:ascii="Arial" w:cs="Arial" w:eastAsia="Arial" w:hAnsi="Arial"/>
          <w:sz w:val="20"/>
          <w:szCs w:val="20"/>
          <w:b w:val="1"/>
          <w:bCs w:val="1"/>
          <w:color w:val="auto"/>
        </w:rPr>
        <w:t>On April 13, 2023, we used a portion of the proceeds from our April 2023 issuance of senior unsecured notes to prepay $600 million principal amount of our 2024 Term Loan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1093470</wp:posOffset>
            </wp:positionV>
            <wp:extent cx="736600" cy="2000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10260"/>
          </w:cols>
          <w:pgMar w:left="1000" w:top="844" w:right="980" w:bottom="0" w:gutter="0" w:footer="0" w:header="0"/>
          <w:type w:val="continuous"/>
        </w:sectPr>
      </w:pPr>
    </w:p>
    <w:bookmarkStart w:id="73" w:name="page74"/>
    <w:bookmarkEnd w:id="73"/>
    <w:p>
      <w:pPr>
        <w:ind w:right="160"/>
        <w:spacing w:after="0" w:line="255" w:lineRule="auto"/>
        <w:rPr>
          <w:sz w:val="20"/>
          <w:szCs w:val="20"/>
          <w:color w:val="auto"/>
        </w:rPr>
      </w:pPr>
      <w:r>
        <w:rPr>
          <w:rFonts w:ascii="Arial" w:cs="Arial" w:eastAsia="Arial" w:hAnsi="Arial"/>
          <w:sz w:val="20"/>
          <w:szCs w:val="20"/>
          <w:b w:val="1"/>
          <w:bCs w:val="1"/>
          <w:color w:val="auto"/>
        </w:rPr>
        <w:t>On June 7, 2023, the 2024 Term Loan A agreement was amended, pursuant to its transition provisions, to replace LIBOR-based benchmark rates with SOFR-based benchmark rates effective July 1, 2023. Subsequent to this amendment, borrowings under the 2024 Term Loan Agreement generally bear interest at adjusted term SOFR plus an applicable interest rate margin ranging from 0.625% to 1.375% depending on our corporate credit ratings. Adjusted term SOFR for the 2024 Term Loan A is the SOFR benchmark plus a credit spread adjustment ranging from approximately 0.11% to 0.43% depending on the applicable interest period selected. Prior to July 1, 2023, the 2024 Term Loan A bore interest at a rate equal to LIBOR plus 0.625% to 1.375% based on our corporate credit ratings.</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20"/>
          <w:szCs w:val="20"/>
          <w:b w:val="1"/>
          <w:bCs w:val="1"/>
          <w:color w:val="auto"/>
        </w:rPr>
        <w:t>The 2024 Term Loan A agreement contains the same leverage ratio, as amended, and substantially the same other covenants as the Multi-Tranche Term Loan Agreement. Our obligations under the 2024 Term Loan A agreement are unsecured.</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Revolving Credit Facility</w:t>
      </w: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b w:val="1"/>
          <w:bCs w:val="1"/>
          <w:color w:val="auto"/>
        </w:rPr>
        <w:t>As of August 31, 2023,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03" w:lineRule="exact"/>
        <w:rPr>
          <w:sz w:val="20"/>
          <w:szCs w:val="20"/>
          <w:color w:val="auto"/>
        </w:rPr>
      </w:pPr>
    </w:p>
    <w:p>
      <w:pPr>
        <w:ind w:right="580"/>
        <w:spacing w:after="0" w:line="287" w:lineRule="auto"/>
        <w:rPr>
          <w:sz w:val="20"/>
          <w:szCs w:val="20"/>
          <w:color w:val="auto"/>
        </w:rPr>
      </w:pPr>
      <w:r>
        <w:rPr>
          <w:rFonts w:ascii="Arial" w:cs="Arial" w:eastAsia="Arial" w:hAnsi="Arial"/>
          <w:sz w:val="20"/>
          <w:szCs w:val="20"/>
          <w:b w:val="1"/>
          <w:bCs w:val="1"/>
          <w:color w:val="auto"/>
        </w:rPr>
        <w:t>The Revolving Credit Facility contains the same leverage ratio, as amended, and substantially the same other covenants as the Multi-Tranche Term Loan Agreement.</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Maturities of Notes Payable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940" w:type="dxa"/>
            <w:vAlign w:val="bottom"/>
          </w:tcPr>
          <w:p>
            <w:pPr>
              <w:spacing w:after="0"/>
              <w:rPr>
                <w:sz w:val="20"/>
                <w:szCs w:val="20"/>
                <w:color w:val="auto"/>
              </w:rPr>
            </w:pPr>
            <w:r>
              <w:rPr>
                <w:rFonts w:ascii="Arial" w:cs="Arial" w:eastAsia="Arial" w:hAnsi="Arial"/>
                <w:sz w:val="20"/>
                <w:szCs w:val="20"/>
                <w:b w:val="1"/>
                <w:bCs w:val="1"/>
                <w:color w:val="auto"/>
              </w:rPr>
              <w:t>As of August 31, 2023, maturities of notes payable by fiscal year were as follows:</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3"/>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2024</w:t>
            </w:r>
          </w:p>
        </w:tc>
        <w:tc>
          <w:tcPr>
            <w:tcW w:w="4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107</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2025</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695</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1,659</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2027</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1,780</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1,493</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2029 and thereafter</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6,450</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Unamortized issuance costs, discounts, and premium, net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(35)</w:t>
            </w:r>
          </w:p>
        </w:tc>
      </w:tr>
      <w:tr>
        <w:trPr>
          <w:trHeight w:val="287"/>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Hedge accounting fair value adjustment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245"/>
        </w:trPr>
        <w:tc>
          <w:tcPr>
            <w:tcW w:w="8940" w:type="dxa"/>
            <w:vAlign w:val="bottom"/>
          </w:tcPr>
          <w:p>
            <w:pPr>
              <w:spacing w:after="0"/>
              <w:rPr>
                <w:sz w:val="21"/>
                <w:szCs w:val="21"/>
                <w:color w:val="auto"/>
              </w:rPr>
            </w:pPr>
          </w:p>
        </w:tc>
        <w:tc>
          <w:tcPr>
            <w:tcW w:w="4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12,049</w:t>
            </w:r>
          </w:p>
        </w:tc>
      </w:tr>
      <w:tr>
        <w:trPr>
          <w:trHeight w:val="20"/>
        </w:trPr>
        <w:tc>
          <w:tcPr>
            <w:tcW w:w="8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Commitments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August 31, 2023, we had noncancelable commitments with remaining contractual terms in excess of one year</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 approximately $6.7 billion for purchase obligations, of which approximately $1.2 billion will be due in 2024,</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billion due in 2025, $1.0 billion due in 2026, $1.0 billion due in 2027, $700 million due in 2028, and $1.4 billion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in 2029 and thereafter. Purchase obligations primarily include payments for goods or services with either a fixed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 minimum quantity and price, which includes payments for the acquisition of 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for leases that have been executed but have not yet commenced are excluded.</w:t>
      </w:r>
    </w:p>
    <w:p>
      <w:pPr>
        <w:spacing w:after="0" w:line="230" w:lineRule="exact"/>
        <w:rPr>
          <w:sz w:val="20"/>
          <w:szCs w:val="20"/>
          <w:color w:val="auto"/>
        </w:rPr>
      </w:pPr>
    </w:p>
    <w:p>
      <w:pPr>
        <w:jc w:val="both"/>
        <w:ind w:right="220"/>
        <w:spacing w:after="0" w:line="289" w:lineRule="auto"/>
        <w:rPr>
          <w:sz w:val="20"/>
          <w:szCs w:val="20"/>
          <w:color w:val="auto"/>
        </w:rPr>
      </w:pPr>
      <w:r>
        <w:rPr>
          <w:rFonts w:ascii="Arial" w:cs="Arial" w:eastAsia="Arial" w:hAnsi="Arial"/>
          <w:sz w:val="19"/>
          <w:szCs w:val="19"/>
          <w:b w:val="1"/>
          <w:bCs w:val="1"/>
          <w:color w:val="auto"/>
        </w:rPr>
        <w:t>In 2023, we entered into an 18-year power purchase agreement in Singapore to purchase up to 450 megawatts of power at predominantly variable prices. This contract is expected to supply the majority of our power consumption needs in Singapore with more favorable pricing than our previous supply arrangements.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 2023 10-K</w:t>
      </w:r>
    </w:p>
    <w:p>
      <w:pPr>
        <w:sectPr>
          <w:pgSz w:w="12240" w:h="15840" w:orient="portrait"/>
          <w:cols w:equalWidth="0" w:num="1">
            <w:col w:w="10260"/>
          </w:cols>
          <w:pgMar w:left="1000" w:top="844" w:right="980" w:bottom="0" w:gutter="0" w:footer="0" w:header="0"/>
          <w:type w:val="continuous"/>
        </w:sectPr>
      </w:pPr>
    </w:p>
    <w:bookmarkStart w:id="74" w:name="page75"/>
    <w:bookmarkEnd w:id="74"/>
    <w:p>
      <w:pPr>
        <w:spacing w:after="0"/>
        <w:rPr>
          <w:sz w:val="20"/>
          <w:szCs w:val="20"/>
          <w:color w:val="auto"/>
        </w:rPr>
      </w:pPr>
      <w:r>
        <w:rPr>
          <w:rFonts w:ascii="Arial Narrow" w:cs="Arial Narrow" w:eastAsia="Arial Narrow" w:hAnsi="Arial Narrow"/>
          <w:sz w:val="44"/>
          <w:szCs w:val="44"/>
          <w:b w:val="1"/>
          <w:bCs w:val="1"/>
          <w:color w:val="auto"/>
        </w:rPr>
        <w:t>Contingencies</w:t>
      </w:r>
    </w:p>
    <w:p>
      <w:pPr>
        <w:spacing w:after="0" w:line="375"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b w:val="1"/>
          <w:bCs w:val="1"/>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 Matters</w:t>
      </w:r>
    </w:p>
    <w:p>
      <w:pPr>
        <w:spacing w:after="0" w:line="263" w:lineRule="exact"/>
        <w:rPr>
          <w:sz w:val="20"/>
          <w:szCs w:val="20"/>
          <w:color w:val="auto"/>
        </w:rPr>
      </w:pPr>
    </w:p>
    <w:p>
      <w:pPr>
        <w:ind w:right="180"/>
        <w:spacing w:after="0" w:line="345" w:lineRule="auto"/>
        <w:rPr>
          <w:sz w:val="20"/>
          <w:szCs w:val="20"/>
          <w:color w:val="auto"/>
        </w:rPr>
      </w:pPr>
      <w:r>
        <w:rPr>
          <w:rFonts w:ascii="Arial" w:cs="Arial" w:eastAsia="Arial" w:hAnsi="Arial"/>
          <w:sz w:val="18"/>
          <w:szCs w:val="18"/>
          <w:b w:val="1"/>
          <w:bCs w:val="1"/>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b w:val="1"/>
          <w:bCs w:val="1"/>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b w:val="1"/>
          <w:bCs w:val="1"/>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2024380</wp:posOffset>
            </wp:positionV>
            <wp:extent cx="736600" cy="200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10260"/>
          </w:cols>
          <w:pgMar w:left="1000" w:top="732" w:right="980" w:bottom="0" w:gutter="0" w:footer="0" w:header="0"/>
          <w:type w:val="continuous"/>
        </w:sectPr>
      </w:pPr>
    </w:p>
    <w:bookmarkStart w:id="75" w:name="page76"/>
    <w:bookmarkEnd w:id="75"/>
    <w:p>
      <w:pPr>
        <w:spacing w:after="0" w:line="267" w:lineRule="auto"/>
        <w:rPr>
          <w:sz w:val="20"/>
          <w:szCs w:val="20"/>
          <w:color w:val="auto"/>
        </w:rPr>
      </w:pPr>
      <w:r>
        <w:rPr>
          <w:rFonts w:ascii="Arial" w:cs="Arial" w:eastAsia="Arial" w:hAnsi="Arial"/>
          <w:sz w:val="19"/>
          <w:szCs w:val="19"/>
          <w:b w:val="1"/>
          <w:bCs w:val="1"/>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190" w:lineRule="exact"/>
        <w:rPr>
          <w:sz w:val="20"/>
          <w:szCs w:val="20"/>
          <w:color w:val="auto"/>
        </w:rPr>
      </w:pPr>
    </w:p>
    <w:p>
      <w:pPr>
        <w:jc w:val="both"/>
        <w:ind w:right="40"/>
        <w:spacing w:after="0" w:line="268" w:lineRule="auto"/>
        <w:rPr>
          <w:sz w:val="20"/>
          <w:szCs w:val="20"/>
          <w:color w:val="auto"/>
        </w:rPr>
      </w:pPr>
      <w:r>
        <w:rPr>
          <w:rFonts w:ascii="Arial" w:cs="Arial" w:eastAsia="Arial" w:hAnsi="Arial"/>
          <w:sz w:val="20"/>
          <w:szCs w:val="20"/>
          <w:b w:val="1"/>
          <w:bCs w:val="1"/>
          <w:color w:val="auto"/>
        </w:rPr>
        <w:t>On January 23, 2023, Besang Inc. filed a patent infringement complaint against Micron in the U.S. District Court for the Eastern District of Texas. The complaint alleges that one U.S. patent is infringed by certain of our 3D NAND and SSD products. The complaint seeks an injunction, damages, attorneys’ fees, and costs.</w:t>
      </w:r>
    </w:p>
    <w:p>
      <w:pPr>
        <w:spacing w:after="0" w:line="190" w:lineRule="exact"/>
        <w:rPr>
          <w:sz w:val="20"/>
          <w:szCs w:val="20"/>
          <w:color w:val="auto"/>
        </w:rPr>
      </w:pPr>
    </w:p>
    <w:p>
      <w:pPr>
        <w:ind w:right="460"/>
        <w:spacing w:after="0" w:line="287" w:lineRule="auto"/>
        <w:rPr>
          <w:sz w:val="20"/>
          <w:szCs w:val="20"/>
          <w:color w:val="auto"/>
        </w:rPr>
      </w:pPr>
      <w:r>
        <w:rPr>
          <w:rFonts w:ascii="Arial" w:cs="Arial" w:eastAsia="Arial" w:hAnsi="Arial"/>
          <w:sz w:val="20"/>
          <w:szCs w:val="20"/>
          <w:b w:val="1"/>
          <w:bCs w:val="1"/>
          <w:color w:val="auto"/>
        </w:rPr>
        <w:t>Among other things, the above lawsuits pertain to substantially all of our DRAM, NAND, and other memory and storage products we manufacture, which account for substantially all of our revenue.</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Qimonda</w:t>
      </w:r>
    </w:p>
    <w:p>
      <w:pPr>
        <w:spacing w:after="0" w:line="26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On January 20, 2011, Dr. Michael Jaffé, administrator for Qimonda’s insolvency proceedings, filed suit against Micron and Micron Semiconductor B.V. (“Micron B.V.”), in the District Court of Munich, Civil Chamber. The complaint sought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sought an order requiring us to re-transfer those shares to the Qimonda estate. The complaint also sought,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was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 | 2023 10-K</w:t>
      </w:r>
    </w:p>
    <w:p>
      <w:pPr>
        <w:sectPr>
          <w:pgSz w:w="12240" w:h="15840" w:orient="portrait"/>
          <w:cols w:equalWidth="0" w:num="1">
            <w:col w:w="10240"/>
          </w:cols>
          <w:pgMar w:left="1000" w:top="844" w:right="1000" w:bottom="0" w:gutter="0" w:footer="0" w:header="0"/>
          <w:type w:val="continuous"/>
        </w:sectPr>
      </w:pPr>
    </w:p>
    <w:bookmarkStart w:id="76" w:name="page77"/>
    <w:bookmarkEnd w:id="76"/>
    <w:p>
      <w:pPr>
        <w:ind w:right="40"/>
        <w:spacing w:after="0" w:line="268" w:lineRule="auto"/>
        <w:rPr>
          <w:sz w:val="20"/>
          <w:szCs w:val="20"/>
          <w:color w:val="auto"/>
        </w:rPr>
      </w:pPr>
      <w:r>
        <w:rPr>
          <w:rFonts w:ascii="Arial" w:cs="Arial" w:eastAsia="Arial" w:hAnsi="Arial"/>
          <w:sz w:val="20"/>
          <w:szCs w:val="20"/>
          <w:b w:val="1"/>
          <w:bCs w:val="1"/>
          <w:color w:val="auto"/>
        </w:rPr>
        <w:t>On May 9, 2023, Micron and Dr. Jaffé reached an agreement to dismiss the case in exchange for a one-time payment by Micron to the Qimonda estate and a waiver of each party’s claims. The agreement was formally entered by the Appeals Court in July 2023 and the case was dismissed.</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Antitrust Matters</w:t>
      </w:r>
    </w:p>
    <w:p>
      <w:pPr>
        <w:spacing w:after="0" w:line="263"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Securities Matters</w:t>
      </w:r>
    </w:p>
    <w:p>
      <w:pPr>
        <w:spacing w:after="0" w:line="263"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b w:val="1"/>
          <w:bCs w:val="1"/>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Matters</w:t>
      </w:r>
    </w:p>
    <w:p>
      <w:pPr>
        <w:spacing w:after="0" w:line="263"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b w:val="1"/>
          <w:bCs w:val="1"/>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Contingency Assessment</w:t>
      </w:r>
    </w:p>
    <w:p>
      <w:pPr>
        <w:spacing w:after="0" w:line="263"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31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Equity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Repurchases</w:t>
      </w:r>
    </w:p>
    <w:p>
      <w:pPr>
        <w:spacing w:after="0" w:line="263"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and our ongoing determination of the best use of available cash. We repurchased 8.6 million shares of our common stock for $425 million in 2023 and 35.4 million shares for $2.43 billion in 2022. Through August 31, 2023, we had repurchased an aggregate of $6.89 billion under the authorization. Amounts repurchased are included in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182880</wp:posOffset>
            </wp:positionV>
            <wp:extent cx="736600" cy="2000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2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10260"/>
          </w:cols>
          <w:pgMar w:left="1000" w:top="844" w:right="98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4"/>
          <w:szCs w:val="24"/>
          <w:b w:val="1"/>
          <w:bCs w:val="1"/>
          <w:color w:val="auto"/>
        </w:rPr>
        <w:t>Dividends</w:t>
      </w:r>
    </w:p>
    <w:p>
      <w:pPr>
        <w:spacing w:after="0" w:line="263" w:lineRule="exact"/>
        <w:rPr>
          <w:sz w:val="20"/>
          <w:szCs w:val="20"/>
          <w:color w:val="auto"/>
        </w:rPr>
      </w:pPr>
    </w:p>
    <w:p>
      <w:pPr>
        <w:jc w:val="both"/>
        <w:ind w:right="480"/>
        <w:spacing w:after="0" w:line="289" w:lineRule="auto"/>
        <w:rPr>
          <w:sz w:val="20"/>
          <w:szCs w:val="20"/>
          <w:color w:val="auto"/>
        </w:rPr>
      </w:pPr>
      <w:r>
        <w:rPr>
          <w:rFonts w:ascii="Arial" w:cs="Arial" w:eastAsia="Arial" w:hAnsi="Arial"/>
          <w:sz w:val="19"/>
          <w:szCs w:val="19"/>
          <w:b w:val="1"/>
          <w:bCs w:val="1"/>
          <w:color w:val="auto"/>
        </w:rPr>
        <w:t>In each quarter of 2023, we declared and paid dividends of $126 million ($0.115 per share). On September 27, 2023, our Board of Directors declared a quarterly dividend of $0.115 per share, payable in cash on October 25, 2023, to shareholders of record as of the close of business on October 10, 2023.</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Accumulated Other Comprehensive Income (Loss)</w:t>
      </w:r>
    </w:p>
    <w:p>
      <w:pPr>
        <w:spacing w:after="0" w:line="263" w:lineRule="exact"/>
        <w:rPr>
          <w:sz w:val="20"/>
          <w:szCs w:val="20"/>
          <w:color w:val="auto"/>
        </w:rPr>
      </w:pPr>
    </w:p>
    <w:p>
      <w:pPr>
        <w:ind w:right="420"/>
        <w:spacing w:after="0" w:line="280" w:lineRule="auto"/>
        <w:rPr>
          <w:sz w:val="20"/>
          <w:szCs w:val="20"/>
          <w:color w:val="auto"/>
        </w:rPr>
      </w:pPr>
      <w:r>
        <w:rPr>
          <w:rFonts w:ascii="Arial" w:cs="Arial" w:eastAsia="Arial" w:hAnsi="Arial"/>
          <w:sz w:val="20"/>
          <w:szCs w:val="20"/>
          <w:b w:val="1"/>
          <w:bCs w:val="1"/>
          <w:color w:val="auto"/>
        </w:rPr>
        <w:t>Changes in accumulated other comprehensive income (loss) by component for the year ended August 31, 2023 were as follows:</w:t>
      </w: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rPr>
              <w:t>Gains</w:t>
            </w: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8"/>
              </w:rPr>
              <w:t>Unrealized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60"/>
              <w:spacing w:after="0" w:line="221" w:lineRule="exact"/>
              <w:rPr>
                <w:sz w:val="20"/>
                <w:szCs w:val="20"/>
                <w:color w:val="auto"/>
              </w:rPr>
            </w:pPr>
            <w:r>
              <w:rPr>
                <w:rFonts w:ascii="Arial Narrow" w:cs="Arial Narrow" w:eastAsia="Arial Narrow" w:hAnsi="Arial Narrow"/>
                <w:sz w:val="20"/>
                <w:szCs w:val="20"/>
                <w:b w:val="1"/>
                <w:bCs w:val="1"/>
                <w:color w:val="auto"/>
              </w:rPr>
              <w:t>Cumulative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center"/>
              <w:ind w:right="120"/>
              <w:spacing w:after="0"/>
              <w:rPr>
                <w:sz w:val="20"/>
                <w:szCs w:val="20"/>
                <w:color w:val="auto"/>
              </w:rPr>
            </w:pPr>
            <w:r>
              <w:rPr>
                <w:rFonts w:ascii="Arial Narrow" w:cs="Arial Narrow" w:eastAsia="Arial Narrow" w:hAnsi="Arial Narrow"/>
                <w:sz w:val="20"/>
                <w:szCs w:val="20"/>
                <w:b w:val="1"/>
                <w:bCs w:val="1"/>
                <w:color w:val="auto"/>
                <w:w w:val="97"/>
              </w:rPr>
              <w:t>Pension</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Foreign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Gains</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w w:val="97"/>
              </w:rPr>
              <w:t>Currency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Derivative</w:t>
            </w: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200" w:type="dxa"/>
            <w:vAlign w:val="bottom"/>
          </w:tcPr>
          <w:p>
            <w:pPr>
              <w:spacing w:after="0"/>
              <w:rPr>
                <w:sz w:val="17"/>
                <w:szCs w:val="17"/>
                <w:color w:val="auto"/>
              </w:rPr>
            </w:pPr>
          </w:p>
        </w:tc>
        <w:tc>
          <w:tcPr>
            <w:tcW w:w="1000" w:type="dxa"/>
            <w:vAlign w:val="bottom"/>
          </w:tcPr>
          <w:p>
            <w:pPr>
              <w:jc w:val="center"/>
              <w:ind w:right="120"/>
              <w:spacing w:after="0" w:line="200" w:lineRule="exact"/>
              <w:rPr>
                <w:sz w:val="20"/>
                <w:szCs w:val="20"/>
                <w:color w:val="auto"/>
              </w:rPr>
            </w:pPr>
            <w:r>
              <w:rPr>
                <w:rFonts w:ascii="Arial Narrow" w:cs="Arial Narrow" w:eastAsia="Arial Narrow" w:hAnsi="Arial Narrow"/>
                <w:sz w:val="20"/>
                <w:szCs w:val="20"/>
                <w:b w:val="1"/>
                <w:bCs w:val="1"/>
                <w:color w:val="auto"/>
                <w:w w:val="99"/>
              </w:rPr>
              <w:t>Liability</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Translation</w:t>
            </w:r>
          </w:p>
        </w:tc>
        <w:tc>
          <w:tcPr>
            <w:tcW w:w="260" w:type="dxa"/>
            <w:vAlign w:val="bottom"/>
          </w:tcPr>
          <w:p>
            <w:pPr>
              <w:spacing w:after="0"/>
              <w:rPr>
                <w:sz w:val="17"/>
                <w:szCs w:val="17"/>
                <w:color w:val="auto"/>
              </w:rPr>
            </w:pPr>
          </w:p>
        </w:tc>
        <w:tc>
          <w:tcPr>
            <w:tcW w:w="940" w:type="dxa"/>
            <w:vAlign w:val="bottom"/>
            <w:vMerge w:val="restart"/>
          </w:tcPr>
          <w:p>
            <w:pPr>
              <w:jc w:val="right"/>
              <w:ind w:right="3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4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rPr>
              <w:t>Instruments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Investments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Adjustments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Adjustment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September 1, 2022</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(538)</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(47)</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(560)</w:t>
            </w:r>
          </w:p>
        </w:tc>
        <w:tc>
          <w:tcPr>
            <w:tcW w:w="0" w:type="dxa"/>
            <w:vAlign w:val="bottom"/>
          </w:tcPr>
          <w:p>
            <w:pPr>
              <w:spacing w:after="0"/>
              <w:rPr>
                <w:sz w:val="1"/>
                <w:szCs w:val="1"/>
                <w:color w:val="auto"/>
              </w:rPr>
            </w:pPr>
          </w:p>
        </w:tc>
      </w:tr>
      <w:tr>
        <w:trPr>
          <w:trHeight w:val="213"/>
        </w:trPr>
        <w:tc>
          <w:tcPr>
            <w:tcW w:w="4260" w:type="dxa"/>
            <w:vAlign w:val="bottom"/>
          </w:tcPr>
          <w:p>
            <w:pPr>
              <w:ind w:left="280"/>
              <w:spacing w:after="0" w:line="213" w:lineRule="exact"/>
              <w:rPr>
                <w:sz w:val="20"/>
                <w:szCs w:val="20"/>
                <w:color w:val="auto"/>
              </w:rPr>
            </w:pPr>
            <w:r>
              <w:rPr>
                <w:rFonts w:ascii="Arial Narrow" w:cs="Arial Narrow" w:eastAsia="Arial Narrow" w:hAnsi="Arial Narrow"/>
                <w:sz w:val="20"/>
                <w:szCs w:val="20"/>
                <w:color w:val="auto"/>
              </w:rPr>
              <w:t>Other comprehensive income (loss) before</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18</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w:t>
            </w:r>
          </w:p>
        </w:tc>
        <w:tc>
          <w:tcPr>
            <w:tcW w:w="0" w:type="dxa"/>
            <w:vAlign w:val="bottom"/>
          </w:tcPr>
          <w:p>
            <w:pPr>
              <w:spacing w:after="0"/>
              <w:rPr>
                <w:sz w:val="1"/>
                <w:szCs w:val="1"/>
                <w:color w:val="auto"/>
              </w:rPr>
            </w:pPr>
          </w:p>
        </w:tc>
      </w:tr>
      <w:tr>
        <w:trPr>
          <w:trHeight w:val="277"/>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reclassifications</w:t>
            </w: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60" w:type="dxa"/>
            <w:vAlign w:val="bottom"/>
          </w:tcPr>
          <w:p>
            <w:pPr>
              <w:ind w:left="280"/>
              <w:spacing w:after="0" w:line="218" w:lineRule="exact"/>
              <w:rPr>
                <w:sz w:val="20"/>
                <w:szCs w:val="20"/>
                <w:color w:val="auto"/>
              </w:rPr>
            </w:pPr>
            <w:r>
              <w:rPr>
                <w:rFonts w:ascii="Arial Narrow" w:cs="Arial Narrow" w:eastAsia="Arial Narrow" w:hAnsi="Arial Narrow"/>
                <w:sz w:val="20"/>
                <w:szCs w:val="20"/>
                <w:color w:val="auto"/>
              </w:rPr>
              <w:t>Amount reclassified out of accumulated other</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261</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260</w:t>
            </w:r>
          </w:p>
        </w:tc>
        <w:tc>
          <w:tcPr>
            <w:tcW w:w="0" w:type="dxa"/>
            <w:vAlign w:val="bottom"/>
          </w:tcPr>
          <w:p>
            <w:pPr>
              <w:spacing w:after="0"/>
              <w:rPr>
                <w:sz w:val="1"/>
                <w:szCs w:val="1"/>
                <w:color w:val="auto"/>
              </w:rPr>
            </w:pPr>
          </w:p>
        </w:tc>
      </w:tr>
      <w:tr>
        <w:trPr>
          <w:trHeight w:val="268"/>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comprehensive income (loss)</w:t>
            </w: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260" w:type="dxa"/>
            <w:vAlign w:val="bottom"/>
          </w:tcPr>
          <w:p>
            <w:pPr>
              <w:ind w:left="320"/>
              <w:spacing w:after="0"/>
              <w:rPr>
                <w:sz w:val="20"/>
                <w:szCs w:val="20"/>
                <w:color w:val="auto"/>
              </w:rPr>
            </w:pPr>
            <w:r>
              <w:rPr>
                <w:rFonts w:ascii="Arial Narrow" w:cs="Arial Narrow" w:eastAsia="Arial Narrow" w:hAnsi="Arial Narrow"/>
                <w:sz w:val="20"/>
                <w:szCs w:val="20"/>
                <w:color w:val="auto"/>
              </w:rPr>
              <w:t>Tax effects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w:t>
            </w:r>
          </w:p>
        </w:tc>
        <w:tc>
          <w:tcPr>
            <w:tcW w:w="0" w:type="dxa"/>
            <w:vAlign w:val="bottom"/>
          </w:tcPr>
          <w:p>
            <w:pPr>
              <w:spacing w:after="0"/>
              <w:rPr>
                <w:sz w:val="1"/>
                <w:szCs w:val="1"/>
                <w:color w:val="auto"/>
              </w:rPr>
            </w:pPr>
          </w:p>
        </w:tc>
      </w:tr>
      <w:tr>
        <w:trPr>
          <w:trHeight w:val="265"/>
        </w:trPr>
        <w:tc>
          <w:tcPr>
            <w:tcW w:w="42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234</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c>
          <w:tcPr>
            <w:tcW w:w="0" w:type="dxa"/>
            <w:vAlign w:val="bottom"/>
          </w:tcPr>
          <w:p>
            <w:pPr>
              <w:spacing w:after="0"/>
              <w:rPr>
                <w:sz w:val="1"/>
                <w:szCs w:val="1"/>
                <w:color w:val="auto"/>
              </w:rPr>
            </w:pPr>
          </w:p>
        </w:tc>
      </w:tr>
      <w:tr>
        <w:trPr>
          <w:trHeight w:val="245"/>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31, 2023</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-1393190</wp:posOffset>
            </wp:positionV>
            <wp:extent cx="6553200" cy="141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6553200" cy="14128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Fair Value Measurements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estimated fair values and carrying values of our outstanding debt instruments were as follows:</w:t>
      </w:r>
    </w:p>
    <w:p>
      <w:pPr>
        <w:sectPr>
          <w:pgSz w:w="12240" w:h="15840" w:orient="portrait"/>
          <w:cols w:equalWidth="0" w:num="1">
            <w:col w:w="10260"/>
          </w:cols>
          <w:pgMar w:left="1000" w:top="833" w:right="980" w:bottom="0" w:gutter="0" w:footer="0" w:header="0"/>
        </w:sectPr>
      </w:pPr>
    </w:p>
    <w:p>
      <w:pPr>
        <w:spacing w:after="0" w:line="57" w:lineRule="exact"/>
        <w:rPr>
          <w:sz w:val="20"/>
          <w:szCs w:val="20"/>
          <w:color w:val="auto"/>
        </w:rPr>
      </w:pPr>
    </w:p>
    <w:p>
      <w:pPr>
        <w:ind w:left="5400"/>
        <w:spacing w:after="0"/>
        <w:rPr>
          <w:sz w:val="20"/>
          <w:szCs w:val="20"/>
          <w:color w:val="auto"/>
        </w:rPr>
      </w:pPr>
      <w:r>
        <w:rPr>
          <w:rFonts w:ascii="Arial Narrow" w:cs="Arial Narrow" w:eastAsia="Arial Narrow" w:hAnsi="Arial Narrow"/>
          <w:sz w:val="20"/>
          <w:szCs w:val="20"/>
          <w:b w:val="1"/>
          <w:bCs w:val="1"/>
          <w:color w:val="auto"/>
        </w:rPr>
        <w:t>As of August 31, 2023</w:t>
      </w:r>
    </w:p>
    <w:p>
      <w:pPr>
        <w:spacing w:after="0" w:line="51" w:lineRule="exact"/>
        <w:rPr>
          <w:sz w:val="20"/>
          <w:szCs w:val="20"/>
          <w:color w:val="auto"/>
        </w:rPr>
      </w:pPr>
    </w:p>
    <w:p>
      <w:pPr>
        <w:ind w:left="5460"/>
        <w:spacing w:after="0"/>
        <w:tabs>
          <w:tab w:leader="none" w:pos="6560" w:val="left"/>
        </w:tabs>
        <w:rPr>
          <w:sz w:val="20"/>
          <w:szCs w:val="20"/>
          <w:color w:val="auto"/>
        </w:rPr>
      </w:pPr>
      <w:r>
        <w:rPr>
          <w:rFonts w:ascii="Arial Narrow" w:cs="Arial Narrow" w:eastAsia="Arial Narrow" w:hAnsi="Arial Narrow"/>
          <w:sz w:val="19"/>
          <w:szCs w:val="19"/>
          <w:b w:val="1"/>
          <w:bCs w:val="1"/>
          <w:color w:val="auto"/>
        </w:rPr>
        <w:t>Fair</w:t>
      </w:r>
      <w:r>
        <w:rPr>
          <w:sz w:val="20"/>
          <w:szCs w:val="20"/>
          <w:color w:val="auto"/>
        </w:rPr>
        <w:tab/>
      </w:r>
      <w:r>
        <w:rPr>
          <w:rFonts w:ascii="Arial Narrow" w:cs="Arial Narrow" w:eastAsia="Arial Narrow" w:hAnsi="Arial Narrow"/>
          <w:sz w:val="19"/>
          <w:szCs w:val="19"/>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3146425</wp:posOffset>
                </wp:positionH>
                <wp:positionV relativeFrom="paragraph">
                  <wp:posOffset>-130175</wp:posOffset>
                </wp:positionV>
                <wp:extent cx="165735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75pt,-10.2499pt" to="378.25pt,-10.2499pt" o:allowincell="f" strokecolor="#000000" strokeweight="1pt"/>
            </w:pict>
          </mc:Fallback>
        </mc:AlternateContent>
      </w:r>
    </w:p>
    <w:p>
      <w:pPr>
        <w:ind w:left="5380"/>
        <w:spacing w:after="0"/>
        <w:tabs>
          <w:tab w:leader="none" w:pos="668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12700</wp:posOffset>
            </wp:positionV>
            <wp:extent cx="6540500" cy="238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9">
                      <a:extLst>
                        <a:ext uri="{28A0092B-C50C-407E-A947-70E740481C1C}"/>
                      </a:extLst>
                    </a:blip>
                    <a:srcRect/>
                    <a:stretch>
                      <a:fillRect/>
                    </a:stretch>
                  </pic:blipFill>
                  <pic:spPr bwMode="auto">
                    <a:xfrm>
                      <a:off x="0" y="0"/>
                      <a:ext cx="6540500" cy="238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Narrow" w:cs="Arial Narrow" w:eastAsia="Arial Narrow" w:hAnsi="Arial Narrow"/>
          <w:sz w:val="20"/>
          <w:szCs w:val="20"/>
          <w:b w:val="1"/>
          <w:bCs w:val="1"/>
          <w:color w:val="auto"/>
        </w:rPr>
        <w:t>As of September 1, 2022</w:t>
      </w:r>
    </w:p>
    <w:p>
      <w:pPr>
        <w:spacing w:after="0" w:line="40" w:lineRule="exact"/>
        <w:rPr>
          <w:sz w:val="20"/>
          <w:szCs w:val="20"/>
          <w:color w:val="auto"/>
        </w:rPr>
      </w:pPr>
    </w:p>
    <w:p>
      <w:pPr>
        <w:ind w:left="140"/>
        <w:spacing w:after="0"/>
        <w:tabs>
          <w:tab w:leader="none" w:pos="1240" w:val="left"/>
        </w:tabs>
        <w:rPr>
          <w:sz w:val="20"/>
          <w:szCs w:val="20"/>
          <w:color w:val="auto"/>
        </w:rPr>
      </w:pPr>
      <w:r>
        <w:rPr>
          <w:rFonts w:ascii="Arial Narrow" w:cs="Arial Narrow" w:eastAsia="Arial Narrow" w:hAnsi="Arial Narrow"/>
          <w:sz w:val="20"/>
          <w:szCs w:val="20"/>
          <w:b w:val="1"/>
          <w:bCs w:val="1"/>
          <w:color w:val="auto"/>
        </w:rPr>
        <w:t>Fair</w:t>
      </w:r>
      <w:r>
        <w:rPr>
          <w:sz w:val="20"/>
          <w:szCs w:val="20"/>
          <w:color w:val="auto"/>
        </w:rPr>
        <w:tab/>
      </w:r>
      <w:r>
        <w:rPr>
          <w:rFonts w:ascii="Arial Narrow" w:cs="Arial Narrow" w:eastAsia="Arial Narrow" w:hAnsi="Arial Narrow"/>
          <w:sz w:val="20"/>
          <w:szCs w:val="20"/>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-130175</wp:posOffset>
                </wp:positionV>
                <wp:extent cx="165735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2499pt" to="112.5pt,-10.2499pt" o:allowincell="f" strokecolor="#000000" strokeweight="1pt"/>
            </w:pict>
          </mc:Fallback>
        </mc:AlternateContent>
      </w:r>
    </w:p>
    <w:p>
      <w:pPr>
        <w:ind w:left="80"/>
        <w:spacing w:after="0"/>
        <w:tabs>
          <w:tab w:leader="none" w:pos="136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18415</wp:posOffset>
                </wp:positionV>
                <wp:extent cx="165735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45pt" to="112.5pt,1.45pt" o:allowincell="f" strokecolor="#000000" strokeweight="1pt"/>
            </w:pict>
          </mc:Fallback>
        </mc:AlternateContent>
      </w:r>
    </w:p>
    <w:p>
      <w:pPr>
        <w:spacing w:after="0" w:line="86" w:lineRule="exact"/>
        <w:rPr>
          <w:sz w:val="20"/>
          <w:szCs w:val="20"/>
          <w:color w:val="auto"/>
        </w:rPr>
      </w:pPr>
    </w:p>
    <w:p>
      <w:pPr>
        <w:sectPr>
          <w:pgSz w:w="12240" w:h="15840" w:orient="portrait"/>
          <w:cols w:equalWidth="0" w:num="2">
            <w:col w:w="7280" w:space="720"/>
            <w:col w:w="2260"/>
          </w:cols>
          <w:pgMar w:left="1000" w:top="833" w:right="980" w:bottom="0" w:gutter="0" w:footer="0" w:header="0"/>
          <w:type w:val="continuous"/>
        </w:sectPr>
      </w:pPr>
    </w:p>
    <w:p>
      <w:pPr>
        <w:ind w:left="40"/>
        <w:spacing w:after="0"/>
        <w:tabs>
          <w:tab w:leader="none" w:pos="4980" w:val="left"/>
          <w:tab w:leader="none" w:pos="5660" w:val="left"/>
          <w:tab w:leader="none" w:pos="6980" w:val="left"/>
          <w:tab w:leader="none" w:pos="7680" w:val="left"/>
          <w:tab w:leader="none" w:pos="8440" w:val="left"/>
          <w:tab w:leader="none" w:pos="9760" w:val="left"/>
        </w:tabs>
        <w:rPr>
          <w:sz w:val="20"/>
          <w:szCs w:val="20"/>
          <w:color w:val="auto"/>
        </w:rPr>
      </w:pPr>
      <w:r>
        <w:rPr>
          <w:rFonts w:ascii="Arial Narrow" w:cs="Arial Narrow" w:eastAsia="Arial Narrow" w:hAnsi="Arial Narrow"/>
          <w:sz w:val="20"/>
          <w:szCs w:val="20"/>
          <w:color w:val="auto"/>
        </w:rPr>
        <w:t>Notes</w:t>
      </w:r>
      <w:r>
        <w:rPr>
          <w:sz w:val="20"/>
          <w:szCs w:val="20"/>
          <w:color w:val="auto"/>
        </w:rPr>
        <w:tab/>
      </w:r>
      <w:r>
        <w:rPr>
          <w:rFonts w:ascii="Arial Narrow" w:cs="Arial Narrow" w:eastAsia="Arial Narrow" w:hAnsi="Arial Narrow"/>
          <w:sz w:val="20"/>
          <w:szCs w:val="20"/>
          <w:color w:val="auto"/>
        </w:rPr>
        <w:t>$</w:t>
      </w:r>
      <w:r>
        <w:rPr>
          <w:sz w:val="20"/>
          <w:szCs w:val="20"/>
          <w:color w:val="auto"/>
        </w:rPr>
        <w:tab/>
      </w:r>
      <w:r>
        <w:rPr>
          <w:rFonts w:ascii="Arial Narrow" w:cs="Arial Narrow" w:eastAsia="Arial Narrow" w:hAnsi="Arial Narrow"/>
          <w:sz w:val="20"/>
          <w:szCs w:val="20"/>
          <w:color w:val="auto"/>
        </w:rPr>
        <w:t>11,549  $</w:t>
      </w:r>
      <w:r>
        <w:rPr>
          <w:sz w:val="20"/>
          <w:szCs w:val="20"/>
          <w:color w:val="auto"/>
        </w:rPr>
        <w:tab/>
      </w:r>
      <w:r>
        <w:rPr>
          <w:rFonts w:ascii="Arial Narrow" w:cs="Arial Narrow" w:eastAsia="Arial Narrow" w:hAnsi="Arial Narrow"/>
          <w:sz w:val="20"/>
          <w:szCs w:val="20"/>
          <w:color w:val="auto"/>
        </w:rPr>
        <w:t>12,049</w:t>
        <w:tab/>
        <w:t>$</w:t>
      </w:r>
      <w:r>
        <w:rPr>
          <w:sz w:val="20"/>
          <w:szCs w:val="20"/>
          <w:color w:val="auto"/>
        </w:rPr>
        <w:tab/>
      </w:r>
      <w:r>
        <w:rPr>
          <w:rFonts w:ascii="Arial Narrow" w:cs="Arial Narrow" w:eastAsia="Arial Narrow" w:hAnsi="Arial Narrow"/>
          <w:sz w:val="20"/>
          <w:szCs w:val="20"/>
          <w:color w:val="auto"/>
        </w:rPr>
        <w:t>5,472  $</w:t>
      </w:r>
      <w:r>
        <w:rPr>
          <w:sz w:val="20"/>
          <w:szCs w:val="20"/>
          <w:color w:val="auto"/>
        </w:rPr>
        <w:tab/>
      </w:r>
      <w:r>
        <w:rPr>
          <w:rFonts w:ascii="Arial Narrow" w:cs="Arial Narrow" w:eastAsia="Arial Narrow" w:hAnsi="Arial Narrow"/>
          <w:sz w:val="19"/>
          <w:szCs w:val="19"/>
          <w:color w:val="auto"/>
        </w:rPr>
        <w:t>6,020</w:t>
      </w:r>
    </w:p>
    <w:p>
      <w:pPr>
        <w:spacing w:after="0" w:line="344"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b w:val="1"/>
          <w:bCs w:val="1"/>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ectPr>
          <w:pgSz w:w="12240" w:h="15840" w:orient="portrait"/>
          <w:cols w:equalWidth="0" w:num="1">
            <w:col w:w="10260"/>
          </w:cols>
          <w:pgMar w:left="1000" w:top="833"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 2023 10-K</w:t>
      </w:r>
    </w:p>
    <w:p>
      <w:pPr>
        <w:sectPr>
          <w:pgSz w:w="12240" w:h="15840" w:orient="portrait"/>
          <w:cols w:equalWidth="0" w:num="1">
            <w:col w:w="10260"/>
          </w:cols>
          <w:pgMar w:left="1000" w:top="833" w:right="980" w:bottom="0" w:gutter="0" w:footer="0" w:header="0"/>
          <w:type w:val="continuous"/>
        </w:sectPr>
      </w:pPr>
    </w:p>
    <w:bookmarkStart w:id="78" w:name="page79"/>
    <w:bookmarkEnd w:id="78"/>
    <w:p>
      <w:pPr>
        <w:ind w:left="10"/>
        <w:spacing w:after="0"/>
        <w:rPr>
          <w:sz w:val="20"/>
          <w:szCs w:val="20"/>
          <w:color w:val="auto"/>
        </w:rPr>
      </w:pPr>
      <w:r>
        <w:rPr>
          <w:rFonts w:ascii="Arial Narrow" w:cs="Arial Narrow" w:eastAsia="Arial Narrow" w:hAnsi="Arial Narrow"/>
          <w:sz w:val="44"/>
          <w:szCs w:val="44"/>
          <w:b w:val="1"/>
          <w:bCs w:val="1"/>
          <w:color w:val="auto"/>
        </w:rPr>
        <w:t>Derivative Instruments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jc w:val="center"/>
              <w:ind w:right="42"/>
              <w:spacing w:after="0"/>
              <w:rPr>
                <w:sz w:val="20"/>
                <w:szCs w:val="20"/>
                <w:color w:val="auto"/>
              </w:rPr>
            </w:pPr>
            <w:r>
              <w:rPr>
                <w:rFonts w:ascii="Arial Narrow" w:cs="Arial Narrow" w:eastAsia="Arial Narrow" w:hAnsi="Arial Narrow"/>
                <w:sz w:val="20"/>
                <w:szCs w:val="20"/>
                <w:b w:val="1"/>
                <w:bCs w:val="1"/>
                <w:color w:val="auto"/>
                <w:w w:val="99"/>
              </w:rPr>
              <w:t>Notional or</w:t>
            </w:r>
          </w:p>
        </w:tc>
        <w:tc>
          <w:tcPr>
            <w:tcW w:w="240" w:type="dxa"/>
            <w:vAlign w:val="bottom"/>
          </w:tcPr>
          <w:p>
            <w:pPr>
              <w:spacing w:after="0"/>
              <w:rPr>
                <w:sz w:val="24"/>
                <w:szCs w:val="24"/>
                <w:color w:val="auto"/>
              </w:rPr>
            </w:pPr>
          </w:p>
        </w:tc>
        <w:tc>
          <w:tcPr>
            <w:tcW w:w="2380" w:type="dxa"/>
            <w:vAlign w:val="bottom"/>
            <w:gridSpan w:val="3"/>
          </w:tcPr>
          <w:p>
            <w:pPr>
              <w:jc w:val="right"/>
              <w:ind w:right="700"/>
              <w:spacing w:after="0"/>
              <w:rPr>
                <w:sz w:val="20"/>
                <w:szCs w:val="20"/>
                <w:color w:val="auto"/>
              </w:rPr>
            </w:pPr>
            <w:r>
              <w:rPr>
                <w:rFonts w:ascii="Arial Narrow" w:cs="Arial Narrow" w:eastAsia="Arial Narrow" w:hAnsi="Arial Narrow"/>
                <w:sz w:val="20"/>
                <w:szCs w:val="20"/>
                <w:b w:val="1"/>
                <w:bCs w:val="1"/>
                <w:color w:val="auto"/>
              </w:rPr>
              <w:t>Fair Value of</w:t>
            </w: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vMerge w:val="restart"/>
          </w:tcPr>
          <w:p>
            <w:pPr>
              <w:jc w:val="center"/>
              <w:ind w:right="42"/>
              <w:spacing w:after="0" w:line="145" w:lineRule="exact"/>
              <w:rPr>
                <w:sz w:val="20"/>
                <w:szCs w:val="20"/>
                <w:color w:val="auto"/>
              </w:rPr>
            </w:pPr>
            <w:r>
              <w:rPr>
                <w:rFonts w:ascii="Arial Narrow" w:cs="Arial Narrow" w:eastAsia="Arial Narrow" w:hAnsi="Arial Narrow"/>
                <w:sz w:val="16"/>
                <w:szCs w:val="16"/>
                <w:b w:val="1"/>
                <w:bCs w:val="1"/>
                <w:color w:val="auto"/>
              </w:rPr>
              <w:t>Contractual</w:t>
            </w: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5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vMerge w:val="restart"/>
          </w:tcPr>
          <w:p>
            <w:pPr>
              <w:jc w:val="right"/>
              <w:ind w:right="220"/>
              <w:spacing w:after="0"/>
              <w:rPr>
                <w:sz w:val="20"/>
                <w:szCs w:val="20"/>
                <w:color w:val="auto"/>
              </w:rPr>
            </w:pPr>
            <w:r>
              <w:rPr>
                <w:rFonts w:ascii="Arial Narrow" w:cs="Arial Narrow" w:eastAsia="Arial Narrow" w:hAnsi="Arial Narrow"/>
                <w:sz w:val="20"/>
                <w:szCs w:val="20"/>
                <w:b w:val="1"/>
                <w:bCs w:val="1"/>
                <w:color w:val="auto"/>
              </w:rPr>
              <w:t>Assets</w:t>
            </w:r>
            <w:r>
              <w:rPr>
                <w:rFonts w:ascii="Arial Narrow" w:cs="Arial Narrow" w:eastAsia="Arial Narrow" w:hAnsi="Arial Narrow"/>
                <w:sz w:val="26"/>
                <w:szCs w:val="26"/>
                <w:b w:val="1"/>
                <w:bCs w:val="1"/>
                <w:color w:val="auto"/>
                <w:vertAlign w:val="superscript"/>
              </w:rPr>
              <w:t>(1)</w:t>
            </w:r>
          </w:p>
        </w:tc>
        <w:tc>
          <w:tcPr>
            <w:tcW w:w="180" w:type="dxa"/>
            <w:vAlign w:val="bottom"/>
          </w:tcPr>
          <w:p>
            <w:pPr>
              <w:spacing w:after="0"/>
              <w:rPr>
                <w:sz w:val="5"/>
                <w:szCs w:val="5"/>
                <w:color w:val="auto"/>
              </w:rPr>
            </w:pPr>
          </w:p>
        </w:tc>
        <w:tc>
          <w:tcPr>
            <w:tcW w:w="11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w w:val="96"/>
              </w:rPr>
              <w:t>Liabilities</w:t>
            </w:r>
            <w:r>
              <w:rPr>
                <w:rFonts w:ascii="Arial Narrow" w:cs="Arial Narrow" w:eastAsia="Arial Narrow" w:hAnsi="Arial Narrow"/>
                <w:sz w:val="26"/>
                <w:szCs w:val="26"/>
                <w:b w:val="1"/>
                <w:bCs w:val="1"/>
                <w:color w:val="auto"/>
                <w:w w:val="96"/>
                <w:vertAlign w:val="superscript"/>
              </w:rPr>
              <w:t>(2)</w:t>
            </w:r>
          </w:p>
        </w:tc>
        <w:tc>
          <w:tcPr>
            <w:tcW w:w="0" w:type="dxa"/>
            <w:vAlign w:val="bottom"/>
          </w:tcPr>
          <w:p>
            <w:pPr>
              <w:spacing w:after="0"/>
              <w:rPr>
                <w:sz w:val="1"/>
                <w:szCs w:val="1"/>
                <w:color w:val="auto"/>
              </w:rPr>
            </w:pPr>
          </w:p>
        </w:tc>
      </w:tr>
      <w:tr>
        <w:trPr>
          <w:trHeight w:val="262"/>
        </w:trPr>
        <w:tc>
          <w:tcPr>
            <w:tcW w:w="5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Narrow" w:cs="Arial Narrow" w:eastAsia="Arial Narrow" w:hAnsi="Arial Narrow"/>
                <w:sz w:val="20"/>
                <w:szCs w:val="20"/>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5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31, 2023</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3,873</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16</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(180)</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331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interest rate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0" w:type="dxa"/>
            <w:vAlign w:val="bottom"/>
          </w:tcPr>
          <w:p>
            <w:pPr>
              <w:spacing w:after="0"/>
              <w:rPr>
                <w:sz w:val="1"/>
                <w:szCs w:val="1"/>
                <w:color w:val="auto"/>
              </w:rPr>
            </w:pPr>
          </w:p>
        </w:tc>
      </w:tr>
      <w:tr>
        <w:trPr>
          <w:trHeight w:val="570"/>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1,839</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 September 1, 2022</w:t>
            </w: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5,427</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(330)</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97</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interest rate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(91)</w:t>
            </w:r>
          </w:p>
        </w:tc>
        <w:tc>
          <w:tcPr>
            <w:tcW w:w="0" w:type="dxa"/>
            <w:vAlign w:val="bottom"/>
          </w:tcPr>
          <w:p>
            <w:pPr>
              <w:spacing w:after="0"/>
              <w:rPr>
                <w:sz w:val="1"/>
                <w:szCs w:val="1"/>
                <w:color w:val="auto"/>
              </w:rPr>
            </w:pPr>
          </w:p>
        </w:tc>
      </w:tr>
      <w:tr>
        <w:trPr>
          <w:trHeight w:val="570"/>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2,821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(440)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-3469640</wp:posOffset>
            </wp:positionV>
            <wp:extent cx="6553200" cy="34893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0">
                      <a:extLst>
                        <a:ext uri="{28A0092B-C50C-407E-A947-70E740481C1C}"/>
                      </a:extLst>
                    </a:blip>
                    <a:srcRect/>
                    <a:stretch>
                      <a:fillRect/>
                    </a:stretch>
                  </pic:blipFill>
                  <pic:spPr bwMode="auto">
                    <a:xfrm>
                      <a:off x="0" y="0"/>
                      <a:ext cx="6553200" cy="3489325"/>
                    </a:xfrm>
                    <a:prstGeom prst="rect">
                      <a:avLst/>
                    </a:prstGeom>
                    <a:noFill/>
                  </pic:spPr>
                </pic:pic>
              </a:graphicData>
            </a:graphic>
          </wp:anchor>
        </w:drawing>
      </w:r>
    </w:p>
    <w:p>
      <w:pPr>
        <w:ind w:left="270" w:hanging="270"/>
        <w:spacing w:after="0" w:line="220" w:lineRule="auto"/>
        <w:tabs>
          <w:tab w:leader="none" w:pos="270" w:val="left"/>
        </w:tabs>
        <w:numPr>
          <w:ilvl w:val="0"/>
          <w:numId w:val="3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receivables and other noncurrent assets.</w:t>
      </w:r>
    </w:p>
    <w:p>
      <w:pPr>
        <w:ind w:left="270" w:hanging="270"/>
        <w:spacing w:after="0" w:line="196" w:lineRule="auto"/>
        <w:tabs>
          <w:tab w:leader="none" w:pos="270" w:val="left"/>
        </w:tabs>
        <w:numPr>
          <w:ilvl w:val="0"/>
          <w:numId w:val="3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accounts payable and accrued expenses and other noncurrent liabilities.</w:t>
      </w:r>
    </w:p>
    <w:p>
      <w:pPr>
        <w:spacing w:after="0" w:line="205"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Derivative Instruments with Hedge Accounting Designation</w:t>
      </w:r>
    </w:p>
    <w:p>
      <w:pPr>
        <w:spacing w:after="0" w:line="263" w:lineRule="exact"/>
        <w:rPr>
          <w:sz w:val="20"/>
          <w:szCs w:val="20"/>
          <w:color w:val="auto"/>
        </w:rPr>
      </w:pPr>
    </w:p>
    <w:p>
      <w:pPr>
        <w:ind w:left="10"/>
        <w:spacing w:after="0"/>
        <w:rPr>
          <w:sz w:val="20"/>
          <w:szCs w:val="20"/>
          <w:color w:val="auto"/>
        </w:rPr>
      </w:pPr>
      <w:r>
        <w:rPr>
          <w:rFonts w:ascii="Arial" w:cs="Arial" w:eastAsia="Arial" w:hAnsi="Arial"/>
          <w:sz w:val="19"/>
          <w:szCs w:val="19"/>
          <w:b w:val="1"/>
          <w:bCs w:val="1"/>
          <w:i w:val="1"/>
          <w:iCs w:val="1"/>
          <w:color w:val="auto"/>
        </w:rPr>
        <w:t>Cash Flow Hedges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utilize forward and swap contracts that generally mature within two years designated as</w:t>
      </w:r>
    </w:p>
    <w:p>
      <w:pPr>
        <w:spacing w:after="0" w:line="4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cash flow hedges to minimize our exposure to changes in currency exchange rates or commodity prices for certain</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capital expenditures and manufacturing costs. Forward and swap contracts are measured at fair value based on</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market-based observable inputs including market spot and forward rates, interest rates, and credit-risk spreads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(Level 2). We recognized gains from cash flow hedges of $30 million for 2023, and losses of $735 million and $52</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million for 2022 and 2021, respectively, in accumulated other comprehensive income (loss). We recognized losses</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related to amounts excluded from hedge effectiveness testing on our cash flow hedges of $101 million in 2023 in</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cost of goods sold through an amortization approach. The amounts recognized in 2022 and 2021 were not</w:t>
      </w:r>
    </w:p>
    <w:p>
      <w:pPr>
        <w:spacing w:after="0" w:line="10"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significant. We reclassified losses of $261 million and $53 million in 2023 and 2022, respectively, and gains of</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$41 million in 2021, from accumulated other comprehensive income (loss) to earnings, primarily to cost of goods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sold. As of August 31, 2023, we expect to reclassify $177 million of pre-tax losses related to cash flow hedges from</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accumulated other comprehensive income (loss) into earnings in the next 12 months.</w:t>
      </w:r>
    </w:p>
    <w:p>
      <w:pPr>
        <w:spacing w:after="0" w:line="230" w:lineRule="exact"/>
        <w:rPr>
          <w:sz w:val="20"/>
          <w:szCs w:val="20"/>
          <w:color w:val="auto"/>
        </w:rPr>
      </w:pPr>
    </w:p>
    <w:p>
      <w:pPr>
        <w:ind w:left="10" w:right="40"/>
        <w:spacing w:after="0" w:line="268" w:lineRule="auto"/>
        <w:rPr>
          <w:sz w:val="20"/>
          <w:szCs w:val="20"/>
          <w:color w:val="auto"/>
        </w:rPr>
      </w:pPr>
      <w:r>
        <w:rPr>
          <w:rFonts w:ascii="Arial" w:cs="Arial" w:eastAsia="Arial" w:hAnsi="Arial"/>
          <w:sz w:val="19"/>
          <w:szCs w:val="19"/>
          <w:b w:val="1"/>
          <w:bCs w:val="1"/>
          <w:i w:val="1"/>
          <w:iCs w:val="1"/>
          <w:color w:val="auto"/>
        </w:rPr>
        <w:t>Fair Value Hedges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utilize fixed-to-floating interest rate swaps designated as fair value hedges to minimize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certain exposures to changes 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We recognized interest expense of $96 million for changes in the fair value of our interest rate swaps in 2022 and the impact to interest expense was not significant for 2023 or 2021. We also recognized offsetting reductions in interest expense of the same amounts related to the changes in the fair value of the hedged portion of the underlying debt for these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177800</wp:posOffset>
            </wp:positionV>
            <wp:extent cx="736600" cy="200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10270"/>
          </w:cols>
          <w:pgMar w:left="990" w:top="732" w:right="98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4"/>
          <w:szCs w:val="24"/>
          <w:b w:val="1"/>
          <w:bCs w:val="1"/>
          <w:color w:val="auto"/>
        </w:rPr>
        <w:t>Derivative Instruments without Hedge Accounting Designation</w:t>
      </w:r>
    </w:p>
    <w:p>
      <w:pPr>
        <w:spacing w:after="0" w:line="263"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i w:val="1"/>
          <w:iCs w:val="1"/>
          <w:color w:val="auto"/>
        </w:rPr>
        <w:t>Currency Derivatives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generally utilize a rolling hedge strategy with currency forward contracts that mature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within three months to 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Counterparty Credit Risk and Master Netting Arrangements</w:t>
      </w: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31, 2023 and September 1, 2022, amounts netted under our master netting arrangements were not significant.</w:t>
      </w:r>
    </w:p>
    <w:p>
      <w:pPr>
        <w:spacing w:after="0" w:line="33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Equity Plans</w:t>
      </w:r>
    </w:p>
    <w:p>
      <w:pPr>
        <w:spacing w:after="0" w:line="375" w:lineRule="exact"/>
        <w:rPr>
          <w:sz w:val="20"/>
          <w:szCs w:val="20"/>
          <w:color w:val="auto"/>
        </w:rPr>
      </w:pPr>
    </w:p>
    <w:p>
      <w:pPr>
        <w:ind w:right="400"/>
        <w:spacing w:after="0" w:line="345" w:lineRule="auto"/>
        <w:rPr>
          <w:sz w:val="20"/>
          <w:szCs w:val="20"/>
          <w:color w:val="auto"/>
        </w:rPr>
      </w:pPr>
      <w:r>
        <w:rPr>
          <w:rFonts w:ascii="Arial" w:cs="Arial" w:eastAsia="Arial" w:hAnsi="Arial"/>
          <w:sz w:val="18"/>
          <w:szCs w:val="18"/>
          <w:b w:val="1"/>
          <w:bCs w:val="1"/>
          <w:color w:val="auto"/>
        </w:rPr>
        <w:t>As of August 31, 2023, 95 million shares of our common stock were available for future awards under our equity plans, including 14 million shares approved for issuance under our employee stock purchase plan (“ESPP”).</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Restricted Stock and Restricted Stock Units (“Restricted Stock Awards”)</w:t>
      </w:r>
    </w:p>
    <w:p>
      <w:pPr>
        <w:spacing w:after="0" w:line="263"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b w:val="1"/>
          <w:bCs w:val="1"/>
          <w:color w:val="auto"/>
        </w:rPr>
        <w:t>As of August 31, 2023, there were 29 million shares of Restricted Stock Awards outstanding, 26 million of which contained only service conditions. For service-based Restricted Stock Awards granted through October 2021, restrictions generally lapse in one-fourth or one-third increments during each year of employment after the grant date. For service-based Restricted Stock Awards granted beginning in November 2021, restrictions generally lapse on 25% or 33% of the units granted after the first year and on 6.25% or 8.33% each quarter thereafter over the remaining three or two years of employment. Restrictions generally lapse on Restricted Stock with performance or market conditions as conditions are met over a 3-year period. At the end of the performance period, the number of actual shares to be awarded will vary between 0% and 200% of target amounts, depending upon the achievement level. In 2022, our Board of Directors approved dividend equivalent rights for unvested restricted stock units awarded on or after October 13, 2021.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Awards activity for 2023 is summarized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44"/>
              <w:spacing w:after="0"/>
              <w:rPr>
                <w:sz w:val="20"/>
                <w:szCs w:val="20"/>
                <w:color w:val="auto"/>
              </w:rPr>
            </w:pPr>
            <w:r>
              <w:rPr>
                <w:rFonts w:ascii="Arial Narrow" w:cs="Arial Narrow" w:eastAsia="Arial Narrow" w:hAnsi="Arial Narrow"/>
                <w:sz w:val="18"/>
                <w:szCs w:val="18"/>
                <w:b w:val="1"/>
                <w:bCs w:val="1"/>
                <w:color w:val="auto"/>
              </w:rPr>
              <w:t>Weighted-</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15"/>
                <w:szCs w:val="15"/>
                <w:color w:val="auto"/>
              </w:rPr>
            </w:pPr>
          </w:p>
        </w:tc>
        <w:tc>
          <w:tcPr>
            <w:tcW w:w="1040" w:type="dxa"/>
            <w:vAlign w:val="bottom"/>
            <w:vMerge w:val="restart"/>
          </w:tcPr>
          <w:p>
            <w:pPr>
              <w:jc w:val="center"/>
              <w:ind w:left="170"/>
              <w:spacing w:after="0"/>
              <w:rPr>
                <w:sz w:val="20"/>
                <w:szCs w:val="20"/>
                <w:color w:val="auto"/>
              </w:rPr>
            </w:pPr>
            <w:r>
              <w:rPr>
                <w:rFonts w:ascii="Arial Narrow" w:cs="Arial Narrow" w:eastAsia="Arial Narrow" w:hAnsi="Arial Narrow"/>
                <w:sz w:val="18"/>
                <w:szCs w:val="18"/>
                <w:b w:val="1"/>
                <w:bCs w:val="1"/>
                <w:color w:val="auto"/>
              </w:rPr>
              <w:t>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4"/>
              <w:spacing w:after="0" w:line="180" w:lineRule="exact"/>
              <w:rPr>
                <w:sz w:val="20"/>
                <w:szCs w:val="20"/>
                <w:color w:val="auto"/>
              </w:rPr>
            </w:pPr>
            <w:r>
              <w:rPr>
                <w:rFonts w:ascii="Arial Narrow" w:cs="Arial Narrow" w:eastAsia="Arial Narrow" w:hAnsi="Arial Narrow"/>
                <w:sz w:val="18"/>
                <w:szCs w:val="18"/>
                <w:b w:val="1"/>
                <w:bCs w:val="1"/>
                <w:color w:val="auto"/>
              </w:rPr>
              <w:t>Average Grant</w:t>
            </w:r>
          </w:p>
        </w:tc>
        <w:tc>
          <w:tcPr>
            <w:tcW w:w="0" w:type="dxa"/>
            <w:vAlign w:val="bottom"/>
          </w:tcPr>
          <w:p>
            <w:pPr>
              <w:spacing w:after="0"/>
              <w:rPr>
                <w:sz w:val="1"/>
                <w:szCs w:val="1"/>
                <w:color w:val="auto"/>
              </w:rPr>
            </w:pPr>
          </w:p>
        </w:tc>
      </w:tr>
      <w:tr>
        <w:trPr>
          <w:trHeight w:val="180"/>
        </w:trPr>
        <w:tc>
          <w:tcPr>
            <w:tcW w:w="76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Arial Narrow" w:cs="Arial Narrow" w:eastAsia="Arial Narrow" w:hAnsi="Arial Narrow"/>
                <w:sz w:val="18"/>
                <w:szCs w:val="18"/>
                <w:b w:val="1"/>
                <w:bCs w:val="1"/>
                <w:color w:val="auto"/>
              </w:rPr>
              <w:t>Date Fair Value</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170"/>
              <w:spacing w:after="0"/>
              <w:rPr>
                <w:sz w:val="20"/>
                <w:szCs w:val="20"/>
                <w:color w:val="auto"/>
              </w:rPr>
            </w:pPr>
            <w:r>
              <w:rPr>
                <w:rFonts w:ascii="Arial Narrow" w:cs="Arial Narrow" w:eastAsia="Arial Narrow" w:hAnsi="Arial Narrow"/>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44"/>
              <w:spacing w:after="0"/>
              <w:rPr>
                <w:sz w:val="20"/>
                <w:szCs w:val="20"/>
                <w:color w:val="auto"/>
              </w:rPr>
            </w:pPr>
            <w:r>
              <w:rPr>
                <w:rFonts w:ascii="Arial Narrow" w:cs="Arial Narrow" w:eastAsia="Arial Narrow" w:hAnsi="Arial Narrow"/>
                <w:sz w:val="18"/>
                <w:szCs w:val="18"/>
                <w:b w:val="1"/>
                <w:bCs w:val="1"/>
                <w:color w:val="auto"/>
                <w:w w:val="98"/>
              </w:rPr>
              <w:t>Per Share</w:t>
            </w:r>
          </w:p>
        </w:tc>
        <w:tc>
          <w:tcPr>
            <w:tcW w:w="0" w:type="dxa"/>
            <w:vAlign w:val="bottom"/>
          </w:tcPr>
          <w:p>
            <w:pPr>
              <w:spacing w:after="0"/>
              <w:rPr>
                <w:sz w:val="1"/>
                <w:szCs w:val="1"/>
                <w:color w:val="auto"/>
              </w:rPr>
            </w:pPr>
          </w:p>
        </w:tc>
      </w:tr>
      <w:tr>
        <w:trPr>
          <w:trHeight w:val="323"/>
        </w:trPr>
        <w:tc>
          <w:tcPr>
            <w:tcW w:w="868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Outstanding as of September 1, 2022</w:t>
            </w:r>
          </w:p>
        </w:tc>
        <w:tc>
          <w:tcPr>
            <w:tcW w:w="260" w:type="dxa"/>
            <w:vAlign w:val="bottom"/>
          </w:tcPr>
          <w:p>
            <w:pPr>
              <w:jc w:val="right"/>
              <w:spacing w:after="0"/>
              <w:rPr>
                <w:sz w:val="20"/>
                <w:szCs w:val="20"/>
                <w:color w:val="auto"/>
              </w:rPr>
            </w:pPr>
            <w:r>
              <w:rPr>
                <w:rFonts w:ascii="Arial Narrow" w:cs="Arial Narrow" w:eastAsia="Arial Narrow" w:hAnsi="Arial Narrow"/>
                <w:sz w:val="20"/>
                <w:szCs w:val="20"/>
                <w:color w:val="auto"/>
                <w:w w:val="98"/>
              </w:rPr>
              <w:t>23</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60.93</w:t>
            </w:r>
          </w:p>
        </w:tc>
        <w:tc>
          <w:tcPr>
            <w:tcW w:w="0" w:type="dxa"/>
            <w:vAlign w:val="bottom"/>
          </w:tcPr>
          <w:p>
            <w:pPr>
              <w:spacing w:after="0"/>
              <w:rPr>
                <w:sz w:val="1"/>
                <w:szCs w:val="1"/>
                <w:color w:val="auto"/>
              </w:rPr>
            </w:pPr>
          </w:p>
        </w:tc>
      </w:tr>
      <w:tr>
        <w:trPr>
          <w:trHeight w:val="285"/>
        </w:trPr>
        <w:tc>
          <w:tcPr>
            <w:tcW w:w="868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Granted</w:t>
            </w:r>
          </w:p>
        </w:tc>
        <w:tc>
          <w:tcPr>
            <w:tcW w:w="260" w:type="dxa"/>
            <w:vAlign w:val="bottom"/>
          </w:tcPr>
          <w:p>
            <w:pPr>
              <w:jc w:val="right"/>
              <w:spacing w:after="0"/>
              <w:rPr>
                <w:sz w:val="20"/>
                <w:szCs w:val="20"/>
                <w:color w:val="auto"/>
              </w:rPr>
            </w:pPr>
            <w:r>
              <w:rPr>
                <w:rFonts w:ascii="Arial Narrow" w:cs="Arial Narrow" w:eastAsia="Arial Narrow" w:hAnsi="Arial Narrow"/>
                <w:sz w:val="20"/>
                <w:szCs w:val="20"/>
                <w:color w:val="auto"/>
                <w:w w:val="98"/>
              </w:rPr>
              <w:t>17</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55.99</w:t>
            </w:r>
          </w:p>
        </w:tc>
        <w:tc>
          <w:tcPr>
            <w:tcW w:w="0" w:type="dxa"/>
            <w:vAlign w:val="bottom"/>
          </w:tcPr>
          <w:p>
            <w:pPr>
              <w:spacing w:after="0"/>
              <w:rPr>
                <w:sz w:val="1"/>
                <w:szCs w:val="1"/>
                <w:color w:val="auto"/>
              </w:rPr>
            </w:pPr>
          </w:p>
        </w:tc>
      </w:tr>
      <w:tr>
        <w:trPr>
          <w:trHeight w:val="285"/>
        </w:trPr>
        <w:tc>
          <w:tcPr>
            <w:tcW w:w="868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Restrictions lapsed</w:t>
            </w:r>
          </w:p>
        </w:tc>
        <w:tc>
          <w:tcPr>
            <w:tcW w:w="26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58.23</w:t>
            </w:r>
          </w:p>
        </w:tc>
        <w:tc>
          <w:tcPr>
            <w:tcW w:w="0" w:type="dxa"/>
            <w:vAlign w:val="bottom"/>
          </w:tcPr>
          <w:p>
            <w:pPr>
              <w:spacing w:after="0"/>
              <w:rPr>
                <w:sz w:val="1"/>
                <w:szCs w:val="1"/>
                <w:color w:val="auto"/>
              </w:rPr>
            </w:pPr>
          </w:p>
        </w:tc>
      </w:tr>
      <w:tr>
        <w:trPr>
          <w:trHeight w:val="287"/>
        </w:trPr>
        <w:tc>
          <w:tcPr>
            <w:tcW w:w="868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Canceled</w:t>
            </w:r>
          </w:p>
        </w:tc>
        <w:tc>
          <w:tcPr>
            <w:tcW w:w="2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58.00</w:t>
            </w:r>
          </w:p>
        </w:tc>
        <w:tc>
          <w:tcPr>
            <w:tcW w:w="0" w:type="dxa"/>
            <w:vAlign w:val="bottom"/>
          </w:tcPr>
          <w:p>
            <w:pPr>
              <w:spacing w:after="0"/>
              <w:rPr>
                <w:sz w:val="1"/>
                <w:szCs w:val="1"/>
                <w:color w:val="auto"/>
              </w:rPr>
            </w:pPr>
          </w:p>
        </w:tc>
      </w:tr>
      <w:tr>
        <w:trPr>
          <w:trHeight w:val="24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Outstanding as of August 31, 2023</w:t>
            </w:r>
          </w:p>
        </w:tc>
        <w:tc>
          <w:tcPr>
            <w:tcW w:w="10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w w:val="98"/>
              </w:rPr>
              <w:t>29</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59.11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955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2">
                      <a:extLst>
                        <a:ext uri="{28A0092B-C50C-407E-A947-70E740481C1C}"/>
                      </a:extLst>
                    </a:blip>
                    <a:srcRect/>
                    <a:stretch>
                      <a:fillRect/>
                    </a:stretch>
                  </pic:blipFill>
                  <pic:spPr bwMode="auto">
                    <a:xfrm>
                      <a:off x="0" y="0"/>
                      <a:ext cx="6540500" cy="95567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76 | 2023 10-K</w:t>
      </w:r>
    </w:p>
    <w:p>
      <w:pPr>
        <w:sectPr>
          <w:pgSz w:w="12240" w:h="15840" w:orient="portrait"/>
          <w:cols w:equalWidth="0" w:num="1">
            <w:col w:w="10260"/>
          </w:cols>
          <w:pgMar w:left="1000" w:top="833" w:right="98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83"/>
        </w:trPr>
        <w:tc>
          <w:tcPr>
            <w:tcW w:w="46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2023</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Narrow" w:cs="Arial Narrow" w:eastAsia="Arial Narrow" w:hAnsi="Arial Narrow"/>
                <w:sz w:val="20"/>
                <w:szCs w:val="20"/>
                <w:b w:val="1"/>
                <w:bCs w:val="1"/>
                <w:color w:val="auto"/>
              </w:rPr>
              <w:t>2022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Restricted stock award shares granted</w:t>
            </w:r>
          </w:p>
        </w:tc>
        <w:tc>
          <w:tcPr>
            <w:tcW w:w="1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55.99</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70.81</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53.58</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Aggregate vesting-date fair value of shares vested</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498</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-547370</wp:posOffset>
            </wp:positionV>
            <wp:extent cx="6540500" cy="5683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3">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Stock Purchase Plan (“ESPP”)</w:t>
      </w:r>
    </w:p>
    <w:p>
      <w:pPr>
        <w:spacing w:after="0" w:line="263"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color w:val="auto"/>
        </w:rPr>
        <w:t>Our ESPP is offered to substantially all employees and permitted eligible employees to purchase shares of our common stock through payroll deductions of up to 10% of their eligible compensation, subject to certain limitations prior to August 2021. Beginning in August 2021, employees are permitted to deduct up to 15% of their eligible compensation to purchase shares under the ESPP.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2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Narrow" w:cs="Arial Narrow" w:eastAsia="Arial Narrow" w:hAnsi="Arial Narrow"/>
                <w:sz w:val="20"/>
                <w:szCs w:val="20"/>
                <w:b w:val="1"/>
                <w:bCs w:val="1"/>
                <w:color w:val="auto"/>
              </w:rPr>
              <w:t>2023</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2022</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7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17.06</w:t>
            </w:r>
          </w:p>
        </w:tc>
        <w:tc>
          <w:tcPr>
            <w:tcW w:w="3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18.87</w:t>
            </w:r>
          </w:p>
        </w:tc>
        <w:tc>
          <w:tcPr>
            <w:tcW w:w="3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20.71</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Average expected life in years</w:t>
            </w:r>
          </w:p>
        </w:tc>
        <w:tc>
          <w:tcPr>
            <w:tcW w:w="78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0.5</w:t>
            </w:r>
          </w:p>
        </w:tc>
        <w:tc>
          <w:tcPr>
            <w:tcW w:w="340" w:type="dxa"/>
            <w:vAlign w:val="bottom"/>
          </w:tcPr>
          <w:p>
            <w:pPr>
              <w:spacing w:after="0"/>
              <w:rPr>
                <w:sz w:val="24"/>
                <w:szCs w:val="24"/>
                <w:color w:val="auto"/>
              </w:rPr>
            </w:pPr>
          </w:p>
        </w:tc>
        <w:tc>
          <w:tcPr>
            <w:tcW w:w="12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c>
          <w:tcPr>
            <w:tcW w:w="36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expected volatility (based on implied volatility)</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37 %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43 %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41 %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risk-free interest rate</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5.1 %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0.1 %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Expected dividend yield</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0.7 %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0.6 %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-909320</wp:posOffset>
            </wp:positionV>
            <wp:extent cx="6540500" cy="930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4">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277" w:lineRule="exact"/>
        <w:rPr>
          <w:sz w:val="20"/>
          <w:szCs w:val="20"/>
          <w:color w:val="auto"/>
        </w:rPr>
      </w:pPr>
    </w:p>
    <w:p>
      <w:pPr>
        <w:ind w:right="360"/>
        <w:spacing w:after="0" w:line="345" w:lineRule="auto"/>
        <w:rPr>
          <w:sz w:val="20"/>
          <w:szCs w:val="20"/>
          <w:color w:val="auto"/>
        </w:rPr>
      </w:pPr>
      <w:r>
        <w:rPr>
          <w:rFonts w:ascii="Arial" w:cs="Arial" w:eastAsia="Arial" w:hAnsi="Arial"/>
          <w:sz w:val="18"/>
          <w:szCs w:val="18"/>
          <w:b w:val="1"/>
          <w:bCs w:val="1"/>
          <w:color w:val="auto"/>
        </w:rPr>
        <w:t>Under the ESPP, employees purchased 5 million, 4 million, and 3 million shares of common stock in 2023, 2022, and 2021, respectively, at a per share weighted average price of $51.93, $58.52, and $51.42,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Options</w:t>
      </w:r>
    </w:p>
    <w:p>
      <w:pPr>
        <w:spacing w:after="0" w:line="263"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As of August 31, 2023, stock options of 2 million shares were outstanding, all of which were fully exercisable. Stock options expire 8 years from the date of grant. We did not grant any stock options in 2023, 2022, or 2021. Stock options of 1 million shares were exercised in 2023. The total intrinsic value for options exercised was $30 million, $54 million, and $143 million in 2023, 2022, and 2021,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Stock-based Compensation Expense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Stock-based compensation expense by caption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Research and development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175</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110</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Cost of goods sold</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193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186</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Selling, general, and administrative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Restructure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395</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Stock-based compensation expense by type of award</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Restricted stock awards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429</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333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ESPP</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52</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Stock options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553200" cy="2222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5">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916940</wp:posOffset>
            </wp:positionV>
            <wp:extent cx="736600" cy="200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6">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9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10260"/>
          </w:cols>
          <w:pgMar w:left="1000" w:top="891" w:right="980" w:bottom="0" w:gutter="0" w:footer="0" w:header="0"/>
          <w:type w:val="continuous"/>
        </w:sectPr>
      </w:pPr>
    </w:p>
    <w:bookmarkStart w:id="81" w:name="page82"/>
    <w:bookmarkEnd w:id="81"/>
    <w:p>
      <w:pPr>
        <w:ind w:right="100"/>
        <w:spacing w:after="0" w:line="256" w:lineRule="auto"/>
        <w:rPr>
          <w:sz w:val="20"/>
          <w:szCs w:val="20"/>
          <w:color w:val="auto"/>
        </w:rPr>
      </w:pPr>
      <w:r>
        <w:rPr>
          <w:rFonts w:ascii="Arial" w:cs="Arial" w:eastAsia="Arial" w:hAnsi="Arial"/>
          <w:sz w:val="20"/>
          <w:szCs w:val="20"/>
          <w:b w:val="1"/>
          <w:bCs w:val="1"/>
          <w:color w:val="auto"/>
        </w:rPr>
        <w:t>Income tax benefits related to the tax deductions for share-based awards are recognized only upon the settlement of the related share-based awards. Income tax benefits for share-based awards were $68 million, $77 million, and $83 million for 2023, 2022, and 2021, respectively. Stock-based compensation expense of $88 million and $48 million was capitalized and remained in inventory as of August 31, 2023 and September 1, 2022, respectively. As of August 31, 2023, $1.26 billion of total unrecognized compensation costs for unvested awards, before the effect of any future forfeitures, was expected to be recognized through the fourth quarter of 2027, resulting in a weighted-average period of 1.3 years.</w:t>
      </w:r>
    </w:p>
    <w:p>
      <w:pPr>
        <w:spacing w:after="0" w:line="3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Employee Benefit Plans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employee retirement plans at our U.S. and international sites. Details of significant plans are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Savings Plan for U.S. Employees</w:t>
      </w:r>
    </w:p>
    <w:p>
      <w:pPr>
        <w:spacing w:after="0" w:line="26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$59 million, $66 million, and $77 million in 2023,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Retirement Plans</w:t>
      </w:r>
    </w:p>
    <w:p>
      <w:pPr>
        <w:spacing w:after="0" w:line="26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have pension plans available to employees at various foreign sites. As of August 31, 2023, the projected benefit obligations of our plans were $175 million and plan assets were $232 million. As of September 1, 2022, the projected benefit obligations of our plans were $186 million and plan assets were $221 million. Pension expense was not material for 2023, 2022, or 2021.</w:t>
      </w:r>
    </w:p>
    <w:p>
      <w:pPr>
        <w:spacing w:after="0" w:line="32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Government Incentives</w:t>
      </w:r>
    </w:p>
    <w:p>
      <w:pPr>
        <w:spacing w:after="0" w:line="375"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We receive incentives from governmental entities primarily in India, Japan, Singapore, Taiwan, and the United States principally in the form of cash grants and tax credits. These incentives primarily relate to capital expenditures, have initial terms ranging from one year to 15 years,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and/or maintain certain levels of fixed asset investment or employee headcount during the incentive terms.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60" w:type="dxa"/>
            <w:vAlign w:val="bottom"/>
          </w:tcPr>
          <w:p>
            <w:pPr>
              <w:spacing w:after="0"/>
              <w:rPr>
                <w:sz w:val="20"/>
                <w:szCs w:val="20"/>
                <w:color w:val="auto"/>
              </w:rPr>
            </w:pPr>
            <w:r>
              <w:rPr>
                <w:rFonts w:ascii="Arial" w:cs="Arial" w:eastAsia="Arial" w:hAnsi="Arial"/>
                <w:sz w:val="20"/>
                <w:szCs w:val="20"/>
                <w:b w:val="1"/>
                <w:bCs w:val="1"/>
                <w:color w:val="auto"/>
              </w:rPr>
              <w:t>The line items on the balance sheet affected by government incentives were as follows:</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8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7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179</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liabilities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-733425</wp:posOffset>
            </wp:positionV>
            <wp:extent cx="6540500" cy="749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7">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269" w:lineRule="exact"/>
        <w:rPr>
          <w:sz w:val="20"/>
          <w:szCs w:val="20"/>
          <w:color w:val="auto"/>
        </w:rPr>
      </w:pPr>
    </w:p>
    <w:p>
      <w:pPr>
        <w:ind w:right="180"/>
        <w:spacing w:after="0" w:line="265" w:lineRule="auto"/>
        <w:rPr>
          <w:sz w:val="20"/>
          <w:szCs w:val="20"/>
          <w:color w:val="auto"/>
        </w:rPr>
      </w:pPr>
      <w:r>
        <w:rPr>
          <w:rFonts w:ascii="Arial" w:cs="Arial" w:eastAsia="Arial" w:hAnsi="Arial"/>
          <w:sz w:val="19"/>
          <w:szCs w:val="19"/>
          <w:b w:val="1"/>
          <w:bCs w:val="1"/>
          <w:color w:val="auto"/>
        </w:rPr>
        <w:t>As of August 31, 2023, we had aggregate commitments from various governmental entities of up to $2 billion to be received through 2033 (in addition to the receivables and other noncurrent assets in the table above), subject to achievement of certain performance conditions. We also receive a 25% investment tax credit on qualified investments in U.S. semiconductor manufacturing under the CHIPS Act. Subsequent to August 31, 2023, we finalized an incentive arrangement under which we will receive additional grants of up to $1.3 billion.</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78 | 2023 10-K</w:t>
      </w:r>
    </w:p>
    <w:p>
      <w:pPr>
        <w:sectPr>
          <w:pgSz w:w="12240" w:h="15840" w:orient="portrait"/>
          <w:cols w:equalWidth="0" w:num="1">
            <w:col w:w="10260"/>
          </w:cols>
          <w:pgMar w:left="1000" w:top="844" w:right="980" w:bottom="0" w:gutter="0" w:footer="0" w:header="0"/>
          <w:type w:val="continuous"/>
        </w:sectPr>
      </w:pPr>
    </w:p>
    <w:bookmarkStart w:id="82" w:name="page83"/>
    <w:bookmarkEnd w:id="82"/>
    <w:p>
      <w:pPr>
        <w:ind w:right="160"/>
        <w:spacing w:after="0" w:line="276" w:lineRule="auto"/>
        <w:rPr>
          <w:sz w:val="20"/>
          <w:szCs w:val="20"/>
          <w:color w:val="auto"/>
        </w:rPr>
      </w:pPr>
      <w:r>
        <w:rPr>
          <w:rFonts w:ascii="Arial" w:cs="Arial" w:eastAsia="Arial" w:hAnsi="Arial"/>
          <w:sz w:val="20"/>
          <w:szCs w:val="20"/>
          <w:b w:val="1"/>
          <w:bCs w:val="1"/>
          <w:color w:val="auto"/>
        </w:rPr>
        <w:t>Government incentives related to capital expenditures have reduced property, plant and equipment by $1.57 billion as of August 31, 2023, of which $584 million pertained to 2023 expenditures.</w:t>
      </w:r>
    </w:p>
    <w:p>
      <w:pPr>
        <w:spacing w:after="0" w:line="171" w:lineRule="exact"/>
        <w:rPr>
          <w:sz w:val="20"/>
          <w:szCs w:val="20"/>
          <w:color w:val="auto"/>
        </w:rPr>
      </w:pPr>
    </w:p>
    <w:p>
      <w:pPr>
        <w:ind w:right="20"/>
        <w:spacing w:after="0" w:line="345" w:lineRule="auto"/>
        <w:rPr>
          <w:sz w:val="20"/>
          <w:szCs w:val="20"/>
          <w:color w:val="auto"/>
        </w:rPr>
      </w:pPr>
      <w:r>
        <w:rPr>
          <w:rFonts w:ascii="Arial" w:cs="Arial" w:eastAsia="Arial" w:hAnsi="Arial"/>
          <w:sz w:val="18"/>
          <w:szCs w:val="18"/>
          <w:b w:val="1"/>
          <w:bCs w:val="1"/>
          <w:color w:val="auto"/>
        </w:rPr>
        <w:t>In 2023, operating income (loss) benefited by $318 million (approximately 93% in COGS and 7% in R&amp;D) from government incentives recognized as a reduction of expense, primarily in the form of reduced depreciation expense.</w:t>
      </w:r>
    </w:p>
    <w:p>
      <w:pPr>
        <w:spacing w:after="0" w:line="253"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Revenue</w:t>
      </w:r>
    </w:p>
    <w:p>
      <w:pPr>
        <w:spacing w:after="0" w:line="37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August 31, 2023, our future performance obligations beyond one year were not significant.</w:t>
      </w:r>
    </w:p>
    <w:p>
      <w:pPr>
        <w:spacing w:after="0" w:line="202"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As of August 31, 2023 and September 1, 2022, other current liabilities included $453 million and $1.26 billion, respectively, for estimates of consideration payable to customers including estimates for pricing adjustments and returns.</w:t>
      </w:r>
    </w:p>
    <w:p>
      <w:pPr>
        <w:spacing w:after="0" w:line="190"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In 2023, we received an aggregate of $228 million from settlements of insurance claims involving a power disruption in 2022 and an operational disruption in 2017, of which $186 million was for business interruption and recognized in revenue.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Technology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DRAM</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10,978</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22,386</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20,039</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NAND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4,206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7,811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7,007</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(primarily NOR)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659</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27,705</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8">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 “Segment and Other Information” for disclosure of disaggregated revenue by market segment.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Restructure and Asset Impairments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Employee severance</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163</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Asset impairments and other asset-related costs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478</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171</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488</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In 2023, we initiated the 2023 Restructure Plan in response to challenging industry conditions. Under the 2023 Restructure Plan, we expect our headcount reduction to approach 15% by the end of calendar 2023 through a combination of voluntary attrition and personnel reductions. In connection with the plan, we incurred restructure charges of $171 million in 2023, primarily related to employee severance costs. The plan was substantially completed in the third quarter of 2023. As of August 31, 2023, we had paid $167 million in 2023 in connection with the 2023 Restructure Plan and the remaining liability was $4 million.</w:t>
      </w: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20"/>
          <w:szCs w:val="20"/>
          <w:b w:val="1"/>
          <w:bCs w:val="1"/>
          <w:color w:val="auto"/>
        </w:rPr>
        <w:t>Restructure and asset impairments for 2022 and 2021 are primarily related to the sale of our Lehi, Utah facility. See “Lehi, Utah Fab and 3D XPoint.”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403860</wp:posOffset>
            </wp:positionV>
            <wp:extent cx="736600" cy="2000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0">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10260"/>
          </w:cols>
          <w:pgMar w:left="1000" w:top="844" w:right="980" w:bottom="0" w:gutter="0" w:footer="0" w:header="0"/>
          <w:type w:val="continuous"/>
        </w:sectPr>
      </w:pPr>
    </w:p>
    <w:bookmarkStart w:id="83" w:name="page84"/>
    <w:bookmarkEnd w:id="83"/>
    <w:p>
      <w:pPr>
        <w:spacing w:after="0"/>
        <w:rPr>
          <w:sz w:val="20"/>
          <w:szCs w:val="20"/>
          <w:color w:val="auto"/>
        </w:rPr>
      </w:pPr>
      <w:r>
        <w:rPr>
          <w:rFonts w:ascii="Arial Narrow" w:cs="Arial Narrow" w:eastAsia="Arial Narrow" w:hAnsi="Arial Narrow"/>
          <w:sz w:val="44"/>
          <w:szCs w:val="44"/>
          <w:b w:val="1"/>
          <w:bCs w:val="1"/>
          <w:color w:val="auto"/>
        </w:rPr>
        <w:t>Other Operating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Patent license charges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128</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(Gain) loss on disposition of property, plant, and equipment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1">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Other Non-Operating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Gain (loss) on investments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26</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Loss on debt repurchases and conversions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81</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2">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Income Taxes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40" w:type="dxa"/>
            <w:vAlign w:val="bottom"/>
          </w:tcPr>
          <w:p>
            <w:pPr>
              <w:spacing w:after="0"/>
              <w:rPr>
                <w:sz w:val="20"/>
                <w:szCs w:val="20"/>
                <w:color w:val="auto"/>
              </w:rPr>
            </w:pPr>
            <w:r>
              <w:rPr>
                <w:rFonts w:ascii="Arial" w:cs="Arial" w:eastAsia="Arial" w:hAnsi="Arial"/>
                <w:sz w:val="20"/>
                <w:szCs w:val="20"/>
                <w:b w:val="1"/>
                <w:bCs w:val="1"/>
                <w:color w:val="auto"/>
              </w:rPr>
              <w:t>Our income tax (provision) benefit consisted of the following:</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(loss) before income taxes and equity in net income (loss) of equity method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investees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235</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(211)</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(5,893)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9,459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6,429</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(5,658)</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9,571</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6,218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Current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(65)</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(370)</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(184)</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(413)</w:t>
            </w:r>
          </w:p>
        </w:tc>
        <w:tc>
          <w:tcPr>
            <w:tcW w:w="0" w:type="dxa"/>
            <w:vAlign w:val="bottom"/>
          </w:tcPr>
          <w:p>
            <w:pPr>
              <w:spacing w:after="0"/>
              <w:rPr>
                <w:sz w:val="1"/>
                <w:szCs w:val="1"/>
                <w:color w:val="auto"/>
              </w:rPr>
            </w:pPr>
          </w:p>
        </w:tc>
      </w:tr>
      <w:tr>
        <w:trPr>
          <w:trHeight w:val="263"/>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Deferred</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(166)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28</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530"/>
        </w:trPr>
        <w:tc>
          <w:tcPr>
            <w:tcW w:w="6340" w:type="dxa"/>
            <w:vAlign w:val="bottom"/>
          </w:tcPr>
          <w:p>
            <w:pPr>
              <w:ind w:left="58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(177)</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-3422015</wp:posOffset>
            </wp:positionV>
            <wp:extent cx="6553200" cy="3441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3">
                      <a:extLst>
                        <a:ext uri="{28A0092B-C50C-407E-A947-70E740481C1C}"/>
                      </a:extLst>
                    </a:blip>
                    <a:srcRect/>
                    <a:stretch>
                      <a:fillRect/>
                    </a:stretch>
                  </pic:blipFill>
                  <pic:spPr bwMode="auto">
                    <a:xfrm>
                      <a:off x="0" y="0"/>
                      <a:ext cx="6553200" cy="3441700"/>
                    </a:xfrm>
                    <a:prstGeom prst="rect">
                      <a:avLst/>
                    </a:prstGeom>
                    <a:noFill/>
                  </pic:spPr>
                </pic:pic>
              </a:graphicData>
            </a:graphic>
          </wp:anchor>
        </w:drawing>
      </w:r>
    </w:p>
    <w:p>
      <w:pPr>
        <w:sectPr>
          <w:pgSz w:w="12240" w:h="15840" w:orient="portrait"/>
          <w:cols w:equalWidth="0" w:num="1">
            <w:col w:w="10260"/>
          </w:cols>
          <w:pgMar w:left="1000" w:top="97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 2023 10-K</w:t>
      </w:r>
    </w:p>
    <w:p>
      <w:pPr>
        <w:sectPr>
          <w:pgSz w:w="12240" w:h="15840" w:orient="portrait"/>
          <w:cols w:equalWidth="0" w:num="1">
            <w:col w:w="10260"/>
          </w:cols>
          <w:pgMar w:left="1000" w:top="972" w:right="980" w:bottom="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The table below reconciles our tax (provision) benefit based on the U.S. federal statutory rate to our effective rate: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2023</w:t>
            </w: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2022</w:t>
            </w: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2021</w:t>
            </w:r>
          </w:p>
        </w:tc>
        <w:tc>
          <w:tcPr>
            <w:tcW w:w="640" w:type="dxa"/>
            <w:vAlign w:val="bottom"/>
            <w:tcBorders>
              <w:bottom w:val="single" w:sz="8" w:color="auto"/>
            </w:tcBorders>
          </w:tcPr>
          <w:p>
            <w:pPr>
              <w:spacing w:after="0"/>
              <w:rPr>
                <w:sz w:val="24"/>
                <w:szCs w:val="24"/>
                <w:color w:val="auto"/>
              </w:rPr>
            </w:pPr>
          </w:p>
        </w:tc>
      </w:tr>
      <w:tr>
        <w:trPr>
          <w:trHeight w:val="323"/>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federal income tax (provision) benefit at statutory rate</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1,188</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21.0 % $</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(2,010)</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21.0 % $</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(1,306)</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21.0 %</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tax on foreign operations</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6</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0.1 %</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(322)</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3.4 %</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(226)</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3.6 %</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valuation allowance</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(50)</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(0.9)%</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(241)</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2.5 %</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54</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(0.9)%</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unrecognized tax benefits</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(30)</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(0.5)%</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(67)</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0.7 %</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(238)</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3.8 %</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Foreign tax rate differential</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(1,285)</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(22.8)%</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1,601</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(16.7)%</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951</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(15.4)%</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 tax credits</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0.8 %</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66</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(0.7)%</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123</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State taxes, net of federal benefit</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37</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0.7 %</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 %</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59</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(0.9)%</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Debt premium deductions</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 %</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 %</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130</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(2.1)%</w:t>
            </w:r>
          </w:p>
        </w:tc>
      </w:tr>
      <w:tr>
        <w:trPr>
          <w:trHeight w:val="287"/>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(86)</w:t>
            </w:r>
          </w:p>
        </w:tc>
        <w:tc>
          <w:tcPr>
            <w:tcW w:w="86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(1.5)%</w:t>
            </w:r>
          </w:p>
        </w:tc>
        <w:tc>
          <w:tcPr>
            <w:tcW w:w="84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85</w:t>
            </w:r>
          </w:p>
        </w:tc>
        <w:tc>
          <w:tcPr>
            <w:tcW w:w="88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color w:val="auto"/>
              </w:rPr>
              <w:t>(0.9)%</w:t>
            </w:r>
          </w:p>
        </w:tc>
        <w:tc>
          <w:tcPr>
            <w:tcW w:w="8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59</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(0.8)%</w:t>
            </w:r>
          </w:p>
        </w:tc>
      </w:tr>
      <w:tr>
        <w:trPr>
          <w:trHeight w:val="245"/>
        </w:trPr>
        <w:tc>
          <w:tcPr>
            <w:tcW w:w="5120" w:type="dxa"/>
            <w:vAlign w:val="bottom"/>
          </w:tcPr>
          <w:p>
            <w:pPr>
              <w:ind w:left="400"/>
              <w:spacing w:after="0"/>
              <w:rPr>
                <w:sz w:val="20"/>
                <w:szCs w:val="20"/>
                <w:color w:val="auto"/>
              </w:rPr>
            </w:pPr>
            <w:r>
              <w:rPr>
                <w:rFonts w:ascii="Arial Narrow" w:cs="Arial Narrow" w:eastAsia="Arial Narrow" w:hAnsi="Arial Narrow"/>
                <w:sz w:val="20"/>
                <w:szCs w:val="20"/>
                <w:color w:val="auto"/>
              </w:rPr>
              <w:t>Income tax (provision) benefit</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(177)</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 $</w:t>
            </w:r>
          </w:p>
        </w:tc>
        <w:tc>
          <w:tcPr>
            <w:tcW w:w="840" w:type="dxa"/>
            <w:vAlign w:val="bottom"/>
            <w:tcBorders>
              <w:bottom w:val="single" w:sz="8" w:color="auto"/>
            </w:tcBorders>
          </w:tcPr>
          <w:p>
            <w:pPr>
              <w:jc w:val="right"/>
              <w:ind w:right="120"/>
              <w:spacing w:after="0"/>
              <w:rPr>
                <w:sz w:val="20"/>
                <w:szCs w:val="20"/>
                <w:color w:val="auto"/>
              </w:rPr>
            </w:pPr>
            <w:r>
              <w:rPr>
                <w:rFonts w:ascii="Arial Narrow" w:cs="Arial Narrow" w:eastAsia="Arial Narrow" w:hAnsi="Arial Narrow"/>
                <w:sz w:val="20"/>
                <w:szCs w:val="20"/>
                <w:color w:val="auto"/>
              </w:rPr>
              <w:t>(888)</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9.3 % $</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(394)</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6.3 %</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4">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23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 mix of income, the benefit from tax incentive arrangements was not material for 2023. These arrangements reduced our tax provision by $1.12 billion (benefiting our diluted earnings per share by $1.00) for 2022 and by $758 million ($0.66 per diluted share) for 2021.</w:t>
      </w:r>
    </w:p>
    <w:p>
      <w:pPr>
        <w:spacing w:after="0" w:line="202"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color w:val="auto"/>
        </w:rPr>
        <w:t>As of August 31, 2023, certain non-U.S. subsidiaries had cumulative undistributed earnings of $4.28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5002530</wp:posOffset>
            </wp:positionV>
            <wp:extent cx="736600" cy="2000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5">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10260"/>
          </w:cols>
          <w:pgMar w:left="1000" w:top="844" w:right="980" w:bottom="0" w:gutter="0" w:footer="0" w:header="0"/>
          <w:type w:val="continuous"/>
        </w:sectPr>
      </w:pPr>
    </w:p>
    <w:bookmarkStart w:id="85" w:name="page86"/>
    <w:bookmarkEnd w:id="85"/>
    <w:p>
      <w:pPr>
        <w:ind w:right="40"/>
        <w:spacing w:after="0" w:line="259" w:lineRule="auto"/>
        <w:rPr>
          <w:sz w:val="20"/>
          <w:szCs w:val="20"/>
          <w:color w:val="auto"/>
        </w:rPr>
      </w:pPr>
      <w:r>
        <w:rPr>
          <w:rFonts w:ascii="Arial" w:cs="Arial" w:eastAsia="Arial" w:hAnsi="Arial"/>
          <w:sz w:val="20"/>
          <w:szCs w:val="20"/>
          <w:b w:val="1"/>
          <w:bCs w:val="1"/>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224"/>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line="224" w:lineRule="exact"/>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40"/>
              <w:spacing w:after="0" w:line="224" w:lineRule="exact"/>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Net operating loss and tax credit carryforwards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796</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Accrued salaries, wages, and benefits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157</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Operating lease liabilities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138</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142</w:t>
            </w:r>
          </w:p>
        </w:tc>
        <w:tc>
          <w:tcPr>
            <w:tcW w:w="0" w:type="dxa"/>
            <w:vAlign w:val="bottom"/>
          </w:tcPr>
          <w:p>
            <w:pPr>
              <w:spacing w:after="0"/>
              <w:rPr>
                <w:sz w:val="1"/>
                <w:szCs w:val="1"/>
                <w:color w:val="auto"/>
              </w:rPr>
            </w:pPr>
          </w:p>
        </w:tc>
      </w:tr>
      <w:tr>
        <w:trPr>
          <w:trHeight w:val="271"/>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Gross deferred tax assets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1,413</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1,354</w:t>
            </w:r>
          </w:p>
        </w:tc>
        <w:tc>
          <w:tcPr>
            <w:tcW w:w="0" w:type="dxa"/>
            <w:vAlign w:val="bottom"/>
          </w:tcPr>
          <w:p>
            <w:pPr>
              <w:spacing w:after="0"/>
              <w:rPr>
                <w:sz w:val="1"/>
                <w:szCs w:val="1"/>
                <w:color w:val="auto"/>
              </w:rPr>
            </w:pPr>
          </w:p>
        </w:tc>
      </w:tr>
      <w:tr>
        <w:trPr>
          <w:trHeight w:val="279"/>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Less valuation allowance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(471)</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assets, net of valuation allowance</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885</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883</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Right-of-use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(126)</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(246)</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(194)</w:t>
            </w:r>
          </w:p>
        </w:tc>
        <w:tc>
          <w:tcPr>
            <w:tcW w:w="0" w:type="dxa"/>
            <w:vAlign w:val="bottom"/>
          </w:tcPr>
          <w:p>
            <w:pPr>
              <w:spacing w:after="0"/>
              <w:rPr>
                <w:sz w:val="1"/>
                <w:szCs w:val="1"/>
                <w:color w:val="auto"/>
              </w:rPr>
            </w:pPr>
          </w:p>
        </w:tc>
      </w:tr>
      <w:tr>
        <w:trPr>
          <w:trHeight w:val="530"/>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639</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689</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Reported as</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756</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702</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liabilities (included in 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c>
          <w:tcPr>
            <w:tcW w:w="0" w:type="dxa"/>
            <w:vAlign w:val="bottom"/>
          </w:tcPr>
          <w:p>
            <w:pPr>
              <w:spacing w:after="0"/>
              <w:rPr>
                <w:sz w:val="1"/>
                <w:szCs w:val="1"/>
                <w:color w:val="auto"/>
              </w:rPr>
            </w:pPr>
          </w:p>
        </w:tc>
      </w:tr>
      <w:tr>
        <w:trPr>
          <w:trHeight w:val="24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639</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-4193540</wp:posOffset>
            </wp:positionV>
            <wp:extent cx="6553200" cy="4213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extLst>
                    </a:blip>
                    <a:srcRect/>
                    <a:stretch>
                      <a:fillRect/>
                    </a:stretch>
                  </pic:blipFill>
                  <pic:spPr bwMode="auto">
                    <a:xfrm>
                      <a:off x="0" y="0"/>
                      <a:ext cx="6553200" cy="4213225"/>
                    </a:xfrm>
                    <a:prstGeom prst="rect">
                      <a:avLst/>
                    </a:prstGeom>
                    <a:noFill/>
                  </pic:spPr>
                </pic:pic>
              </a:graphicData>
            </a:graphic>
          </wp:anchor>
        </w:drawing>
      </w:r>
    </w:p>
    <w:p>
      <w:pPr>
        <w:spacing w:after="0" w:line="23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We assess positive and negative evidence for each jurisdiction to determine whether it is more likely than not that existing deferred tax assets will be realized. As of August 31, 2023, and September 1, 2022, we had a valuation allowance of $528 million and $471 million, respectively, against our net deferred tax assets, primarily related to carryforwards in U.S. states and Malaysia. Changes in 2023 in the valuation allowance were due to adjustments based on management's assessment of the realizability of tax credits, allowances and net operating losses based on a level that is more likely than not to be realized.</w:t>
      </w:r>
    </w:p>
    <w:p>
      <w:pPr>
        <w:spacing w:after="0" w:line="202"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b w:val="1"/>
          <w:bCs w:val="1"/>
          <w:color w:val="auto"/>
        </w:rPr>
        <w:t>As of August 31, 2023, our net operating loss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24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Expiration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Singapore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Malaysia</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Narrow" w:cs="Arial Narrow" w:eastAsia="Arial Narrow" w:hAnsi="Arial Narrow"/>
                <w:sz w:val="20"/>
                <w:szCs w:val="20"/>
                <w:b w:val="1"/>
                <w:bCs w:val="1"/>
                <w:color w:val="auto"/>
              </w:rPr>
              <w:t>State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Narrow" w:cs="Arial Narrow" w:eastAsia="Arial Narrow" w:hAnsi="Arial Narrow"/>
                <w:sz w:val="20"/>
                <w:szCs w:val="20"/>
                <w:b w:val="1"/>
                <w:bCs w:val="1"/>
                <w:color w:val="auto"/>
              </w:rPr>
              <w:t>Japan</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Other</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2024 - 2028</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w:t>
            </w:r>
          </w:p>
        </w:tc>
        <w:tc>
          <w:tcPr>
            <w:tcW w:w="30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336</w:t>
            </w:r>
          </w:p>
        </w:tc>
        <w:tc>
          <w:tcPr>
            <w:tcW w:w="920" w:type="dxa"/>
            <w:vAlign w:val="bottom"/>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25</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408</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2029 - 2033</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321</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2034 - 2038</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237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237</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2039 - 2043</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183</w:t>
            </w:r>
          </w:p>
        </w:tc>
      </w:tr>
      <w:tr>
        <w:trPr>
          <w:trHeight w:val="287"/>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1,688</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202</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2,975</w:t>
            </w:r>
          </w:p>
        </w:tc>
      </w:tr>
      <w:tr>
        <w:trPr>
          <w:trHeight w:val="245"/>
        </w:trPr>
        <w:tc>
          <w:tcPr>
            <w:tcW w:w="24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1,688</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1,025</w:t>
            </w:r>
          </w:p>
        </w:tc>
        <w:tc>
          <w:tcPr>
            <w:tcW w:w="30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875</w:t>
            </w:r>
          </w:p>
        </w:tc>
        <w:tc>
          <w:tcPr>
            <w:tcW w:w="30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657</w:t>
            </w:r>
          </w:p>
        </w:tc>
        <w:tc>
          <w:tcPr>
            <w:tcW w:w="92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336</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4,581</w:t>
            </w: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82 | 2023 10-K</w:t>
      </w:r>
    </w:p>
    <w:p>
      <w:pPr>
        <w:sectPr>
          <w:pgSz w:w="12240" w:h="15840" w:orient="portrait"/>
          <w:cols w:equalWidth="0" w:num="1">
            <w:col w:w="10260"/>
          </w:cols>
          <w:pgMar w:left="1000" w:top="844" w:right="980" w:bottom="0" w:gutter="0" w:footer="0" w:header="0"/>
          <w:type w:val="continuous"/>
        </w:sectPr>
      </w:pPr>
    </w:p>
    <w:bookmarkStart w:id="86" w:name="page87"/>
    <w:bookmarkEnd w:id="86"/>
    <w:p>
      <w:pPr>
        <w:ind w:right="140"/>
        <w:spacing w:after="0" w:line="275" w:lineRule="auto"/>
        <w:rPr>
          <w:sz w:val="20"/>
          <w:szCs w:val="20"/>
          <w:color w:val="auto"/>
        </w:rPr>
      </w:pPr>
      <w:r>
        <w:rPr>
          <w:rFonts w:ascii="Arial" w:cs="Arial" w:eastAsia="Arial" w:hAnsi="Arial"/>
          <w:sz w:val="20"/>
          <w:szCs w:val="20"/>
          <w:b w:val="1"/>
          <w:bCs w:val="1"/>
          <w:color w:val="auto"/>
        </w:rPr>
        <w:t>As of August 31, 2023, our federal and state tax credit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Tax Credit Expiration</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w w:val="99"/>
              </w:rPr>
              <w:t>U.S. Federal</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State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2024 - 2028</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51</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2029 - 2033</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120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120</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2034 - 2038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2039 - 2043</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306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311</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w:t>
            </w:r>
          </w:p>
        </w:tc>
      </w:tr>
      <w:tr>
        <w:trPr>
          <w:trHeight w:val="245"/>
        </w:trPr>
        <w:tc>
          <w:tcPr>
            <w:tcW w:w="6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306</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444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750</w:t>
            </w:r>
          </w:p>
        </w:tc>
      </w:tr>
      <w:tr>
        <w:trPr>
          <w:trHeight w:val="20"/>
        </w:trPr>
        <w:tc>
          <w:tcPr>
            <w:tcW w:w="6340" w:type="dxa"/>
            <w:vAlign w:val="bottom"/>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0"/>
        </w:trPr>
        <w:tc>
          <w:tcPr>
            <w:tcW w:w="8960" w:type="dxa"/>
            <w:vAlign w:val="bottom"/>
            <w:gridSpan w:val="5"/>
          </w:tcPr>
          <w:p>
            <w:pPr>
              <w:jc w:val="right"/>
              <w:ind w:right="540"/>
              <w:spacing w:after="0"/>
              <w:rPr>
                <w:sz w:val="20"/>
                <w:szCs w:val="20"/>
                <w:color w:val="auto"/>
              </w:rPr>
            </w:pPr>
            <w:r>
              <w:rPr>
                <w:rFonts w:ascii="Arial" w:cs="Arial" w:eastAsia="Arial" w:hAnsi="Arial"/>
                <w:sz w:val="20"/>
                <w:szCs w:val="20"/>
                <w:b w:val="1"/>
                <w:bCs w:val="1"/>
                <w:color w:val="auto"/>
                <w:w w:val="91"/>
              </w:rPr>
              <w:t>Below is a reconciliation of the beginning and ending amount of our unrecognized tax benefits: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Beginning unrecognized tax benefits</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731</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660</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411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from prior years</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prior year tax positions taken in current year</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taken in current year</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260</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Decreases related to tax positions from prior years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Ending unrecognized tax benefits</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744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731</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660</w:t>
            </w: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-2790190</wp:posOffset>
            </wp:positionV>
            <wp:extent cx="6553200" cy="1136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9">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As of August 31, 2023, gross unrecognized tax benefits were $744 million, which would have an impact of approximately $581 million on our effective tax rate in the future, if recognized. Amounts accrued for interest and penalties related to uncertain tax positions were not significant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2023. We are currently under audit by the Internal Revenue Service for our 2018 and 2019 tax years. In addition, tax returns that remain open to examination in Singapore, Taiwan and Japan range from the years 2014 to 2023.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32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Earnings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 – Basic and Diluted</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5,861</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Basic</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1,120</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Dilutive effect of equity plans and convertible notes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21</w:t>
            </w: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1,093</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1,141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Basic</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7.81</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5.23</w:t>
            </w: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Diluted</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-1633220</wp:posOffset>
            </wp:positionV>
            <wp:extent cx="6553200" cy="1654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0">
                      <a:extLst>
                        <a:ext uri="{28A0092B-C50C-407E-A947-70E740481C1C}"/>
                      </a:extLst>
                    </a:blip>
                    <a:srcRect/>
                    <a:stretch>
                      <a:fillRect/>
                    </a:stretch>
                  </pic:blipFill>
                  <pic:spPr bwMode="auto">
                    <a:xfrm>
                      <a:off x="0" y="0"/>
                      <a:ext cx="6553200" cy="165417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681355</wp:posOffset>
            </wp:positionV>
            <wp:extent cx="736600" cy="200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10260"/>
          </w:cols>
          <w:pgMar w:left="1000" w:top="844" w:right="980" w:bottom="0" w:gutter="0" w:footer="0" w:header="0"/>
          <w:type w:val="continuous"/>
        </w:sectPr>
      </w:pPr>
    </w:p>
    <w:bookmarkStart w:id="87" w:name="page88"/>
    <w:bookmarkEnd w:id="87"/>
    <w:p>
      <w:pPr>
        <w:ind w:right="120"/>
        <w:spacing w:after="0" w:line="275" w:lineRule="auto"/>
        <w:rPr>
          <w:sz w:val="20"/>
          <w:szCs w:val="20"/>
          <w:color w:val="auto"/>
        </w:rPr>
      </w:pPr>
      <w:r>
        <w:rPr>
          <w:rFonts w:ascii="Arial" w:cs="Arial" w:eastAsia="Arial" w:hAnsi="Arial"/>
          <w:sz w:val="20"/>
          <w:szCs w:val="20"/>
          <w:b w:val="1"/>
          <w:bCs w:val="1"/>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83"/>
        </w:trPr>
        <w:tc>
          <w:tcPr>
            <w:tcW w:w="41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680" w:type="dxa"/>
            <w:vAlign w:val="bottom"/>
            <w:tcBorders>
              <w:bottom w:val="single" w:sz="8" w:color="auto"/>
            </w:tcBorders>
          </w:tcPr>
          <w:p>
            <w:pPr>
              <w:jc w:val="right"/>
              <w:ind w:right="580"/>
              <w:spacing w:after="0"/>
              <w:rPr>
                <w:sz w:val="20"/>
                <w:szCs w:val="20"/>
                <w:color w:val="auto"/>
              </w:rPr>
            </w:pPr>
            <w:r>
              <w:rPr>
                <w:rFonts w:ascii="Arial Narrow" w:cs="Arial Narrow" w:eastAsia="Arial Narrow" w:hAnsi="Arial Narrow"/>
                <w:sz w:val="20"/>
                <w:szCs w:val="20"/>
                <w:b w:val="1"/>
                <w:bCs w:val="1"/>
                <w:color w:val="auto"/>
              </w:rPr>
              <w:t>2023</w:t>
            </w:r>
          </w:p>
        </w:tc>
        <w:tc>
          <w:tcPr>
            <w:tcW w:w="1300" w:type="dxa"/>
            <w:vAlign w:val="bottom"/>
            <w:tcBorders>
              <w:bottom w:val="single" w:sz="8" w:color="auto"/>
            </w:tcBorders>
          </w:tcPr>
          <w:p>
            <w:pPr>
              <w:jc w:val="right"/>
              <w:ind w:right="560"/>
              <w:spacing w:after="0"/>
              <w:rPr>
                <w:sz w:val="20"/>
                <w:szCs w:val="20"/>
                <w:color w:val="auto"/>
              </w:rPr>
            </w:pPr>
            <w:r>
              <w:rPr>
                <w:rFonts w:ascii="Arial Narrow" w:cs="Arial Narrow" w:eastAsia="Arial Narrow" w:hAnsi="Arial Narrow"/>
                <w:sz w:val="20"/>
                <w:szCs w:val="20"/>
                <w:b w:val="1"/>
                <w:bCs w:val="1"/>
                <w:color w:val="auto"/>
              </w:rPr>
              <w:t>2022</w:t>
            </w: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4160" w:type="dxa"/>
            <w:vAlign w:val="bottom"/>
          </w:tcPr>
          <w:p>
            <w:pPr>
              <w:ind w:left="40"/>
              <w:spacing w:after="0"/>
              <w:rPr>
                <w:sz w:val="20"/>
                <w:szCs w:val="20"/>
                <w:color w:val="auto"/>
              </w:rPr>
            </w:pPr>
            <w:r>
              <w:rPr>
                <w:rFonts w:ascii="Arial Narrow" w:cs="Arial Narrow" w:eastAsia="Arial Narrow" w:hAnsi="Arial Narrow"/>
                <w:sz w:val="20"/>
                <w:szCs w:val="20"/>
                <w:color w:val="auto"/>
              </w:rPr>
              <w:t>Equity plans</w:t>
            </w:r>
          </w:p>
        </w:tc>
        <w:tc>
          <w:tcPr>
            <w:tcW w:w="36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33</w:t>
            </w:r>
          </w:p>
        </w:tc>
        <w:tc>
          <w:tcPr>
            <w:tcW w:w="13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5</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40500" cy="2063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Segment and Other Information</w:t>
      </w:r>
    </w:p>
    <w:p>
      <w:pPr>
        <w:spacing w:after="0" w:line="375" w:lineRule="exact"/>
        <w:rPr>
          <w:sz w:val="20"/>
          <w:szCs w:val="20"/>
          <w:color w:val="auto"/>
        </w:rPr>
      </w:pPr>
    </w:p>
    <w:p>
      <w:pPr>
        <w:ind w:right="520"/>
        <w:spacing w:after="0" w:line="314" w:lineRule="auto"/>
        <w:rPr>
          <w:sz w:val="20"/>
          <w:szCs w:val="20"/>
          <w:color w:val="auto"/>
        </w:rPr>
      </w:pPr>
      <w:r>
        <w:rPr>
          <w:rFonts w:ascii="Arial" w:cs="Arial" w:eastAsia="Arial" w:hAnsi="Arial"/>
          <w:sz w:val="19"/>
          <w:szCs w:val="19"/>
          <w:b w:val="1"/>
          <w:bCs w:val="1"/>
          <w:color w:val="auto"/>
        </w:rPr>
        <w:t>Segment information reported herein is consistent with how it is reviewed and evaluated by our chief operating decision maker. We have the following four business units, which are our reportable segments:</w:t>
      </w:r>
    </w:p>
    <w:p>
      <w:pPr>
        <w:spacing w:after="0" w:line="148" w:lineRule="exact"/>
        <w:rPr>
          <w:sz w:val="20"/>
          <w:szCs w:val="20"/>
          <w:color w:val="auto"/>
        </w:rPr>
      </w:pPr>
    </w:p>
    <w:p>
      <w:pPr>
        <w:ind w:left="360" w:right="420" w:hanging="359"/>
        <w:spacing w:after="0" w:line="260" w:lineRule="auto"/>
        <w:rPr>
          <w:sz w:val="20"/>
          <w:szCs w:val="20"/>
          <w:color w:val="auto"/>
        </w:rPr>
      </w:pPr>
      <w:r>
        <w:rPr>
          <w:rFonts w:ascii="Arial" w:cs="Arial" w:eastAsia="Arial" w:hAnsi="Arial"/>
          <w:sz w:val="20"/>
          <w:szCs w:val="20"/>
          <w:b w:val="1"/>
          <w:bCs w:val="1"/>
          <w:i w:val="1"/>
          <w:iCs w:val="1"/>
          <w:color w:val="auto"/>
        </w:rPr>
        <w:t>Compute and Networking Business Unit (“CNBU”)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products and solutions sold into client,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cloud server, enterprise, graphics, and networking markets.</w:t>
      </w:r>
    </w:p>
    <w:p>
      <w:pPr>
        <w:spacing w:after="0" w:line="2" w:lineRule="exact"/>
        <w:rPr>
          <w:sz w:val="20"/>
          <w:szCs w:val="20"/>
          <w:color w:val="auto"/>
        </w:rPr>
      </w:pPr>
    </w:p>
    <w:p>
      <w:pPr>
        <w:ind w:left="360" w:right="300" w:hanging="359"/>
        <w:spacing w:after="0" w:line="250" w:lineRule="auto"/>
        <w:rPr>
          <w:sz w:val="20"/>
          <w:szCs w:val="20"/>
          <w:color w:val="auto"/>
        </w:rPr>
      </w:pPr>
      <w:r>
        <w:rPr>
          <w:rFonts w:ascii="Arial" w:cs="Arial" w:eastAsia="Arial" w:hAnsi="Arial"/>
          <w:sz w:val="20"/>
          <w:szCs w:val="20"/>
          <w:b w:val="1"/>
          <w:bCs w:val="1"/>
          <w:i w:val="1"/>
          <w:iCs w:val="1"/>
          <w:color w:val="auto"/>
        </w:rPr>
        <w:t>Mobile Business Unit (“MBU”)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and storage products sold into smartphone and other mobile-device markets.</w:t>
      </w:r>
    </w:p>
    <w:p>
      <w:pPr>
        <w:spacing w:after="0" w:line="1" w:lineRule="exact"/>
        <w:rPr>
          <w:sz w:val="20"/>
          <w:szCs w:val="20"/>
          <w:color w:val="auto"/>
        </w:rPr>
      </w:pPr>
    </w:p>
    <w:p>
      <w:pPr>
        <w:ind w:left="360" w:right="360" w:hanging="359"/>
        <w:spacing w:after="0" w:line="250" w:lineRule="auto"/>
        <w:rPr>
          <w:sz w:val="20"/>
          <w:szCs w:val="20"/>
          <w:color w:val="auto"/>
        </w:rPr>
      </w:pPr>
      <w:r>
        <w:rPr>
          <w:rFonts w:ascii="Arial" w:cs="Arial" w:eastAsia="Arial" w:hAnsi="Arial"/>
          <w:sz w:val="20"/>
          <w:szCs w:val="20"/>
          <w:b w:val="1"/>
          <w:bCs w:val="1"/>
          <w:i w:val="1"/>
          <w:iCs w:val="1"/>
          <w:color w:val="auto"/>
        </w:rPr>
        <w:t>Embedded Business Unit (“EBU”)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and storage products and solutions sold into automotive,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industrial, and consumer markets.</w:t>
      </w:r>
    </w:p>
    <w:p>
      <w:pPr>
        <w:spacing w:after="0" w:line="1" w:lineRule="exact"/>
        <w:rPr>
          <w:sz w:val="20"/>
          <w:szCs w:val="20"/>
          <w:color w:val="auto"/>
        </w:rPr>
      </w:pPr>
    </w:p>
    <w:p>
      <w:pPr>
        <w:ind w:left="360" w:right="420" w:hanging="359"/>
        <w:spacing w:after="0" w:line="266" w:lineRule="auto"/>
        <w:rPr>
          <w:sz w:val="20"/>
          <w:szCs w:val="20"/>
          <w:color w:val="auto"/>
        </w:rPr>
      </w:pPr>
      <w:r>
        <w:rPr>
          <w:rFonts w:ascii="Arial" w:cs="Arial" w:eastAsia="Arial" w:hAnsi="Arial"/>
          <w:sz w:val="20"/>
          <w:szCs w:val="20"/>
          <w:b w:val="1"/>
          <w:bCs w:val="1"/>
          <w:i w:val="1"/>
          <w:iCs w:val="1"/>
          <w:color w:val="auto"/>
        </w:rPr>
        <w:t>Storage Business Unit (“SBU”)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SSDs and component-level solutions sold into enterprise and cloud,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client, and consumer storage markets.</w:t>
      </w:r>
    </w:p>
    <w:p>
      <w:pPr>
        <w:spacing w:after="0" w:line="190"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84 | 2023 10-K</w:t>
      </w:r>
    </w:p>
    <w:p>
      <w:pPr>
        <w:sectPr>
          <w:pgSz w:w="12240" w:h="15840" w:orient="portrait"/>
          <w:cols w:equalWidth="0" w:num="1">
            <w:col w:w="10260"/>
          </w:cols>
          <w:pgMar w:left="1000" w:top="844" w:right="98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5,710</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13,693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12,280</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3,630</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7,260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7,203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3,637</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5,235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4,209</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2,553</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4,553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3,973</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27,705</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(585)</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5,844</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4,295</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(1,750)</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2,160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2,173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382</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1,752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1,006</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(1,887)</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173</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(3,832)</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10,281</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7,667</w:t>
            </w:r>
          </w:p>
        </w:tc>
        <w:tc>
          <w:tcPr>
            <w:tcW w:w="0" w:type="dxa"/>
            <w:vAlign w:val="bottom"/>
          </w:tcPr>
          <w:p>
            <w:pPr>
              <w:spacing w:after="0"/>
              <w:rPr>
                <w:sz w:val="1"/>
                <w:szCs w:val="1"/>
                <w:color w:val="auto"/>
              </w:rPr>
            </w:pPr>
          </w:p>
        </w:tc>
      </w:tr>
      <w:tr>
        <w:trPr>
          <w:trHeight w:val="548"/>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844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Stock-based compensation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(564)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(395)</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Inventory accounting policy change to FIFO</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Change in inventory cost absorption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(160)</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3D XPoint inventory write-down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(49)</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Restructure and asset impairments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Patent license charges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(128)</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(1,913)</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(579)</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(1,384)</w:t>
            </w:r>
          </w:p>
        </w:tc>
        <w:tc>
          <w:tcPr>
            <w:tcW w:w="0" w:type="dxa"/>
            <w:vAlign w:val="bottom"/>
          </w:tcPr>
          <w:p>
            <w:pPr>
              <w:spacing w:after="0"/>
              <w:rPr>
                <w:sz w:val="1"/>
                <w:szCs w:val="1"/>
                <w:color w:val="auto"/>
              </w:rPr>
            </w:pPr>
          </w:p>
        </w:tc>
      </w:tr>
      <w:tr>
        <w:trPr>
          <w:trHeight w:val="265"/>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Operating income (loss)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34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(5,745)</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9,702</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6,283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060" w:type="dxa"/>
            <w:vAlign w:val="bottom"/>
            <w:gridSpan w:val="4"/>
          </w:tcPr>
          <w:p>
            <w:pPr>
              <w:spacing w:after="0"/>
              <w:rPr>
                <w:sz w:val="20"/>
                <w:szCs w:val="20"/>
                <w:color w:val="auto"/>
              </w:rPr>
            </w:pPr>
            <w:r>
              <w:rPr>
                <w:rFonts w:ascii="Arial" w:cs="Arial" w:eastAsia="Arial" w:hAnsi="Arial"/>
                <w:sz w:val="20"/>
                <w:szCs w:val="20"/>
                <w:b w:val="1"/>
                <w:bCs w:val="1"/>
                <w:color w:val="auto"/>
                <w:w w:val="92"/>
              </w:rPr>
              <w:t>Depreciation and amortization expense included in operating income (loss) was as follows: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2023</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2,512</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2,766</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2,497</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2,149</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1,725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1,553</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1,324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1,280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1,028</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1,751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1,323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1,101</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7,756</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7,116</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6,214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-7495540</wp:posOffset>
            </wp:positionV>
            <wp:extent cx="6553200" cy="7515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6553200" cy="751522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1386205</wp:posOffset>
            </wp:positionV>
            <wp:extent cx="736600" cy="2000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9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10260"/>
          </w:cols>
          <w:pgMar w:left="1000" w:top="891" w:right="980" w:bottom="0" w:gutter="0" w:footer="0" w:header="0"/>
          <w:type w:val="continuous"/>
        </w:sectPr>
      </w:pPr>
    </w:p>
    <w:bookmarkStart w:id="89" w:name="page90"/>
    <w:bookmarkEnd w:id="89"/>
    <w:p>
      <w:pPr>
        <w:spacing w:after="0"/>
        <w:rPr>
          <w:sz w:val="20"/>
          <w:szCs w:val="20"/>
          <w:color w:val="auto"/>
        </w:rPr>
      </w:pPr>
      <w:r>
        <w:rPr>
          <w:rFonts w:ascii="Arial Narrow" w:cs="Arial Narrow" w:eastAsia="Arial Narrow" w:hAnsi="Arial Narrow"/>
          <w:sz w:val="44"/>
          <w:szCs w:val="44"/>
          <w:b w:val="1"/>
          <w:bCs w:val="1"/>
          <w:color w:val="auto"/>
        </w:rPr>
        <w:t>Certain Concentrations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market segment as an approximate percent of total revenue is presented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7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80" w:type="dxa"/>
            <w:vAlign w:val="bottom"/>
            <w:tcBorders>
              <w:bottom w:val="single" w:sz="8" w:color="auto"/>
            </w:tcBorders>
          </w:tcPr>
          <w:p>
            <w:pPr>
              <w:jc w:val="right"/>
              <w:ind w:right="600"/>
              <w:spacing w:after="0"/>
              <w:rPr>
                <w:sz w:val="20"/>
                <w:szCs w:val="20"/>
                <w:color w:val="auto"/>
              </w:rPr>
            </w:pPr>
            <w:r>
              <w:rPr>
                <w:rFonts w:ascii="Arial Narrow" w:cs="Arial Narrow" w:eastAsia="Arial Narrow" w:hAnsi="Arial Narrow"/>
                <w:sz w:val="20"/>
                <w:szCs w:val="20"/>
                <w:b w:val="1"/>
                <w:bCs w:val="1"/>
                <w:color w:val="auto"/>
              </w:rPr>
              <w:t>2023</w:t>
            </w:r>
          </w:p>
        </w:tc>
        <w:tc>
          <w:tcPr>
            <w:tcW w:w="1320" w:type="dxa"/>
            <w:vAlign w:val="bottom"/>
            <w:tcBorders>
              <w:bottom w:val="single" w:sz="8" w:color="auto"/>
            </w:tcBorders>
          </w:tcPr>
          <w:p>
            <w:pPr>
              <w:jc w:val="right"/>
              <w:ind w:right="600"/>
              <w:spacing w:after="0"/>
              <w:rPr>
                <w:sz w:val="20"/>
                <w:szCs w:val="20"/>
                <w:color w:val="auto"/>
              </w:rPr>
            </w:pPr>
            <w:r>
              <w:rPr>
                <w:rFonts w:ascii="Arial Narrow" w:cs="Arial Narrow" w:eastAsia="Arial Narrow" w:hAnsi="Arial Narrow"/>
                <w:sz w:val="20"/>
                <w:szCs w:val="20"/>
                <w:b w:val="1"/>
                <w:bCs w:val="1"/>
                <w:color w:val="auto"/>
              </w:rPr>
              <w:t>2022</w:t>
            </w:r>
          </w:p>
        </w:tc>
        <w:tc>
          <w:tcPr>
            <w:tcW w:w="108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4780" w:type="dxa"/>
            <w:vAlign w:val="bottom"/>
          </w:tcPr>
          <w:p>
            <w:pPr>
              <w:ind w:left="40"/>
              <w:spacing w:after="0"/>
              <w:rPr>
                <w:sz w:val="20"/>
                <w:szCs w:val="20"/>
                <w:color w:val="auto"/>
              </w:rPr>
            </w:pPr>
            <w:r>
              <w:rPr>
                <w:rFonts w:ascii="Arial Narrow" w:cs="Arial Narrow" w:eastAsia="Arial Narrow" w:hAnsi="Arial Narrow"/>
                <w:sz w:val="20"/>
                <w:szCs w:val="20"/>
                <w:color w:val="auto"/>
              </w:rPr>
              <w:t>Automotive, industrial, and consumer</w:t>
            </w:r>
          </w:p>
        </w:tc>
        <w:tc>
          <w:tcPr>
            <w:tcW w:w="30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r>
      <w:tr>
        <w:trPr>
          <w:trHeight w:val="285"/>
        </w:trPr>
        <w:tc>
          <w:tcPr>
            <w:tcW w:w="4780" w:type="dxa"/>
            <w:vAlign w:val="bottom"/>
          </w:tcPr>
          <w:p>
            <w:pPr>
              <w:ind w:left="40"/>
              <w:spacing w:after="0"/>
              <w:rPr>
                <w:sz w:val="20"/>
                <w:szCs w:val="20"/>
                <w:color w:val="auto"/>
              </w:rPr>
            </w:pPr>
            <w:r>
              <w:rPr>
                <w:rFonts w:ascii="Arial Narrow" w:cs="Arial Narrow" w:eastAsia="Arial Narrow" w:hAnsi="Arial Narrow"/>
                <w:sz w:val="20"/>
                <w:szCs w:val="20"/>
                <w:color w:val="auto"/>
              </w:rPr>
              <w:t>Mobile</w:t>
            </w:r>
          </w:p>
        </w:tc>
        <w:tc>
          <w:tcPr>
            <w:tcW w:w="30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25 %</w:t>
            </w:r>
          </w:p>
        </w:tc>
      </w:tr>
      <w:tr>
        <w:trPr>
          <w:trHeight w:val="285"/>
        </w:trPr>
        <w:tc>
          <w:tcPr>
            <w:tcW w:w="4780" w:type="dxa"/>
            <w:vAlign w:val="bottom"/>
          </w:tcPr>
          <w:p>
            <w:pPr>
              <w:ind w:left="40"/>
              <w:spacing w:after="0"/>
              <w:rPr>
                <w:sz w:val="20"/>
                <w:szCs w:val="20"/>
                <w:color w:val="auto"/>
              </w:rPr>
            </w:pPr>
            <w:r>
              <w:rPr>
                <w:rFonts w:ascii="Arial Narrow" w:cs="Arial Narrow" w:eastAsia="Arial Narrow" w:hAnsi="Arial Narrow"/>
                <w:sz w:val="20"/>
                <w:szCs w:val="20"/>
                <w:color w:val="auto"/>
              </w:rPr>
              <w:t>Client and graphics</w:t>
            </w:r>
          </w:p>
        </w:tc>
        <w:tc>
          <w:tcPr>
            <w:tcW w:w="30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20 %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r>
      <w:tr>
        <w:trPr>
          <w:trHeight w:val="285"/>
        </w:trPr>
        <w:tc>
          <w:tcPr>
            <w:tcW w:w="4780" w:type="dxa"/>
            <w:vAlign w:val="bottom"/>
          </w:tcPr>
          <w:p>
            <w:pPr>
              <w:ind w:left="40"/>
              <w:spacing w:after="0"/>
              <w:rPr>
                <w:sz w:val="20"/>
                <w:szCs w:val="20"/>
                <w:color w:val="auto"/>
              </w:rPr>
            </w:pPr>
            <w:r>
              <w:rPr>
                <w:rFonts w:ascii="Arial Narrow" w:cs="Arial Narrow" w:eastAsia="Arial Narrow" w:hAnsi="Arial Narrow"/>
                <w:sz w:val="20"/>
                <w:szCs w:val="20"/>
                <w:color w:val="auto"/>
              </w:rPr>
              <w:t>Enterprise and cloud server</w:t>
            </w:r>
          </w:p>
        </w:tc>
        <w:tc>
          <w:tcPr>
            <w:tcW w:w="30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20 %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r>
      <w:tr>
        <w:trPr>
          <w:trHeight w:val="285"/>
        </w:trPr>
        <w:tc>
          <w:tcPr>
            <w:tcW w:w="4780" w:type="dxa"/>
            <w:vAlign w:val="bottom"/>
          </w:tcPr>
          <w:p>
            <w:pPr>
              <w:ind w:left="40"/>
              <w:spacing w:after="0"/>
              <w:rPr>
                <w:sz w:val="20"/>
                <w:szCs w:val="20"/>
                <w:color w:val="auto"/>
              </w:rPr>
            </w:pPr>
            <w:r>
              <w:rPr>
                <w:rFonts w:ascii="Arial Narrow" w:cs="Arial Narrow" w:eastAsia="Arial Narrow" w:hAnsi="Arial Narrow"/>
                <w:sz w:val="20"/>
                <w:szCs w:val="20"/>
                <w:color w:val="auto"/>
              </w:rPr>
              <w:t>SSDs and other storage</w:t>
            </w:r>
          </w:p>
        </w:tc>
        <w:tc>
          <w:tcPr>
            <w:tcW w:w="30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-909320</wp:posOffset>
            </wp:positionV>
            <wp:extent cx="6540500" cy="930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277"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b w:val="1"/>
          <w:bCs w:val="1"/>
          <w:color w:val="auto"/>
        </w:rPr>
        <w:t>No customer accounted for 10% or more of total revenue in 2023. Revenue from Kingston Technology Company, Inc. was 12% of total revenue in 2022 and revenue from WPG Holdings Limited was 11% and 13% of total revenue in 2022 and 2021, respectively. Sales to Kingston were primarily included in our CNBU and SBU segments and sales to WPG were primarily included in our MBU, CNBU, and EBU segments.</w:t>
      </w:r>
    </w:p>
    <w:p>
      <w:pPr>
        <w:spacing w:after="0" w:line="180"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b w:val="1"/>
          <w:bCs w:val="1"/>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71"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86 | 2023 10-K</w:t>
      </w:r>
    </w:p>
    <w:p>
      <w:pPr>
        <w:sectPr>
          <w:pgSz w:w="12240" w:h="15840" w:orient="portrait"/>
          <w:cols w:equalWidth="0" w:num="1">
            <w:col w:w="10260"/>
          </w:cols>
          <w:pgMar w:left="1000" w:top="732" w:right="980" w:bottom="0" w:gutter="0" w:footer="0" w:header="0"/>
          <w:type w:val="continuous"/>
        </w:sectPr>
      </w:pPr>
    </w:p>
    <w:bookmarkStart w:id="90" w:name="page91"/>
    <w:bookmarkEnd w:id="90"/>
    <w:p>
      <w:pPr>
        <w:spacing w:after="0"/>
        <w:rPr>
          <w:sz w:val="20"/>
          <w:szCs w:val="20"/>
          <w:color w:val="auto"/>
        </w:rPr>
      </w:pPr>
      <w:r>
        <w:rPr>
          <w:rFonts w:ascii="Arial Narrow" w:cs="Arial Narrow" w:eastAsia="Arial Narrow" w:hAnsi="Arial Narrow"/>
          <w:sz w:val="44"/>
          <w:szCs w:val="44"/>
          <w:b w:val="1"/>
          <w:bCs w:val="1"/>
          <w:color w:val="auto"/>
        </w:rPr>
        <w:t>Geographic Information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60" w:type="dxa"/>
            <w:vAlign w:val="bottom"/>
            <w:gridSpan w:val="4"/>
          </w:tcPr>
          <w:p>
            <w:pPr>
              <w:spacing w:after="0"/>
              <w:rPr>
                <w:sz w:val="20"/>
                <w:szCs w:val="20"/>
                <w:color w:val="auto"/>
              </w:rPr>
            </w:pPr>
            <w:r>
              <w:rPr>
                <w:rFonts w:ascii="Arial" w:cs="Arial" w:eastAsia="Arial" w:hAnsi="Arial"/>
                <w:sz w:val="20"/>
                <w:szCs w:val="20"/>
                <w:b w:val="1"/>
                <w:bCs w:val="1"/>
                <w:color w:val="auto"/>
                <w:w w:val="92"/>
              </w:rPr>
              <w:t>Revenue based on the geographic location of our customers’ headquarters was as follows:</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2021</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7,805</w:t>
            </w:r>
          </w:p>
        </w:tc>
        <w:tc>
          <w:tcPr>
            <w:tcW w:w="42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16,026</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12,155</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2,697</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6,185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6,606</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Mainland China (excluding 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2,181</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3,311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2,456</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987</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1,696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1,652</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Asia Pacific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752</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1,223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1,420</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Europe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682</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505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573</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340</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1,665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2,582</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147</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261</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42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27,705</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5"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b w:val="1"/>
          <w:bCs w:val="1"/>
          <w:color w:val="auto"/>
        </w:rPr>
        <w:t>Long-lived assets by geographic area consisted of property, plant, and equipment and operating lease right-of-use assets and were as follows:</w:t>
      </w:r>
    </w:p>
    <w:tbl>
      <w:tblPr>
        <w:tblLayout w:type="fixed"/>
        <w:tblInd w:w="0" w:type="dxa"/>
        <w:tblCellMar>
          <w:top w:w="0" w:type="dxa"/>
          <w:left w:w="0" w:type="dxa"/>
          <w:bottom w:w="0" w:type="dxa"/>
          <w:right w:w="0" w:type="dxa"/>
        </w:tblCellMar>
      </w:tblPr>
      <w:tr>
        <w:trPr>
          <w:trHeight w:val="222"/>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line="222" w:lineRule="exact"/>
              <w:rPr>
                <w:sz w:val="20"/>
                <w:szCs w:val="20"/>
                <w:color w:val="auto"/>
              </w:rPr>
            </w:pPr>
            <w:r>
              <w:rPr>
                <w:rFonts w:ascii="Arial Narrow" w:cs="Arial Narrow" w:eastAsia="Arial Narrow" w:hAnsi="Arial Narrow"/>
                <w:sz w:val="20"/>
                <w:szCs w:val="20"/>
                <w:b w:val="1"/>
                <w:bCs w:val="1"/>
                <w:color w:val="auto"/>
              </w:rPr>
              <w:t>August 31,</w:t>
            </w:r>
          </w:p>
        </w:tc>
        <w:tc>
          <w:tcPr>
            <w:tcW w:w="1320" w:type="dxa"/>
            <w:vAlign w:val="bottom"/>
            <w:gridSpan w:val="2"/>
          </w:tcPr>
          <w:p>
            <w:pPr>
              <w:jc w:val="right"/>
              <w:ind w:right="40"/>
              <w:spacing w:after="0" w:line="222" w:lineRule="exact"/>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12,926</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13,143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11,283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12,045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7,323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7,113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5,196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5,155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1,124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440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347</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337</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38,594</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39,227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4279900</wp:posOffset>
            </wp:positionV>
            <wp:extent cx="736600" cy="2000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10260"/>
          </w:cols>
          <w:pgMar w:left="1000" w:top="732" w:right="980" w:bottom="0" w:gutter="0" w:footer="0" w:header="0"/>
          <w:type w:val="continuous"/>
        </w:sectPr>
      </w:pPr>
    </w:p>
    <w:bookmarkStart w:id="91" w:name="page92"/>
    <w:bookmarkEnd w:id="91"/>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Board of Directors and Shareholders of 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 xml:space="preserve">We have audited the accompanying consolidated balance sheets of Micron Technology, Inc. and its subsidiaries (the “Company”) as of August 31, 2023 and September 1, 2022, and the related consolidated statements of operations, of comprehensive income (loss), of changes in equity and of cash flows for each of the three years in the period ended August 31, 2023, including the related notes and schedule of valuation and qualifying accounts for each of the three years in the period ended August 31, 2023 appearing under Item 15 (collectively referred to as the “consolidated financial statements”). We also have audited the Company’s internal control over financial reporting as of August 31, 2023,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Committee of Sponsoring Organizations of the Treadway Commission (COSO).</w:t>
      </w:r>
    </w:p>
    <w:p>
      <w:pPr>
        <w:spacing w:after="0" w:line="194" w:lineRule="exact"/>
        <w:rPr>
          <w:sz w:val="20"/>
          <w:szCs w:val="20"/>
          <w:color w:val="auto"/>
        </w:rPr>
      </w:pPr>
    </w:p>
    <w:p>
      <w:pPr>
        <w:ind w:right="280"/>
        <w:spacing w:after="0" w:line="273" w:lineRule="auto"/>
        <w:rPr>
          <w:sz w:val="20"/>
          <w:szCs w:val="20"/>
          <w:color w:val="auto"/>
        </w:rPr>
      </w:pPr>
      <w:r>
        <w:rPr>
          <w:rFonts w:ascii="Arial" w:cs="Arial" w:eastAsia="Arial" w:hAnsi="Arial"/>
          <w:sz w:val="19"/>
          <w:szCs w:val="19"/>
          <w:b w:val="1"/>
          <w:bCs w:val="1"/>
          <w:color w:val="auto"/>
        </w:rPr>
        <w:t xml:space="preserve">In our opinion, the consolidated financial statements referred to above present fairly, in all material respects, the financial position of the Company as of August 31, 2023 and September 1, 2022, and the results of its operations and its cash flows for each of the three years in the period ended August 31, 2023 in conformity with accounting principles generally accepted in the United States of America. Also in our opinion, the Company maintained, in all material respects, effective internal control over financial reporting as of August 31, 2023,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b w:val="1"/>
          <w:bCs w:val="1"/>
          <w:color w:val="auto"/>
        </w:rPr>
        <w:t>As discussed in the Significant Accounting Policies and Inventories notes to the consolidated financial statements, the Company changed the manner in which it accounts for inventory costing from the average cost inventory accounting method to the first-in, first-out inventory accounting method in 2021.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88 | 2023 10-K</w:t>
      </w:r>
    </w:p>
    <w:p>
      <w:pPr>
        <w:sectPr>
          <w:pgSz w:w="12240" w:h="15840" w:orient="portrait"/>
          <w:cols w:equalWidth="0" w:num="1">
            <w:col w:w="10240"/>
          </w:cols>
          <w:pgMar w:left="1000" w:top="799" w:right="100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Realizable Value of Finished Goods and Work in Process Inventories</w:t>
      </w:r>
    </w:p>
    <w:p>
      <w:pPr>
        <w:spacing w:after="0" w:line="216"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As described in the Inventories note to the consolidated financial statements, as of August 31, 2023, the Company had net finished goods and work in process inventories totaling $7.7 billion. As disclosed by management, determining the net realizable value of the Company's finished goods and work in process inventories involves significant judgments, including projecting future average selling prices, future sales volumes, and future cost per part. The memory and storage industry environment deteriorated sharply in the fourth quarter of 2022 and throughout 2023 due to weak demand in many end markets combined with global and macroeconomic challenges and lower demand resulting from customer actions to reduce elevated inventory levels. This led to significant reductions in average selling prices for both DRAM and NAND, resulting in declines in revenue across all of the Company’s business segments and nearly all end markets. The Company recorded charges of $1.83 billion to cost of goods sold to write down the carrying value of work in process and finished goods inventories to their estimated net realizable value.</w:t>
      </w:r>
    </w:p>
    <w:p>
      <w:pPr>
        <w:spacing w:after="0" w:line="206"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b w:val="1"/>
          <w:bCs w:val="1"/>
          <w:color w:val="auto"/>
        </w:rPr>
        <w:t>The principal considerations for our determination that performing procedures relating to the net realizable value of finished goods and work in process inventories is a critical audit matter are (i) the significant judgment by management in determining the net realizable value of finished goods and work in process inventories and (ii) a high degree of auditor judgment, subjectivity, and effort in performing procedures and evaluating management’s significant assumptions related to future average selling prices and future cost per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2085975</wp:posOffset>
            </wp:positionV>
            <wp:extent cx="736600" cy="2000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0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10260"/>
          </w:cols>
          <w:pgMar w:left="1000" w:top="801" w:right="980" w:bottom="0" w:gutter="0" w:footer="0" w:header="0"/>
          <w:type w:val="continuous"/>
        </w:sectPr>
      </w:pPr>
    </w:p>
    <w:bookmarkStart w:id="93" w:name="page94"/>
    <w:bookmarkEnd w:id="93"/>
    <w:p>
      <w:pPr>
        <w:spacing w:after="0" w:line="266" w:lineRule="auto"/>
        <w:rPr>
          <w:sz w:val="20"/>
          <w:szCs w:val="20"/>
          <w:color w:val="auto"/>
        </w:rPr>
      </w:pPr>
      <w:r>
        <w:rPr>
          <w:rFonts w:ascii="Arial" w:cs="Arial" w:eastAsia="Arial" w:hAnsi="Arial"/>
          <w:sz w:val="19"/>
          <w:szCs w:val="19"/>
          <w:b w:val="1"/>
          <w:bCs w:val="1"/>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net realizable value of finished goods and work in process inventories, including controls over significant assumptions and data utilized. These procedures also included, among others (i) testing management's process for determining the net realizable value of finished goods and work in process inventories; (ii) evaluating the appropriateness of management’s methodology; (iii) testing the completeness and accuracy of underlying data used in determining the net realizable value; and (iv) evaluating the reasonableness of management's significant assumptions related to future average selling prices and future cost per part. Evaluating management's assumption related to future average selling prices for certain products involved evaluating whether the assumption used by management was reasonable considering (i) current and past results, including recent sales; (ii) the consistency with external market, industry data or current contract prices; (iii) a comparison of the prior year estimates to actual results in the current fiscal year; and (iv) whether the assumption was consistent with evidence obtained in other areas of the audit. Evaluating management's assumption related to future cost per part for certain products involved evaluating whether the assumption used by management was reasonable considering (i) current and past results; (ii) a comparison of the prior year estimates to actual results in the current fiscal year; and (iii) whether the assumption was consistent with evidence obtained in other areas of the audit.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Jose, California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6, 2023</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1984.</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 2023 10-K</w:t>
      </w:r>
    </w:p>
    <w:p>
      <w:pPr>
        <w:sectPr>
          <w:pgSz w:w="12240" w:h="15840" w:orient="portrait"/>
          <w:cols w:equalWidth="0" w:num="1">
            <w:col w:w="10220"/>
          </w:cols>
          <w:pgMar w:left="1000" w:top="799" w:right="1020" w:bottom="0" w:gutter="0" w:footer="0" w:header="0"/>
          <w:type w:val="continuous"/>
        </w:sectPr>
      </w:pPr>
    </w:p>
    <w:bookmarkStart w:id="94" w:name="page95"/>
    <w:bookmarkEnd w:id="94"/>
    <w:p>
      <w:pPr>
        <w:ind w:right="260"/>
        <w:spacing w:after="0" w:line="305" w:lineRule="auto"/>
        <w:rPr>
          <w:sz w:val="20"/>
          <w:szCs w:val="20"/>
          <w:color w:val="auto"/>
        </w:rPr>
      </w:pPr>
      <w:r>
        <w:rPr>
          <w:rFonts w:ascii="Arial Narrow" w:cs="Arial Narrow" w:eastAsia="Arial Narrow" w:hAnsi="Arial Narrow"/>
          <w:sz w:val="28"/>
          <w:szCs w:val="2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19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9A. CONTROLS AND PROCEDURES</w:t>
      </w:r>
    </w:p>
    <w:p>
      <w:pPr>
        <w:spacing w:after="0" w:line="30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b w:val="1"/>
          <w:bCs w:val="1"/>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06" w:lineRule="exact"/>
        <w:rPr>
          <w:sz w:val="20"/>
          <w:szCs w:val="20"/>
          <w:color w:val="auto"/>
        </w:rPr>
      </w:pPr>
    </w:p>
    <w:p>
      <w:pPr>
        <w:ind w:right="340"/>
        <w:spacing w:after="0" w:line="345" w:lineRule="auto"/>
        <w:rPr>
          <w:sz w:val="20"/>
          <w:szCs w:val="20"/>
          <w:color w:val="auto"/>
        </w:rPr>
      </w:pPr>
      <w:r>
        <w:rPr>
          <w:rFonts w:ascii="Arial" w:cs="Arial" w:eastAsia="Arial" w:hAnsi="Arial"/>
          <w:sz w:val="18"/>
          <w:szCs w:val="18"/>
          <w:b w:val="1"/>
          <w:bCs w:val="1"/>
          <w:color w:val="auto"/>
        </w:rPr>
        <w:t>During the fourth quarter of 2023,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b w:val="1"/>
          <w:bCs w:val="1"/>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31, 2023. The effectiveness of our internal control over financial reporting as of August 31, 2023 has been audited by PricewaterhouseCoopers LLP, an independent registered public accounting firm, as stated in their report, which is included in Part II, Item 8,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1828165</wp:posOffset>
            </wp:positionV>
            <wp:extent cx="736600" cy="200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10260"/>
          </w:cols>
          <w:pgMar w:left="1000" w:top="793" w:right="980" w:bottom="0" w:gutter="0" w:footer="0" w:header="0"/>
          <w:type w:val="continuous"/>
        </w:sectPr>
      </w:pPr>
    </w:p>
    <w:bookmarkStart w:id="95" w:name="page96"/>
    <w:bookmarkEnd w:id="95"/>
    <w:p>
      <w:pPr>
        <w:spacing w:after="0"/>
        <w:rPr>
          <w:sz w:val="20"/>
          <w:szCs w:val="20"/>
          <w:color w:val="auto"/>
        </w:rPr>
      </w:pPr>
      <w:r>
        <w:rPr>
          <w:rFonts w:ascii="Arial Narrow" w:cs="Arial Narrow" w:eastAsia="Arial Narrow" w:hAnsi="Arial Narrow"/>
          <w:sz w:val="28"/>
          <w:szCs w:val="28"/>
          <w:b w:val="1"/>
          <w:bCs w:val="1"/>
          <w:color w:val="auto"/>
        </w:rPr>
        <w:t>ITEM 9B.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Securities Trading Plans of Directors and Executive Officers</w:t>
      </w:r>
    </w:p>
    <w:p>
      <w:pPr>
        <w:spacing w:after="0" w:line="299" w:lineRule="exact"/>
        <w:rPr>
          <w:sz w:val="20"/>
          <w:szCs w:val="20"/>
          <w:color w:val="auto"/>
        </w:rPr>
      </w:pPr>
    </w:p>
    <w:p>
      <w:pPr>
        <w:ind w:right="200"/>
        <w:spacing w:after="0" w:line="270" w:lineRule="auto"/>
        <w:rPr>
          <w:sz w:val="20"/>
          <w:szCs w:val="20"/>
          <w:color w:val="auto"/>
        </w:rPr>
      </w:pPr>
      <w:r>
        <w:rPr>
          <w:rFonts w:ascii="Arial" w:cs="Arial" w:eastAsia="Arial" w:hAnsi="Arial"/>
          <w:sz w:val="20"/>
          <w:szCs w:val="20"/>
          <w:b w:val="1"/>
          <w:bCs w:val="1"/>
          <w:color w:val="auto"/>
        </w:rPr>
        <w:t>The following director and officer, as defined in Rule 16a-1(f) of the Exchange Act, adopted a “Rule 10b5-1 trading arrangement,” as defined in Item 408 of Regulation S-K, as follows:</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On May 15, 2023, Sanjay Mehrotra, our President, Chief Executive Officer and Director, adopted a Rule 10b5-1 trading arrangement providing for the sale of an aggregate of up to 812,284 shares of our common stock, including up to 612,284 shares subject to outstanding stock options, which were granted in calendar 2017 and would otherwise expire in calendar 2025. The remaining shares subject to the trading arrangement are shares acquired by Mr. Mehrotra pursuant to our Restricted Stock Awards. The trading arrangement is intended to satisfy the affirmative defense in Rule 10b5-1(c). The first date that sales of any shares were permitted to be sold under the trading arrangement was August 14, 2023, and subsequent sales under the trading arrangement may occur on a regular basis for the duration of the trading arrangement until May 8, 2025, or earlier if all transactions under the trading arrangement are completed.</w:t>
      </w:r>
    </w:p>
    <w:p>
      <w:pPr>
        <w:spacing w:after="0" w:line="187"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137" w:lineRule="exact"/>
        <w:rPr>
          <w:sz w:val="20"/>
          <w:szCs w:val="20"/>
          <w:color w:val="auto"/>
        </w:rPr>
      </w:pPr>
    </w:p>
    <w:p>
      <w:pPr>
        <w:ind w:right="1480"/>
        <w:spacing w:after="0" w:line="305" w:lineRule="auto"/>
        <w:rPr>
          <w:sz w:val="20"/>
          <w:szCs w:val="20"/>
          <w:color w:val="auto"/>
        </w:rPr>
      </w:pPr>
      <w:r>
        <w:rPr>
          <w:rFonts w:ascii="Arial Narrow" w:cs="Arial Narrow" w:eastAsia="Arial Narrow" w:hAnsi="Arial Narrow"/>
          <w:sz w:val="28"/>
          <w:szCs w:val="28"/>
          <w:b w:val="1"/>
          <w:bCs w:val="1"/>
          <w:color w:val="auto"/>
        </w:rPr>
        <w:t>ITEM 9C. DISCLOSURE REGARDING FOREIGN JURISDICTIONS THAT PREVENT INSPECTIONS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III</w:t>
      </w:r>
    </w:p>
    <w:p>
      <w:pPr>
        <w:spacing w:after="0" w:line="271" w:lineRule="exact"/>
        <w:rPr>
          <w:sz w:val="20"/>
          <w:szCs w:val="20"/>
          <w:color w:val="auto"/>
        </w:rPr>
      </w:pPr>
    </w:p>
    <w:p>
      <w:pPr>
        <w:ind w:right="1380"/>
        <w:spacing w:after="0" w:line="430" w:lineRule="auto"/>
        <w:rPr>
          <w:sz w:val="20"/>
          <w:szCs w:val="20"/>
          <w:color w:val="auto"/>
        </w:rPr>
      </w:pPr>
      <w:r>
        <w:rPr>
          <w:rFonts w:ascii="Arial Narrow" w:cs="Arial Narrow" w:eastAsia="Arial Narrow" w:hAnsi="Arial Narrow"/>
          <w:sz w:val="28"/>
          <w:szCs w:val="28"/>
          <w:b w:val="1"/>
          <w:bCs w:val="1"/>
          <w:color w:val="auto"/>
        </w:rPr>
        <w:t>ITEM 10. DIRECTORS, EXECUTIVE OFFICERS, AND CORPORATE GOVERNANCE ITEM 11. EXECUTIVE COMPENSATION</w:t>
      </w:r>
    </w:p>
    <w:p>
      <w:pPr>
        <w:spacing w:after="0" w:line="1" w:lineRule="exact"/>
        <w:rPr>
          <w:sz w:val="20"/>
          <w:szCs w:val="20"/>
          <w:color w:val="auto"/>
        </w:rPr>
      </w:pPr>
    </w:p>
    <w:p>
      <w:pPr>
        <w:ind w:right="320"/>
        <w:spacing w:after="0" w:line="305" w:lineRule="auto"/>
        <w:rPr>
          <w:sz w:val="20"/>
          <w:szCs w:val="20"/>
          <w:color w:val="auto"/>
        </w:rPr>
      </w:pPr>
      <w:r>
        <w:rPr>
          <w:rFonts w:ascii="Arial Narrow" w:cs="Arial Narrow" w:eastAsia="Arial Narrow" w:hAnsi="Arial Narrow"/>
          <w:sz w:val="28"/>
          <w:szCs w:val="28"/>
          <w:b w:val="1"/>
          <w:bCs w:val="1"/>
          <w:color w:val="auto"/>
        </w:rPr>
        <w:t>ITEM 12. SECURITY OWNERSHIP OF CERTAIN BENEFICIAL OWNERS AND MANAGEMENT AND RELATED STOCKHOLDER MATTERS</w:t>
      </w:r>
    </w:p>
    <w:p>
      <w:pPr>
        <w:spacing w:after="0" w:line="95" w:lineRule="exact"/>
        <w:rPr>
          <w:sz w:val="20"/>
          <w:szCs w:val="20"/>
          <w:color w:val="auto"/>
        </w:rPr>
      </w:pPr>
    </w:p>
    <w:p>
      <w:pPr>
        <w:ind w:right="820"/>
        <w:spacing w:after="0" w:line="305" w:lineRule="auto"/>
        <w:rPr>
          <w:sz w:val="20"/>
          <w:szCs w:val="20"/>
          <w:color w:val="auto"/>
        </w:rPr>
      </w:pPr>
      <w:r>
        <w:rPr>
          <w:rFonts w:ascii="Arial Narrow" w:cs="Arial Narrow" w:eastAsia="Arial Narrow" w:hAnsi="Arial Narrow"/>
          <w:sz w:val="28"/>
          <w:szCs w:val="28"/>
          <w:b w:val="1"/>
          <w:bCs w:val="1"/>
          <w:color w:val="auto"/>
        </w:rPr>
        <w:t>ITEM 13. CERTAIN RELATIONSHIPS AND RELATED TRANSACTIONS, AND DIRECTOR INDEPENDENCE</w:t>
      </w:r>
    </w:p>
    <w:p>
      <w:pPr>
        <w:spacing w:after="0" w:line="95"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14. PRINCIPAL ACCOUNTANT FEES AND SERVICES</w:t>
      </w:r>
    </w:p>
    <w:p>
      <w:pPr>
        <w:spacing w:after="0" w:line="306"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auto"/>
        </w:rPr>
        <w:t>Certain information concerning our executive officers is included under the caption, “Information About Our Executive Officers” in Part I, Item 1 of this report. Other information required by Items 10, 11, 12, 13, and 14 will be contained in our 2023 Proxy Statement which will be filed with the SEC within 120 days after August 31, 2023 and is incorporated herein by reference.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92 | 2023 10-K</w:t>
      </w:r>
    </w:p>
    <w:p>
      <w:pPr>
        <w:sectPr>
          <w:pgSz w:w="12240" w:h="15840" w:orient="portrait"/>
          <w:cols w:equalWidth="0" w:num="1">
            <w:col w:w="10240"/>
          </w:cols>
          <w:pgMar w:left="1000" w:top="793" w:right="1000" w:bottom="0" w:gutter="0" w:footer="0" w:header="0"/>
          <w:type w:val="continuous"/>
        </w:sectPr>
      </w:pPr>
    </w:p>
    <w:bookmarkStart w:id="96" w:name="page97"/>
    <w:bookmarkEnd w:id="96"/>
    <w:p>
      <w:pPr>
        <w:spacing w:after="0"/>
        <w:rPr>
          <w:sz w:val="20"/>
          <w:szCs w:val="20"/>
          <w:color w:val="auto"/>
        </w:rPr>
      </w:pPr>
      <w:r>
        <w:rPr>
          <w:rFonts w:ascii="Arial Narrow" w:cs="Arial Narrow" w:eastAsia="Arial Narrow" w:hAnsi="Arial Narrow"/>
          <w:sz w:val="32"/>
          <w:szCs w:val="32"/>
          <w:b w:val="1"/>
          <w:bCs w:val="1"/>
          <w:color w:val="auto"/>
        </w:rPr>
        <w:t>PART IV</w:t>
      </w:r>
    </w:p>
    <w:p>
      <w:pPr>
        <w:spacing w:after="0" w:line="271"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15. EXHIBITS AND FINANCIAL STATEMENT SCHEDULE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The following documents are filed as part of this report:</w:t>
      </w:r>
    </w:p>
    <w:p>
      <w:pPr>
        <w:spacing w:after="0" w:line="77" w:lineRule="exact"/>
        <w:rPr>
          <w:sz w:val="20"/>
          <w:szCs w:val="20"/>
          <w:color w:val="auto"/>
        </w:rPr>
      </w:pPr>
    </w:p>
    <w:p>
      <w:pPr>
        <w:ind w:left="560" w:hanging="363"/>
        <w:spacing w:after="0"/>
        <w:tabs>
          <w:tab w:leader="none" w:pos="5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See our consolidated financial statements under Item 8.</w:t>
      </w:r>
    </w:p>
    <w:p>
      <w:pPr>
        <w:spacing w:after="0" w:line="53" w:lineRule="exact"/>
        <w:rPr>
          <w:sz w:val="20"/>
          <w:szCs w:val="20"/>
          <w:color w:val="auto"/>
        </w:rPr>
      </w:pPr>
    </w:p>
    <w:p>
      <w:pPr>
        <w:ind w:left="560" w:hanging="363"/>
        <w:spacing w:after="0"/>
        <w:tabs>
          <w:tab w:leader="none" w:pos="5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w:t>
      </w:r>
    </w:p>
    <w:p>
      <w:pPr>
        <w:ind w:left="5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See “Schedule II – Valuation and Qualifying Accounts” within Item 15 below.</w:t>
      </w:r>
    </w:p>
    <w:p>
      <w:pPr>
        <w:spacing w:after="0" w:line="150" w:lineRule="exact"/>
        <w:rPr>
          <w:sz w:val="20"/>
          <w:szCs w:val="20"/>
          <w:color w:val="auto"/>
        </w:rPr>
      </w:pPr>
    </w:p>
    <w:p>
      <w:pPr>
        <w:ind w:left="560" w:right="160"/>
        <w:spacing w:after="0" w:line="245" w:lineRule="auto"/>
        <w:rPr>
          <w:sz w:val="20"/>
          <w:szCs w:val="20"/>
          <w:color w:val="auto"/>
        </w:rPr>
      </w:pPr>
      <w:r>
        <w:rPr>
          <w:rFonts w:ascii="Arial" w:cs="Arial" w:eastAsia="Arial" w:hAnsi="Arial"/>
          <w:sz w:val="20"/>
          <w:szCs w:val="20"/>
          <w:b w:val="1"/>
          <w:bCs w:val="1"/>
          <w:color w:val="auto"/>
        </w:rPr>
        <w:t>Certain Financial Statement Schedules have been omitted since they are either not required, not applicable, or the information is otherwise included.</w:t>
      </w:r>
    </w:p>
    <w:p>
      <w:pPr>
        <w:spacing w:after="0" w:line="108" w:lineRule="exact"/>
        <w:rPr>
          <w:sz w:val="20"/>
          <w:szCs w:val="20"/>
          <w:color w:val="auto"/>
        </w:rPr>
      </w:pPr>
    </w:p>
    <w:p>
      <w:pPr>
        <w:ind w:left="560" w:hanging="363"/>
        <w:spacing w:after="0"/>
        <w:tabs>
          <w:tab w:leader="none" w:pos="5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Exhibits. See “Index to Exhibits” within Item 15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7087235</wp:posOffset>
            </wp:positionV>
            <wp:extent cx="736600" cy="2000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77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10260"/>
          </w:cols>
          <w:pgMar w:left="1000" w:top="779" w:right="980" w:bottom="0" w:gutter="0" w:footer="0" w:header="0"/>
          <w:type w:val="continuous"/>
        </w:sectPr>
      </w:pPr>
    </w:p>
    <w:bookmarkStart w:id="97" w:name="page98"/>
    <w:bookmarkEnd w:id="97"/>
    <w:p>
      <w:pPr>
        <w:spacing w:after="0"/>
        <w:rPr>
          <w:sz w:val="20"/>
          <w:szCs w:val="20"/>
          <w:color w:val="auto"/>
        </w:rPr>
      </w:pPr>
      <w:r>
        <w:rPr>
          <w:rFonts w:ascii="Arial Narrow" w:cs="Arial Narrow" w:eastAsia="Arial Narrow" w:hAnsi="Arial Narrow"/>
          <w:sz w:val="44"/>
          <w:szCs w:val="44"/>
          <w:b w:val="1"/>
          <w:bCs w:val="1"/>
          <w:color w:val="auto"/>
        </w:rPr>
        <w:t>SCHEDULE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AND QUALIFYING ACCOUNTS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restart"/>
          </w:tcPr>
          <w:p>
            <w:pPr>
              <w:jc w:val="center"/>
              <w:ind w:right="100"/>
              <w:spacing w:after="0"/>
              <w:rPr>
                <w:sz w:val="20"/>
                <w:szCs w:val="20"/>
                <w:color w:val="auto"/>
              </w:rPr>
            </w:pPr>
            <w:r>
              <w:rPr>
                <w:rFonts w:ascii="Arial Narrow" w:cs="Arial Narrow" w:eastAsia="Arial Narrow" w:hAnsi="Arial Narrow"/>
                <w:sz w:val="20"/>
                <w:szCs w:val="20"/>
                <w:b w:val="1"/>
                <w:bCs w:val="1"/>
                <w:color w:val="auto"/>
                <w:w w:val="99"/>
              </w:rPr>
              <w:t>Charged</w:t>
            </w:r>
          </w:p>
        </w:tc>
        <w:tc>
          <w:tcPr>
            <w:tcW w:w="140" w:type="dxa"/>
            <w:vAlign w:val="bottom"/>
          </w:tcPr>
          <w:p>
            <w:pPr>
              <w:spacing w:after="0"/>
              <w:rPr>
                <w:sz w:val="19"/>
                <w:szCs w:val="19"/>
                <w:color w:val="auto"/>
              </w:rPr>
            </w:pPr>
          </w:p>
        </w:tc>
        <w:tc>
          <w:tcPr>
            <w:tcW w:w="1100" w:type="dxa"/>
            <w:vAlign w:val="bottom"/>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Currency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restart"/>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8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(Credited) to</w:t>
            </w:r>
          </w:p>
        </w:tc>
        <w:tc>
          <w:tcPr>
            <w:tcW w:w="124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and Charges</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2360" w:type="dxa"/>
            <w:vAlign w:val="bottom"/>
            <w:gridSpan w:val="2"/>
          </w:tcPr>
          <w:p>
            <w:pPr>
              <w:jc w:val="center"/>
              <w:ind w:left="1060"/>
              <w:spacing w:after="0" w:line="200" w:lineRule="exact"/>
              <w:rPr>
                <w:sz w:val="20"/>
                <w:szCs w:val="20"/>
                <w:color w:val="auto"/>
              </w:rPr>
            </w:pPr>
            <w:r>
              <w:rPr>
                <w:rFonts w:ascii="Arial Narrow" w:cs="Arial Narrow" w:eastAsia="Arial Narrow" w:hAnsi="Arial Narrow"/>
                <w:sz w:val="20"/>
                <w:szCs w:val="20"/>
                <w:b w:val="1"/>
                <w:bCs w:val="1"/>
                <w:color w:val="auto"/>
                <w:w w:val="99"/>
              </w:rPr>
              <w:t>Beginning of</w:t>
            </w:r>
          </w:p>
        </w:tc>
        <w:tc>
          <w:tcPr>
            <w:tcW w:w="18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Arial Narrow" w:cs="Arial Narrow" w:eastAsia="Arial Narrow" w:hAnsi="Arial Narrow"/>
                <w:sz w:val="20"/>
                <w:szCs w:val="20"/>
                <w:b w:val="1"/>
                <w:bCs w:val="1"/>
                <w:color w:val="auto"/>
                <w:w w:val="99"/>
              </w:rPr>
              <w:t>Income Tax</w:t>
            </w:r>
          </w:p>
        </w:tc>
        <w:tc>
          <w:tcPr>
            <w:tcW w:w="14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to Other</w:t>
            </w:r>
          </w:p>
        </w:tc>
        <w:tc>
          <w:tcPr>
            <w:tcW w:w="16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7"/>
              </w:rPr>
              <w:t>End of</w:t>
            </w:r>
          </w:p>
        </w:tc>
        <w:tc>
          <w:tcPr>
            <w:tcW w:w="0" w:type="dxa"/>
            <w:vAlign w:val="bottom"/>
          </w:tcPr>
          <w:p>
            <w:pPr>
              <w:spacing w:after="0"/>
              <w:rPr>
                <w:sz w:val="1"/>
                <w:szCs w:val="1"/>
                <w:color w:val="auto"/>
              </w:rPr>
            </w:pPr>
          </w:p>
        </w:tc>
      </w:tr>
      <w:tr>
        <w:trPr>
          <w:trHeight w:val="262"/>
        </w:trPr>
        <w:tc>
          <w:tcPr>
            <w:tcW w:w="4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Year</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Provision</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Accounts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Narrow" w:cs="Arial Narrow" w:eastAsia="Arial Narrow" w:hAnsi="Arial Narrow"/>
                <w:sz w:val="20"/>
                <w:szCs w:val="20"/>
                <w:b w:val="1"/>
                <w:bCs w:val="1"/>
                <w:color w:val="auto"/>
              </w:rPr>
              <w:t>Year</w:t>
            </w:r>
          </w:p>
        </w:tc>
        <w:tc>
          <w:tcPr>
            <w:tcW w:w="0" w:type="dxa"/>
            <w:vAlign w:val="bottom"/>
          </w:tcPr>
          <w:p>
            <w:pPr>
              <w:spacing w:after="0"/>
              <w:rPr>
                <w:sz w:val="1"/>
                <w:szCs w:val="1"/>
                <w:color w:val="auto"/>
              </w:rPr>
            </w:pPr>
          </w:p>
        </w:tc>
      </w:tr>
      <w:tr>
        <w:trPr>
          <w:trHeight w:val="323"/>
        </w:trPr>
        <w:tc>
          <w:tcPr>
            <w:tcW w:w="41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 Valuation Allowance</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31, 2023</w:t>
            </w:r>
          </w:p>
        </w:tc>
        <w:tc>
          <w:tcPr>
            <w:tcW w:w="13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528</w:t>
            </w: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September 1, 2022</w:t>
            </w:r>
          </w:p>
        </w:tc>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233</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241</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September 2, 2021</w:t>
            </w:r>
          </w:p>
        </w:tc>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294</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-728345</wp:posOffset>
            </wp:positionV>
            <wp:extent cx="6540500" cy="749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94 | 2023 10-K</w:t>
      </w:r>
    </w:p>
    <w:p>
      <w:pPr>
        <w:sectPr>
          <w:pgSz w:w="12240" w:h="15840" w:orient="portrait"/>
          <w:cols w:equalWidth="0" w:num="1">
            <w:col w:w="10260"/>
          </w:cols>
          <w:pgMar w:left="1000" w:top="732" w:right="98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4"/>
          <w:szCs w:val="24"/>
          <w:b w:val="1"/>
          <w:bCs w:val="1"/>
          <w:color w:val="auto"/>
        </w:rPr>
        <w:t>Index to Exhibits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5100" w:type="dxa"/>
            <w:vAlign w:val="bottom"/>
            <w:vMerge w:val="restart"/>
          </w:tcPr>
          <w:p>
            <w:pPr>
              <w:ind w:left="174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660" w:type="dxa"/>
            <w:vAlign w:val="bottom"/>
          </w:tcPr>
          <w:p>
            <w:pPr>
              <w:ind w:left="300"/>
              <w:spacing w:after="0"/>
              <w:rPr>
                <w:sz w:val="20"/>
                <w:szCs w:val="20"/>
                <w:color w:val="auto"/>
              </w:rPr>
            </w:pPr>
            <w:r>
              <w:rPr>
                <w:rFonts w:ascii="Arial Narrow" w:cs="Arial Narrow" w:eastAsia="Arial Narrow" w:hAnsi="Arial Narrow"/>
                <w:sz w:val="20"/>
                <w:szCs w:val="20"/>
                <w:b w:val="1"/>
                <w:bCs w:val="1"/>
                <w:color w:val="auto"/>
              </w:rPr>
              <w:t>Filed</w:t>
            </w:r>
          </w:p>
        </w:tc>
        <w:tc>
          <w:tcPr>
            <w:tcW w:w="800" w:type="dxa"/>
            <w:vAlign w:val="bottom"/>
          </w:tcPr>
          <w:p>
            <w:pPr>
              <w:ind w:left="18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84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5100" w:type="dxa"/>
            <w:vAlign w:val="bottom"/>
            <w:tcBorders>
              <w:bottom w:val="single" w:sz="8" w:color="auto"/>
            </w:tcBorders>
            <w:vMerge w:val="continue"/>
          </w:tcPr>
          <w:p>
            <w:pPr>
              <w:spacing w:after="0"/>
              <w:rPr>
                <w:sz w:val="22"/>
                <w:szCs w:val="22"/>
                <w:color w:val="auto"/>
              </w:rPr>
            </w:pPr>
          </w:p>
        </w:tc>
        <w:tc>
          <w:tcPr>
            <w:tcW w:w="1660" w:type="dxa"/>
            <w:vAlign w:val="bottom"/>
            <w:tcBorders>
              <w:bottom w:val="single" w:sz="8" w:color="auto"/>
            </w:tcBorders>
          </w:tcPr>
          <w:p>
            <w:pPr>
              <w:ind w:left="140"/>
              <w:spacing w:after="0"/>
              <w:rPr>
                <w:sz w:val="20"/>
                <w:szCs w:val="20"/>
                <w:color w:val="auto"/>
              </w:rPr>
            </w:pPr>
            <w:r>
              <w:rPr>
                <w:rFonts w:ascii="Arial Narrow" w:cs="Arial Narrow" w:eastAsia="Arial Narrow" w:hAnsi="Arial Narrow"/>
                <w:sz w:val="20"/>
                <w:szCs w:val="20"/>
                <w:b w:val="1"/>
                <w:bCs w:val="1"/>
                <w:color w:val="auto"/>
              </w:rPr>
              <w:t>Herewith   Form</w:t>
            </w:r>
          </w:p>
        </w:tc>
        <w:tc>
          <w:tcPr>
            <w:tcW w:w="80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9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3.1</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Restated Certificate of Incorporation of the Registrant</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99.2</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1/26/15</w:t>
            </w:r>
          </w:p>
        </w:tc>
        <w:tc>
          <w:tcPr>
            <w:tcW w:w="0" w:type="dxa"/>
            <w:vAlign w:val="bottom"/>
          </w:tcPr>
          <w:p>
            <w:pPr>
              <w:spacing w:after="0"/>
              <w:rPr>
                <w:sz w:val="1"/>
                <w:szCs w:val="1"/>
                <w:color w:val="auto"/>
              </w:rPr>
            </w:pPr>
          </w:p>
        </w:tc>
      </w:tr>
      <w:tr>
        <w:trPr>
          <w:trHeight w:val="288"/>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3.2</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Bylaws of the Registrant, Amended and Restated</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3.1</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2/16/21</w:t>
            </w:r>
          </w:p>
        </w:tc>
        <w:tc>
          <w:tcPr>
            <w:tcW w:w="0" w:type="dxa"/>
            <w:vAlign w:val="bottom"/>
          </w:tcPr>
          <w:p>
            <w:pPr>
              <w:spacing w:after="0"/>
              <w:rPr>
                <w:sz w:val="1"/>
                <w:szCs w:val="1"/>
                <w:color w:val="auto"/>
              </w:rPr>
            </w:pPr>
          </w:p>
        </w:tc>
      </w:tr>
      <w:tr>
        <w:trPr>
          <w:trHeight w:val="235"/>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4.1</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Indenture, dated as of February 6, 2019, by and between Micron</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4.1</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2/6/19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Technology, Inc. and U.S. Bank National Association, as Trustee</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4.2</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First Supplemental Indenture, dated as of February 6, 2019, by and</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2/6/19</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0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Association, as Trustee</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4.3</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4.975%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4.4</w:t>
            </w:r>
          </w:p>
        </w:tc>
        <w:tc>
          <w:tcPr>
            <w:tcW w:w="880" w:type="dxa"/>
            <w:vAlign w:val="bottom"/>
            <w:tcBorders>
              <w:right w:val="single" w:sz="8" w:color="D1D2D4"/>
            </w:tcBorders>
          </w:tcPr>
          <w:p>
            <w:pPr>
              <w:ind w:left="80"/>
              <w:spacing w:after="0" w:line="223" w:lineRule="exact"/>
              <w:rPr>
                <w:sz w:val="20"/>
                <w:szCs w:val="20"/>
                <w:color w:val="auto"/>
              </w:rPr>
            </w:pPr>
            <w:r>
              <w:rPr>
                <w:rFonts w:ascii="Arial Narrow" w:cs="Arial Narrow" w:eastAsia="Arial Narrow" w:hAnsi="Arial Narrow"/>
                <w:sz w:val="20"/>
                <w:szCs w:val="20"/>
                <w:color w:val="auto"/>
              </w:rPr>
              <w:t>2/6/19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2026 (included in Exhibit 4.2)</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4.4</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5.327%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4.5</w:t>
            </w:r>
          </w:p>
        </w:tc>
        <w:tc>
          <w:tcPr>
            <w:tcW w:w="88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2/6/19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2029 (included in Exhibit 4.2)</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4.5</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Second Supplemental Indenture, dated as of July 12, 2019, by and</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7/12/19</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0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Association, as Trustee</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4.6</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4.185%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4.3</w:t>
            </w:r>
          </w:p>
        </w:tc>
        <w:tc>
          <w:tcPr>
            <w:tcW w:w="88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7/12/19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2027 (included in Exhibit 4.5)</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4.7</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4.663%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4.4</w:t>
            </w:r>
          </w:p>
        </w:tc>
        <w:tc>
          <w:tcPr>
            <w:tcW w:w="880" w:type="dxa"/>
            <w:vAlign w:val="bottom"/>
            <w:tcBorders>
              <w:right w:val="single" w:sz="8" w:color="D1D2D4"/>
            </w:tcBorders>
          </w:tcPr>
          <w:p>
            <w:pPr>
              <w:ind w:left="80"/>
              <w:spacing w:after="0" w:line="223" w:lineRule="exact"/>
              <w:rPr>
                <w:sz w:val="20"/>
                <w:szCs w:val="20"/>
                <w:color w:val="auto"/>
              </w:rPr>
            </w:pPr>
            <w:r>
              <w:rPr>
                <w:rFonts w:ascii="Arial Narrow" w:cs="Arial Narrow" w:eastAsia="Arial Narrow" w:hAnsi="Arial Narrow"/>
                <w:sz w:val="20"/>
                <w:szCs w:val="20"/>
                <w:color w:val="auto"/>
              </w:rPr>
              <w:t>7/12/19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2030 (included in Exhibit 4.5)</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4.8</w:t>
            </w: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Fourth Supplemental Indenture, dated as of November 1, 2021, by</w:t>
            </w:r>
          </w:p>
        </w:tc>
        <w:tc>
          <w:tcPr>
            <w:tcW w:w="166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11/1/21</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0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and between Micron Technology, Inc. and U.S. Bank National</w:t>
            </w: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Association, as Trustee</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4.9</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2.703%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4.3</w:t>
            </w:r>
          </w:p>
        </w:tc>
        <w:tc>
          <w:tcPr>
            <w:tcW w:w="880" w:type="dxa"/>
            <w:vAlign w:val="bottom"/>
            <w:tcBorders>
              <w:right w:val="single" w:sz="8" w:color="D1D2D4"/>
            </w:tcBorders>
          </w:tcPr>
          <w:p>
            <w:pPr>
              <w:ind w:left="80"/>
              <w:spacing w:after="0" w:line="223" w:lineRule="exact"/>
              <w:rPr>
                <w:sz w:val="20"/>
                <w:szCs w:val="20"/>
                <w:color w:val="auto"/>
              </w:rPr>
            </w:pPr>
            <w:r>
              <w:rPr>
                <w:rFonts w:ascii="Arial Narrow" w:cs="Arial Narrow" w:eastAsia="Arial Narrow" w:hAnsi="Arial Narrow"/>
                <w:sz w:val="20"/>
                <w:szCs w:val="20"/>
                <w:color w:val="auto"/>
              </w:rPr>
              <w:t>11/1/21</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2032 (included in Exhibit 4.8)</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4.10</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3.366%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4.4</w:t>
            </w:r>
          </w:p>
        </w:tc>
        <w:tc>
          <w:tcPr>
            <w:tcW w:w="88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11/1/21</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2041 (included in Exhibit 4.8)</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4.11</w:t>
            </w:r>
          </w:p>
        </w:tc>
        <w:tc>
          <w:tcPr>
            <w:tcW w:w="510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Note for Micron Technology, Inc.’s 3.477% Senior Notes</w:t>
            </w:r>
          </w:p>
        </w:tc>
        <w:tc>
          <w:tcPr>
            <w:tcW w:w="1660" w:type="dxa"/>
            <w:vAlign w:val="bottom"/>
          </w:tcPr>
          <w:p>
            <w:pPr>
              <w:ind w:left="1000"/>
              <w:spacing w:after="0" w:line="223" w:lineRule="exact"/>
              <w:rPr>
                <w:sz w:val="20"/>
                <w:szCs w:val="20"/>
                <w:color w:val="auto"/>
              </w:rPr>
            </w:pPr>
            <w:r>
              <w:rPr>
                <w:rFonts w:ascii="Arial Narrow" w:cs="Arial Narrow" w:eastAsia="Arial Narrow" w:hAnsi="Arial Narrow"/>
                <w:sz w:val="20"/>
                <w:szCs w:val="20"/>
                <w:color w:val="auto"/>
              </w:rPr>
              <w:t>8-K</w:t>
            </w:r>
          </w:p>
        </w:tc>
        <w:tc>
          <w:tcPr>
            <w:tcW w:w="800" w:type="dxa"/>
            <w:vAlign w:val="bottom"/>
          </w:tcPr>
          <w:p>
            <w:pPr>
              <w:spacing w:after="0"/>
              <w:rPr>
                <w:sz w:val="19"/>
                <w:szCs w:val="19"/>
                <w:color w:val="auto"/>
              </w:rPr>
            </w:pP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4.5</w:t>
            </w:r>
          </w:p>
        </w:tc>
        <w:tc>
          <w:tcPr>
            <w:tcW w:w="880" w:type="dxa"/>
            <w:vAlign w:val="bottom"/>
            <w:tcBorders>
              <w:right w:val="single" w:sz="8" w:color="D1D2D4"/>
            </w:tcBorders>
          </w:tcPr>
          <w:p>
            <w:pPr>
              <w:ind w:left="80"/>
              <w:spacing w:after="0" w:line="223" w:lineRule="exact"/>
              <w:rPr>
                <w:sz w:val="20"/>
                <w:szCs w:val="20"/>
                <w:color w:val="auto"/>
              </w:rPr>
            </w:pPr>
            <w:r>
              <w:rPr>
                <w:rFonts w:ascii="Arial Narrow" w:cs="Arial Narrow" w:eastAsia="Arial Narrow" w:hAnsi="Arial Narrow"/>
                <w:sz w:val="20"/>
                <w:szCs w:val="20"/>
                <w:color w:val="auto"/>
              </w:rPr>
              <w:t>11/1/21</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Narrow" w:cs="Arial Narrow" w:eastAsia="Arial Narrow" w:hAnsi="Arial Narrow"/>
                <w:sz w:val="20"/>
                <w:szCs w:val="20"/>
                <w:color w:val="auto"/>
              </w:rPr>
              <w:t>due 2051 (included in Exhibit 4.8)</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-4250690</wp:posOffset>
            </wp:positionV>
            <wp:extent cx="6540500" cy="81883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6540500" cy="818832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3" w:lineRule="exact"/>
        <w:rPr>
          <w:sz w:val="20"/>
          <w:szCs w:val="20"/>
          <w:color w:val="auto"/>
        </w:rPr>
      </w:pPr>
    </w:p>
    <w:p>
      <w:pPr>
        <w:ind w:left="40"/>
        <w:spacing w:after="0"/>
        <w:tabs>
          <w:tab w:leader="none" w:pos="900" w:val="left"/>
        </w:tabs>
        <w:rPr>
          <w:sz w:val="20"/>
          <w:szCs w:val="20"/>
          <w:color w:val="auto"/>
        </w:rPr>
      </w:pPr>
      <w:r>
        <w:rPr>
          <w:rFonts w:ascii="Arial Narrow" w:cs="Arial Narrow" w:eastAsia="Arial Narrow" w:hAnsi="Arial Narrow"/>
          <w:sz w:val="20"/>
          <w:szCs w:val="20"/>
          <w:color w:val="auto"/>
        </w:rPr>
        <w:t>4.12</w:t>
      </w:r>
      <w:r>
        <w:rPr>
          <w:sz w:val="20"/>
          <w:szCs w:val="20"/>
          <w:color w:val="auto"/>
        </w:rPr>
        <w:tab/>
      </w:r>
      <w:r>
        <w:rPr>
          <w:rFonts w:ascii="Arial Narrow" w:cs="Arial Narrow" w:eastAsia="Arial Narrow" w:hAnsi="Arial Narrow"/>
          <w:sz w:val="19"/>
          <w:szCs w:val="19"/>
          <w:color w:val="auto"/>
        </w:rPr>
        <w:t>Description of Registrant’s Securities</w:t>
      </w:r>
    </w:p>
    <w:p>
      <w:pPr>
        <w:spacing w:after="0" w:line="71" w:lineRule="exact"/>
        <w:rPr>
          <w:sz w:val="20"/>
          <w:szCs w:val="20"/>
          <w:color w:val="auto"/>
        </w:rPr>
      </w:pPr>
    </w:p>
    <w:p>
      <w:pPr>
        <w:ind w:left="920" w:right="380" w:hanging="884"/>
        <w:spacing w:after="0" w:line="236" w:lineRule="auto"/>
        <w:tabs>
          <w:tab w:leader="none" w:pos="900" w:val="left"/>
        </w:tabs>
        <w:rPr>
          <w:sz w:val="20"/>
          <w:szCs w:val="20"/>
          <w:color w:val="auto"/>
        </w:rPr>
      </w:pPr>
      <w:r>
        <w:rPr>
          <w:rFonts w:ascii="Arial Narrow" w:cs="Arial Narrow" w:eastAsia="Arial Narrow" w:hAnsi="Arial Narrow"/>
          <w:sz w:val="20"/>
          <w:szCs w:val="20"/>
          <w:color w:val="auto"/>
        </w:rPr>
        <w:t>4.13</w:t>
      </w:r>
      <w:r>
        <w:rPr>
          <w:sz w:val="20"/>
          <w:szCs w:val="20"/>
          <w:color w:val="auto"/>
        </w:rPr>
        <w:tab/>
      </w:r>
      <w:r>
        <w:rPr>
          <w:rFonts w:ascii="Arial Narrow" w:cs="Arial Narrow" w:eastAsia="Arial Narrow" w:hAnsi="Arial Narrow"/>
          <w:sz w:val="20"/>
          <w:szCs w:val="20"/>
          <w:color w:val="auto"/>
        </w:rPr>
        <w:t>Fifth Supplemental Indenture, dated as of October 31, 2022, by and between Micron Technology, Inc. and U.S. Bank Trust Company, National Association, as Trustee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540" w:type="dxa"/>
            <w:vAlign w:val="bottom"/>
          </w:tcPr>
          <w:p>
            <w:pPr>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9/1/22</w:t>
            </w:r>
          </w:p>
        </w:tc>
        <w:tc>
          <w:tcPr>
            <w:tcW w:w="820" w:type="dxa"/>
            <w:vAlign w:val="bottom"/>
          </w:tcPr>
          <w:p>
            <w:pPr>
              <w:ind w:left="180"/>
              <w:spacing w:after="0"/>
              <w:rPr>
                <w:sz w:val="20"/>
                <w:szCs w:val="20"/>
                <w:color w:val="auto"/>
              </w:rPr>
            </w:pPr>
            <w:r>
              <w:rPr>
                <w:rFonts w:ascii="Arial Narrow" w:cs="Arial Narrow" w:eastAsia="Arial Narrow" w:hAnsi="Arial Narrow"/>
                <w:sz w:val="20"/>
                <w:szCs w:val="20"/>
                <w:color w:val="auto"/>
              </w:rPr>
              <w:t>4.12</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rPr>
              <w:t>10/7/22</w:t>
            </w:r>
          </w:p>
        </w:tc>
      </w:tr>
      <w:tr>
        <w:trPr>
          <w:trHeight w:val="300"/>
        </w:trPr>
        <w:tc>
          <w:tcPr>
            <w:tcW w:w="540" w:type="dxa"/>
            <w:vAlign w:val="bottom"/>
          </w:tcPr>
          <w:p>
            <w:pPr>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Narrow" w:cs="Arial Narrow" w:eastAsia="Arial Narrow" w:hAnsi="Arial Narrow"/>
                <w:sz w:val="20"/>
                <w:szCs w:val="20"/>
                <w:color w:val="auto"/>
              </w:rPr>
              <w:t>4.2</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w w:val="97"/>
              </w:rPr>
              <w:t>10/31/22</w:t>
            </w:r>
          </w:p>
        </w:tc>
      </w:tr>
    </w:tbl>
    <w:p>
      <w:pPr>
        <w:spacing w:after="0" w:line="417" w:lineRule="exact"/>
        <w:rPr>
          <w:sz w:val="20"/>
          <w:szCs w:val="20"/>
          <w:color w:val="auto"/>
        </w:rPr>
      </w:pPr>
    </w:p>
    <w:p>
      <w:pPr>
        <w:sectPr>
          <w:pgSz w:w="12240" w:h="15840" w:orient="portrait"/>
          <w:cols w:equalWidth="0" w:num="2">
            <w:col w:w="6220" w:space="720"/>
            <w:col w:w="3320"/>
          </w:cols>
          <w:pgMar w:left="1000" w:top="833" w:right="980" w:bottom="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640" w:type="dxa"/>
            <w:vAlign w:val="bottom"/>
          </w:tcPr>
          <w:p>
            <w:pPr>
              <w:spacing w:after="0"/>
              <w:rPr>
                <w:sz w:val="20"/>
                <w:szCs w:val="20"/>
                <w:color w:val="auto"/>
              </w:rPr>
            </w:pPr>
            <w:r>
              <w:rPr>
                <w:rFonts w:ascii="Arial Narrow" w:cs="Arial Narrow" w:eastAsia="Arial Narrow" w:hAnsi="Arial Narrow"/>
                <w:sz w:val="20"/>
                <w:szCs w:val="20"/>
                <w:color w:val="auto"/>
              </w:rPr>
              <w:t>4.14</w:t>
            </w: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Form of Note for Micron Technology, Inc.’s 6.750% Senior Notes</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Narrow" w:cs="Arial Narrow" w:eastAsia="Arial Narrow" w:hAnsi="Arial Narrow"/>
                <w:sz w:val="20"/>
                <w:szCs w:val="20"/>
                <w:color w:val="auto"/>
              </w:rPr>
              <w:t>4.3</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w w:val="97"/>
              </w:rPr>
              <w:t>10/31/22</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due 2029 (included in Exhibit 4.13)</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40" w:type="dxa"/>
            <w:vAlign w:val="bottom"/>
          </w:tcPr>
          <w:p>
            <w:pPr>
              <w:spacing w:after="0"/>
              <w:rPr>
                <w:sz w:val="20"/>
                <w:szCs w:val="20"/>
                <w:color w:val="auto"/>
              </w:rPr>
            </w:pPr>
            <w:r>
              <w:rPr>
                <w:rFonts w:ascii="Arial Narrow" w:cs="Arial Narrow" w:eastAsia="Arial Narrow" w:hAnsi="Arial Narrow"/>
                <w:sz w:val="20"/>
                <w:szCs w:val="20"/>
                <w:color w:val="auto"/>
              </w:rPr>
              <w:t>4.15</w:t>
            </w: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Sixth Supplemental Indenture, dated as of February 9, 2023, by and</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Narrow" w:cs="Arial Narrow" w:eastAsia="Arial Narrow" w:hAnsi="Arial Narrow"/>
                <w:sz w:val="20"/>
                <w:szCs w:val="20"/>
                <w:color w:val="auto"/>
              </w:rPr>
              <w:t>4.3</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rPr>
              <w:t>2/9/23</w:t>
            </w:r>
          </w:p>
        </w:tc>
      </w:tr>
      <w:tr>
        <w:trPr>
          <w:trHeight w:val="200"/>
        </w:trPr>
        <w:tc>
          <w:tcPr>
            <w:tcW w:w="640" w:type="dxa"/>
            <w:vAlign w:val="bottom"/>
          </w:tcPr>
          <w:p>
            <w:pPr>
              <w:spacing w:after="0"/>
              <w:rPr>
                <w:sz w:val="17"/>
                <w:szCs w:val="17"/>
                <w:color w:val="auto"/>
              </w:rPr>
            </w:pPr>
          </w:p>
        </w:tc>
        <w:tc>
          <w:tcPr>
            <w:tcW w:w="5720" w:type="dxa"/>
            <w:vAlign w:val="bottom"/>
          </w:tcPr>
          <w:p>
            <w:pPr>
              <w:ind w:left="240"/>
              <w:spacing w:after="0" w:line="20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National Association, as Trustee</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0"/>
        </w:trPr>
        <w:tc>
          <w:tcPr>
            <w:tcW w:w="640" w:type="dxa"/>
            <w:vAlign w:val="bottom"/>
          </w:tcPr>
          <w:p>
            <w:pPr>
              <w:spacing w:after="0" w:line="219" w:lineRule="exact"/>
              <w:rPr>
                <w:sz w:val="20"/>
                <w:szCs w:val="20"/>
                <w:color w:val="auto"/>
              </w:rPr>
            </w:pPr>
            <w:r>
              <w:rPr>
                <w:rFonts w:ascii="Arial Narrow" w:cs="Arial Narrow" w:eastAsia="Arial Narrow" w:hAnsi="Arial Narrow"/>
                <w:sz w:val="20"/>
                <w:szCs w:val="20"/>
                <w:color w:val="auto"/>
              </w:rPr>
              <w:t>4.16</w:t>
            </w:r>
          </w:p>
        </w:tc>
        <w:tc>
          <w:tcPr>
            <w:tcW w:w="5720" w:type="dxa"/>
            <w:vAlign w:val="bottom"/>
          </w:tcPr>
          <w:p>
            <w:pPr>
              <w:ind w:left="240"/>
              <w:spacing w:after="0" w:line="219" w:lineRule="exact"/>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1080" w:type="dxa"/>
            <w:vAlign w:val="bottom"/>
          </w:tcPr>
          <w:p>
            <w:pPr>
              <w:ind w:left="540"/>
              <w:spacing w:after="0" w:line="219" w:lineRule="exact"/>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line="219" w:lineRule="exact"/>
              <w:rPr>
                <w:sz w:val="20"/>
                <w:szCs w:val="20"/>
                <w:color w:val="auto"/>
              </w:rPr>
            </w:pPr>
            <w:r>
              <w:rPr>
                <w:rFonts w:ascii="Arial Narrow" w:cs="Arial Narrow" w:eastAsia="Arial Narrow" w:hAnsi="Arial Narrow"/>
                <w:sz w:val="20"/>
                <w:szCs w:val="20"/>
                <w:color w:val="auto"/>
              </w:rPr>
              <w:t>4.5</w:t>
            </w:r>
          </w:p>
        </w:tc>
        <w:tc>
          <w:tcPr>
            <w:tcW w:w="960" w:type="dxa"/>
            <w:vAlign w:val="bottom"/>
          </w:tcPr>
          <w:p>
            <w:pPr>
              <w:ind w:left="320"/>
              <w:spacing w:after="0" w:line="219" w:lineRule="exact"/>
              <w:rPr>
                <w:sz w:val="20"/>
                <w:szCs w:val="20"/>
                <w:color w:val="auto"/>
              </w:rPr>
            </w:pPr>
            <w:r>
              <w:rPr>
                <w:rFonts w:ascii="Arial Narrow" w:cs="Arial Narrow" w:eastAsia="Arial Narrow" w:hAnsi="Arial Narrow"/>
                <w:sz w:val="20"/>
                <w:szCs w:val="20"/>
                <w:color w:val="auto"/>
              </w:rPr>
              <w:t>2/9/23</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due 2033 (included in Exhibit 4.15)</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40" w:type="dxa"/>
            <w:vAlign w:val="bottom"/>
          </w:tcPr>
          <w:p>
            <w:pPr>
              <w:spacing w:after="0"/>
              <w:rPr>
                <w:sz w:val="20"/>
                <w:szCs w:val="20"/>
                <w:color w:val="auto"/>
              </w:rPr>
            </w:pPr>
            <w:r>
              <w:rPr>
                <w:rFonts w:ascii="Arial Narrow" w:cs="Arial Narrow" w:eastAsia="Arial Narrow" w:hAnsi="Arial Narrow"/>
                <w:sz w:val="20"/>
                <w:szCs w:val="20"/>
                <w:color w:val="auto"/>
              </w:rPr>
              <w:t>4.17</w:t>
            </w: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Seventh Supplemental Indenture, dated as of April 11, 2023, by and</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Narrow" w:cs="Arial Narrow" w:eastAsia="Arial Narrow" w:hAnsi="Arial Narrow"/>
                <w:sz w:val="20"/>
                <w:szCs w:val="20"/>
                <w:color w:val="auto"/>
              </w:rPr>
              <w:t>4.2</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rPr>
              <w:t>4/11/23</w:t>
            </w:r>
          </w:p>
        </w:tc>
      </w:tr>
      <w:tr>
        <w:trPr>
          <w:trHeight w:val="200"/>
        </w:trPr>
        <w:tc>
          <w:tcPr>
            <w:tcW w:w="640" w:type="dxa"/>
            <w:vAlign w:val="bottom"/>
          </w:tcPr>
          <w:p>
            <w:pPr>
              <w:spacing w:after="0"/>
              <w:rPr>
                <w:sz w:val="17"/>
                <w:szCs w:val="17"/>
                <w:color w:val="auto"/>
              </w:rPr>
            </w:pPr>
          </w:p>
        </w:tc>
        <w:tc>
          <w:tcPr>
            <w:tcW w:w="5720" w:type="dxa"/>
            <w:vAlign w:val="bottom"/>
          </w:tcPr>
          <w:p>
            <w:pPr>
              <w:ind w:left="240"/>
              <w:spacing w:after="0" w:line="20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National Association, as Trustee</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0"/>
        </w:trPr>
        <w:tc>
          <w:tcPr>
            <w:tcW w:w="640" w:type="dxa"/>
            <w:vAlign w:val="bottom"/>
          </w:tcPr>
          <w:p>
            <w:pPr>
              <w:spacing w:after="0" w:line="219" w:lineRule="exact"/>
              <w:rPr>
                <w:sz w:val="20"/>
                <w:szCs w:val="20"/>
                <w:color w:val="auto"/>
              </w:rPr>
            </w:pPr>
            <w:r>
              <w:rPr>
                <w:rFonts w:ascii="Arial Narrow" w:cs="Arial Narrow" w:eastAsia="Arial Narrow" w:hAnsi="Arial Narrow"/>
                <w:sz w:val="20"/>
                <w:szCs w:val="20"/>
                <w:color w:val="auto"/>
              </w:rPr>
              <w:t>4.18</w:t>
            </w:r>
          </w:p>
        </w:tc>
        <w:tc>
          <w:tcPr>
            <w:tcW w:w="5720" w:type="dxa"/>
            <w:vAlign w:val="bottom"/>
          </w:tcPr>
          <w:p>
            <w:pPr>
              <w:ind w:left="240"/>
              <w:spacing w:after="0" w:line="219" w:lineRule="exact"/>
              <w:rPr>
                <w:sz w:val="20"/>
                <w:szCs w:val="20"/>
                <w:color w:val="auto"/>
              </w:rPr>
            </w:pPr>
            <w:r>
              <w:rPr>
                <w:rFonts w:ascii="Arial Narrow" w:cs="Arial Narrow" w:eastAsia="Arial Narrow" w:hAnsi="Arial Narrow"/>
                <w:sz w:val="20"/>
                <w:szCs w:val="20"/>
                <w:color w:val="auto"/>
              </w:rPr>
              <w:t>Form of Note for Micron Technology, Inc.’s 5.375% Senior Notes</w:t>
            </w:r>
          </w:p>
        </w:tc>
        <w:tc>
          <w:tcPr>
            <w:tcW w:w="1080" w:type="dxa"/>
            <w:vAlign w:val="bottom"/>
          </w:tcPr>
          <w:p>
            <w:pPr>
              <w:ind w:left="540"/>
              <w:spacing w:after="0" w:line="219" w:lineRule="exact"/>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line="219" w:lineRule="exact"/>
              <w:rPr>
                <w:sz w:val="20"/>
                <w:szCs w:val="20"/>
                <w:color w:val="auto"/>
              </w:rPr>
            </w:pPr>
            <w:r>
              <w:rPr>
                <w:rFonts w:ascii="Arial Narrow" w:cs="Arial Narrow" w:eastAsia="Arial Narrow" w:hAnsi="Arial Narrow"/>
                <w:sz w:val="20"/>
                <w:szCs w:val="20"/>
                <w:color w:val="auto"/>
              </w:rPr>
              <w:t>4.3</w:t>
            </w:r>
          </w:p>
        </w:tc>
        <w:tc>
          <w:tcPr>
            <w:tcW w:w="960" w:type="dxa"/>
            <w:vAlign w:val="bottom"/>
          </w:tcPr>
          <w:p>
            <w:pPr>
              <w:ind w:left="320"/>
              <w:spacing w:after="0" w:line="219" w:lineRule="exact"/>
              <w:rPr>
                <w:sz w:val="20"/>
                <w:szCs w:val="20"/>
                <w:color w:val="auto"/>
              </w:rPr>
            </w:pPr>
            <w:r>
              <w:rPr>
                <w:rFonts w:ascii="Arial Narrow" w:cs="Arial Narrow" w:eastAsia="Arial Narrow" w:hAnsi="Arial Narrow"/>
                <w:sz w:val="20"/>
                <w:szCs w:val="20"/>
                <w:color w:val="auto"/>
              </w:rPr>
              <w:t>4/11/23</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due 2028 (included in Exhibit 4.17)</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0"/>
        </w:trPr>
        <w:tc>
          <w:tcPr>
            <w:tcW w:w="640" w:type="dxa"/>
            <w:vAlign w:val="bottom"/>
          </w:tcPr>
          <w:p>
            <w:pPr>
              <w:spacing w:after="0" w:line="219" w:lineRule="exact"/>
              <w:rPr>
                <w:sz w:val="20"/>
                <w:szCs w:val="20"/>
                <w:color w:val="auto"/>
              </w:rPr>
            </w:pPr>
            <w:r>
              <w:rPr>
                <w:rFonts w:ascii="Arial Narrow" w:cs="Arial Narrow" w:eastAsia="Arial Narrow" w:hAnsi="Arial Narrow"/>
                <w:sz w:val="20"/>
                <w:szCs w:val="20"/>
                <w:color w:val="auto"/>
              </w:rPr>
              <w:t>4.19</w:t>
            </w:r>
          </w:p>
        </w:tc>
        <w:tc>
          <w:tcPr>
            <w:tcW w:w="5720" w:type="dxa"/>
            <w:vAlign w:val="bottom"/>
          </w:tcPr>
          <w:p>
            <w:pPr>
              <w:ind w:left="240"/>
              <w:spacing w:after="0" w:line="219" w:lineRule="exact"/>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1080" w:type="dxa"/>
            <w:vAlign w:val="bottom"/>
          </w:tcPr>
          <w:p>
            <w:pPr>
              <w:ind w:left="540"/>
              <w:spacing w:after="0" w:line="219" w:lineRule="exact"/>
              <w:rPr>
                <w:sz w:val="20"/>
                <w:szCs w:val="20"/>
                <w:color w:val="auto"/>
              </w:rPr>
            </w:pPr>
            <w:r>
              <w:rPr>
                <w:rFonts w:ascii="Arial Narrow" w:cs="Arial Narrow" w:eastAsia="Arial Narrow" w:hAnsi="Arial Narrow"/>
                <w:sz w:val="20"/>
                <w:szCs w:val="20"/>
                <w:color w:val="auto"/>
              </w:rPr>
              <w:t>8-K</w:t>
            </w:r>
          </w:p>
        </w:tc>
        <w:tc>
          <w:tcPr>
            <w:tcW w:w="880" w:type="dxa"/>
            <w:vAlign w:val="bottom"/>
          </w:tcPr>
          <w:p>
            <w:pPr>
              <w:spacing w:after="0"/>
              <w:rPr>
                <w:sz w:val="19"/>
                <w:szCs w:val="19"/>
                <w:color w:val="auto"/>
              </w:rPr>
            </w:pPr>
          </w:p>
        </w:tc>
        <w:tc>
          <w:tcPr>
            <w:tcW w:w="780" w:type="dxa"/>
            <w:vAlign w:val="bottom"/>
          </w:tcPr>
          <w:p>
            <w:pPr>
              <w:ind w:left="140"/>
              <w:spacing w:after="0" w:line="219" w:lineRule="exact"/>
              <w:rPr>
                <w:sz w:val="20"/>
                <w:szCs w:val="20"/>
                <w:color w:val="auto"/>
              </w:rPr>
            </w:pPr>
            <w:r>
              <w:rPr>
                <w:rFonts w:ascii="Arial Narrow" w:cs="Arial Narrow" w:eastAsia="Arial Narrow" w:hAnsi="Arial Narrow"/>
                <w:sz w:val="20"/>
                <w:szCs w:val="20"/>
                <w:color w:val="auto"/>
              </w:rPr>
              <w:t>4.4</w:t>
            </w:r>
          </w:p>
        </w:tc>
        <w:tc>
          <w:tcPr>
            <w:tcW w:w="960" w:type="dxa"/>
            <w:vAlign w:val="bottom"/>
          </w:tcPr>
          <w:p>
            <w:pPr>
              <w:ind w:left="320"/>
              <w:spacing w:after="0" w:line="219" w:lineRule="exact"/>
              <w:rPr>
                <w:sz w:val="20"/>
                <w:szCs w:val="20"/>
                <w:color w:val="auto"/>
              </w:rPr>
            </w:pPr>
            <w:r>
              <w:rPr>
                <w:rFonts w:ascii="Arial Narrow" w:cs="Arial Narrow" w:eastAsia="Arial Narrow" w:hAnsi="Arial Narrow"/>
                <w:sz w:val="20"/>
                <w:szCs w:val="20"/>
                <w:color w:val="auto"/>
              </w:rPr>
              <w:t>4/11/23</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due 2033 (included in Exhibit 4.17)</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0"/>
        </w:trPr>
        <w:tc>
          <w:tcPr>
            <w:tcW w:w="640" w:type="dxa"/>
            <w:vAlign w:val="bottom"/>
          </w:tcPr>
          <w:p>
            <w:pPr>
              <w:spacing w:after="0" w:line="219" w:lineRule="exact"/>
              <w:rPr>
                <w:sz w:val="20"/>
                <w:szCs w:val="20"/>
                <w:color w:val="auto"/>
              </w:rPr>
            </w:pPr>
            <w:r>
              <w:rPr>
                <w:rFonts w:ascii="Arial Narrow" w:cs="Arial Narrow" w:eastAsia="Arial Narrow" w:hAnsi="Arial Narrow"/>
                <w:sz w:val="20"/>
                <w:szCs w:val="20"/>
                <w:color w:val="auto"/>
              </w:rPr>
              <w:t>10.1*</w:t>
            </w:r>
          </w:p>
        </w:tc>
        <w:tc>
          <w:tcPr>
            <w:tcW w:w="5720" w:type="dxa"/>
            <w:vAlign w:val="bottom"/>
          </w:tcPr>
          <w:p>
            <w:pPr>
              <w:ind w:left="240"/>
              <w:spacing w:after="0" w:line="219" w:lineRule="exact"/>
              <w:rPr>
                <w:sz w:val="20"/>
                <w:szCs w:val="20"/>
                <w:color w:val="auto"/>
              </w:rPr>
            </w:pPr>
            <w:r>
              <w:rPr>
                <w:rFonts w:ascii="Arial Narrow" w:cs="Arial Narrow" w:eastAsia="Arial Narrow" w:hAnsi="Arial Narrow"/>
                <w:sz w:val="20"/>
                <w:szCs w:val="20"/>
                <w:color w:val="auto"/>
              </w:rPr>
              <w:t>Micron Technology, Inc. Executive Officer Performance Incentive</w:t>
            </w:r>
          </w:p>
        </w:tc>
        <w:tc>
          <w:tcPr>
            <w:tcW w:w="1080" w:type="dxa"/>
            <w:vAlign w:val="bottom"/>
          </w:tcPr>
          <w:p>
            <w:pPr>
              <w:ind w:left="540"/>
              <w:spacing w:after="0" w:line="219" w:lineRule="exact"/>
              <w:rPr>
                <w:sz w:val="20"/>
                <w:szCs w:val="20"/>
                <w:color w:val="auto"/>
              </w:rPr>
            </w:pPr>
            <w:r>
              <w:rPr>
                <w:rFonts w:ascii="Arial Narrow" w:cs="Arial Narrow" w:eastAsia="Arial Narrow" w:hAnsi="Arial Narrow"/>
                <w:sz w:val="20"/>
                <w:szCs w:val="20"/>
                <w:color w:val="auto"/>
              </w:rPr>
              <w:t>DEF</w:t>
            </w:r>
          </w:p>
        </w:tc>
        <w:tc>
          <w:tcPr>
            <w:tcW w:w="880" w:type="dxa"/>
            <w:vAlign w:val="bottom"/>
          </w:tcPr>
          <w:p>
            <w:pPr>
              <w:spacing w:after="0"/>
              <w:rPr>
                <w:sz w:val="19"/>
                <w:szCs w:val="19"/>
                <w:color w:val="auto"/>
              </w:rPr>
            </w:pPr>
          </w:p>
        </w:tc>
        <w:tc>
          <w:tcPr>
            <w:tcW w:w="780" w:type="dxa"/>
            <w:vAlign w:val="bottom"/>
          </w:tcPr>
          <w:p>
            <w:pPr>
              <w:ind w:left="140"/>
              <w:spacing w:after="0" w:line="219" w:lineRule="exact"/>
              <w:rPr>
                <w:sz w:val="20"/>
                <w:szCs w:val="20"/>
                <w:color w:val="auto"/>
              </w:rPr>
            </w:pPr>
            <w:r>
              <w:rPr>
                <w:rFonts w:ascii="Arial Narrow" w:cs="Arial Narrow" w:eastAsia="Arial Narrow" w:hAnsi="Arial Narrow"/>
                <w:sz w:val="20"/>
                <w:szCs w:val="20"/>
                <w:color w:val="auto"/>
              </w:rPr>
              <w:t>B</w:t>
            </w:r>
          </w:p>
        </w:tc>
        <w:tc>
          <w:tcPr>
            <w:tcW w:w="960" w:type="dxa"/>
            <w:vAlign w:val="bottom"/>
          </w:tcPr>
          <w:p>
            <w:pPr>
              <w:ind w:left="320"/>
              <w:spacing w:after="0" w:line="219" w:lineRule="exact"/>
              <w:rPr>
                <w:sz w:val="20"/>
                <w:szCs w:val="20"/>
                <w:color w:val="auto"/>
              </w:rPr>
            </w:pPr>
            <w:r>
              <w:rPr>
                <w:rFonts w:ascii="Arial Narrow" w:cs="Arial Narrow" w:eastAsia="Arial Narrow" w:hAnsi="Arial Narrow"/>
                <w:sz w:val="20"/>
                <w:szCs w:val="20"/>
                <w:color w:val="auto"/>
              </w:rPr>
              <w:t>12/7/17</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Plan</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14A</w:t>
            </w: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5"/>
        </w:trPr>
        <w:tc>
          <w:tcPr>
            <w:tcW w:w="640" w:type="dxa"/>
            <w:vAlign w:val="bottom"/>
          </w:tcPr>
          <w:p>
            <w:pPr>
              <w:spacing w:after="0"/>
              <w:rPr>
                <w:sz w:val="20"/>
                <w:szCs w:val="20"/>
                <w:color w:val="auto"/>
              </w:rPr>
            </w:pPr>
            <w:r>
              <w:rPr>
                <w:rFonts w:ascii="Arial Narrow" w:cs="Arial Narrow" w:eastAsia="Arial Narrow" w:hAnsi="Arial Narrow"/>
                <w:sz w:val="20"/>
                <w:szCs w:val="20"/>
                <w:color w:val="auto"/>
              </w:rPr>
              <w:t>10.2*</w:t>
            </w: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Amended and Restated 2004 Equity Incentive Plan</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10-Q</w:t>
            </w:r>
          </w:p>
        </w:tc>
        <w:tc>
          <w:tcPr>
            <w:tcW w:w="8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12/1/22</w:t>
            </w:r>
          </w:p>
        </w:tc>
        <w:tc>
          <w:tcPr>
            <w:tcW w:w="780" w:type="dxa"/>
            <w:vAlign w:val="bottom"/>
          </w:tcPr>
          <w:p>
            <w:pPr>
              <w:ind w:left="140"/>
              <w:spacing w:after="0"/>
              <w:rPr>
                <w:sz w:val="20"/>
                <w:szCs w:val="20"/>
                <w:color w:val="auto"/>
              </w:rPr>
            </w:pPr>
            <w:r>
              <w:rPr>
                <w:rFonts w:ascii="Arial Narrow" w:cs="Arial Narrow" w:eastAsia="Arial Narrow" w:hAnsi="Arial Narrow"/>
                <w:sz w:val="20"/>
                <w:szCs w:val="20"/>
                <w:color w:val="auto"/>
              </w:rPr>
              <w:t>10.1</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w w:val="97"/>
              </w:rPr>
              <w:t>12/22/22</w:t>
            </w:r>
          </w:p>
        </w:tc>
      </w:tr>
      <w:tr>
        <w:trPr>
          <w:trHeight w:val="235"/>
        </w:trPr>
        <w:tc>
          <w:tcPr>
            <w:tcW w:w="640" w:type="dxa"/>
            <w:vAlign w:val="bottom"/>
          </w:tcPr>
          <w:p>
            <w:pPr>
              <w:spacing w:after="0"/>
              <w:rPr>
                <w:sz w:val="20"/>
                <w:szCs w:val="20"/>
                <w:color w:val="auto"/>
              </w:rPr>
            </w:pPr>
            <w:r>
              <w:rPr>
                <w:rFonts w:ascii="Arial Narrow" w:cs="Arial Narrow" w:eastAsia="Arial Narrow" w:hAnsi="Arial Narrow"/>
                <w:sz w:val="20"/>
                <w:szCs w:val="20"/>
                <w:color w:val="auto"/>
              </w:rPr>
              <w:t>10.3*</w:t>
            </w: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2004 Equity Incentive Plan Forms of Agreement and Terms and</w:t>
            </w: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10-Q</w:t>
            </w:r>
          </w:p>
        </w:tc>
        <w:tc>
          <w:tcPr>
            <w:tcW w:w="8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12/1/22</w:t>
            </w:r>
          </w:p>
        </w:tc>
        <w:tc>
          <w:tcPr>
            <w:tcW w:w="780" w:type="dxa"/>
            <w:vAlign w:val="bottom"/>
          </w:tcPr>
          <w:p>
            <w:pPr>
              <w:ind w:left="140"/>
              <w:spacing w:after="0"/>
              <w:rPr>
                <w:sz w:val="20"/>
                <w:szCs w:val="20"/>
                <w:color w:val="auto"/>
              </w:rPr>
            </w:pPr>
            <w:r>
              <w:rPr>
                <w:rFonts w:ascii="Arial Narrow" w:cs="Arial Narrow" w:eastAsia="Arial Narrow" w:hAnsi="Arial Narrow"/>
                <w:sz w:val="20"/>
                <w:szCs w:val="20"/>
                <w:color w:val="auto"/>
              </w:rPr>
              <w:t>10.2</w:t>
            </w:r>
          </w:p>
        </w:tc>
        <w:tc>
          <w:tcPr>
            <w:tcW w:w="960" w:type="dxa"/>
            <w:vAlign w:val="bottom"/>
          </w:tcPr>
          <w:p>
            <w:pPr>
              <w:ind w:left="320"/>
              <w:spacing w:after="0"/>
              <w:rPr>
                <w:sz w:val="20"/>
                <w:szCs w:val="20"/>
                <w:color w:val="auto"/>
              </w:rPr>
            </w:pPr>
            <w:r>
              <w:rPr>
                <w:rFonts w:ascii="Arial Narrow" w:cs="Arial Narrow" w:eastAsia="Arial Narrow" w:hAnsi="Arial Narrow"/>
                <w:sz w:val="20"/>
                <w:szCs w:val="20"/>
                <w:color w:val="auto"/>
                <w:w w:val="97"/>
              </w:rPr>
              <w:t>12/22/22</w:t>
            </w:r>
          </w:p>
        </w:tc>
      </w:tr>
      <w:tr>
        <w:trPr>
          <w:trHeight w:val="275"/>
        </w:trPr>
        <w:tc>
          <w:tcPr>
            <w:tcW w:w="640" w:type="dxa"/>
            <w:vAlign w:val="bottom"/>
          </w:tcPr>
          <w:p>
            <w:pPr>
              <w:spacing w:after="0"/>
              <w:rPr>
                <w:sz w:val="23"/>
                <w:szCs w:val="23"/>
                <w:color w:val="auto"/>
              </w:rPr>
            </w:pPr>
          </w:p>
        </w:tc>
        <w:tc>
          <w:tcPr>
            <w:tcW w:w="5720" w:type="dxa"/>
            <w:vAlign w:val="bottom"/>
          </w:tcPr>
          <w:p>
            <w:pPr>
              <w:ind w:left="240"/>
              <w:spacing w:after="0"/>
              <w:rPr>
                <w:sz w:val="20"/>
                <w:szCs w:val="20"/>
                <w:color w:val="auto"/>
              </w:rPr>
            </w:pPr>
            <w:r>
              <w:rPr>
                <w:rFonts w:ascii="Arial Narrow" w:cs="Arial Narrow" w:eastAsia="Arial Narrow" w:hAnsi="Arial Narrow"/>
                <w:sz w:val="20"/>
                <w:szCs w:val="20"/>
                <w:color w:val="auto"/>
              </w:rPr>
              <w:t>Conditions</w:t>
            </w: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7"/>
        </w:trPr>
        <w:tc>
          <w:tcPr>
            <w:tcW w:w="640" w:type="dxa"/>
            <w:vAlign w:val="bottom"/>
          </w:tcPr>
          <w:p>
            <w:pPr>
              <w:spacing w:after="0" w:line="218" w:lineRule="exact"/>
              <w:rPr>
                <w:sz w:val="20"/>
                <w:szCs w:val="20"/>
                <w:color w:val="auto"/>
              </w:rPr>
            </w:pPr>
            <w:r>
              <w:rPr>
                <w:rFonts w:ascii="Arial Narrow" w:cs="Arial Narrow" w:eastAsia="Arial Narrow" w:hAnsi="Arial Narrow"/>
                <w:sz w:val="20"/>
                <w:szCs w:val="20"/>
                <w:color w:val="auto"/>
              </w:rPr>
              <w:t>10.4*</w:t>
            </w:r>
          </w:p>
        </w:tc>
        <w:tc>
          <w:tcPr>
            <w:tcW w:w="5720" w:type="dxa"/>
            <w:vAlign w:val="bottom"/>
          </w:tcPr>
          <w:p>
            <w:pPr>
              <w:ind w:left="240"/>
              <w:spacing w:after="0" w:line="218" w:lineRule="exact"/>
              <w:rPr>
                <w:sz w:val="20"/>
                <w:szCs w:val="20"/>
                <w:color w:val="auto"/>
              </w:rPr>
            </w:pPr>
            <w:r>
              <w:rPr>
                <w:rFonts w:ascii="Arial Narrow" w:cs="Arial Narrow" w:eastAsia="Arial Narrow" w:hAnsi="Arial Narrow"/>
                <w:sz w:val="20"/>
                <w:szCs w:val="20"/>
                <w:color w:val="auto"/>
              </w:rPr>
              <w:t>Amended and Restated 2007 Equity Incentive Plan</w:t>
            </w:r>
          </w:p>
        </w:tc>
        <w:tc>
          <w:tcPr>
            <w:tcW w:w="1080" w:type="dxa"/>
            <w:vAlign w:val="bottom"/>
          </w:tcPr>
          <w:p>
            <w:pPr>
              <w:ind w:left="540"/>
              <w:spacing w:after="0" w:line="218" w:lineRule="exact"/>
              <w:rPr>
                <w:sz w:val="20"/>
                <w:szCs w:val="20"/>
                <w:color w:val="auto"/>
              </w:rPr>
            </w:pPr>
            <w:r>
              <w:rPr>
                <w:rFonts w:ascii="Arial Narrow" w:cs="Arial Narrow" w:eastAsia="Arial Narrow" w:hAnsi="Arial Narrow"/>
                <w:sz w:val="20"/>
                <w:szCs w:val="20"/>
                <w:color w:val="auto"/>
              </w:rPr>
              <w:t>DEF</w:t>
            </w:r>
          </w:p>
        </w:tc>
        <w:tc>
          <w:tcPr>
            <w:tcW w:w="880" w:type="dxa"/>
            <w:vAlign w:val="bottom"/>
          </w:tcPr>
          <w:p>
            <w:pPr>
              <w:spacing w:after="0"/>
              <w:rPr>
                <w:sz w:val="18"/>
                <w:szCs w:val="18"/>
                <w:color w:val="auto"/>
              </w:rPr>
            </w:pPr>
          </w:p>
        </w:tc>
        <w:tc>
          <w:tcPr>
            <w:tcW w:w="780" w:type="dxa"/>
            <w:vAlign w:val="bottom"/>
          </w:tcPr>
          <w:p>
            <w:pPr>
              <w:ind w:left="140"/>
              <w:spacing w:after="0" w:line="218" w:lineRule="exact"/>
              <w:rPr>
                <w:sz w:val="20"/>
                <w:szCs w:val="20"/>
                <w:color w:val="auto"/>
              </w:rPr>
            </w:pPr>
            <w:r>
              <w:rPr>
                <w:rFonts w:ascii="Arial Narrow" w:cs="Arial Narrow" w:eastAsia="Arial Narrow" w:hAnsi="Arial Narrow"/>
                <w:sz w:val="20"/>
                <w:szCs w:val="20"/>
                <w:color w:val="auto"/>
              </w:rPr>
              <w:t>A</w:t>
            </w:r>
          </w:p>
        </w:tc>
        <w:tc>
          <w:tcPr>
            <w:tcW w:w="960" w:type="dxa"/>
            <w:vAlign w:val="bottom"/>
          </w:tcPr>
          <w:p>
            <w:pPr>
              <w:ind w:left="320"/>
              <w:spacing w:after="0" w:line="218" w:lineRule="exact"/>
              <w:rPr>
                <w:sz w:val="20"/>
                <w:szCs w:val="20"/>
                <w:color w:val="auto"/>
              </w:rPr>
            </w:pPr>
            <w:r>
              <w:rPr>
                <w:rFonts w:ascii="Arial Narrow" w:cs="Arial Narrow" w:eastAsia="Arial Narrow" w:hAnsi="Arial Narrow"/>
                <w:sz w:val="20"/>
                <w:szCs w:val="20"/>
                <w:color w:val="auto"/>
              </w:rPr>
              <w:t>12/1/20</w:t>
            </w:r>
          </w:p>
        </w:tc>
      </w:tr>
      <w:tr>
        <w:trPr>
          <w:trHeight w:val="277"/>
        </w:trPr>
        <w:tc>
          <w:tcPr>
            <w:tcW w:w="6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80" w:type="dxa"/>
            <w:vAlign w:val="bottom"/>
          </w:tcPr>
          <w:p>
            <w:pPr>
              <w:ind w:left="540"/>
              <w:spacing w:after="0"/>
              <w:rPr>
                <w:sz w:val="20"/>
                <w:szCs w:val="20"/>
                <w:color w:val="auto"/>
              </w:rPr>
            </w:pPr>
            <w:r>
              <w:rPr>
                <w:rFonts w:ascii="Arial Narrow" w:cs="Arial Narrow" w:eastAsia="Arial Narrow" w:hAnsi="Arial Narrow"/>
                <w:sz w:val="20"/>
                <w:szCs w:val="20"/>
                <w:color w:val="auto"/>
              </w:rPr>
              <w:t>14A</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426720</wp:posOffset>
            </wp:positionV>
            <wp:extent cx="736600" cy="2000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10260"/>
          </w:cols>
          <w:pgMar w:left="1000" w:top="833" w:right="98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29"/>
        </w:trPr>
        <w:tc>
          <w:tcPr>
            <w:tcW w:w="84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5140" w:type="dxa"/>
            <w:vAlign w:val="bottom"/>
            <w:vMerge w:val="restart"/>
          </w:tcPr>
          <w:p>
            <w:pPr>
              <w:ind w:left="174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580" w:type="dxa"/>
            <w:vAlign w:val="bottom"/>
          </w:tcPr>
          <w:p>
            <w:pPr>
              <w:ind w:left="26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84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5140" w:type="dxa"/>
            <w:vAlign w:val="bottom"/>
            <w:tcBorders>
              <w:bottom w:val="single" w:sz="8" w:color="auto"/>
            </w:tcBorders>
            <w:vMerge w:val="continue"/>
          </w:tcPr>
          <w:p>
            <w:pPr>
              <w:spacing w:after="0"/>
              <w:rPr>
                <w:sz w:val="22"/>
                <w:szCs w:val="22"/>
                <w:color w:val="auto"/>
              </w:rPr>
            </w:pPr>
          </w:p>
        </w:tc>
        <w:tc>
          <w:tcPr>
            <w:tcW w:w="1580" w:type="dxa"/>
            <w:vAlign w:val="bottom"/>
            <w:tcBorders>
              <w:bottom w:val="single" w:sz="8" w:color="auto"/>
            </w:tcBorders>
          </w:tcPr>
          <w:p>
            <w:pPr>
              <w:ind w:left="10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13"/>
        </w:trPr>
        <w:tc>
          <w:tcPr>
            <w:tcW w:w="840" w:type="dxa"/>
            <w:vAlign w:val="bottom"/>
          </w:tcPr>
          <w:p>
            <w:pPr>
              <w:ind w:left="40"/>
              <w:spacing w:after="0" w:line="213" w:lineRule="exact"/>
              <w:rPr>
                <w:sz w:val="20"/>
                <w:szCs w:val="20"/>
                <w:color w:val="auto"/>
              </w:rPr>
            </w:pPr>
            <w:r>
              <w:rPr>
                <w:rFonts w:ascii="Arial Narrow" w:cs="Arial Narrow" w:eastAsia="Arial Narrow" w:hAnsi="Arial Narrow"/>
                <w:sz w:val="20"/>
                <w:szCs w:val="20"/>
                <w:color w:val="auto"/>
              </w:rPr>
              <w:t>10.5*</w:t>
            </w:r>
          </w:p>
        </w:tc>
        <w:tc>
          <w:tcPr>
            <w:tcW w:w="5140" w:type="dxa"/>
            <w:vAlign w:val="bottom"/>
          </w:tcPr>
          <w:p>
            <w:pPr>
              <w:ind w:left="80"/>
              <w:spacing w:after="0" w:line="213" w:lineRule="exact"/>
              <w:rPr>
                <w:sz w:val="20"/>
                <w:szCs w:val="20"/>
                <w:color w:val="auto"/>
              </w:rPr>
            </w:pPr>
            <w:r>
              <w:rPr>
                <w:rFonts w:ascii="Arial Narrow" w:cs="Arial Narrow" w:eastAsia="Arial Narrow" w:hAnsi="Arial Narrow"/>
                <w:sz w:val="20"/>
                <w:szCs w:val="20"/>
                <w:color w:val="auto"/>
              </w:rPr>
              <w:t>2007 Equity Incentive Plan Forms of Agreement and Terms and</w:t>
            </w:r>
          </w:p>
        </w:tc>
        <w:tc>
          <w:tcPr>
            <w:tcW w:w="1580" w:type="dxa"/>
            <w:vAlign w:val="bottom"/>
          </w:tcPr>
          <w:p>
            <w:pPr>
              <w:ind w:left="960"/>
              <w:spacing w:after="0" w:line="213"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13" w:lineRule="exact"/>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line="213" w:lineRule="exact"/>
              <w:rPr>
                <w:sz w:val="20"/>
                <w:szCs w:val="20"/>
                <w:color w:val="auto"/>
              </w:rPr>
            </w:pPr>
            <w:r>
              <w:rPr>
                <w:rFonts w:ascii="Arial Narrow" w:cs="Arial Narrow" w:eastAsia="Arial Narrow" w:hAnsi="Arial Narrow"/>
                <w:sz w:val="20"/>
                <w:szCs w:val="20"/>
                <w:color w:val="auto"/>
              </w:rPr>
              <w:t>10.3</w:t>
            </w:r>
          </w:p>
        </w:tc>
        <w:tc>
          <w:tcPr>
            <w:tcW w:w="880" w:type="dxa"/>
            <w:vAlign w:val="bottom"/>
          </w:tcPr>
          <w:p>
            <w:pPr>
              <w:ind w:left="80"/>
              <w:spacing w:after="0" w:line="213" w:lineRule="exact"/>
              <w:rPr>
                <w:sz w:val="20"/>
                <w:szCs w:val="20"/>
                <w:color w:val="auto"/>
              </w:rPr>
            </w:pPr>
            <w:r>
              <w:rPr>
                <w:rFonts w:ascii="Arial Narrow" w:cs="Arial Narrow" w:eastAsia="Arial Narrow" w:hAnsi="Arial Narrow"/>
                <w:sz w:val="20"/>
                <w:szCs w:val="20"/>
                <w:color w:val="auto"/>
              </w:rPr>
              <w:t>12/22/22</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Conditions</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10.6*</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Nonstatutory Stock Option Plan, as Amended</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9/1/16</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10.10</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10/28/16</w:t>
            </w: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10.7*</w:t>
            </w:r>
          </w:p>
        </w:tc>
        <w:tc>
          <w:tcPr>
            <w:tcW w:w="514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Nonstatutory Stock Option Plan Form of Agreement and Terms and</w:t>
            </w:r>
          </w:p>
        </w:tc>
        <w:tc>
          <w:tcPr>
            <w:tcW w:w="1580" w:type="dxa"/>
            <w:vAlign w:val="bottom"/>
          </w:tcPr>
          <w:p>
            <w:pPr>
              <w:ind w:left="960"/>
              <w:spacing w:after="0" w:line="223" w:lineRule="exact"/>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9/1/16</w:t>
            </w: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10.11</w:t>
            </w:r>
          </w:p>
        </w:tc>
        <w:tc>
          <w:tcPr>
            <w:tcW w:w="88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10/28/16</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Conditions</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3" w:lineRule="exact"/>
              <w:rPr>
                <w:sz w:val="20"/>
                <w:szCs w:val="20"/>
                <w:color w:val="auto"/>
              </w:rPr>
            </w:pPr>
            <w:r>
              <w:rPr>
                <w:rFonts w:ascii="Arial Narrow" w:cs="Arial Narrow" w:eastAsia="Arial Narrow" w:hAnsi="Arial Narrow"/>
                <w:sz w:val="20"/>
                <w:szCs w:val="20"/>
                <w:color w:val="auto"/>
              </w:rPr>
              <w:t>10.8*</w:t>
            </w:r>
          </w:p>
        </w:tc>
        <w:tc>
          <w:tcPr>
            <w:tcW w:w="5140" w:type="dxa"/>
            <w:vAlign w:val="bottom"/>
          </w:tcPr>
          <w:p>
            <w:pPr>
              <w:ind w:left="80"/>
              <w:spacing w:after="0" w:line="223" w:lineRule="exact"/>
              <w:rPr>
                <w:sz w:val="20"/>
                <w:szCs w:val="20"/>
                <w:color w:val="auto"/>
              </w:rPr>
            </w:pPr>
            <w:r>
              <w:rPr>
                <w:rFonts w:ascii="Arial Narrow" w:cs="Arial Narrow" w:eastAsia="Arial Narrow" w:hAnsi="Arial Narrow"/>
                <w:sz w:val="20"/>
                <w:szCs w:val="20"/>
                <w:color w:val="auto"/>
              </w:rPr>
              <w:t>Form of Indemnification Agreement between the Registrant and its</w:t>
            </w:r>
          </w:p>
        </w:tc>
        <w:tc>
          <w:tcPr>
            <w:tcW w:w="1580" w:type="dxa"/>
            <w:vAlign w:val="bottom"/>
          </w:tcPr>
          <w:p>
            <w:pPr>
              <w:ind w:left="960"/>
              <w:spacing w:after="0" w:line="223"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2/27/14</w:t>
            </w:r>
          </w:p>
        </w:tc>
        <w:tc>
          <w:tcPr>
            <w:tcW w:w="980" w:type="dxa"/>
            <w:vAlign w:val="bottom"/>
          </w:tcPr>
          <w:p>
            <w:pPr>
              <w:ind w:left="100"/>
              <w:spacing w:after="0" w:line="223" w:lineRule="exact"/>
              <w:rPr>
                <w:sz w:val="20"/>
                <w:szCs w:val="20"/>
                <w:color w:val="auto"/>
              </w:rPr>
            </w:pPr>
            <w:r>
              <w:rPr>
                <w:rFonts w:ascii="Arial Narrow" w:cs="Arial Narrow" w:eastAsia="Arial Narrow" w:hAnsi="Arial Narrow"/>
                <w:sz w:val="20"/>
                <w:szCs w:val="20"/>
                <w:color w:val="auto"/>
              </w:rPr>
              <w:t>10.3</w:t>
            </w:r>
          </w:p>
        </w:tc>
        <w:tc>
          <w:tcPr>
            <w:tcW w:w="880" w:type="dxa"/>
            <w:vAlign w:val="bottom"/>
            <w:tcBorders>
              <w:right w:val="single" w:sz="8" w:color="D1D2D4"/>
            </w:tcBorders>
          </w:tcPr>
          <w:p>
            <w:pPr>
              <w:ind w:left="80"/>
              <w:spacing w:after="0" w:line="223" w:lineRule="exact"/>
              <w:rPr>
                <w:sz w:val="20"/>
                <w:szCs w:val="20"/>
                <w:color w:val="auto"/>
              </w:rPr>
            </w:pPr>
            <w:r>
              <w:rPr>
                <w:rFonts w:ascii="Arial Narrow" w:cs="Arial Narrow" w:eastAsia="Arial Narrow" w:hAnsi="Arial Narrow"/>
                <w:sz w:val="20"/>
                <w:szCs w:val="20"/>
                <w:color w:val="auto"/>
              </w:rPr>
              <w:t>4/7/14</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officers and directors</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10.9*</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Form of Severance Agreement</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99.2</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11/1/07</w:t>
            </w:r>
          </w:p>
        </w:tc>
        <w:tc>
          <w:tcPr>
            <w:tcW w:w="0" w:type="dxa"/>
            <w:vAlign w:val="bottom"/>
          </w:tcPr>
          <w:p>
            <w:pPr>
              <w:spacing w:after="0"/>
              <w:rPr>
                <w:sz w:val="1"/>
                <w:szCs w:val="1"/>
                <w:color w:val="auto"/>
              </w:rPr>
            </w:pPr>
          </w:p>
        </w:tc>
      </w:tr>
      <w:tr>
        <w:trPr>
          <w:trHeight w:val="312"/>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10.10*</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Deferred Compensation Plan, as amended</w:t>
            </w:r>
          </w:p>
        </w:tc>
        <w:tc>
          <w:tcPr>
            <w:tcW w:w="1580" w:type="dxa"/>
            <w:vAlign w:val="bottom"/>
          </w:tcPr>
          <w:p>
            <w:pPr>
              <w:ind w:left="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10.11*</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Amended and Restated Executive Agreement by and between</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9/1/22</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10.11</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10/7/22</w:t>
            </w: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Micron Technology, Inc. and Sanjay Mehrotra</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10.12*</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Severance Benefits for Sumit Sadana</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10.70</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12/20/17</w:t>
            </w: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10.13*</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Form of Amendment to Executive/Severance Agreement</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99.1</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11/13/17</w:t>
            </w:r>
          </w:p>
        </w:tc>
        <w:tc>
          <w:tcPr>
            <w:tcW w:w="0" w:type="dxa"/>
            <w:vAlign w:val="bottom"/>
          </w:tcPr>
          <w:p>
            <w:pPr>
              <w:spacing w:after="0"/>
              <w:rPr>
                <w:sz w:val="1"/>
                <w:szCs w:val="1"/>
                <w:color w:val="auto"/>
              </w:rPr>
            </w:pPr>
          </w:p>
        </w:tc>
      </w:tr>
      <w:tr>
        <w:trPr>
          <w:trHeight w:val="319"/>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10.14*</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Severance Benefits for Manish Bhatia</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10.74</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12/20/17</w:t>
            </w: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10.15*</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Micron Technology, Inc. Employee Stock Purchase Plan, as</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6/2/22</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10.1</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7/1/22</w:t>
            </w: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amended and restated</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10.16*</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Severance Benefits for Mark Murphy</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6/2/22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10.3</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7/1/22</w:t>
            </w:r>
          </w:p>
        </w:tc>
        <w:tc>
          <w:tcPr>
            <w:tcW w:w="0" w:type="dxa"/>
            <w:vAlign w:val="bottom"/>
          </w:tcPr>
          <w:p>
            <w:pPr>
              <w:spacing w:after="0"/>
              <w:rPr>
                <w:sz w:val="1"/>
                <w:szCs w:val="1"/>
                <w:color w:val="auto"/>
              </w:rPr>
            </w:pPr>
          </w:p>
        </w:tc>
      </w:tr>
      <w:tr>
        <w:trPr>
          <w:trHeight w:val="228"/>
        </w:trPr>
        <w:tc>
          <w:tcPr>
            <w:tcW w:w="840" w:type="dxa"/>
            <w:vAlign w:val="bottom"/>
          </w:tcPr>
          <w:p>
            <w:pPr>
              <w:ind w:left="40"/>
              <w:spacing w:after="0" w:line="228" w:lineRule="exact"/>
              <w:rPr>
                <w:sz w:val="20"/>
                <w:szCs w:val="20"/>
                <w:color w:val="auto"/>
              </w:rPr>
            </w:pPr>
            <w:r>
              <w:rPr>
                <w:rFonts w:ascii="Arial Narrow" w:cs="Arial Narrow" w:eastAsia="Arial Narrow" w:hAnsi="Arial Narrow"/>
                <w:sz w:val="20"/>
                <w:szCs w:val="20"/>
                <w:color w:val="auto"/>
              </w:rPr>
              <w:t>10.17</w:t>
            </w:r>
          </w:p>
        </w:tc>
        <w:tc>
          <w:tcPr>
            <w:tcW w:w="5140" w:type="dxa"/>
            <w:vAlign w:val="bottom"/>
          </w:tcPr>
          <w:p>
            <w:pPr>
              <w:ind w:left="80"/>
              <w:spacing w:after="0" w:line="228" w:lineRule="exact"/>
              <w:rPr>
                <w:sz w:val="20"/>
                <w:szCs w:val="20"/>
                <w:color w:val="auto"/>
              </w:rPr>
            </w:pPr>
            <w:r>
              <w:rPr>
                <w:rFonts w:ascii="Arial Narrow" w:cs="Arial Narrow" w:eastAsia="Arial Narrow" w:hAnsi="Arial Narrow"/>
                <w:sz w:val="20"/>
                <w:szCs w:val="20"/>
                <w:color w:val="auto"/>
              </w:rPr>
              <w:t>Credit Agreement, dated as of May 14, 2021, by and among Micron</w:t>
            </w:r>
          </w:p>
        </w:tc>
        <w:tc>
          <w:tcPr>
            <w:tcW w:w="1580" w:type="dxa"/>
            <w:vAlign w:val="bottom"/>
          </w:tcPr>
          <w:p>
            <w:pPr>
              <w:ind w:left="960"/>
              <w:spacing w:after="0" w:line="228"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8" w:lineRule="exact"/>
              <w:rPr>
                <w:sz w:val="20"/>
                <w:szCs w:val="20"/>
                <w:color w:val="auto"/>
              </w:rPr>
            </w:pPr>
            <w:r>
              <w:rPr>
                <w:rFonts w:ascii="Arial Narrow" w:cs="Arial Narrow" w:eastAsia="Arial Narrow" w:hAnsi="Arial Narrow"/>
                <w:sz w:val="20"/>
                <w:szCs w:val="20"/>
                <w:color w:val="auto"/>
              </w:rPr>
              <w:t>6/3/21</w:t>
            </w:r>
          </w:p>
        </w:tc>
        <w:tc>
          <w:tcPr>
            <w:tcW w:w="980" w:type="dxa"/>
            <w:vAlign w:val="bottom"/>
          </w:tcPr>
          <w:p>
            <w:pPr>
              <w:ind w:left="100"/>
              <w:spacing w:after="0" w:line="228" w:lineRule="exact"/>
              <w:rPr>
                <w:sz w:val="20"/>
                <w:szCs w:val="20"/>
                <w:color w:val="auto"/>
              </w:rPr>
            </w:pPr>
            <w:r>
              <w:rPr>
                <w:rFonts w:ascii="Arial Narrow" w:cs="Arial Narrow" w:eastAsia="Arial Narrow" w:hAnsi="Arial Narrow"/>
                <w:sz w:val="20"/>
                <w:szCs w:val="20"/>
                <w:color w:val="auto"/>
              </w:rPr>
              <w:t>10.22</w:t>
            </w:r>
          </w:p>
        </w:tc>
        <w:tc>
          <w:tcPr>
            <w:tcW w:w="880" w:type="dxa"/>
            <w:vAlign w:val="bottom"/>
          </w:tcPr>
          <w:p>
            <w:pPr>
              <w:ind w:left="80"/>
              <w:spacing w:after="0" w:line="228" w:lineRule="exact"/>
              <w:rPr>
                <w:sz w:val="20"/>
                <w:szCs w:val="20"/>
                <w:color w:val="auto"/>
              </w:rPr>
            </w:pPr>
            <w:r>
              <w:rPr>
                <w:rFonts w:ascii="Arial Narrow" w:cs="Arial Narrow" w:eastAsia="Arial Narrow" w:hAnsi="Arial Narrow"/>
                <w:sz w:val="20"/>
                <w:szCs w:val="20"/>
                <w:color w:val="auto"/>
              </w:rPr>
              <w:t>7/1/21</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Technology, Inc., as borrower, HSBC Bank USA, National</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Association, as administrative agent, the other agents party thereto,</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and each financial institution party from time to time thereto</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10.18</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Term Loan Credit Agreement, dated as of May 14, 2021, by and</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6/3/21</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10.23</w:t>
            </w:r>
          </w:p>
        </w:tc>
        <w:tc>
          <w:tcPr>
            <w:tcW w:w="880" w:type="dxa"/>
            <w:vAlign w:val="bottom"/>
            <w:tcBorders>
              <w:right w:val="single" w:sz="8" w:color="D1D2D4"/>
            </w:tcBorders>
          </w:tcPr>
          <w:p>
            <w:pPr>
              <w:ind w:left="80"/>
              <w:spacing w:after="0" w:line="220" w:lineRule="exact"/>
              <w:rPr>
                <w:sz w:val="20"/>
                <w:szCs w:val="20"/>
                <w:color w:val="auto"/>
              </w:rPr>
            </w:pPr>
            <w:r>
              <w:rPr>
                <w:rFonts w:ascii="Arial Narrow" w:cs="Arial Narrow" w:eastAsia="Arial Narrow" w:hAnsi="Arial Narrow"/>
                <w:sz w:val="20"/>
                <w:szCs w:val="20"/>
                <w:color w:val="auto"/>
              </w:rPr>
              <w:t>7/1/21</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among Micron Technology, Inc., as borrower, Wells Fargo Bank,</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National Association, as administrative agent, the other agents party</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thereto, and each financial institution party from time to time thereto</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10.19</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Term Loan Credit Agreement, dated as of November 3, 2022, by</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10.4</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12/22/22</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and among Micron Technology, Inc., as borrower, Wells Fargo Bank,</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National Association, as administrative agent, the other agents party</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thereto, and each financial institution party from time to time thereto</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2" w:lineRule="exact"/>
              <w:rPr>
                <w:sz w:val="20"/>
                <w:szCs w:val="20"/>
                <w:color w:val="auto"/>
              </w:rPr>
            </w:pPr>
            <w:r>
              <w:rPr>
                <w:rFonts w:ascii="Arial Narrow" w:cs="Arial Narrow" w:eastAsia="Arial Narrow" w:hAnsi="Arial Narrow"/>
                <w:sz w:val="20"/>
                <w:szCs w:val="20"/>
                <w:color w:val="auto"/>
              </w:rPr>
              <w:t>10.20</w:t>
            </w:r>
          </w:p>
        </w:tc>
        <w:tc>
          <w:tcPr>
            <w:tcW w:w="5140" w:type="dxa"/>
            <w:vAlign w:val="bottom"/>
          </w:tcPr>
          <w:p>
            <w:pPr>
              <w:ind w:left="80"/>
              <w:spacing w:after="0" w:line="222" w:lineRule="exact"/>
              <w:rPr>
                <w:sz w:val="20"/>
                <w:szCs w:val="20"/>
                <w:color w:val="auto"/>
              </w:rPr>
            </w:pPr>
            <w:r>
              <w:rPr>
                <w:rFonts w:ascii="Arial Narrow" w:cs="Arial Narrow" w:eastAsia="Arial Narrow" w:hAnsi="Arial Narrow"/>
                <w:sz w:val="20"/>
                <w:szCs w:val="20"/>
                <w:color w:val="auto"/>
              </w:rPr>
              <w:t>Incremental Amendment No. 1, dated as of January 5, 2023, to the</w:t>
            </w:r>
          </w:p>
        </w:tc>
        <w:tc>
          <w:tcPr>
            <w:tcW w:w="1580" w:type="dxa"/>
            <w:vAlign w:val="bottom"/>
          </w:tcPr>
          <w:p>
            <w:pPr>
              <w:ind w:left="960"/>
              <w:spacing w:after="0" w:line="222"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2" w:lineRule="exact"/>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line="222" w:lineRule="exact"/>
              <w:rPr>
                <w:sz w:val="20"/>
                <w:szCs w:val="20"/>
                <w:color w:val="auto"/>
              </w:rPr>
            </w:pPr>
            <w:r>
              <w:rPr>
                <w:rFonts w:ascii="Arial Narrow" w:cs="Arial Narrow" w:eastAsia="Arial Narrow" w:hAnsi="Arial Narrow"/>
                <w:sz w:val="20"/>
                <w:szCs w:val="20"/>
                <w:color w:val="auto"/>
              </w:rPr>
              <w:t>10.1</w:t>
            </w:r>
          </w:p>
        </w:tc>
        <w:tc>
          <w:tcPr>
            <w:tcW w:w="880" w:type="dxa"/>
            <w:vAlign w:val="bottom"/>
            <w:tcBorders>
              <w:right w:val="single" w:sz="8" w:color="D1D2D4"/>
            </w:tcBorders>
          </w:tcPr>
          <w:p>
            <w:pPr>
              <w:ind w:left="80"/>
              <w:spacing w:after="0" w:line="222" w:lineRule="exact"/>
              <w:rPr>
                <w:sz w:val="20"/>
                <w:szCs w:val="20"/>
                <w:color w:val="auto"/>
              </w:rPr>
            </w:pPr>
            <w:r>
              <w:rPr>
                <w:rFonts w:ascii="Arial Narrow" w:cs="Arial Narrow" w:eastAsia="Arial Narrow" w:hAnsi="Arial Narrow"/>
                <w:sz w:val="20"/>
                <w:szCs w:val="20"/>
                <w:color w:val="auto"/>
              </w:rPr>
              <w:t>3/29/23</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Term Loan Credit Agreement, dated as of November 3, 2022, by</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and among Micron Technology, Inc., as borrower, Wells Fargo Bank,</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National Association, as administrative agent, and the lenders party</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thereto</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10.21</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Amendment No. 1 to Term Loan Credit Agreement, dated as of</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10.3</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3/29/23</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March 27, 2023, by and among Micron Technology, Inc., as</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borrower, Wells Fargo Bank, National Association, as administrative</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agent, and the lenders party thereto</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ind w:left="40"/>
              <w:spacing w:after="0" w:line="222" w:lineRule="exact"/>
              <w:rPr>
                <w:sz w:val="20"/>
                <w:szCs w:val="20"/>
                <w:color w:val="auto"/>
              </w:rPr>
            </w:pPr>
            <w:r>
              <w:rPr>
                <w:rFonts w:ascii="Arial Narrow" w:cs="Arial Narrow" w:eastAsia="Arial Narrow" w:hAnsi="Arial Narrow"/>
                <w:sz w:val="20"/>
                <w:szCs w:val="20"/>
                <w:color w:val="auto"/>
              </w:rPr>
              <w:t>10.22</w:t>
            </w:r>
          </w:p>
        </w:tc>
        <w:tc>
          <w:tcPr>
            <w:tcW w:w="5140" w:type="dxa"/>
            <w:vAlign w:val="bottom"/>
          </w:tcPr>
          <w:p>
            <w:pPr>
              <w:ind w:left="80"/>
              <w:spacing w:after="0" w:line="222" w:lineRule="exact"/>
              <w:rPr>
                <w:sz w:val="20"/>
                <w:szCs w:val="20"/>
                <w:color w:val="auto"/>
              </w:rPr>
            </w:pPr>
            <w:r>
              <w:rPr>
                <w:rFonts w:ascii="Arial Narrow" w:cs="Arial Narrow" w:eastAsia="Arial Narrow" w:hAnsi="Arial Narrow"/>
                <w:sz w:val="20"/>
                <w:szCs w:val="20"/>
                <w:color w:val="auto"/>
              </w:rPr>
              <w:t>Amendment No. 2 to Term Loan Credit Agreement, dated as of</w:t>
            </w:r>
          </w:p>
        </w:tc>
        <w:tc>
          <w:tcPr>
            <w:tcW w:w="1580" w:type="dxa"/>
            <w:vAlign w:val="bottom"/>
          </w:tcPr>
          <w:p>
            <w:pPr>
              <w:ind w:left="960"/>
              <w:spacing w:after="0" w:line="222"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2" w:lineRule="exact"/>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line="222" w:lineRule="exact"/>
              <w:rPr>
                <w:sz w:val="20"/>
                <w:szCs w:val="20"/>
                <w:color w:val="auto"/>
              </w:rPr>
            </w:pPr>
            <w:r>
              <w:rPr>
                <w:rFonts w:ascii="Arial Narrow" w:cs="Arial Narrow" w:eastAsia="Arial Narrow" w:hAnsi="Arial Narrow"/>
                <w:sz w:val="20"/>
                <w:szCs w:val="20"/>
                <w:color w:val="auto"/>
              </w:rPr>
              <w:t>10.2</w:t>
            </w:r>
          </w:p>
        </w:tc>
        <w:tc>
          <w:tcPr>
            <w:tcW w:w="880" w:type="dxa"/>
            <w:vAlign w:val="bottom"/>
            <w:tcBorders>
              <w:right w:val="single" w:sz="8" w:color="D1D2D4"/>
            </w:tcBorders>
          </w:tcPr>
          <w:p>
            <w:pPr>
              <w:ind w:left="80"/>
              <w:spacing w:after="0" w:line="222" w:lineRule="exact"/>
              <w:rPr>
                <w:sz w:val="20"/>
                <w:szCs w:val="20"/>
                <w:color w:val="auto"/>
              </w:rPr>
            </w:pPr>
            <w:r>
              <w:rPr>
                <w:rFonts w:ascii="Arial Narrow" w:cs="Arial Narrow" w:eastAsia="Arial Narrow" w:hAnsi="Arial Narrow"/>
                <w:sz w:val="20"/>
                <w:szCs w:val="20"/>
                <w:color w:val="auto"/>
              </w:rPr>
              <w:t>3/29/23</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March 27, 2023, by and among Micron Technology, Inc., as</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borrower, Wells Fargo Bank, National Association, as administrative</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agent, and the lenders party thereto</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10.23</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Amendment No. 1 to Credit Agreement, dated as of March 27, 2023,</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10.4</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3/29/23</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by and among Micron Technology, Inc., as borrower, HSBC Bank</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USA, National Association, as administrative agent, and the lenders</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party thereto</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10.24*</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Form of Consent for Named Executive Officers</w:t>
            </w:r>
          </w:p>
        </w:tc>
        <w:tc>
          <w:tcPr>
            <w:tcW w:w="1580" w:type="dxa"/>
            <w:vAlign w:val="bottom"/>
          </w:tcPr>
          <w:p>
            <w:pPr>
              <w:ind w:left="9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10.5</w:t>
            </w:r>
          </w:p>
        </w:tc>
        <w:tc>
          <w:tcPr>
            <w:tcW w:w="880" w:type="dxa"/>
            <w:vAlign w:val="bottom"/>
            <w:tcBorders>
              <w:right w:val="single" w:sz="8" w:color="D1D2D4"/>
            </w:tcBorders>
          </w:tcPr>
          <w:p>
            <w:pPr>
              <w:ind w:left="80"/>
              <w:spacing w:after="0"/>
              <w:rPr>
                <w:sz w:val="20"/>
                <w:szCs w:val="20"/>
                <w:color w:val="auto"/>
              </w:rPr>
            </w:pPr>
            <w:r>
              <w:rPr>
                <w:rFonts w:ascii="Arial Narrow" w:cs="Arial Narrow" w:eastAsia="Arial Narrow" w:hAnsi="Arial Narrow"/>
                <w:sz w:val="20"/>
                <w:szCs w:val="20"/>
                <w:color w:val="auto"/>
              </w:rPr>
              <w:t>3/29/23</w:t>
            </w: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10.25</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Amendment No. 2 to Credit Agreement, dated as of June 7, 2023,</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6/1/23</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10.1</w:t>
            </w:r>
          </w:p>
        </w:tc>
        <w:tc>
          <w:tcPr>
            <w:tcW w:w="8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6/29/23</w:t>
            </w: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by HSBC Bank USA, National Association, as administrative agent</w:t>
            </w: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10.26</w:t>
            </w:r>
          </w:p>
        </w:tc>
        <w:tc>
          <w:tcPr>
            <w:tcW w:w="514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Amendment No. 2 to Term Loan Credit Agreement, dated as of June</w:t>
            </w:r>
          </w:p>
        </w:tc>
        <w:tc>
          <w:tcPr>
            <w:tcW w:w="1580" w:type="dxa"/>
            <w:vAlign w:val="bottom"/>
          </w:tcPr>
          <w:p>
            <w:pPr>
              <w:ind w:left="960"/>
              <w:spacing w:after="0" w:line="220"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6/1/23</w:t>
            </w:r>
          </w:p>
        </w:tc>
        <w:tc>
          <w:tcPr>
            <w:tcW w:w="9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10.2</w:t>
            </w:r>
          </w:p>
        </w:tc>
        <w:tc>
          <w:tcPr>
            <w:tcW w:w="880" w:type="dxa"/>
            <w:vAlign w:val="bottom"/>
            <w:tcBorders>
              <w:right w:val="single" w:sz="8" w:color="D1D2D4"/>
            </w:tcBorders>
          </w:tcPr>
          <w:p>
            <w:pPr>
              <w:ind w:left="80"/>
              <w:spacing w:after="0" w:line="220" w:lineRule="exact"/>
              <w:rPr>
                <w:sz w:val="20"/>
                <w:szCs w:val="20"/>
                <w:color w:val="auto"/>
              </w:rPr>
            </w:pPr>
            <w:r>
              <w:rPr>
                <w:rFonts w:ascii="Arial Narrow" w:cs="Arial Narrow" w:eastAsia="Arial Narrow" w:hAnsi="Arial Narrow"/>
                <w:sz w:val="20"/>
                <w:szCs w:val="20"/>
                <w:color w:val="auto"/>
              </w:rPr>
              <w:t>6/29/23</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14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7, 2023, by Wells Fargo Bank, National Association, as</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4"/>
                <w:szCs w:val="24"/>
                <w:color w:val="auto"/>
              </w:rPr>
            </w:pP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administrative agent</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21.1</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Subsidiaries of the Registrant</w:t>
            </w:r>
          </w:p>
        </w:tc>
        <w:tc>
          <w:tcPr>
            <w:tcW w:w="1580" w:type="dxa"/>
            <w:vAlign w:val="bottom"/>
          </w:tcPr>
          <w:p>
            <w:pPr>
              <w:ind w:left="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23.1</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Consent of Independent Registered Public Accounting Firm</w:t>
            </w:r>
          </w:p>
        </w:tc>
        <w:tc>
          <w:tcPr>
            <w:tcW w:w="1580" w:type="dxa"/>
            <w:vAlign w:val="bottom"/>
          </w:tcPr>
          <w:p>
            <w:pPr>
              <w:ind w:left="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31.1</w:t>
            </w:r>
          </w:p>
        </w:tc>
        <w:tc>
          <w:tcPr>
            <w:tcW w:w="5140" w:type="dxa"/>
            <w:vAlign w:val="bottom"/>
          </w:tcPr>
          <w:p>
            <w:pPr>
              <w:ind w:left="80"/>
              <w:spacing w:after="0"/>
              <w:rPr>
                <w:sz w:val="20"/>
                <w:szCs w:val="20"/>
                <w:color w:val="auto"/>
              </w:rPr>
            </w:pPr>
            <w:r>
              <w:rPr>
                <w:rFonts w:ascii="Arial Narrow" w:cs="Arial Narrow" w:eastAsia="Arial Narrow" w:hAnsi="Arial Narrow"/>
                <w:sz w:val="20"/>
                <w:szCs w:val="20"/>
                <w:color w:val="auto"/>
              </w:rPr>
              <w:t>Rule 13a-14(a) Certification of Chief Executive Officer</w:t>
            </w:r>
          </w:p>
        </w:tc>
        <w:tc>
          <w:tcPr>
            <w:tcW w:w="1580" w:type="dxa"/>
            <w:vAlign w:val="bottom"/>
          </w:tcPr>
          <w:p>
            <w:pPr>
              <w:ind w:left="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-8540750</wp:posOffset>
            </wp:positionV>
            <wp:extent cx="6540500" cy="85661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6540500" cy="8566150"/>
                    </a:xfrm>
                    <a:prstGeom prst="rect">
                      <a:avLst/>
                    </a:prstGeom>
                    <a:noFill/>
                  </pic:spPr>
                </pic:pic>
              </a:graphicData>
            </a:graphic>
          </wp:anchor>
        </w:drawing>
      </w:r>
    </w:p>
    <w:p>
      <w:pPr>
        <w:sectPr>
          <w:pgSz w:w="12240" w:h="15840" w:orient="portrait"/>
          <w:cols w:equalWidth="0" w:num="1">
            <w:col w:w="10260"/>
          </w:cols>
          <w:pgMar w:left="1000" w:top="893" w:right="980" w:bottom="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96 | 2023 10-K</w:t>
      </w:r>
    </w:p>
    <w:p>
      <w:pPr>
        <w:sectPr>
          <w:pgSz w:w="12240" w:h="15840" w:orient="portrait"/>
          <w:cols w:equalWidth="0" w:num="1">
            <w:col w:w="10260"/>
          </w:cols>
          <w:pgMar w:left="1000" w:top="893" w:right="98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9"/>
        </w:trPr>
        <w:tc>
          <w:tcPr>
            <w:tcW w:w="84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5080" w:type="dxa"/>
            <w:vAlign w:val="bottom"/>
            <w:vMerge w:val="restart"/>
          </w:tcPr>
          <w:p>
            <w:pPr>
              <w:ind w:left="174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680" w:type="dxa"/>
            <w:vAlign w:val="bottom"/>
          </w:tcPr>
          <w:p>
            <w:pPr>
              <w:ind w:left="32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180"/>
              <w:spacing w:after="0"/>
              <w:rPr>
                <w:sz w:val="20"/>
                <w:szCs w:val="20"/>
                <w:color w:val="auto"/>
              </w:rPr>
            </w:pPr>
            <w:r>
              <w:rPr>
                <w:rFonts w:ascii="Arial Narrow" w:cs="Arial Narrow" w:eastAsia="Arial Narrow" w:hAnsi="Arial Narrow"/>
                <w:sz w:val="20"/>
                <w:szCs w:val="20"/>
                <w:b w:val="1"/>
                <w:bCs w:val="1"/>
                <w:color w:val="auto"/>
              </w:rPr>
              <w:t>Period</w:t>
            </w:r>
          </w:p>
        </w:tc>
        <w:tc>
          <w:tcPr>
            <w:tcW w:w="1020" w:type="dxa"/>
            <w:vAlign w:val="bottom"/>
          </w:tcPr>
          <w:p>
            <w:pPr>
              <w:jc w:val="center"/>
              <w:spacing w:after="0"/>
              <w:rPr>
                <w:sz w:val="20"/>
                <w:szCs w:val="20"/>
                <w:color w:val="auto"/>
              </w:rPr>
            </w:pPr>
            <w:r>
              <w:rPr>
                <w:rFonts w:ascii="Arial Narrow" w:cs="Arial Narrow" w:eastAsia="Arial Narrow" w:hAnsi="Arial Narrow"/>
                <w:sz w:val="20"/>
                <w:szCs w:val="20"/>
                <w:b w:val="1"/>
                <w:bCs w:val="1"/>
                <w:color w:val="auto"/>
                <w:w w:val="97"/>
              </w:rPr>
              <w:t>Exhibit/</w:t>
            </w:r>
          </w:p>
        </w:tc>
        <w:tc>
          <w:tcPr>
            <w:tcW w:w="800" w:type="dxa"/>
            <w:vAlign w:val="bottom"/>
          </w:tcPr>
          <w:p>
            <w:pPr>
              <w:jc w:val="center"/>
              <w:spacing w:after="0"/>
              <w:rPr>
                <w:sz w:val="20"/>
                <w:szCs w:val="20"/>
                <w:color w:val="auto"/>
              </w:rPr>
            </w:pPr>
            <w:r>
              <w:rPr>
                <w:rFonts w:ascii="Arial Narrow" w:cs="Arial Narrow" w:eastAsia="Arial Narrow" w:hAnsi="Arial Narrow"/>
                <w:sz w:val="20"/>
                <w:szCs w:val="20"/>
                <w:b w:val="1"/>
                <w:bCs w:val="1"/>
                <w:color w:val="auto"/>
                <w:w w:val="95"/>
              </w:rPr>
              <w:t>Filing</w:t>
            </w:r>
          </w:p>
        </w:tc>
        <w:tc>
          <w:tcPr>
            <w:tcW w:w="0" w:type="dxa"/>
            <w:vAlign w:val="bottom"/>
          </w:tcPr>
          <w:p>
            <w:pPr>
              <w:spacing w:after="0"/>
              <w:rPr>
                <w:sz w:val="1"/>
                <w:szCs w:val="1"/>
                <w:color w:val="auto"/>
              </w:rPr>
            </w:pPr>
          </w:p>
        </w:tc>
      </w:tr>
      <w:tr>
        <w:trPr>
          <w:trHeight w:val="262"/>
        </w:trPr>
        <w:tc>
          <w:tcPr>
            <w:tcW w:w="84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5080" w:type="dxa"/>
            <w:vAlign w:val="bottom"/>
            <w:tcBorders>
              <w:bottom w:val="single" w:sz="8" w:color="auto"/>
            </w:tcBorders>
            <w:vMerge w:val="continue"/>
          </w:tcPr>
          <w:p>
            <w:pPr>
              <w:spacing w:after="0"/>
              <w:rPr>
                <w:sz w:val="22"/>
                <w:szCs w:val="22"/>
                <w:color w:val="auto"/>
              </w:rPr>
            </w:pPr>
          </w:p>
        </w:tc>
        <w:tc>
          <w:tcPr>
            <w:tcW w:w="16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Ending</w:t>
            </w:r>
          </w:p>
        </w:tc>
        <w:tc>
          <w:tcPr>
            <w:tcW w:w="10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w w:val="98"/>
              </w:rPr>
              <w:t>Appendix</w:t>
            </w:r>
          </w:p>
        </w:tc>
        <w:tc>
          <w:tcPr>
            <w:tcW w:w="80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w w:val="95"/>
              </w:rPr>
              <w:t>Date</w:t>
            </w:r>
          </w:p>
        </w:tc>
        <w:tc>
          <w:tcPr>
            <w:tcW w:w="0" w:type="dxa"/>
            <w:vAlign w:val="bottom"/>
          </w:tcPr>
          <w:p>
            <w:pPr>
              <w:spacing w:after="0"/>
              <w:rPr>
                <w:sz w:val="1"/>
                <w:szCs w:val="1"/>
                <w:color w:val="auto"/>
              </w:rPr>
            </w:pPr>
          </w:p>
        </w:tc>
      </w:tr>
      <w:tr>
        <w:trPr>
          <w:trHeight w:val="29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31.2</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Rule 13a-14(a) Certification of Chief Financial Officer</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32.1</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Certification of Chief Executive Officer Pursuant to 18 U.S.C. 1350</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32.2</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Certification of Chief Financial Officer Pursuant to 18 U.S.C. 1350</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97.1</w:t>
            </w:r>
          </w:p>
        </w:tc>
        <w:tc>
          <w:tcPr>
            <w:tcW w:w="50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Compensation Recoupment (Clawback) Policy, as amended and</w:t>
            </w:r>
          </w:p>
        </w:tc>
        <w:tc>
          <w:tcPr>
            <w:tcW w:w="16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restated</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84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101.INS</w:t>
            </w:r>
          </w:p>
        </w:tc>
        <w:tc>
          <w:tcPr>
            <w:tcW w:w="508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Inline XBRL Instance Document - the instance document does not</w:t>
            </w:r>
          </w:p>
        </w:tc>
        <w:tc>
          <w:tcPr>
            <w:tcW w:w="1680" w:type="dxa"/>
            <w:vAlign w:val="bottom"/>
          </w:tcPr>
          <w:p>
            <w:pPr>
              <w:ind w:left="100"/>
              <w:spacing w:after="0" w:line="220" w:lineRule="exact"/>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Borders>
              <w:right w:val="single" w:sz="8" w:color="D1D2D4"/>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5080" w:type="dxa"/>
            <w:vAlign w:val="bottom"/>
          </w:tcPr>
          <w:p>
            <w:pPr>
              <w:ind w:left="80"/>
              <w:spacing w:after="0" w:line="200" w:lineRule="exact"/>
              <w:rPr>
                <w:sz w:val="20"/>
                <w:szCs w:val="20"/>
                <w:color w:val="auto"/>
              </w:rPr>
            </w:pPr>
            <w:r>
              <w:rPr>
                <w:rFonts w:ascii="Arial Narrow" w:cs="Arial Narrow" w:eastAsia="Arial Narrow" w:hAnsi="Arial Narrow"/>
                <w:sz w:val="20"/>
                <w:szCs w:val="20"/>
                <w:color w:val="auto"/>
              </w:rPr>
              <w:t>appear in the Interactive Data File because its XBRL tags are</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Borders>
              <w:right w:val="single" w:sz="8" w:color="D1D2D4"/>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4"/>
                <w:szCs w:val="24"/>
                <w:color w:val="auto"/>
              </w:rPr>
            </w:pP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embedded within the Inline XBRL document</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101.SCH</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Inline XBRL Taxonomy Extension Schema Document</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101.CAL</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Inline XBRL Taxonomy Extension Calculation Linkbase Document</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101.DEF</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Inline XBRL Taxonomy Extension Definition Linkbase Document</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101.LAB</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Inline XBRL Taxonomy Extension Label Linkbase Document</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101.PRE</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Inline XBRL Taxonomy Extension Presentation Linkbase Document</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0" w:type="dxa"/>
            <w:vAlign w:val="bottom"/>
          </w:tcPr>
          <w:p>
            <w:pPr>
              <w:ind w:left="40"/>
              <w:spacing w:after="0"/>
              <w:rPr>
                <w:sz w:val="20"/>
                <w:szCs w:val="20"/>
                <w:color w:val="auto"/>
              </w:rPr>
            </w:pPr>
            <w:r>
              <w:rPr>
                <w:rFonts w:ascii="Arial Narrow" w:cs="Arial Narrow" w:eastAsia="Arial Narrow" w:hAnsi="Arial Narrow"/>
                <w:sz w:val="20"/>
                <w:szCs w:val="20"/>
                <w:color w:val="auto"/>
              </w:rPr>
              <w:t>104</w:t>
            </w: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Cover Page Interactive Data File (formatted as Inline XBRL and</w:t>
            </w:r>
          </w:p>
        </w:tc>
        <w:tc>
          <w:tcPr>
            <w:tcW w:w="1680" w:type="dxa"/>
            <w:vAlign w:val="bottom"/>
          </w:tcPr>
          <w:p>
            <w:pPr>
              <w:ind w:left="10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Borders>
              <w:right w:val="single" w:sz="8" w:color="D1D2D4"/>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5080" w:type="dxa"/>
            <w:vAlign w:val="bottom"/>
          </w:tcPr>
          <w:p>
            <w:pPr>
              <w:ind w:left="80"/>
              <w:spacing w:after="0"/>
              <w:rPr>
                <w:sz w:val="20"/>
                <w:szCs w:val="20"/>
                <w:color w:val="auto"/>
              </w:rPr>
            </w:pPr>
            <w:r>
              <w:rPr>
                <w:rFonts w:ascii="Arial Narrow" w:cs="Arial Narrow" w:eastAsia="Arial Narrow" w:hAnsi="Arial Narrow"/>
                <w:sz w:val="20"/>
                <w:szCs w:val="20"/>
                <w:color w:val="auto"/>
              </w:rPr>
              <w:t>contained in Exhibit 101)</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Borders>
              <w:right w:val="single" w:sz="8" w:color="D1D2D4"/>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-2612390</wp:posOffset>
            </wp:positionV>
            <wp:extent cx="6540500" cy="262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6540500" cy="262572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Indicates management contract or compensatory plan or arrangement.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16. FORM 10-K SUMMARY</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5100320</wp:posOffset>
            </wp:positionV>
            <wp:extent cx="736600" cy="2000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736600" cy="200025"/>
                    </a:xfrm>
                    <a:prstGeom prst="rect">
                      <a:avLst/>
                    </a:prstGeom>
                    <a:noFill/>
                  </pic:spPr>
                </pic:pic>
              </a:graphicData>
            </a:graphic>
          </wp:anchor>
        </w:drawing>
      </w:r>
    </w:p>
    <w:p>
      <w:pPr>
        <w:sectPr>
          <w:pgSz w:w="12240" w:h="15840" w:orient="portrait"/>
          <w:cols w:equalWidth="0" w:num="1">
            <w:col w:w="10260"/>
          </w:cols>
          <w:pgMar w:left="1000" w:top="8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10260"/>
          </w:cols>
          <w:pgMar w:left="1000" w:top="893" w:right="980" w:bottom="0" w:gutter="0" w:footer="0" w:header="0"/>
          <w:type w:val="continuous"/>
        </w:sectPr>
      </w:pPr>
    </w:p>
    <w:bookmarkStart w:id="101" w:name="page102"/>
    <w:bookmarkEnd w:id="101"/>
    <w:p>
      <w:pPr>
        <w:jc w:val="center"/>
        <w:ind w:right="-59"/>
        <w:spacing w:after="0"/>
        <w:rPr>
          <w:sz w:val="20"/>
          <w:szCs w:val="20"/>
          <w:color w:val="auto"/>
        </w:rPr>
      </w:pPr>
      <w:r>
        <w:rPr>
          <w:rFonts w:ascii="Arial" w:cs="Arial" w:eastAsia="Arial" w:hAnsi="Arial"/>
          <w:sz w:val="24"/>
          <w:szCs w:val="24"/>
          <w:b w:val="1"/>
          <w:bCs w:val="1"/>
          <w:color w:val="auto"/>
        </w:rPr>
        <w:t>SIGNATURES</w:t>
      </w:r>
    </w:p>
    <w:p>
      <w:pPr>
        <w:spacing w:after="0" w:line="263" w:lineRule="exact"/>
        <w:rPr>
          <w:sz w:val="20"/>
          <w:szCs w:val="20"/>
          <w:color w:val="auto"/>
        </w:rPr>
      </w:pPr>
    </w:p>
    <w:p>
      <w:pPr>
        <w:spacing w:after="0" w:line="285"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ind w:left="5160"/>
        <w:spacing w:after="0"/>
        <w:rPr>
          <w:sz w:val="20"/>
          <w:szCs w:val="20"/>
          <w:color w:val="auto"/>
        </w:rPr>
      </w:pPr>
      <w:r>
        <w:rPr>
          <w:rFonts w:ascii="Arial Narrow" w:cs="Arial Narrow" w:eastAsia="Arial Narrow" w:hAnsi="Arial Narrow"/>
          <w:sz w:val="20"/>
          <w:szCs w:val="20"/>
          <w:color w:val="auto"/>
        </w:rPr>
        <w:t>Micron Technology, Inc.</w:t>
      </w:r>
    </w:p>
    <w:p>
      <w:pPr>
        <w:spacing w:after="0" w:line="63" w:lineRule="exact"/>
        <w:rPr>
          <w:sz w:val="20"/>
          <w:szCs w:val="20"/>
          <w:color w:val="auto"/>
        </w:rPr>
      </w:pPr>
    </w:p>
    <w:p>
      <w:pPr>
        <w:ind w:left="40"/>
        <w:spacing w:after="0"/>
        <w:tabs>
          <w:tab w:leader="none" w:pos="520" w:val="left"/>
          <w:tab w:leader="none" w:pos="5140" w:val="left"/>
          <w:tab w:leader="none" w:pos="7280" w:val="left"/>
        </w:tabs>
        <w:rPr>
          <w:sz w:val="20"/>
          <w:szCs w:val="20"/>
          <w:color w:val="auto"/>
        </w:rPr>
      </w:pPr>
      <w:r>
        <w:rPr>
          <w:rFonts w:ascii="Arial Narrow" w:cs="Arial Narrow" w:eastAsia="Arial Narrow" w:hAnsi="Arial Narrow"/>
          <w:sz w:val="20"/>
          <w:szCs w:val="20"/>
          <w:color w:val="auto"/>
        </w:rPr>
        <w:t>Date</w:t>
        <w:tab/>
        <w:t>October 6, 2023</w:t>
      </w:r>
      <w:r>
        <w:rPr>
          <w:sz w:val="20"/>
          <w:szCs w:val="20"/>
          <w:color w:val="auto"/>
        </w:rPr>
        <w:tab/>
      </w:r>
      <w:r>
        <w:rPr>
          <w:rFonts w:ascii="Arial Narrow" w:cs="Arial Narrow" w:eastAsia="Arial Narrow" w:hAnsi="Arial Narrow"/>
          <w:sz w:val="20"/>
          <w:szCs w:val="20"/>
          <w:color w:val="auto"/>
        </w:rPr>
        <w:t>By:</w:t>
      </w:r>
      <w:r>
        <w:rPr>
          <w:sz w:val="20"/>
          <w:szCs w:val="20"/>
          <w:color w:val="auto"/>
        </w:rPr>
        <w:tab/>
      </w:r>
      <w:r>
        <w:rPr>
          <w:rFonts w:ascii="Arial Narrow" w:cs="Arial Narrow" w:eastAsia="Arial Narrow" w:hAnsi="Arial Narrow"/>
          <w:sz w:val="20"/>
          <w:szCs w:val="20"/>
          <w:i w:val="1"/>
          <w:iCs w:val="1"/>
          <w:color w:val="auto"/>
        </w:rPr>
        <w:t>/s/ Mark Murphy</w:t>
      </w:r>
    </w:p>
    <w:p>
      <w:pPr>
        <w:spacing w:after="0" w:line="43" w:lineRule="exact"/>
        <w:rPr>
          <w:sz w:val="20"/>
          <w:szCs w:val="20"/>
          <w:color w:val="auto"/>
        </w:rPr>
      </w:pPr>
    </w:p>
    <w:p>
      <w:pPr>
        <w:jc w:val="center"/>
        <w:ind w:left="5520"/>
        <w:spacing w:after="0"/>
        <w:rPr>
          <w:sz w:val="20"/>
          <w:szCs w:val="20"/>
          <w:color w:val="auto"/>
        </w:rPr>
      </w:pPr>
      <w:r>
        <w:rPr>
          <w:rFonts w:ascii="Arial Narrow" w:cs="Arial Narrow" w:eastAsia="Arial Narrow" w:hAnsi="Arial Narrow"/>
          <w:sz w:val="20"/>
          <w:szCs w:val="20"/>
          <w:b w:val="1"/>
          <w:bCs w:val="1"/>
          <w:color w:val="auto"/>
        </w:rPr>
        <w:t>Mark Murphy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3508375</wp:posOffset>
                </wp:positionH>
                <wp:positionV relativeFrom="paragraph">
                  <wp:posOffset>-130175</wp:posOffset>
                </wp:positionV>
                <wp:extent cx="30003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0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25pt,-10.2499pt" to="512.5pt,-10.2499pt" o:allowincell="f" strokecolor="#000000" strokeweight="1pt"/>
            </w:pict>
          </mc:Fallback>
        </mc:AlternateContent>
      </w:r>
    </w:p>
    <w:p>
      <w:pPr>
        <w:jc w:val="center"/>
        <w:ind w:left="5520"/>
        <w:spacing w:after="0"/>
        <w:rPr>
          <w:sz w:val="20"/>
          <w:szCs w:val="20"/>
          <w:color w:val="auto"/>
        </w:rPr>
      </w:pPr>
      <w:r>
        <w:rPr>
          <w:rFonts w:ascii="Arial Narrow" w:cs="Arial Narrow" w:eastAsia="Arial Narrow" w:hAnsi="Arial Narrow"/>
          <w:sz w:val="20"/>
          <w:szCs w:val="20"/>
          <w:color w:val="auto"/>
        </w:rPr>
        <w:t>Executive Vice President and Chief Financial Officer</w:t>
      </w:r>
    </w:p>
    <w:p>
      <w:pPr>
        <w:spacing w:after="0" w:line="11" w:lineRule="exact"/>
        <w:rPr>
          <w:sz w:val="20"/>
          <w:szCs w:val="20"/>
          <w:color w:val="auto"/>
        </w:rPr>
      </w:pPr>
    </w:p>
    <w:p>
      <w:pPr>
        <w:ind w:left="6900"/>
        <w:spacing w:after="0"/>
        <w:rPr>
          <w:sz w:val="20"/>
          <w:szCs w:val="20"/>
          <w:color w:val="auto"/>
        </w:rPr>
      </w:pPr>
      <w:r>
        <w:rPr>
          <w:rFonts w:ascii="Arial Narrow" w:cs="Arial Narrow" w:eastAsia="Arial Narrow" w:hAnsi="Arial Narrow"/>
          <w:sz w:val="20"/>
          <w:szCs w:val="20"/>
          <w:color w:val="auto"/>
        </w:rPr>
        <w:t>(Principal Financial Officer)</w:t>
      </w:r>
    </w:p>
    <w:p>
      <w:pPr>
        <w:spacing w:after="0" w:line="200" w:lineRule="exact"/>
        <w:rPr>
          <w:sz w:val="20"/>
          <w:szCs w:val="20"/>
          <w:color w:val="auto"/>
        </w:rPr>
      </w:pPr>
    </w:p>
    <w:p>
      <w:pPr>
        <w:spacing w:after="0" w:line="234" w:lineRule="exact"/>
        <w:rPr>
          <w:sz w:val="20"/>
          <w:szCs w:val="20"/>
          <w:color w:val="auto"/>
        </w:rPr>
      </w:pPr>
    </w:p>
    <w:p>
      <w:pPr>
        <w:ind w:right="420"/>
        <w:spacing w:after="0" w:line="293"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Signature</w:t>
            </w: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4"/>
              </w:rPr>
              <w:t>Title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5"/>
              </w:rPr>
              <w:t>Date</w:t>
            </w:r>
          </w:p>
        </w:tc>
        <w:tc>
          <w:tcPr>
            <w:tcW w:w="600" w:type="dxa"/>
            <w:vAlign w:val="bottom"/>
          </w:tcPr>
          <w:p>
            <w:pPr>
              <w:spacing w:after="0"/>
              <w:rPr>
                <w:sz w:val="20"/>
                <w:szCs w:val="20"/>
                <w:color w:val="auto"/>
              </w:rPr>
            </w:pPr>
          </w:p>
        </w:tc>
      </w:tr>
      <w:tr>
        <w:trPr>
          <w:trHeight w:val="558"/>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7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Executive Officer and</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3"/>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Executive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Executive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Corporate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Richard M. Beyer</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(Richard M. Beyer)</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Lynn Dugle</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(Lynn Dugle)</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Steve Gomo</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(Steve Gomo)</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Linnie Haynesworth</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(Linnie Haynesworth)</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Mary Pat McCarthy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(Mary Pat McCarthy)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Robert E. Switz</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Chair of the Board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(Robert E. Switz)</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MaryAnn Wright</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6, 2023</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8"/>
              </w:rPr>
              <w:t>(MaryAnn Wright)</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180"/>
          </w:cols>
          <w:pgMar w:left="1000" w:top="83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98 | 2023 10-K</w:t>
      </w:r>
    </w:p>
    <w:sectPr>
      <w:pgSz w:w="12240" w:h="15840" w:orient="portrait"/>
      <w:cols w:equalWidth="0" w:num="1">
        <w:col w:w="10180"/>
      </w:cols>
      <w:pgMar w:left="1000" w:top="833" w:right="10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Narrow">
    <w:panose1 w:val="020B0606020202030204"/>
    <w:charset w:val="00"/>
    <w:family w:val="swiss"/>
    <w:pitch w:val="variable"/>
    <w:sig w:usb0="00000287" w:usb1="00000800" w:usb2="00000000" w:usb3="00000000" w:csb0="2000009F" w:csb1="DFD7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bullet"/>
      <w:start w:val="1"/>
    </w:lvl>
  </w:abstractNum>
  <w:abstractNum w:abstractNumId="31">
    <w:nsid w:val="22221A70"/>
    <w:multiLevelType w:val="hybridMultilevel"/>
    <w:lvl w:ilvl="0">
      <w:lvlJc w:val="left"/>
      <w:lvlText w:val="2"/>
      <w:numFmt w:val="bullet"/>
      <w:start w:val="1"/>
    </w:lvl>
  </w:abstractNum>
  <w:abstractNum w:abstractNumId="32">
    <w:nsid w:val="4516DDE9"/>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2023-12-04T19:57:59Z</dcterms:created>
  <dcterms:modified xsi:type="dcterms:W3CDTF">2023-12-04T19:57:59Z</dcterms:modified>
</cp:coreProperties>
</file>