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jc w:val="both"/>
        <w:ind w:left="360" w:right="36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5483225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19685</wp:posOffset>
            </wp:positionV>
            <wp:extent cx="7323455" cy="5029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298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320" w:space="34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BAGLEY JAMES W</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MICRON 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MU</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7"/>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7"/>
                <w:szCs w:val="17"/>
                <w:color w:val="0000FF"/>
              </w:rPr>
              <w:t>8000 S. FEDERAL WAY</w:t>
            </w:r>
          </w:p>
        </w:tc>
        <w:tc>
          <w:tcPr>
            <w:tcW w:w="1140" w:type="dxa"/>
            <w:vAlign w:val="bottom"/>
          </w:tcPr>
          <w:p>
            <w:pPr>
              <w:spacing w:after="0"/>
              <w:rPr>
                <w:sz w:val="19"/>
                <w:szCs w:val="19"/>
                <w:color w:val="auto"/>
              </w:rPr>
            </w:pPr>
          </w:p>
        </w:tc>
        <w:tc>
          <w:tcPr>
            <w:tcW w:w="1720" w:type="dxa"/>
            <w:vAlign w:val="bottom"/>
            <w:gridSpan w:val="5"/>
          </w:tcPr>
          <w:p>
            <w:pPr>
              <w:ind w:left="280"/>
              <w:spacing w:after="0"/>
              <w:rPr>
                <w:sz w:val="20"/>
                <w:szCs w:val="20"/>
                <w:color w:val="auto"/>
              </w:rPr>
            </w:pPr>
            <w:r>
              <w:rPr>
                <w:rFonts w:ascii="Arial" w:cs="Arial" w:eastAsia="Arial" w:hAnsi="Arial"/>
                <w:sz w:val="17"/>
                <w:szCs w:val="17"/>
                <w:color w:val="0000FF"/>
              </w:rPr>
              <w:t>01/26/2012</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MAIL STOP 557</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17"/>
                <w:szCs w:val="17"/>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BOISE</w:t>
            </w:r>
          </w:p>
        </w:tc>
        <w:tc>
          <w:tcPr>
            <w:tcW w:w="860" w:type="dxa"/>
            <w:vAlign w:val="bottom"/>
          </w:tcPr>
          <w:p>
            <w:pPr>
              <w:ind w:left="660"/>
              <w:spacing w:after="0"/>
              <w:rPr>
                <w:sz w:val="20"/>
                <w:szCs w:val="20"/>
                <w:color w:val="auto"/>
              </w:rPr>
            </w:pPr>
            <w:r>
              <w:rPr>
                <w:rFonts w:ascii="Arial" w:cs="Arial" w:eastAsia="Arial" w:hAnsi="Arial"/>
                <w:sz w:val="17"/>
                <w:szCs w:val="17"/>
                <w:color w:val="0000FF"/>
              </w:rPr>
              <w:t>ID</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83707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8"/>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7"/>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720" w:type="dxa"/>
            <w:vAlign w:val="bottom"/>
            <w:gridSpan w:val="9"/>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01/26/2012</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0000FF"/>
                <w:w w:val="85"/>
              </w:rPr>
              <w:t>49,425</w:t>
            </w:r>
            <w:r>
              <w:rPr>
                <w:rFonts w:ascii="Arial" w:cs="Arial" w:eastAsia="Arial" w:hAnsi="Arial"/>
                <w:sz w:val="22"/>
                <w:szCs w:val="22"/>
                <w:color w:val="008000"/>
                <w:w w:val="85"/>
                <w:vertAlign w:val="superscript"/>
              </w:rPr>
              <w:t>(1)</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220"/>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247,094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ind w:left="2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01/26/2012</w:t>
            </w:r>
            <w:r>
              <w:rPr>
                <w:rFonts w:ascii="Arial" w:cs="Arial" w:eastAsia="Arial" w:hAnsi="Arial"/>
                <w:sz w:val="22"/>
                <w:szCs w:val="22"/>
                <w:color w:val="008000"/>
                <w:vertAlign w:val="superscript"/>
              </w:rPr>
              <w:t>(1)</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49,425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860" w:type="dxa"/>
            <w:vAlign w:val="bottom"/>
            <w:vMerge w:val="continue"/>
          </w:tcPr>
          <w:p>
            <w:pPr>
              <w:spacing w:after="0"/>
              <w:rPr>
                <w:sz w:val="12"/>
                <w:szCs w:val="12"/>
                <w:color w:val="auto"/>
              </w:rPr>
            </w:pPr>
          </w:p>
        </w:tc>
        <w:tc>
          <w:tcPr>
            <w:tcW w:w="1040" w:type="dxa"/>
            <w:vAlign w:val="bottom"/>
            <w:gridSpan w:val="2"/>
          </w:tcPr>
          <w:p>
            <w:pPr>
              <w:jc w:val="right"/>
              <w:ind w:right="153"/>
              <w:spacing w:after="0" w:line="144" w:lineRule="exact"/>
              <w:rPr>
                <w:sz w:val="20"/>
                <w:szCs w:val="20"/>
                <w:color w:val="auto"/>
              </w:rPr>
            </w:pPr>
            <w:r>
              <w:rPr>
                <w:rFonts w:ascii="Arial" w:cs="Arial" w:eastAsia="Arial" w:hAnsi="Arial"/>
                <w:sz w:val="13"/>
                <w:szCs w:val="13"/>
                <w:color w:val="0000FF"/>
              </w:rPr>
              <w:t>01/26/2012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ind w:left="40"/>
              <w:spacing w:after="0" w:line="144" w:lineRule="exact"/>
              <w:rPr>
                <w:sz w:val="20"/>
                <w:szCs w:val="20"/>
                <w:color w:val="auto"/>
              </w:rPr>
            </w:pPr>
            <w:r>
              <w:rPr>
                <w:rFonts w:ascii="Arial" w:cs="Arial" w:eastAsia="Arial" w:hAnsi="Arial"/>
                <w:sz w:val="13"/>
                <w:szCs w:val="13"/>
                <w:color w:val="0000FF"/>
              </w:rPr>
              <w:t>M</w:t>
            </w:r>
          </w:p>
        </w:tc>
        <w:tc>
          <w:tcPr>
            <w:tcW w:w="940" w:type="dxa"/>
            <w:vAlign w:val="bottom"/>
          </w:tcPr>
          <w:p>
            <w:pPr>
              <w:ind w:left="440"/>
              <w:spacing w:after="0" w:line="144" w:lineRule="exact"/>
              <w:rPr>
                <w:sz w:val="20"/>
                <w:szCs w:val="20"/>
                <w:color w:val="auto"/>
              </w:rPr>
            </w:pPr>
            <w:r>
              <w:rPr>
                <w:rFonts w:ascii="Arial" w:cs="Arial" w:eastAsia="Arial" w:hAnsi="Arial"/>
                <w:sz w:val="13"/>
                <w:szCs w:val="13"/>
                <w:color w:val="0000FF"/>
              </w:rPr>
              <w:t>49,425</w:t>
            </w:r>
          </w:p>
        </w:tc>
        <w:tc>
          <w:tcPr>
            <w:tcW w:w="880" w:type="dxa"/>
            <w:vAlign w:val="bottom"/>
            <w:gridSpan w:val="2"/>
            <w:vMerge w:val="continue"/>
          </w:tcPr>
          <w:p>
            <w:pPr>
              <w:spacing w:after="0"/>
              <w:rPr>
                <w:sz w:val="12"/>
                <w:szCs w:val="12"/>
                <w:color w:val="auto"/>
              </w:rPr>
            </w:pPr>
          </w:p>
        </w:tc>
        <w:tc>
          <w:tcPr>
            <w:tcW w:w="680" w:type="dxa"/>
            <w:vAlign w:val="bottom"/>
            <w:gridSpan w:val="2"/>
          </w:tcPr>
          <w:p>
            <w:pPr>
              <w:spacing w:after="0" w:line="144" w:lineRule="exact"/>
              <w:rPr>
                <w:sz w:val="20"/>
                <w:szCs w:val="20"/>
                <w:color w:val="auto"/>
              </w:rPr>
            </w:pPr>
            <w:r>
              <w:rPr>
                <w:rFonts w:ascii="Arial" w:cs="Arial" w:eastAsia="Arial" w:hAnsi="Arial"/>
                <w:sz w:val="13"/>
                <w:szCs w:val="13"/>
                <w:color w:val="0000FF"/>
              </w:rPr>
              <w:t>01/26/2013</w:t>
            </w:r>
          </w:p>
        </w:tc>
        <w:tc>
          <w:tcPr>
            <w:tcW w:w="70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380"/>
              <w:spacing w:after="0" w:line="144"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Rights</w:t>
            </w: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Release of deferred stock shares acquired from 1998 Director Stock Incentive Plan upon resignation of Reporting Person from Issuer's Board of Directors.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 - release of deferred stock</w:t>
      </w:r>
    </w:p>
    <w:p>
      <w:pPr>
        <w:spacing w:after="0" w:line="50" w:lineRule="exact"/>
        <w:rPr>
          <w:rFonts w:ascii="Arial" w:cs="Arial" w:eastAsia="Arial" w:hAnsi="Arial"/>
          <w:sz w:val="13"/>
          <w:szCs w:val="13"/>
          <w:color w:val="008000"/>
        </w:rPr>
      </w:pPr>
    </w:p>
    <w:p>
      <w:pPr>
        <w:ind w:left="40" w:right="46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deferred stock right was the economic equivalent of one share of issuer common stock. On January 26, 2012, the reporting person's deferred stock rights were settled for an equal number of shares of issuer common stock.</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Katie Reid Attorney-in-fact</w:t>
            </w:r>
          </w:p>
        </w:tc>
        <w:tc>
          <w:tcPr>
            <w:tcW w:w="3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01/27/2012</w:t>
            </w:r>
          </w:p>
        </w:tc>
      </w:tr>
      <w:tr>
        <w:trPr>
          <w:trHeight w:val="233"/>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16317"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2019-12-16T04:15:30Z</dcterms:created>
  <dcterms:modified xsi:type="dcterms:W3CDTF">2019-12-16T04:15:30Z</dcterms:modified>
</cp:coreProperties>
</file>