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59"/>
        <w:spacing w:after="0"/>
        <w:rPr>
          <w:sz w:val="20"/>
          <w:szCs w:val="20"/>
          <w:color w:val="auto"/>
        </w:rPr>
      </w:pPr>
      <w:r>
        <w:rPr>
          <w:rFonts w:ascii="Arial" w:cs="Arial" w:eastAsia="Arial" w:hAnsi="Arial"/>
          <w:sz w:val="31"/>
          <w:szCs w:val="31"/>
          <w:b w:val="1"/>
          <w:bCs w:val="1"/>
          <w:color w:val="auto"/>
        </w:rPr>
        <w:drawing>
          <wp:anchor simplePos="0" relativeHeight="251657728" behindDoc="1" locked="0" layoutInCell="0" allowOverlap="1">
            <wp:simplePos x="0" y="0"/>
            <wp:positionH relativeFrom="page">
              <wp:posOffset>152400</wp:posOffset>
            </wp:positionH>
            <wp:positionV relativeFrom="page">
              <wp:posOffset>111125</wp:posOffset>
            </wp:positionV>
            <wp:extent cx="7257415" cy="374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7415" cy="37465"/>
                    </a:xfrm>
                    <a:prstGeom prst="rect">
                      <a:avLst/>
                    </a:prstGeom>
                    <a:noFill/>
                  </pic:spPr>
                </pic:pic>
              </a:graphicData>
            </a:graphic>
          </wp:anchor>
        </w:drawing>
        <w:t>UNITED STATES SECURITIES AND EXCHANGE COMMISSION</w:t>
      </w:r>
    </w:p>
    <w:p>
      <w:pPr>
        <w:spacing w:after="0" w:line="35" w:lineRule="exact"/>
        <w:rPr>
          <w:sz w:val="24"/>
          <w:szCs w:val="24"/>
          <w:color w:val="auto"/>
        </w:rPr>
      </w:pPr>
    </w:p>
    <w:p>
      <w:pPr>
        <w:jc w:val="center"/>
        <w:ind w:right="-559"/>
        <w:spacing w:after="0"/>
        <w:rPr>
          <w:sz w:val="20"/>
          <w:szCs w:val="20"/>
          <w:color w:val="auto"/>
        </w:rPr>
      </w:pPr>
      <w:r>
        <w:rPr>
          <w:rFonts w:ascii="Arial" w:cs="Arial" w:eastAsia="Arial" w:hAnsi="Arial"/>
          <w:sz w:val="17"/>
          <w:szCs w:val="17"/>
          <w:b w:val="1"/>
          <w:bCs w:val="1"/>
          <w:color w:val="auto"/>
        </w:rPr>
        <w:t>Washington, D.C. 20549</w:t>
      </w:r>
    </w:p>
    <w:p>
      <w:pPr>
        <w:spacing w:after="0" w:line="201" w:lineRule="exact"/>
        <w:rPr>
          <w:sz w:val="24"/>
          <w:szCs w:val="24"/>
          <w:color w:val="auto"/>
        </w:rPr>
      </w:pPr>
    </w:p>
    <w:p>
      <w:pPr>
        <w:ind w:left="4960"/>
        <w:spacing w:after="0"/>
        <w:rPr>
          <w:sz w:val="20"/>
          <w:szCs w:val="20"/>
          <w:color w:val="auto"/>
        </w:rPr>
      </w:pPr>
      <w:r>
        <w:rPr>
          <w:rFonts w:ascii="Arial" w:cs="Arial" w:eastAsia="Arial" w:hAnsi="Arial"/>
          <w:sz w:val="31"/>
          <w:szCs w:val="31"/>
          <w:b w:val="1"/>
          <w:bCs w:val="1"/>
          <w:color w:val="auto"/>
        </w:rPr>
        <w:t>FORM 8-K</w:t>
      </w:r>
    </w:p>
    <w:p>
      <w:pPr>
        <w:spacing w:after="0" w:line="200" w:lineRule="exact"/>
        <w:rPr>
          <w:sz w:val="24"/>
          <w:szCs w:val="24"/>
          <w:color w:val="auto"/>
        </w:rPr>
      </w:pPr>
    </w:p>
    <w:p>
      <w:pPr>
        <w:spacing w:after="0" w:line="279" w:lineRule="exact"/>
        <w:rPr>
          <w:sz w:val="24"/>
          <w:szCs w:val="24"/>
          <w:color w:val="auto"/>
        </w:rPr>
      </w:pPr>
    </w:p>
    <w:p>
      <w:pPr>
        <w:ind w:left="4920"/>
        <w:spacing w:after="0"/>
        <w:rPr>
          <w:sz w:val="20"/>
          <w:szCs w:val="20"/>
          <w:color w:val="auto"/>
        </w:rPr>
      </w:pPr>
      <w:r>
        <w:rPr>
          <w:rFonts w:ascii="Arial" w:cs="Arial" w:eastAsia="Arial" w:hAnsi="Arial"/>
          <w:sz w:val="17"/>
          <w:szCs w:val="17"/>
          <w:b w:val="1"/>
          <w:bCs w:val="1"/>
          <w:color w:val="auto"/>
        </w:rPr>
        <w:t>CURRENT REPORT</w:t>
      </w:r>
    </w:p>
    <w:p>
      <w:pPr>
        <w:spacing w:after="0" w:line="200" w:lineRule="exact"/>
        <w:rPr>
          <w:sz w:val="24"/>
          <w:szCs w:val="24"/>
          <w:color w:val="auto"/>
        </w:rPr>
      </w:pPr>
    </w:p>
    <w:p>
      <w:pPr>
        <w:spacing w:after="0" w:line="276" w:lineRule="exact"/>
        <w:rPr>
          <w:sz w:val="24"/>
          <w:szCs w:val="24"/>
          <w:color w:val="auto"/>
        </w:rPr>
      </w:pPr>
    </w:p>
    <w:p>
      <w:pPr>
        <w:jc w:val="center"/>
        <w:ind w:right="-559"/>
        <w:spacing w:after="0"/>
        <w:rPr>
          <w:sz w:val="20"/>
          <w:szCs w:val="20"/>
          <w:color w:val="auto"/>
        </w:rPr>
      </w:pPr>
      <w:r>
        <w:rPr>
          <w:rFonts w:ascii="Arial" w:cs="Arial" w:eastAsia="Arial" w:hAnsi="Arial"/>
          <w:sz w:val="17"/>
          <w:szCs w:val="17"/>
          <w:b w:val="1"/>
          <w:bCs w:val="1"/>
          <w:color w:val="auto"/>
        </w:rPr>
        <w:t>Pursuant to Section 13 OR 15(d) of the Securities Exchange Act of 1934</w:t>
      </w:r>
    </w:p>
    <w:p>
      <w:pPr>
        <w:spacing w:after="0" w:line="243" w:lineRule="exact"/>
        <w:rPr>
          <w:sz w:val="24"/>
          <w:szCs w:val="24"/>
          <w:color w:val="auto"/>
        </w:rPr>
      </w:pPr>
    </w:p>
    <w:p>
      <w:pPr>
        <w:jc w:val="center"/>
        <w:ind w:right="-559"/>
        <w:spacing w:after="0"/>
        <w:rPr>
          <w:sz w:val="20"/>
          <w:szCs w:val="20"/>
          <w:color w:val="auto"/>
        </w:rPr>
      </w:pPr>
      <w:r>
        <w:rPr>
          <w:rFonts w:ascii="Arial" w:cs="Arial" w:eastAsia="Arial" w:hAnsi="Arial"/>
          <w:sz w:val="17"/>
          <w:szCs w:val="17"/>
          <w:b w:val="1"/>
          <w:bCs w:val="1"/>
          <w:color w:val="auto"/>
        </w:rPr>
        <w:t>October 27, 2014</w:t>
      </w:r>
    </w:p>
    <w:p>
      <w:pPr>
        <w:spacing w:after="0" w:line="28" w:lineRule="exact"/>
        <w:rPr>
          <w:sz w:val="24"/>
          <w:szCs w:val="24"/>
          <w:color w:val="auto"/>
        </w:rPr>
      </w:pPr>
    </w:p>
    <w:p>
      <w:pPr>
        <w:jc w:val="center"/>
        <w:ind w:right="-559"/>
        <w:spacing w:after="0"/>
        <w:rPr>
          <w:sz w:val="20"/>
          <w:szCs w:val="20"/>
          <w:color w:val="auto"/>
        </w:rPr>
      </w:pPr>
      <w:r>
        <w:rPr>
          <w:rFonts w:ascii="Arial" w:cs="Arial" w:eastAsia="Arial" w:hAnsi="Arial"/>
          <w:sz w:val="17"/>
          <w:szCs w:val="17"/>
          <w:color w:val="auto"/>
        </w:rPr>
        <w:t>Date of Report (date of earliest event reported)</w:t>
      </w:r>
    </w:p>
    <w:p>
      <w:pPr>
        <w:spacing w:after="0" w:line="204" w:lineRule="exact"/>
        <w:rPr>
          <w:sz w:val="24"/>
          <w:szCs w:val="24"/>
          <w:color w:val="auto"/>
        </w:rPr>
      </w:pPr>
    </w:p>
    <w:p>
      <w:pPr>
        <w:jc w:val="center"/>
        <w:ind w:right="-559"/>
        <w:spacing w:after="0"/>
        <w:rPr>
          <w:sz w:val="20"/>
          <w:szCs w:val="20"/>
          <w:color w:val="auto"/>
        </w:rPr>
      </w:pPr>
      <w:r>
        <w:rPr>
          <w:rFonts w:ascii="Arial" w:cs="Arial" w:eastAsia="Arial" w:hAnsi="Arial"/>
          <w:sz w:val="31"/>
          <w:szCs w:val="31"/>
          <w:b w:val="1"/>
          <w:bCs w:val="1"/>
          <w:color w:val="auto"/>
        </w:rPr>
        <w:t>MICRON TECHNOLOGY, INC.</w:t>
      </w:r>
    </w:p>
    <w:p>
      <w:pPr>
        <w:spacing w:after="0" w:line="35" w:lineRule="exact"/>
        <w:rPr>
          <w:sz w:val="24"/>
          <w:szCs w:val="24"/>
          <w:color w:val="auto"/>
        </w:rPr>
      </w:pPr>
    </w:p>
    <w:p>
      <w:pPr>
        <w:ind w:left="3940"/>
        <w:spacing w:after="0"/>
        <w:rPr>
          <w:sz w:val="20"/>
          <w:szCs w:val="20"/>
          <w:color w:val="auto"/>
        </w:rPr>
      </w:pPr>
      <w:r>
        <w:rPr>
          <w:rFonts w:ascii="Arial" w:cs="Arial" w:eastAsia="Arial" w:hAnsi="Arial"/>
          <w:sz w:val="17"/>
          <w:szCs w:val="17"/>
          <w:color w:val="auto"/>
        </w:rPr>
        <w:t>(Exact name of registrant as specified in its charter)</w:t>
      </w:r>
    </w:p>
    <w:p>
      <w:pPr>
        <w:sectPr>
          <w:pgSz w:w="11900" w:h="16838" w:orient="portrait"/>
          <w:cols w:equalWidth="0" w:num="1">
            <w:col w:w="10860"/>
          </w:cols>
          <w:pgMar w:left="240" w:top="976" w:right="799" w:bottom="1440" w:gutter="0" w:footer="0" w:header="0"/>
        </w:sectPr>
      </w:pPr>
    </w:p>
    <w:p>
      <w:pPr>
        <w:spacing w:after="0" w:line="223" w:lineRule="exact"/>
        <w:rPr>
          <w:sz w:val="24"/>
          <w:szCs w:val="24"/>
          <w:color w:val="auto"/>
        </w:rPr>
      </w:pPr>
    </w:p>
    <w:p>
      <w:pPr>
        <w:jc w:val="center"/>
        <w:ind w:right="420"/>
        <w:spacing w:after="0"/>
        <w:rPr>
          <w:sz w:val="20"/>
          <w:szCs w:val="20"/>
          <w:color w:val="auto"/>
        </w:rPr>
      </w:pPr>
      <w:r>
        <w:rPr>
          <w:rFonts w:ascii="Arial" w:cs="Arial" w:eastAsia="Arial" w:hAnsi="Arial"/>
          <w:sz w:val="17"/>
          <w:szCs w:val="17"/>
          <w:b w:val="1"/>
          <w:bCs w:val="1"/>
          <w:color w:val="auto"/>
        </w:rPr>
        <w:t>Delaware</w:t>
      </w:r>
    </w:p>
    <w:p>
      <w:pPr>
        <w:spacing w:after="0" w:line="28" w:lineRule="exact"/>
        <w:rPr>
          <w:sz w:val="24"/>
          <w:szCs w:val="24"/>
          <w:color w:val="auto"/>
        </w:rPr>
      </w:pPr>
    </w:p>
    <w:p>
      <w:pPr>
        <w:jc w:val="center"/>
        <w:ind w:right="420"/>
        <w:spacing w:after="0"/>
        <w:rPr>
          <w:sz w:val="20"/>
          <w:szCs w:val="20"/>
          <w:color w:val="auto"/>
        </w:rPr>
      </w:pPr>
      <w:r>
        <w:rPr>
          <w:rFonts w:ascii="Arial" w:cs="Arial" w:eastAsia="Arial" w:hAnsi="Arial"/>
          <w:sz w:val="15"/>
          <w:szCs w:val="15"/>
          <w:color w:val="auto"/>
        </w:rPr>
        <w:t>(State or other jurisdiction of</w:t>
      </w:r>
    </w:p>
    <w:p>
      <w:pPr>
        <w:spacing w:after="0" w:line="20" w:lineRule="exact"/>
        <w:rPr>
          <w:sz w:val="24"/>
          <w:szCs w:val="24"/>
          <w:color w:val="auto"/>
        </w:rPr>
      </w:pPr>
      <w:r>
        <w:rPr>
          <w:sz w:val="24"/>
          <w:szCs w:val="24"/>
          <w:color w:val="auto"/>
        </w:rPr>
        <w:br w:type="column"/>
      </w:r>
    </w:p>
    <w:p>
      <w:pPr>
        <w:spacing w:after="0" w:line="203" w:lineRule="exact"/>
        <w:rPr>
          <w:sz w:val="24"/>
          <w:szCs w:val="24"/>
          <w:color w:val="auto"/>
        </w:rPr>
      </w:pPr>
    </w:p>
    <w:p>
      <w:pPr>
        <w:jc w:val="center"/>
        <w:ind w:right="980"/>
        <w:spacing w:after="0"/>
        <w:rPr>
          <w:sz w:val="20"/>
          <w:szCs w:val="20"/>
          <w:color w:val="auto"/>
        </w:rPr>
      </w:pPr>
      <w:r>
        <w:rPr>
          <w:rFonts w:ascii="Arial" w:cs="Arial" w:eastAsia="Arial" w:hAnsi="Arial"/>
          <w:sz w:val="17"/>
          <w:szCs w:val="17"/>
          <w:b w:val="1"/>
          <w:bCs w:val="1"/>
          <w:color w:val="auto"/>
        </w:rPr>
        <w:t>1-10658</w:t>
      </w:r>
    </w:p>
    <w:p>
      <w:pPr>
        <w:spacing w:after="0" w:line="28" w:lineRule="exact"/>
        <w:rPr>
          <w:sz w:val="24"/>
          <w:szCs w:val="24"/>
          <w:color w:val="auto"/>
        </w:rPr>
      </w:pPr>
    </w:p>
    <w:p>
      <w:pPr>
        <w:jc w:val="center"/>
        <w:ind w:right="980"/>
        <w:spacing w:after="0"/>
        <w:rPr>
          <w:sz w:val="20"/>
          <w:szCs w:val="20"/>
          <w:color w:val="auto"/>
        </w:rPr>
      </w:pPr>
      <w:r>
        <w:rPr>
          <w:rFonts w:ascii="Arial" w:cs="Arial" w:eastAsia="Arial" w:hAnsi="Arial"/>
          <w:sz w:val="15"/>
          <w:szCs w:val="15"/>
          <w:color w:val="auto"/>
        </w:rPr>
        <w:t>(Commission File Number)</w:t>
      </w:r>
    </w:p>
    <w:p>
      <w:pPr>
        <w:spacing w:after="0" w:line="20" w:lineRule="exact"/>
        <w:rPr>
          <w:sz w:val="24"/>
          <w:szCs w:val="24"/>
          <w:color w:val="auto"/>
        </w:rPr>
      </w:pPr>
      <w:r>
        <w:rPr>
          <w:sz w:val="24"/>
          <w:szCs w:val="24"/>
          <w:color w:val="auto"/>
        </w:rPr>
        <w:br w:type="column"/>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75-1618004</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(I.R.S. Employer Identification No.)</w:t>
      </w:r>
    </w:p>
    <w:p>
      <w:pPr>
        <w:spacing w:after="0" w:line="23" w:lineRule="exact"/>
        <w:rPr>
          <w:sz w:val="24"/>
          <w:szCs w:val="24"/>
          <w:color w:val="auto"/>
        </w:rPr>
      </w:pPr>
    </w:p>
    <w:p>
      <w:pPr>
        <w:sectPr>
          <w:pgSz w:w="11900" w:h="16838" w:orient="portrait"/>
          <w:cols w:equalWidth="0" w:num="3">
            <w:col w:w="4040" w:space="720"/>
            <w:col w:w="2880" w:space="720"/>
            <w:col w:w="2500"/>
          </w:cols>
          <w:pgMar w:left="240" w:top="976" w:right="799" w:bottom="1440" w:gutter="0" w:footer="0" w:header="0"/>
          <w:type w:val="continuous"/>
        </w:sectPr>
      </w:pPr>
    </w:p>
    <w:p>
      <w:pPr>
        <w:ind w:left="1320"/>
        <w:spacing w:after="0"/>
        <w:rPr>
          <w:sz w:val="20"/>
          <w:szCs w:val="20"/>
          <w:color w:val="auto"/>
        </w:rPr>
      </w:pPr>
      <w:r>
        <w:rPr>
          <w:rFonts w:ascii="Arial" w:cs="Arial" w:eastAsia="Arial" w:hAnsi="Arial"/>
          <w:sz w:val="16"/>
          <w:szCs w:val="16"/>
          <w:color w:val="auto"/>
        </w:rPr>
        <w:t>incorporation)</w:t>
      </w:r>
    </w:p>
    <w:p>
      <w:pPr>
        <w:sectPr>
          <w:pgSz w:w="11900" w:h="16838" w:orient="portrait"/>
          <w:cols w:equalWidth="0" w:num="1">
            <w:col w:w="10860"/>
          </w:cols>
          <w:pgMar w:left="240" w:top="976" w:right="799" w:bottom="1440" w:gutter="0" w:footer="0" w:header="0"/>
          <w:type w:val="continuous"/>
        </w:sectPr>
      </w:pPr>
    </w:p>
    <w:p>
      <w:pPr>
        <w:spacing w:after="0" w:line="200" w:lineRule="exact"/>
        <w:rPr>
          <w:sz w:val="24"/>
          <w:szCs w:val="24"/>
          <w:color w:val="auto"/>
        </w:rPr>
      </w:pPr>
    </w:p>
    <w:p>
      <w:pPr>
        <w:spacing w:after="0" w:line="245" w:lineRule="exact"/>
        <w:rPr>
          <w:sz w:val="24"/>
          <w:szCs w:val="24"/>
          <w:color w:val="auto"/>
        </w:rPr>
      </w:pPr>
    </w:p>
    <w:p>
      <w:pPr>
        <w:jc w:val="center"/>
        <w:ind w:right="-579"/>
        <w:spacing w:after="0"/>
        <w:rPr>
          <w:sz w:val="20"/>
          <w:szCs w:val="20"/>
          <w:color w:val="auto"/>
        </w:rPr>
      </w:pPr>
      <w:r>
        <w:rPr>
          <w:rFonts w:ascii="Arial" w:cs="Arial" w:eastAsia="Arial" w:hAnsi="Arial"/>
          <w:sz w:val="17"/>
          <w:szCs w:val="17"/>
          <w:b w:val="1"/>
          <w:bCs w:val="1"/>
          <w:color w:val="auto"/>
        </w:rPr>
        <w:t>8000 South Federal Way</w:t>
      </w:r>
    </w:p>
    <w:p>
      <w:pPr>
        <w:spacing w:after="0" w:line="28" w:lineRule="exact"/>
        <w:rPr>
          <w:sz w:val="24"/>
          <w:szCs w:val="24"/>
          <w:color w:val="auto"/>
        </w:rPr>
      </w:pPr>
    </w:p>
    <w:p>
      <w:pPr>
        <w:jc w:val="center"/>
        <w:ind w:right="-579"/>
        <w:spacing w:after="0"/>
        <w:rPr>
          <w:sz w:val="20"/>
          <w:szCs w:val="20"/>
          <w:color w:val="auto"/>
        </w:rPr>
      </w:pPr>
      <w:r>
        <w:rPr>
          <w:rFonts w:ascii="Arial" w:cs="Arial" w:eastAsia="Arial" w:hAnsi="Arial"/>
          <w:sz w:val="17"/>
          <w:szCs w:val="17"/>
          <w:b w:val="1"/>
          <w:bCs w:val="1"/>
          <w:color w:val="auto"/>
        </w:rPr>
        <w:t>Boise, Idaho 83716-9632</w:t>
      </w:r>
    </w:p>
    <w:p>
      <w:pPr>
        <w:spacing w:after="0" w:line="11" w:lineRule="exact"/>
        <w:rPr>
          <w:sz w:val="24"/>
          <w:szCs w:val="24"/>
          <w:color w:val="auto"/>
        </w:rPr>
      </w:pPr>
    </w:p>
    <w:p>
      <w:pPr>
        <w:jc w:val="center"/>
        <w:ind w:right="-579"/>
        <w:spacing w:after="0"/>
        <w:rPr>
          <w:sz w:val="20"/>
          <w:szCs w:val="20"/>
          <w:color w:val="auto"/>
        </w:rPr>
      </w:pPr>
      <w:r>
        <w:rPr>
          <w:rFonts w:ascii="Arial" w:cs="Arial" w:eastAsia="Arial" w:hAnsi="Arial"/>
          <w:sz w:val="17"/>
          <w:szCs w:val="17"/>
          <w:color w:val="auto"/>
        </w:rPr>
        <w:t>(Address of principal executive offices)</w:t>
      </w:r>
    </w:p>
    <w:p>
      <w:pPr>
        <w:spacing w:after="0" w:line="227" w:lineRule="exact"/>
        <w:rPr>
          <w:sz w:val="24"/>
          <w:szCs w:val="24"/>
          <w:color w:val="auto"/>
        </w:rPr>
      </w:pPr>
    </w:p>
    <w:p>
      <w:pPr>
        <w:jc w:val="center"/>
        <w:ind w:right="-579"/>
        <w:spacing w:after="0"/>
        <w:rPr>
          <w:sz w:val="20"/>
          <w:szCs w:val="20"/>
          <w:color w:val="auto"/>
        </w:rPr>
      </w:pPr>
      <w:r>
        <w:rPr>
          <w:rFonts w:ascii="Arial" w:cs="Arial" w:eastAsia="Arial" w:hAnsi="Arial"/>
          <w:sz w:val="17"/>
          <w:szCs w:val="17"/>
          <w:b w:val="1"/>
          <w:bCs w:val="1"/>
          <w:color w:val="auto"/>
        </w:rPr>
        <w:t>(208) 368-4000</w:t>
      </w:r>
    </w:p>
    <w:p>
      <w:pPr>
        <w:spacing w:after="0" w:line="28" w:lineRule="exact"/>
        <w:rPr>
          <w:sz w:val="24"/>
          <w:szCs w:val="24"/>
          <w:color w:val="auto"/>
        </w:rPr>
      </w:pPr>
    </w:p>
    <w:p>
      <w:pPr>
        <w:jc w:val="center"/>
        <w:ind w:right="-579"/>
        <w:spacing w:after="0"/>
        <w:rPr>
          <w:sz w:val="20"/>
          <w:szCs w:val="20"/>
          <w:color w:val="auto"/>
        </w:rPr>
      </w:pPr>
      <w:r>
        <w:rPr>
          <w:rFonts w:ascii="Arial" w:cs="Arial" w:eastAsia="Arial" w:hAnsi="Arial"/>
          <w:sz w:val="17"/>
          <w:szCs w:val="17"/>
          <w:color w:val="auto"/>
        </w:rPr>
        <w:t>(Registrant’s telephone number, including area code)</w:t>
      </w:r>
    </w:p>
    <w:p>
      <w:pPr>
        <w:spacing w:after="0" w:line="233" w:lineRule="exact"/>
        <w:rPr>
          <w:sz w:val="24"/>
          <w:szCs w:val="24"/>
          <w:color w:val="auto"/>
        </w:rPr>
      </w:pPr>
    </w:p>
    <w:p>
      <w:pPr>
        <w:ind w:right="60"/>
        <w:spacing w:after="0" w:line="280" w:lineRule="auto"/>
        <w:rPr>
          <w:sz w:val="20"/>
          <w:szCs w:val="20"/>
          <w:color w:val="auto"/>
        </w:rPr>
      </w:pPr>
      <w:r>
        <w:rPr>
          <w:rFonts w:ascii="Arial" w:cs="Arial" w:eastAsia="Arial" w:hAnsi="Arial"/>
          <w:sz w:val="17"/>
          <w:szCs w:val="17"/>
          <w:color w:val="auto"/>
        </w:rPr>
        <w:t>Check the appropriate box below if the Form 8-K filing is intended to simultaneously satisfy the filing obligation of the registrant under any of the following provisions (see General Instruction A.2. below):</w:t>
      </w:r>
    </w:p>
    <w:p>
      <w:pPr>
        <w:spacing w:after="0" w:line="189" w:lineRule="exact"/>
        <w:rPr>
          <w:sz w:val="24"/>
          <w:szCs w:val="24"/>
          <w:color w:val="auto"/>
        </w:rPr>
      </w:pPr>
    </w:p>
    <w:p>
      <w:pPr>
        <w:spacing w:after="0"/>
        <w:rPr>
          <w:sz w:val="20"/>
          <w:szCs w:val="20"/>
          <w:color w:val="auto"/>
        </w:rPr>
      </w:pPr>
      <w:r>
        <w:rPr>
          <w:rFonts w:ascii="Arial" w:cs="Arial" w:eastAsia="Arial" w:hAnsi="Arial"/>
          <w:sz w:val="17"/>
          <w:szCs w:val="17"/>
          <w:color w:val="auto"/>
        </w:rPr>
        <w:t>o Written communications pursuant to Rule 425 under the Securities Act (17 CFR 230.425)</w:t>
      </w:r>
    </w:p>
    <w:p>
      <w:pPr>
        <w:spacing w:after="0" w:line="243" w:lineRule="exact"/>
        <w:rPr>
          <w:sz w:val="24"/>
          <w:szCs w:val="24"/>
          <w:color w:val="auto"/>
        </w:rPr>
      </w:pPr>
    </w:p>
    <w:p>
      <w:pPr>
        <w:spacing w:after="0"/>
        <w:rPr>
          <w:sz w:val="20"/>
          <w:szCs w:val="20"/>
          <w:color w:val="auto"/>
        </w:rPr>
      </w:pPr>
      <w:r>
        <w:rPr>
          <w:rFonts w:ascii="Arial" w:cs="Arial" w:eastAsia="Arial" w:hAnsi="Arial"/>
          <w:sz w:val="17"/>
          <w:szCs w:val="17"/>
          <w:color w:val="auto"/>
        </w:rPr>
        <w:t>o Soliciting material pursuant to Rule 14a-12 under the Exchange Act (17 CFR 240.14a-12)</w:t>
      </w:r>
    </w:p>
    <w:p>
      <w:pPr>
        <w:spacing w:after="0" w:line="243" w:lineRule="exact"/>
        <w:rPr>
          <w:sz w:val="24"/>
          <w:szCs w:val="24"/>
          <w:color w:val="auto"/>
        </w:rPr>
      </w:pPr>
    </w:p>
    <w:p>
      <w:pPr>
        <w:spacing w:after="0"/>
        <w:rPr>
          <w:sz w:val="20"/>
          <w:szCs w:val="20"/>
          <w:color w:val="auto"/>
        </w:rPr>
      </w:pPr>
      <w:r>
        <w:rPr>
          <w:rFonts w:ascii="Arial" w:cs="Arial" w:eastAsia="Arial" w:hAnsi="Arial"/>
          <w:sz w:val="17"/>
          <w:szCs w:val="17"/>
          <w:color w:val="auto"/>
        </w:rPr>
        <w:t>o Pre-commencement communications pursuant to Rule 14d-2(b) under the Exchange Act (17 CFR 240.14d-2(b))</w:t>
      </w:r>
    </w:p>
    <w:p>
      <w:pPr>
        <w:spacing w:after="0" w:line="243" w:lineRule="exact"/>
        <w:rPr>
          <w:sz w:val="24"/>
          <w:szCs w:val="24"/>
          <w:color w:val="auto"/>
        </w:rPr>
      </w:pPr>
    </w:p>
    <w:p>
      <w:pPr>
        <w:spacing w:after="0"/>
        <w:rPr>
          <w:sz w:val="20"/>
          <w:szCs w:val="20"/>
          <w:color w:val="auto"/>
        </w:rPr>
      </w:pPr>
      <w:r>
        <w:rPr>
          <w:rFonts w:ascii="Arial" w:cs="Arial" w:eastAsia="Arial" w:hAnsi="Arial"/>
          <w:sz w:val="17"/>
          <w:szCs w:val="17"/>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684530</wp:posOffset>
            </wp:positionV>
            <wp:extent cx="7257415" cy="20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0860"/>
          </w:cols>
          <w:pgMar w:left="240" w:top="976" w:right="799" w:bottom="1440" w:gutter="0" w:footer="0" w:header="0"/>
          <w:type w:val="continuous"/>
        </w:sectPr>
      </w:pPr>
    </w:p>
    <w:bookmarkStart w:id="1" w:name="page2"/>
    <w:bookmarkEnd w:id="1"/>
    <w:p>
      <w:pPr>
        <w:spacing w:after="0"/>
        <w:tabs>
          <w:tab w:leader="none" w:pos="980" w:val="left"/>
        </w:tabs>
        <w:rPr>
          <w:sz w:val="20"/>
          <w:szCs w:val="20"/>
          <w:color w:val="auto"/>
        </w:rPr>
      </w:pPr>
      <w:r>
        <w:rPr>
          <w:rFonts w:ascii="Arial" w:cs="Arial" w:eastAsia="Arial" w:hAnsi="Arial"/>
          <w:sz w:val="17"/>
          <w:szCs w:val="17"/>
          <w:b w:val="1"/>
          <w:bCs w:val="1"/>
          <w:color w:val="auto"/>
        </w:rPr>
        <w:t>Item 7.01.</w:t>
      </w:r>
      <w:r>
        <w:rPr>
          <w:sz w:val="20"/>
          <w:szCs w:val="20"/>
          <w:color w:val="auto"/>
        </w:rPr>
        <w:tab/>
      </w:r>
      <w:r>
        <w:rPr>
          <w:rFonts w:ascii="Arial" w:cs="Arial" w:eastAsia="Arial" w:hAnsi="Arial"/>
          <w:sz w:val="15"/>
          <w:szCs w:val="15"/>
          <w:b w:val="1"/>
          <w:bCs w:val="1"/>
          <w:color w:val="auto"/>
        </w:rPr>
        <w:t>Regulation FD Disclosure</w:t>
      </w:r>
    </w:p>
    <w:p>
      <w:pPr>
        <w:spacing w:after="0" w:line="249" w:lineRule="exact"/>
        <w:rPr>
          <w:sz w:val="20"/>
          <w:szCs w:val="20"/>
          <w:color w:val="auto"/>
        </w:rPr>
      </w:pPr>
    </w:p>
    <w:p>
      <w:pPr>
        <w:ind w:right="100"/>
        <w:spacing w:after="0" w:line="280" w:lineRule="auto"/>
        <w:rPr>
          <w:sz w:val="20"/>
          <w:szCs w:val="20"/>
          <w:color w:val="auto"/>
        </w:rPr>
      </w:pPr>
      <w:r>
        <w:rPr>
          <w:rFonts w:ascii="Arial" w:cs="Arial" w:eastAsia="Arial" w:hAnsi="Arial"/>
          <w:sz w:val="17"/>
          <w:szCs w:val="17"/>
          <w:color w:val="auto"/>
        </w:rPr>
        <w:t>On October 27, 2014 the Company issued a press release announcing that its Board of Directors has authorized the discretionary repurchase of up to $1 billion of its outstanding common stock. The press release related to this announcement is attached as Exhibit 99.1 hereto.</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000" w:type="dxa"/>
            <w:vAlign w:val="bottom"/>
            <w:gridSpan w:val="2"/>
          </w:tcPr>
          <w:p>
            <w:pPr>
              <w:spacing w:after="0"/>
              <w:rPr>
                <w:sz w:val="20"/>
                <w:szCs w:val="20"/>
                <w:color w:val="auto"/>
              </w:rPr>
            </w:pPr>
            <w:r>
              <w:rPr>
                <w:rFonts w:ascii="Arial" w:cs="Arial" w:eastAsia="Arial" w:hAnsi="Arial"/>
                <w:sz w:val="17"/>
                <w:szCs w:val="17"/>
                <w:b w:val="1"/>
                <w:bCs w:val="1"/>
                <w:color w:val="auto"/>
              </w:rPr>
              <w:t>Item 9.01.</w:t>
            </w:r>
          </w:p>
        </w:tc>
        <w:tc>
          <w:tcPr>
            <w:tcW w:w="10420" w:type="dxa"/>
            <w:vAlign w:val="bottom"/>
            <w:gridSpan w:val="2"/>
          </w:tcPr>
          <w:p>
            <w:pPr>
              <w:ind w:left="280"/>
              <w:spacing w:after="0"/>
              <w:rPr>
                <w:sz w:val="20"/>
                <w:szCs w:val="20"/>
                <w:color w:val="auto"/>
              </w:rPr>
            </w:pPr>
            <w:r>
              <w:rPr>
                <w:rFonts w:ascii="Arial" w:cs="Arial" w:eastAsia="Arial" w:hAnsi="Arial"/>
                <w:sz w:val="17"/>
                <w:szCs w:val="17"/>
                <w:b w:val="1"/>
                <w:bCs w:val="1"/>
                <w:color w:val="auto"/>
              </w:rPr>
              <w:t>Financial Statements and Exhibits.</w:t>
            </w:r>
          </w:p>
        </w:tc>
      </w:tr>
      <w:tr>
        <w:trPr>
          <w:trHeight w:val="413"/>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420" w:type="dxa"/>
            <w:vAlign w:val="bottom"/>
            <w:gridSpan w:val="2"/>
          </w:tcPr>
          <w:p>
            <w:pPr>
              <w:ind w:left="280"/>
              <w:spacing w:after="0"/>
              <w:rPr>
                <w:sz w:val="20"/>
                <w:szCs w:val="20"/>
                <w:color w:val="auto"/>
              </w:rPr>
            </w:pPr>
            <w:r>
              <w:rPr>
                <w:rFonts w:ascii="Arial" w:cs="Arial" w:eastAsia="Arial" w:hAnsi="Arial"/>
                <w:sz w:val="17"/>
                <w:szCs w:val="17"/>
                <w:color w:val="auto"/>
              </w:rPr>
              <w:t>(d) Exhibits.</w:t>
            </w:r>
          </w:p>
        </w:tc>
      </w:tr>
      <w:tr>
        <w:trPr>
          <w:trHeight w:val="413"/>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420" w:type="dxa"/>
            <w:vAlign w:val="bottom"/>
            <w:gridSpan w:val="2"/>
          </w:tcPr>
          <w:p>
            <w:pPr>
              <w:ind w:left="280"/>
              <w:spacing w:after="0"/>
              <w:rPr>
                <w:sz w:val="20"/>
                <w:szCs w:val="20"/>
                <w:color w:val="auto"/>
              </w:rPr>
            </w:pPr>
            <w:r>
              <w:rPr>
                <w:rFonts w:ascii="Arial" w:cs="Arial" w:eastAsia="Arial" w:hAnsi="Arial"/>
                <w:sz w:val="17"/>
                <w:szCs w:val="17"/>
                <w:color w:val="auto"/>
              </w:rPr>
              <w:t>The following exhibits are filed herewith:</w:t>
            </w:r>
          </w:p>
        </w:tc>
      </w:tr>
      <w:tr>
        <w:trPr>
          <w:trHeight w:val="653"/>
        </w:trPr>
        <w:tc>
          <w:tcPr>
            <w:tcW w:w="1000" w:type="dxa"/>
            <w:vAlign w:val="bottom"/>
            <w:gridSpan w:val="2"/>
          </w:tcPr>
          <w:p>
            <w:pPr>
              <w:spacing w:after="0"/>
              <w:rPr>
                <w:sz w:val="20"/>
                <w:szCs w:val="20"/>
                <w:color w:val="auto"/>
              </w:rPr>
            </w:pPr>
            <w:r>
              <w:rPr>
                <w:rFonts w:ascii="Arial" w:cs="Arial" w:eastAsia="Arial" w:hAnsi="Arial"/>
                <w:sz w:val="17"/>
                <w:szCs w:val="17"/>
                <w:b w:val="1"/>
                <w:bCs w:val="1"/>
                <w:color w:val="auto"/>
              </w:rPr>
              <w:t>Exhibit No.</w:t>
            </w:r>
          </w:p>
        </w:tc>
        <w:tc>
          <w:tcPr>
            <w:tcW w:w="300" w:type="dxa"/>
            <w:vAlign w:val="bottom"/>
          </w:tcPr>
          <w:p>
            <w:pPr>
              <w:spacing w:after="0"/>
              <w:rPr>
                <w:sz w:val="24"/>
                <w:szCs w:val="24"/>
                <w:color w:val="auto"/>
              </w:rPr>
            </w:pPr>
          </w:p>
        </w:tc>
        <w:tc>
          <w:tcPr>
            <w:tcW w:w="10120" w:type="dxa"/>
            <w:vAlign w:val="bottom"/>
          </w:tcPr>
          <w:p>
            <w:pPr>
              <w:ind w:left="4640"/>
              <w:spacing w:after="0"/>
              <w:rPr>
                <w:sz w:val="20"/>
                <w:szCs w:val="20"/>
                <w:color w:val="auto"/>
              </w:rPr>
            </w:pPr>
            <w:r>
              <w:rPr>
                <w:rFonts w:ascii="Arial" w:cs="Arial" w:eastAsia="Arial" w:hAnsi="Arial"/>
                <w:sz w:val="17"/>
                <w:szCs w:val="17"/>
                <w:b w:val="1"/>
                <w:bCs w:val="1"/>
                <w:color w:val="auto"/>
              </w:rPr>
              <w:t>Description</w:t>
            </w:r>
          </w:p>
        </w:tc>
      </w:tr>
      <w:tr>
        <w:trPr>
          <w:trHeight w:val="217"/>
        </w:trPr>
        <w:tc>
          <w:tcPr>
            <w:tcW w:w="20" w:type="dxa"/>
            <w:vAlign w:val="bottom"/>
          </w:tcPr>
          <w:p>
            <w:pPr>
              <w:spacing w:after="0"/>
              <w:rPr>
                <w:sz w:val="18"/>
                <w:szCs w:val="18"/>
                <w:color w:val="auto"/>
              </w:rPr>
            </w:pPr>
          </w:p>
        </w:tc>
        <w:tc>
          <w:tcPr>
            <w:tcW w:w="980" w:type="dxa"/>
            <w:vAlign w:val="bottom"/>
            <w:tcBorders>
              <w:top w:val="single" w:sz="8" w:color="auto"/>
            </w:tcBorders>
          </w:tcPr>
          <w:p>
            <w:pPr>
              <w:jc w:val="right"/>
              <w:ind w:right="254"/>
              <w:spacing w:after="0"/>
              <w:rPr>
                <w:sz w:val="20"/>
                <w:szCs w:val="20"/>
                <w:color w:val="auto"/>
              </w:rPr>
            </w:pPr>
            <w:r>
              <w:rPr>
                <w:rFonts w:ascii="Arial" w:cs="Arial" w:eastAsia="Arial" w:hAnsi="Arial"/>
                <w:sz w:val="17"/>
                <w:szCs w:val="17"/>
                <w:color w:val="auto"/>
              </w:rPr>
              <w:t>99.1</w:t>
            </w:r>
          </w:p>
        </w:tc>
        <w:tc>
          <w:tcPr>
            <w:tcW w:w="300" w:type="dxa"/>
            <w:vAlign w:val="bottom"/>
          </w:tcPr>
          <w:p>
            <w:pPr>
              <w:spacing w:after="0"/>
              <w:rPr>
                <w:sz w:val="18"/>
                <w:szCs w:val="18"/>
                <w:color w:val="auto"/>
              </w:rPr>
            </w:pPr>
          </w:p>
        </w:tc>
        <w:tc>
          <w:tcPr>
            <w:tcW w:w="1012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Press release, dated October 27, 2014, regarding share repurchase authorization.</w:t>
            </w:r>
          </w:p>
        </w:tc>
      </w:tr>
      <w:tr>
        <w:trPr>
          <w:trHeight w:val="568"/>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420" w:type="dxa"/>
            <w:vAlign w:val="bottom"/>
            <w:gridSpan w:val="2"/>
          </w:tcPr>
          <w:p>
            <w:pPr>
              <w:jc w:val="right"/>
              <w:ind w:right="5574"/>
              <w:spacing w:after="0"/>
              <w:rPr>
                <w:sz w:val="20"/>
                <w:szCs w:val="20"/>
                <w:color w:val="auto"/>
              </w:rPr>
            </w:pPr>
            <w:r>
              <w:rPr>
                <w:rFonts w:ascii="Arial" w:cs="Arial" w:eastAsia="Arial" w:hAnsi="Arial"/>
                <w:sz w:val="17"/>
                <w:szCs w:val="17"/>
                <w:color w:val="auto"/>
              </w:rPr>
              <w:t>1</w:t>
            </w:r>
          </w:p>
        </w:tc>
      </w:tr>
      <w:tr>
        <w:trPr>
          <w:trHeight w:val="114"/>
        </w:trPr>
        <w:tc>
          <w:tcPr>
            <w:tcW w:w="20" w:type="dxa"/>
            <w:vAlign w:val="bottom"/>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012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7244080</wp:posOffset>
            </wp:positionH>
            <wp:positionV relativeFrom="paragraph">
              <wp:posOffset>-13970</wp:posOffset>
            </wp:positionV>
            <wp:extent cx="127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95" w:right="2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7"/>
          <w:szCs w:val="17"/>
          <w:b w:val="1"/>
          <w:bCs w:val="1"/>
          <w:color w:val="auto"/>
        </w:rPr>
        <w:t>SIGNATURE</w:t>
      </w:r>
    </w:p>
    <w:p>
      <w:pPr>
        <w:spacing w:after="0" w:line="249" w:lineRule="exact"/>
        <w:rPr>
          <w:sz w:val="20"/>
          <w:szCs w:val="20"/>
          <w:color w:val="auto"/>
        </w:rPr>
      </w:pPr>
    </w:p>
    <w:p>
      <w:pPr>
        <w:ind w:firstLine="620"/>
        <w:spacing w:after="0" w:line="280"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hereunto duly authorized.</w:t>
      </w:r>
    </w:p>
    <w:p>
      <w:pPr>
        <w:spacing w:after="0" w:line="183" w:lineRule="exact"/>
        <w:rPr>
          <w:sz w:val="20"/>
          <w:szCs w:val="20"/>
          <w:color w:val="auto"/>
        </w:rPr>
      </w:pPr>
    </w:p>
    <w:p>
      <w:pPr>
        <w:ind w:left="5140"/>
        <w:spacing w:after="0"/>
        <w:rPr>
          <w:sz w:val="20"/>
          <w:szCs w:val="20"/>
          <w:color w:val="auto"/>
        </w:rPr>
      </w:pPr>
      <w:r>
        <w:rPr>
          <w:rFonts w:ascii="Arial" w:cs="Arial" w:eastAsia="Arial" w:hAnsi="Arial"/>
          <w:sz w:val="17"/>
          <w:szCs w:val="17"/>
          <w:b w:val="1"/>
          <w:bCs w:val="1"/>
          <w:color w:val="auto"/>
        </w:rPr>
        <w:t>MICRON TECHNOLOGY, INC.</w:t>
      </w:r>
    </w:p>
    <w:p>
      <w:pPr>
        <w:spacing w:after="0" w:line="200" w:lineRule="exact"/>
        <w:rPr>
          <w:sz w:val="20"/>
          <w:szCs w:val="20"/>
          <w:color w:val="auto"/>
        </w:rPr>
      </w:pPr>
    </w:p>
    <w:p>
      <w:pPr>
        <w:spacing w:after="0" w:line="230" w:lineRule="exact"/>
        <w:rPr>
          <w:sz w:val="20"/>
          <w:szCs w:val="20"/>
          <w:color w:val="auto"/>
        </w:rPr>
      </w:pPr>
    </w:p>
    <w:p>
      <w:pPr>
        <w:spacing w:after="0"/>
        <w:tabs>
          <w:tab w:leader="none" w:pos="5120" w:val="left"/>
          <w:tab w:leader="none" w:pos="5580" w:val="left"/>
        </w:tabs>
        <w:rPr>
          <w:sz w:val="20"/>
          <w:szCs w:val="20"/>
          <w:color w:val="auto"/>
        </w:rPr>
      </w:pPr>
      <w:r>
        <w:rPr>
          <w:rFonts w:ascii="Arial" w:cs="Arial" w:eastAsia="Arial" w:hAnsi="Arial"/>
          <w:sz w:val="17"/>
          <w:szCs w:val="17"/>
          <w:color w:val="auto"/>
        </w:rPr>
        <w:t>Date: October 27, 2014</w:t>
      </w:r>
      <w:r>
        <w:rPr>
          <w:sz w:val="20"/>
          <w:szCs w:val="20"/>
          <w:color w:val="auto"/>
        </w:rPr>
        <w:tab/>
      </w:r>
      <w:r>
        <w:rPr>
          <w:rFonts w:ascii="Arial" w:cs="Arial" w:eastAsia="Arial" w:hAnsi="Arial"/>
          <w:sz w:val="17"/>
          <w:szCs w:val="17"/>
          <w:color w:val="auto"/>
        </w:rPr>
        <w:t>By:</w:t>
      </w:r>
      <w:r>
        <w:rPr>
          <w:sz w:val="20"/>
          <w:szCs w:val="20"/>
          <w:color w:val="auto"/>
        </w:rPr>
        <w:tab/>
      </w:r>
      <w:r>
        <w:rPr>
          <w:rFonts w:ascii="Arial" w:cs="Arial" w:eastAsia="Arial" w:hAnsi="Arial"/>
          <w:sz w:val="15"/>
          <w:szCs w:val="15"/>
          <w:i w:val="1"/>
          <w:iCs w:val="1"/>
          <w:color w:val="auto"/>
        </w:rPr>
        <w:t>/s/ Ronald C. Foster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3558540</wp:posOffset>
            </wp:positionH>
            <wp:positionV relativeFrom="paragraph">
              <wp:posOffset>14605</wp:posOffset>
            </wp:positionV>
            <wp:extent cx="1376680" cy="165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76680" cy="16510"/>
                    </a:xfrm>
                    <a:prstGeom prst="rect">
                      <a:avLst/>
                    </a:prstGeom>
                    <a:noFill/>
                  </pic:spPr>
                </pic:pic>
              </a:graphicData>
            </a:graphic>
          </wp:anchor>
        </w:drawing>
      </w:r>
    </w:p>
    <w:p>
      <w:pPr>
        <w:spacing w:after="0" w:line="17" w:lineRule="exact"/>
        <w:rPr>
          <w:sz w:val="20"/>
          <w:szCs w:val="20"/>
          <w:color w:val="auto"/>
        </w:rPr>
      </w:pPr>
    </w:p>
    <w:p>
      <w:pPr>
        <w:ind w:left="5140"/>
        <w:spacing w:after="0"/>
        <w:rPr>
          <w:sz w:val="20"/>
          <w:szCs w:val="20"/>
          <w:color w:val="auto"/>
        </w:rPr>
      </w:pPr>
      <w:r>
        <w:rPr>
          <w:rFonts w:ascii="Arial" w:cs="Arial" w:eastAsia="Arial" w:hAnsi="Arial"/>
          <w:sz w:val="17"/>
          <w:szCs w:val="17"/>
          <w:color w:val="auto"/>
        </w:rPr>
        <w:t>Name:Ronald C. Foster</w:t>
      </w:r>
    </w:p>
    <w:p>
      <w:pPr>
        <w:spacing w:after="0" w:line="22" w:lineRule="exact"/>
        <w:rPr>
          <w:sz w:val="20"/>
          <w:szCs w:val="20"/>
          <w:color w:val="auto"/>
        </w:rPr>
      </w:pPr>
    </w:p>
    <w:p>
      <w:pPr>
        <w:ind w:left="5140"/>
        <w:spacing w:after="0"/>
        <w:rPr>
          <w:sz w:val="20"/>
          <w:szCs w:val="20"/>
          <w:color w:val="auto"/>
        </w:rPr>
      </w:pPr>
      <w:r>
        <w:rPr>
          <w:rFonts w:ascii="Arial" w:cs="Arial" w:eastAsia="Arial" w:hAnsi="Arial"/>
          <w:sz w:val="17"/>
          <w:szCs w:val="17"/>
          <w:color w:val="auto"/>
        </w:rPr>
        <w:t>Title: Chief Financial Officer and</w:t>
      </w:r>
    </w:p>
    <w:p>
      <w:pPr>
        <w:spacing w:after="0" w:line="11" w:lineRule="exact"/>
        <w:rPr>
          <w:sz w:val="20"/>
          <w:szCs w:val="20"/>
          <w:color w:val="auto"/>
        </w:rPr>
      </w:pPr>
    </w:p>
    <w:p>
      <w:pPr>
        <w:ind w:left="5600"/>
        <w:spacing w:after="0"/>
        <w:rPr>
          <w:sz w:val="20"/>
          <w:szCs w:val="20"/>
          <w:color w:val="auto"/>
        </w:rPr>
      </w:pPr>
      <w:r>
        <w:rPr>
          <w:rFonts w:ascii="Arial" w:cs="Arial" w:eastAsia="Arial" w:hAnsi="Arial"/>
          <w:sz w:val="17"/>
          <w:szCs w:val="17"/>
          <w:color w:val="auto"/>
        </w:rPr>
        <w:t>Vice President of Finance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78105</wp:posOffset>
            </wp:positionV>
            <wp:extent cx="7257415" cy="209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380"/>
          </w:cols>
          <w:pgMar w:left="240" w:top="495" w:right="27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120" w:type="dxa"/>
            <w:vAlign w:val="bottom"/>
          </w:tcPr>
          <w:p>
            <w:pPr>
              <w:jc w:val="center"/>
              <w:ind w:right="1214"/>
              <w:spacing w:after="0"/>
              <w:rPr>
                <w:sz w:val="20"/>
                <w:szCs w:val="20"/>
                <w:color w:val="auto"/>
              </w:rPr>
            </w:pPr>
            <w:r>
              <w:rPr>
                <w:rFonts w:ascii="Arial" w:cs="Arial" w:eastAsia="Arial" w:hAnsi="Arial"/>
                <w:sz w:val="17"/>
                <w:szCs w:val="17"/>
                <w:b w:val="1"/>
                <w:bCs w:val="1"/>
                <w:color w:val="auto"/>
              </w:rPr>
              <w:t>INDEX TO EXHIBITS FILED WITH</w:t>
            </w:r>
          </w:p>
        </w:tc>
      </w:tr>
      <w:tr>
        <w:trPr>
          <w:trHeight w:val="439"/>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120" w:type="dxa"/>
            <w:vAlign w:val="bottom"/>
          </w:tcPr>
          <w:p>
            <w:pPr>
              <w:jc w:val="center"/>
              <w:ind w:right="1214"/>
              <w:spacing w:after="0"/>
              <w:rPr>
                <w:sz w:val="20"/>
                <w:szCs w:val="20"/>
                <w:color w:val="auto"/>
              </w:rPr>
            </w:pPr>
            <w:r>
              <w:rPr>
                <w:rFonts w:ascii="Arial" w:cs="Arial" w:eastAsia="Arial" w:hAnsi="Arial"/>
                <w:sz w:val="17"/>
                <w:szCs w:val="17"/>
                <w:b w:val="1"/>
                <w:bCs w:val="1"/>
                <w:color w:val="auto"/>
                <w:w w:val="99"/>
              </w:rPr>
              <w:t>THE CURRENT REPORT ON FORM 8-K DATED OCTOBER 27, 2014</w:t>
            </w:r>
          </w:p>
        </w:tc>
      </w:tr>
      <w:tr>
        <w:trPr>
          <w:trHeight w:val="446"/>
        </w:trPr>
        <w:tc>
          <w:tcPr>
            <w:tcW w:w="1000" w:type="dxa"/>
            <w:vAlign w:val="bottom"/>
            <w:gridSpan w:val="2"/>
          </w:tcPr>
          <w:p>
            <w:pPr>
              <w:jc w:val="right"/>
              <w:ind w:right="74"/>
              <w:spacing w:after="0"/>
              <w:rPr>
                <w:sz w:val="20"/>
                <w:szCs w:val="20"/>
                <w:color w:val="auto"/>
              </w:rPr>
            </w:pPr>
            <w:r>
              <w:rPr>
                <w:rFonts w:ascii="Arial" w:cs="Arial" w:eastAsia="Arial" w:hAnsi="Arial"/>
                <w:sz w:val="17"/>
                <w:szCs w:val="17"/>
                <w:b w:val="1"/>
                <w:bCs w:val="1"/>
                <w:color w:val="auto"/>
                <w:w w:val="92"/>
              </w:rPr>
              <w:t>Exhibit No.</w:t>
            </w:r>
          </w:p>
        </w:tc>
        <w:tc>
          <w:tcPr>
            <w:tcW w:w="300" w:type="dxa"/>
            <w:vAlign w:val="bottom"/>
          </w:tcPr>
          <w:p>
            <w:pPr>
              <w:spacing w:after="0"/>
              <w:rPr>
                <w:sz w:val="24"/>
                <w:szCs w:val="24"/>
                <w:color w:val="auto"/>
              </w:rPr>
            </w:pPr>
          </w:p>
        </w:tc>
        <w:tc>
          <w:tcPr>
            <w:tcW w:w="10120" w:type="dxa"/>
            <w:vAlign w:val="bottom"/>
          </w:tcPr>
          <w:p>
            <w:pPr>
              <w:ind w:left="4640"/>
              <w:spacing w:after="0"/>
              <w:rPr>
                <w:sz w:val="20"/>
                <w:szCs w:val="20"/>
                <w:color w:val="auto"/>
              </w:rPr>
            </w:pPr>
            <w:r>
              <w:rPr>
                <w:rFonts w:ascii="Arial" w:cs="Arial" w:eastAsia="Arial" w:hAnsi="Arial"/>
                <w:sz w:val="17"/>
                <w:szCs w:val="17"/>
                <w:b w:val="1"/>
                <w:bCs w:val="1"/>
                <w:color w:val="auto"/>
              </w:rPr>
              <w:t>Description</w:t>
            </w:r>
          </w:p>
        </w:tc>
      </w:tr>
      <w:tr>
        <w:trPr>
          <w:trHeight w:val="217"/>
        </w:trPr>
        <w:tc>
          <w:tcPr>
            <w:tcW w:w="20" w:type="dxa"/>
            <w:vAlign w:val="bottom"/>
          </w:tcPr>
          <w:p>
            <w:pPr>
              <w:spacing w:after="0"/>
              <w:rPr>
                <w:sz w:val="18"/>
                <w:szCs w:val="18"/>
                <w:color w:val="auto"/>
              </w:rPr>
            </w:pPr>
          </w:p>
        </w:tc>
        <w:tc>
          <w:tcPr>
            <w:tcW w:w="980" w:type="dxa"/>
            <w:vAlign w:val="bottom"/>
            <w:tcBorders>
              <w:top w:val="single" w:sz="8" w:color="auto"/>
            </w:tcBorders>
          </w:tcPr>
          <w:p>
            <w:pPr>
              <w:jc w:val="right"/>
              <w:ind w:right="254"/>
              <w:spacing w:after="0"/>
              <w:rPr>
                <w:sz w:val="20"/>
                <w:szCs w:val="20"/>
                <w:color w:val="auto"/>
              </w:rPr>
            </w:pPr>
            <w:r>
              <w:rPr>
                <w:rFonts w:ascii="Arial" w:cs="Arial" w:eastAsia="Arial" w:hAnsi="Arial"/>
                <w:sz w:val="17"/>
                <w:szCs w:val="17"/>
                <w:color w:val="auto"/>
              </w:rPr>
              <w:t>99.1</w:t>
            </w:r>
          </w:p>
        </w:tc>
        <w:tc>
          <w:tcPr>
            <w:tcW w:w="300" w:type="dxa"/>
            <w:vAlign w:val="bottom"/>
          </w:tcPr>
          <w:p>
            <w:pPr>
              <w:spacing w:after="0"/>
              <w:rPr>
                <w:sz w:val="18"/>
                <w:szCs w:val="18"/>
                <w:color w:val="auto"/>
              </w:rPr>
            </w:pPr>
          </w:p>
        </w:tc>
        <w:tc>
          <w:tcPr>
            <w:tcW w:w="1012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Press release, dated October 27, 2014 regarding share repurchase authorization.</w:t>
            </w:r>
          </w:p>
        </w:tc>
      </w:tr>
      <w:tr>
        <w:trPr>
          <w:trHeight w:val="426"/>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420" w:type="dxa"/>
            <w:vAlign w:val="bottom"/>
            <w:gridSpan w:val="2"/>
          </w:tcPr>
          <w:p>
            <w:pPr>
              <w:jc w:val="center"/>
              <w:ind w:right="894"/>
              <w:spacing w:after="0"/>
              <w:rPr>
                <w:sz w:val="20"/>
                <w:szCs w:val="20"/>
                <w:color w:val="auto"/>
              </w:rPr>
            </w:pPr>
            <w:r>
              <w:rPr>
                <w:rFonts w:ascii="Arial" w:cs="Arial" w:eastAsia="Arial" w:hAnsi="Arial"/>
                <w:sz w:val="17"/>
                <w:szCs w:val="17"/>
                <w:color w:val="auto"/>
                <w:w w:val="84"/>
              </w:rPr>
              <w:t>3</w:t>
            </w:r>
          </w:p>
        </w:tc>
      </w:tr>
      <w:tr>
        <w:trPr>
          <w:trHeight w:val="579"/>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120" w:type="dxa"/>
            <w:vAlign w:val="bottom"/>
          </w:tcPr>
          <w:p>
            <w:pPr>
              <w:spacing w:after="0"/>
              <w:rPr>
                <w:sz w:val="24"/>
                <w:szCs w:val="24"/>
                <w:color w:val="auto"/>
              </w:rPr>
            </w:pPr>
          </w:p>
        </w:tc>
      </w:tr>
      <w:tr>
        <w:trPr>
          <w:trHeight w:val="68"/>
        </w:trPr>
        <w:tc>
          <w:tcPr>
            <w:tcW w:w="20" w:type="dxa"/>
            <w:vAlign w:val="bottom"/>
            <w:shd w:val="clear" w:color="auto" w:fill="808080"/>
          </w:tcPr>
          <w:p>
            <w:pPr>
              <w:spacing w:after="0"/>
              <w:rPr>
                <w:sz w:val="5"/>
                <w:szCs w:val="5"/>
                <w:color w:val="auto"/>
              </w:rPr>
            </w:pPr>
          </w:p>
        </w:tc>
        <w:tc>
          <w:tcPr>
            <w:tcW w:w="980" w:type="dxa"/>
            <w:vAlign w:val="bottom"/>
            <w:shd w:val="clear" w:color="auto" w:fill="808080"/>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10120" w:type="dxa"/>
            <w:vAlign w:val="bottom"/>
            <w:shd w:val="clear" w:color="auto" w:fill="808080"/>
          </w:tcPr>
          <w:p>
            <w:pPr>
              <w:spacing w:after="0"/>
              <w:rPr>
                <w:sz w:val="5"/>
                <w:szCs w:val="5"/>
                <w:color w:val="auto"/>
              </w:rPr>
            </w:pPr>
          </w:p>
        </w:tc>
      </w:tr>
    </w:tbl>
    <w:p>
      <w:pPr>
        <w:sectPr>
          <w:pgSz w:w="11900" w:h="16838" w:orient="portrait"/>
          <w:cols w:equalWidth="0" w:num="1">
            <w:col w:w="11420"/>
          </w:cols>
          <w:pgMar w:left="240" w:top="495"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152400</wp:posOffset>
            </wp:positionH>
            <wp:positionV relativeFrom="page">
              <wp:posOffset>193040</wp:posOffset>
            </wp:positionV>
            <wp:extent cx="7257415" cy="374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7415" cy="37465"/>
                    </a:xfrm>
                    <a:prstGeom prst="rect">
                      <a:avLst/>
                    </a:prstGeom>
                    <a:noFill/>
                  </pic:spPr>
                </pic:pic>
              </a:graphicData>
            </a:graphic>
          </wp:anchor>
        </w:drawing>
        <w:t>EXHIBIT 99.1</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420" w:type="dxa"/>
            <w:vAlign w:val="bottom"/>
            <w:gridSpan w:val="2"/>
          </w:tcPr>
          <w:p>
            <w:pPr>
              <w:spacing w:after="0"/>
              <w:rPr>
                <w:sz w:val="20"/>
                <w:szCs w:val="20"/>
                <w:color w:val="auto"/>
              </w:rPr>
            </w:pPr>
            <w:r>
              <w:rPr>
                <w:rFonts w:ascii="Arial" w:cs="Arial" w:eastAsia="Arial" w:hAnsi="Arial"/>
                <w:sz w:val="17"/>
                <w:szCs w:val="17"/>
                <w:b w:val="1"/>
                <w:bCs w:val="1"/>
                <w:color w:val="auto"/>
              </w:rPr>
              <w:t>FOR IMMEDIATE RELEASE</w:t>
            </w:r>
          </w:p>
        </w:tc>
        <w:tc>
          <w:tcPr>
            <w:tcW w:w="2060" w:type="dxa"/>
            <w:vAlign w:val="bottom"/>
          </w:tcPr>
          <w:p>
            <w:pPr>
              <w:spacing w:after="0"/>
              <w:rPr>
                <w:sz w:val="19"/>
                <w:szCs w:val="19"/>
                <w:color w:val="auto"/>
              </w:rPr>
            </w:pPr>
          </w:p>
        </w:tc>
      </w:tr>
      <w:tr>
        <w:trPr>
          <w:trHeight w:val="893"/>
        </w:trPr>
        <w:tc>
          <w:tcPr>
            <w:tcW w:w="1080" w:type="dxa"/>
            <w:vAlign w:val="bottom"/>
          </w:tcPr>
          <w:p>
            <w:pPr>
              <w:spacing w:after="0"/>
              <w:rPr>
                <w:sz w:val="20"/>
                <w:szCs w:val="20"/>
                <w:color w:val="auto"/>
              </w:rPr>
            </w:pPr>
            <w:r>
              <w:rPr>
                <w:rFonts w:ascii="Arial" w:cs="Arial" w:eastAsia="Arial" w:hAnsi="Arial"/>
                <w:sz w:val="17"/>
                <w:szCs w:val="17"/>
                <w:color w:val="auto"/>
              </w:rPr>
              <w:t>Contacts:</w:t>
            </w:r>
          </w:p>
        </w:tc>
        <w:tc>
          <w:tcPr>
            <w:tcW w:w="2340" w:type="dxa"/>
            <w:vAlign w:val="bottom"/>
          </w:tcPr>
          <w:p>
            <w:pPr>
              <w:ind w:left="420"/>
              <w:spacing w:after="0"/>
              <w:rPr>
                <w:sz w:val="20"/>
                <w:szCs w:val="20"/>
                <w:color w:val="auto"/>
              </w:rPr>
            </w:pPr>
            <w:r>
              <w:rPr>
                <w:rFonts w:ascii="Arial" w:cs="Arial" w:eastAsia="Arial" w:hAnsi="Arial"/>
                <w:sz w:val="17"/>
                <w:szCs w:val="17"/>
                <w:color w:val="auto"/>
              </w:rPr>
              <w:t>Kipp A. Bedard</w:t>
            </w:r>
          </w:p>
        </w:tc>
        <w:tc>
          <w:tcPr>
            <w:tcW w:w="2060" w:type="dxa"/>
            <w:vAlign w:val="bottom"/>
          </w:tcPr>
          <w:p>
            <w:pPr>
              <w:ind w:left="360"/>
              <w:spacing w:after="0"/>
              <w:rPr>
                <w:sz w:val="20"/>
                <w:szCs w:val="20"/>
                <w:color w:val="auto"/>
              </w:rPr>
            </w:pPr>
            <w:r>
              <w:rPr>
                <w:rFonts w:ascii="Arial" w:cs="Arial" w:eastAsia="Arial" w:hAnsi="Arial"/>
                <w:sz w:val="17"/>
                <w:szCs w:val="17"/>
                <w:color w:val="auto"/>
              </w:rPr>
              <w:t>Daniel Francisco</w:t>
            </w:r>
          </w:p>
        </w:tc>
      </w:tr>
      <w:tr>
        <w:trPr>
          <w:trHeight w:val="206"/>
        </w:trPr>
        <w:tc>
          <w:tcPr>
            <w:tcW w:w="1080" w:type="dxa"/>
            <w:vAlign w:val="bottom"/>
          </w:tcPr>
          <w:p>
            <w:pPr>
              <w:spacing w:after="0"/>
              <w:rPr>
                <w:sz w:val="17"/>
                <w:szCs w:val="17"/>
                <w:color w:val="auto"/>
              </w:rPr>
            </w:pPr>
          </w:p>
        </w:tc>
        <w:tc>
          <w:tcPr>
            <w:tcW w:w="2340" w:type="dxa"/>
            <w:vAlign w:val="bottom"/>
          </w:tcPr>
          <w:p>
            <w:pPr>
              <w:ind w:left="420"/>
              <w:spacing w:after="0"/>
              <w:rPr>
                <w:sz w:val="20"/>
                <w:szCs w:val="20"/>
                <w:color w:val="auto"/>
              </w:rPr>
            </w:pPr>
            <w:r>
              <w:rPr>
                <w:rFonts w:ascii="Arial" w:cs="Arial" w:eastAsia="Arial" w:hAnsi="Arial"/>
                <w:sz w:val="17"/>
                <w:szCs w:val="17"/>
                <w:color w:val="auto"/>
              </w:rPr>
              <w:t>Investor Relations</w:t>
            </w:r>
          </w:p>
        </w:tc>
        <w:tc>
          <w:tcPr>
            <w:tcW w:w="2060" w:type="dxa"/>
            <w:vAlign w:val="bottom"/>
          </w:tcPr>
          <w:p>
            <w:pPr>
              <w:ind w:left="360"/>
              <w:spacing w:after="0"/>
              <w:rPr>
                <w:sz w:val="20"/>
                <w:szCs w:val="20"/>
                <w:color w:val="auto"/>
              </w:rPr>
            </w:pPr>
            <w:r>
              <w:rPr>
                <w:rFonts w:ascii="Arial" w:cs="Arial" w:eastAsia="Arial" w:hAnsi="Arial"/>
                <w:sz w:val="17"/>
                <w:szCs w:val="17"/>
                <w:color w:val="auto"/>
              </w:rPr>
              <w:t>Media Relations</w:t>
            </w:r>
          </w:p>
        </w:tc>
      </w:tr>
      <w:tr>
        <w:trPr>
          <w:trHeight w:val="206"/>
        </w:trPr>
        <w:tc>
          <w:tcPr>
            <w:tcW w:w="1080" w:type="dxa"/>
            <w:vAlign w:val="bottom"/>
          </w:tcPr>
          <w:p>
            <w:pPr>
              <w:spacing w:after="0"/>
              <w:rPr>
                <w:sz w:val="17"/>
                <w:szCs w:val="17"/>
                <w:color w:val="auto"/>
              </w:rPr>
            </w:pPr>
          </w:p>
        </w:tc>
        <w:tc>
          <w:tcPr>
            <w:tcW w:w="2340" w:type="dxa"/>
            <w:vAlign w:val="bottom"/>
          </w:tcPr>
          <w:p>
            <w:pPr>
              <w:ind w:left="420"/>
              <w:spacing w:after="0"/>
              <w:rPr>
                <w:sz w:val="20"/>
                <w:szCs w:val="20"/>
                <w:color w:val="auto"/>
              </w:rPr>
            </w:pPr>
            <w:r>
              <w:rPr>
                <w:rFonts w:ascii="Arial" w:cs="Arial" w:eastAsia="Arial" w:hAnsi="Arial"/>
                <w:sz w:val="17"/>
                <w:szCs w:val="17"/>
                <w:color w:val="auto"/>
              </w:rPr>
              <w:t>kbedard@micron.com</w:t>
            </w:r>
          </w:p>
        </w:tc>
        <w:tc>
          <w:tcPr>
            <w:tcW w:w="2060" w:type="dxa"/>
            <w:vAlign w:val="bottom"/>
          </w:tcPr>
          <w:p>
            <w:pPr>
              <w:ind w:left="360"/>
              <w:spacing w:after="0"/>
              <w:rPr>
                <w:sz w:val="20"/>
                <w:szCs w:val="20"/>
                <w:color w:val="auto"/>
              </w:rPr>
            </w:pPr>
            <w:r>
              <w:rPr>
                <w:rFonts w:ascii="Arial" w:cs="Arial" w:eastAsia="Arial" w:hAnsi="Arial"/>
                <w:sz w:val="17"/>
                <w:szCs w:val="17"/>
                <w:color w:val="auto"/>
                <w:w w:val="91"/>
              </w:rPr>
              <w:t>dfrancisco@micron.com</w:t>
            </w:r>
          </w:p>
        </w:tc>
      </w:tr>
      <w:tr>
        <w:trPr>
          <w:trHeight w:val="217"/>
        </w:trPr>
        <w:tc>
          <w:tcPr>
            <w:tcW w:w="1080" w:type="dxa"/>
            <w:vAlign w:val="bottom"/>
          </w:tcPr>
          <w:p>
            <w:pPr>
              <w:spacing w:after="0"/>
              <w:rPr>
                <w:sz w:val="18"/>
                <w:szCs w:val="18"/>
                <w:color w:val="auto"/>
              </w:rPr>
            </w:pPr>
          </w:p>
        </w:tc>
        <w:tc>
          <w:tcPr>
            <w:tcW w:w="2340" w:type="dxa"/>
            <w:vAlign w:val="bottom"/>
          </w:tcPr>
          <w:p>
            <w:pPr>
              <w:ind w:left="420"/>
              <w:spacing w:after="0"/>
              <w:rPr>
                <w:sz w:val="20"/>
                <w:szCs w:val="20"/>
                <w:color w:val="auto"/>
              </w:rPr>
            </w:pPr>
            <w:r>
              <w:rPr>
                <w:rFonts w:ascii="Arial" w:cs="Arial" w:eastAsia="Arial" w:hAnsi="Arial"/>
                <w:sz w:val="17"/>
                <w:szCs w:val="17"/>
                <w:color w:val="auto"/>
              </w:rPr>
              <w:t>(208) 368-4465</w:t>
            </w:r>
          </w:p>
        </w:tc>
        <w:tc>
          <w:tcPr>
            <w:tcW w:w="2060" w:type="dxa"/>
            <w:vAlign w:val="bottom"/>
          </w:tcPr>
          <w:p>
            <w:pPr>
              <w:ind w:left="360"/>
              <w:spacing w:after="0"/>
              <w:rPr>
                <w:sz w:val="20"/>
                <w:szCs w:val="20"/>
                <w:color w:val="auto"/>
              </w:rPr>
            </w:pPr>
            <w:r>
              <w:rPr>
                <w:rFonts w:ascii="Arial" w:cs="Arial" w:eastAsia="Arial" w:hAnsi="Arial"/>
                <w:sz w:val="17"/>
                <w:szCs w:val="17"/>
                <w:color w:val="auto"/>
              </w:rPr>
              <w:t>(208) 368-5584</w:t>
            </w:r>
          </w:p>
        </w:tc>
      </w:tr>
    </w:tbl>
    <w:p>
      <w:pPr>
        <w:spacing w:after="0" w:line="216" w:lineRule="exact"/>
        <w:rPr>
          <w:sz w:val="20"/>
          <w:szCs w:val="20"/>
          <w:color w:val="auto"/>
        </w:rPr>
      </w:pPr>
    </w:p>
    <w:p>
      <w:pPr>
        <w:jc w:val="center"/>
        <w:ind w:left="620"/>
        <w:spacing w:after="0"/>
        <w:rPr>
          <w:sz w:val="20"/>
          <w:szCs w:val="20"/>
          <w:color w:val="auto"/>
        </w:rPr>
      </w:pPr>
      <w:r>
        <w:rPr>
          <w:rFonts w:ascii="Arial" w:cs="Arial" w:eastAsia="Arial" w:hAnsi="Arial"/>
          <w:sz w:val="17"/>
          <w:szCs w:val="17"/>
          <w:b w:val="1"/>
          <w:bCs w:val="1"/>
          <w:color w:val="auto"/>
        </w:rPr>
        <w:t>MICRON TECHNOLOGY ANNOUNCES $1 BILLION</w:t>
      </w:r>
    </w:p>
    <w:p>
      <w:pPr>
        <w:spacing w:after="0" w:line="28" w:lineRule="exact"/>
        <w:rPr>
          <w:sz w:val="20"/>
          <w:szCs w:val="20"/>
          <w:color w:val="auto"/>
        </w:rPr>
      </w:pPr>
    </w:p>
    <w:p>
      <w:pPr>
        <w:jc w:val="center"/>
        <w:ind w:left="620"/>
        <w:spacing w:after="0"/>
        <w:rPr>
          <w:sz w:val="20"/>
          <w:szCs w:val="20"/>
          <w:color w:val="auto"/>
        </w:rPr>
      </w:pPr>
      <w:r>
        <w:rPr>
          <w:rFonts w:ascii="Arial" w:cs="Arial" w:eastAsia="Arial" w:hAnsi="Arial"/>
          <w:sz w:val="17"/>
          <w:szCs w:val="17"/>
          <w:b w:val="1"/>
          <w:bCs w:val="1"/>
          <w:color w:val="auto"/>
        </w:rPr>
        <w:t>STOCK REPURCHASE AUTHORIZATION</w:t>
      </w:r>
    </w:p>
    <w:p>
      <w:pPr>
        <w:spacing w:after="0" w:line="227" w:lineRule="exact"/>
        <w:rPr>
          <w:sz w:val="20"/>
          <w:szCs w:val="20"/>
          <w:color w:val="auto"/>
        </w:rPr>
      </w:pPr>
    </w:p>
    <w:p>
      <w:pPr>
        <w:ind w:right="100"/>
        <w:spacing w:after="0" w:line="287" w:lineRule="auto"/>
        <w:rPr>
          <w:sz w:val="20"/>
          <w:szCs w:val="20"/>
          <w:color w:val="auto"/>
        </w:rPr>
      </w:pPr>
      <w:r>
        <w:rPr>
          <w:rFonts w:ascii="Arial" w:cs="Arial" w:eastAsia="Arial" w:hAnsi="Arial"/>
          <w:sz w:val="17"/>
          <w:szCs w:val="17"/>
          <w:b w:val="1"/>
          <w:bCs w:val="1"/>
          <w:color w:val="auto"/>
        </w:rPr>
        <w:t xml:space="preserve">BOISE, Idaho, Oct. 27, 2014 </w:t>
      </w:r>
      <w:r>
        <w:rPr>
          <w:rFonts w:ascii="Arial" w:cs="Arial" w:eastAsia="Arial" w:hAnsi="Arial"/>
          <w:sz w:val="17"/>
          <w:szCs w:val="17"/>
          <w:color w:val="auto"/>
        </w:rPr>
        <w:t>– Micron Technology, Inc. (NASDAQ: MU), today announced that its Board of Directors has authorized the discretionary repurchase</w:t>
      </w:r>
      <w:r>
        <w:rPr>
          <w:rFonts w:ascii="Arial" w:cs="Arial" w:eastAsia="Arial" w:hAnsi="Arial"/>
          <w:sz w:val="17"/>
          <w:szCs w:val="17"/>
          <w:b w:val="1"/>
          <w:bCs w:val="1"/>
          <w:color w:val="auto"/>
        </w:rPr>
        <w:t xml:space="preserve"> </w:t>
      </w:r>
      <w:r>
        <w:rPr>
          <w:rFonts w:ascii="Arial" w:cs="Arial" w:eastAsia="Arial" w:hAnsi="Arial"/>
          <w:sz w:val="17"/>
          <w:szCs w:val="17"/>
          <w:color w:val="auto"/>
        </w:rPr>
        <w:t>of up to $1 billion of its outstanding common stock.</w:t>
      </w:r>
    </w:p>
    <w:p>
      <w:pPr>
        <w:spacing w:after="0" w:line="184" w:lineRule="exact"/>
        <w:rPr>
          <w:sz w:val="20"/>
          <w:szCs w:val="20"/>
          <w:color w:val="auto"/>
        </w:rPr>
      </w:pPr>
    </w:p>
    <w:p>
      <w:pPr>
        <w:ind w:right="80"/>
        <w:spacing w:after="0" w:line="262" w:lineRule="auto"/>
        <w:rPr>
          <w:sz w:val="20"/>
          <w:szCs w:val="20"/>
          <w:color w:val="auto"/>
        </w:rPr>
      </w:pPr>
      <w:r>
        <w:rPr>
          <w:rFonts w:ascii="Arial" w:cs="Arial" w:eastAsia="Arial" w:hAnsi="Arial"/>
          <w:sz w:val="17"/>
          <w:szCs w:val="17"/>
          <w:color w:val="auto"/>
        </w:rPr>
        <w:t>“Our business continues to generate strong operating cash flows, enabling us to invest in our strategic growth initiatives while also returning capital to investors,” said Ron Foster, Micron Chief Financial Officer and Vice President of Finance. “In the first fiscal quarter of 2015, we spent approximately $389 million to eliminate our 2031B convertible senior notes and their associated share dilution. This share repurchase authorization represents an additional avenue to return excess capital to investors and enhance long-term shareholder value.”</w:t>
      </w:r>
    </w:p>
    <w:p>
      <w:pPr>
        <w:spacing w:after="0" w:line="205"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Any repurchases under the new authorization may be made in open market purchases, block trades, privately negotiated transactions and/or derivative transactions, subject to market conditions and Micron’s ongoing determination that it is the best use of available cash. Micron expects to use cash on hand to fund any repurchases. The repurchase authorization does not obligate Micron to acquire any common stock.</w:t>
      </w:r>
    </w:p>
    <w:p>
      <w:pPr>
        <w:spacing w:after="0" w:line="202" w:lineRule="exact"/>
        <w:rPr>
          <w:sz w:val="20"/>
          <w:szCs w:val="20"/>
          <w:color w:val="auto"/>
        </w:rPr>
      </w:pPr>
    </w:p>
    <w:p>
      <w:pPr>
        <w:ind w:right="120"/>
        <w:spacing w:after="0" w:line="260" w:lineRule="auto"/>
        <w:rPr>
          <w:sz w:val="20"/>
          <w:szCs w:val="20"/>
          <w:color w:val="auto"/>
        </w:rPr>
      </w:pPr>
      <w:r>
        <w:rPr>
          <w:rFonts w:ascii="Arial" w:cs="Arial" w:eastAsia="Arial" w:hAnsi="Arial"/>
          <w:sz w:val="17"/>
          <w:szCs w:val="17"/>
          <w:color w:val="auto"/>
        </w:rPr>
        <w:t xml:space="preserve">Micron Technology, Inc., is a global leader in advanced semiconductor systems. Micron’s broad portfolio of high-performance memory technologies—including DRAM, NAND and NOR Flash—is the basis for solid state drives, modules, multichip packages and other system solutions. Backed by more than 35 years of technology leadership, Micron’s memory solutions enable the world’s most innovative computing, consumer, enterprise storage, networking, mobile, embedded and automotive applications. Micron's common stock is traded on the NASDAQ under the MU symbol. To learn more about Micron Technology, Inc., visit </w:t>
      </w:r>
      <w:r>
        <w:rPr>
          <w:rFonts w:ascii="Arial" w:cs="Arial" w:eastAsia="Arial" w:hAnsi="Arial"/>
          <w:sz w:val="17"/>
          <w:szCs w:val="17"/>
          <w:u w:val="single" w:color="auto"/>
          <w:color w:val="auto"/>
        </w:rPr>
        <w:t>www.micron.com</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382270</wp:posOffset>
            </wp:positionV>
            <wp:extent cx="7257415" cy="209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895" w:right="239" w:bottom="1440" w:gutter="0" w:footer="0" w:header="0"/>
        </w:sectPr>
      </w:pPr>
    </w:p>
    <w:bookmarkStart w:id="5" w:name="page6"/>
    <w:bookmarkEnd w:id="5"/>
    <w:p>
      <w:pPr>
        <w:ind w:left="5860"/>
        <w:spacing w:after="0"/>
        <w:rPr>
          <w:sz w:val="20"/>
          <w:szCs w:val="20"/>
          <w:color w:val="auto"/>
        </w:rPr>
      </w:pPr>
      <w:r>
        <w:rPr>
          <w:rFonts w:ascii="Arial" w:cs="Arial" w:eastAsia="Arial" w:hAnsi="Arial"/>
          <w:sz w:val="17"/>
          <w:szCs w:val="17"/>
          <w:color w:val="auto"/>
        </w:rPr>
        <w:t># # #</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Micron and the Micron orbit logo are trademarks of Micron Technology, Inc. All other trademarks are the property of their respective owners.</w:t>
      </w:r>
    </w:p>
    <w:p>
      <w:pPr>
        <w:spacing w:after="0" w:line="233" w:lineRule="exact"/>
        <w:rPr>
          <w:sz w:val="20"/>
          <w:szCs w:val="20"/>
          <w:color w:val="auto"/>
        </w:rPr>
      </w:pPr>
    </w:p>
    <w:p>
      <w:pPr>
        <w:spacing w:after="0" w:line="258" w:lineRule="auto"/>
        <w:rPr>
          <w:sz w:val="20"/>
          <w:szCs w:val="20"/>
          <w:color w:val="auto"/>
        </w:rPr>
      </w:pPr>
      <w:r>
        <w:rPr>
          <w:rFonts w:ascii="Arial" w:cs="Arial" w:eastAsia="Arial" w:hAnsi="Arial"/>
          <w:sz w:val="17"/>
          <w:szCs w:val="17"/>
          <w:i w:val="1"/>
          <w:iCs w:val="1"/>
          <w:color w:val="auto"/>
        </w:rPr>
        <w:t>This press release contains forward-looking statements related to our discretionary share repurchase authorization. Actual events or results may differ materially from those contained in the forward-looking statements. Please refer to the documents Micron files on a consolidated basis from time to time with the Securities and Exchange Commission, specifically Micron's most recent Form 10-K and Form 10-Q. These documents contain and identify important factors that could cause the actual results for Micron on a consolidated basis to differ materially from those contained in our forward-looking statements (see Risk Factors). Although the company believes that the expectations reflected in the forward-looking statements are reasonable, it cannot guarantee future results, levels of activity, performance or achievements.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212725</wp:posOffset>
            </wp:positionV>
            <wp:extent cx="7257415" cy="431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7415" cy="43180"/>
                    </a:xfrm>
                    <a:prstGeom prst="rect">
                      <a:avLst/>
                    </a:prstGeom>
                    <a:noFill/>
                  </pic:spPr>
                </pic:pic>
              </a:graphicData>
            </a:graphic>
          </wp:anchor>
        </w:drawing>
      </w:r>
    </w:p>
    <w:sectPr>
      <w:pgSz w:w="11900" w:h="16838" w:orient="portrait"/>
      <w:cols w:equalWidth="0" w:num="1">
        <w:col w:w="11300"/>
      </w:cols>
      <w:pgMar w:left="240" w:top="734"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2019-12-05T20:03:30Z</dcterms:created>
  <dcterms:modified xsi:type="dcterms:W3CDTF">2019-12-05T20:03:30Z</dcterms:modified>
</cp:coreProperties>
</file>