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68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buy these</w:t>
            </w:r>
          </w:p>
        </w:tc>
      </w:tr>
      <w:tr>
        <w:trPr>
          <w:trHeight w:val="139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U.S. Securities and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soliciting an offer to</w:t>
            </w:r>
          </w:p>
        </w:tc>
      </w:tr>
      <w:tr>
        <w:trPr>
          <w:trHeight w:val="27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to these notes has been filed with the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offer to sell these notes and they are not</w:t>
            </w:r>
          </w:p>
        </w:tc>
      </w:tr>
      <w:tr>
        <w:trPr>
          <w:trHeight w:val="786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is not complete and may be changed. A registration statement relating</w:t>
            </w:r>
          </w:p>
        </w:tc>
        <w:tc>
          <w:tcPr>
            <w:tcW w:w="300" w:type="dxa"/>
            <w:vAlign w:val="bottom"/>
            <w:textDirection w:val="btLr"/>
          </w:tcPr>
          <w:p>
            <w:pPr>
              <w:ind w:left="151"/>
              <w:spacing w:after="0"/>
              <w:rPr>
                <w:sz w:val="20"/>
                <w:szCs w:val="20"/>
                <w:color w:val="auto"/>
              </w:rPr>
            </w:pPr>
            <w:r>
              <w:rPr>
                <w:rFonts w:ascii="Arial" w:cs="Arial" w:eastAsia="Arial" w:hAnsi="Arial"/>
                <w:sz w:val="13"/>
                <w:szCs w:val="13"/>
                <w:b w:val="1"/>
                <w:bCs w:val="1"/>
                <w:color w:val="FC0014"/>
                <w:w w:val="72"/>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 Filed pursuant to Rule 424(b)(5)​</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 Registration No. 333-249838​</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FC0014"/>
        </w:rPr>
        <w:t>Subject to Completion, dated October 26, 2022</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November 4, 2020)</w:t>
      </w:r>
    </w:p>
    <w:p>
      <w:pPr>
        <w:spacing w:after="0" w:line="35"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2038985</wp:posOffset>
            </wp:positionH>
            <wp:positionV relativeFrom="paragraph">
              <wp:posOffset>106045</wp:posOffset>
            </wp:positionV>
            <wp:extent cx="17056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920"/>
        <w:spacing w:after="0"/>
        <w:rPr>
          <w:sz w:val="20"/>
          <w:szCs w:val="20"/>
          <w:color w:val="auto"/>
        </w:rPr>
      </w:pPr>
      <w:r>
        <w:rPr>
          <w:rFonts w:ascii="Arial" w:cs="Arial" w:eastAsia="Arial" w:hAnsi="Arial"/>
          <w:sz w:val="29"/>
          <w:szCs w:val="29"/>
          <w:b w:val="1"/>
          <w:bCs w:val="1"/>
          <w:color w:val="auto"/>
        </w:rPr>
        <w:t>Micron Technology, Inc.</w:t>
      </w:r>
      <w:r>
        <w:rPr>
          <w:rFonts w:ascii="Times New Roman" w:cs="Times New Roman" w:eastAsia="Times New Roman" w:hAnsi="Times New Roman"/>
          <w:sz w:val="39"/>
          <w:szCs w:val="39"/>
          <w:color w:val="auto"/>
        </w:rPr>
        <w:t>​</w:t>
      </w:r>
    </w:p>
    <w:p>
      <w:pPr>
        <w:spacing w:after="0" w:line="48"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 xml:space="preserve">        % Senior Notes due 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186690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 xml:space="preserve">Micron Technology, Inc. is offering $            aggregate principal amount of       % senior notes due 20    (the “notes”). The notes will bear interest at the rate of       % per year. Interest will be payable semi-annually in arrears on                </w:t>
      </w:r>
    </w:p>
    <w:p>
      <w:pPr>
        <w:ind w:right="3300"/>
        <w:spacing w:after="0" w:line="376" w:lineRule="auto"/>
        <w:tabs>
          <w:tab w:leader="none" w:pos="95" w:val="left"/>
        </w:tabs>
        <w:numPr>
          <w:ilvl w:val="0"/>
          <w:numId w:val="1"/>
        </w:numPr>
        <w:rPr>
          <w:rFonts w:ascii="Arial" w:cs="Arial" w:eastAsia="Arial" w:hAnsi="Arial"/>
          <w:sz w:val="16"/>
          <w:szCs w:val="16"/>
          <w:color w:val="auto"/>
        </w:rPr>
      </w:pPr>
      <w:r>
        <w:rPr>
          <w:rFonts w:ascii="Arial" w:cs="Arial" w:eastAsia="Arial" w:hAnsi="Arial"/>
          <w:sz w:val="16"/>
          <w:szCs w:val="16"/>
          <w:color w:val="auto"/>
        </w:rPr>
        <w:t>            and                                of each year, beginning                      , 2023. The notes will mature on                      , 20    .</w:t>
      </w:r>
    </w:p>
    <w:p>
      <w:pPr>
        <w:spacing w:after="0" w:line="2"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We may redeem some or all of the notes, at any time or from time to time, at a redemption price equal to the greater of</w:t>
      </w:r>
    </w:p>
    <w:p>
      <w:pPr>
        <w:spacing w:after="0" w:line="15" w:lineRule="exact"/>
        <w:rPr>
          <w:sz w:val="24"/>
          <w:szCs w:val="24"/>
          <w:color w:val="auto"/>
        </w:rPr>
      </w:pPr>
    </w:p>
    <w:p>
      <w:pPr>
        <w:ind w:left="200" w:hanging="200"/>
        <w:spacing w:after="0"/>
        <w:tabs>
          <w:tab w:leader="none" w:pos="2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make-whole amount (as described in the section entitled “Description of the Notes — Optional Redemption”) and</w:t>
      </w:r>
    </w:p>
    <w:p>
      <w:pPr>
        <w:ind w:right="560"/>
        <w:spacing w:after="0" w:line="246" w:lineRule="auto"/>
        <w:tabs>
          <w:tab w:leader="none" w:pos="235"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 of the principal amount of the notes to be redeemed, plus accrued and unpaid interest thereon to, but excluding, the redemption date. In addition, we may redeem the notes, in whole or in part, at any time from or after</w:t>
      </w:r>
    </w:p>
    <w:p>
      <w:pPr>
        <w:ind w:right="200"/>
        <w:spacing w:after="0" w:line="236" w:lineRule="auto"/>
        <w:rPr>
          <w:rFonts w:ascii="Arial" w:cs="Arial" w:eastAsia="Arial" w:hAnsi="Arial"/>
          <w:sz w:val="16"/>
          <w:szCs w:val="16"/>
          <w:color w:val="auto"/>
        </w:rPr>
      </w:pPr>
      <w:r>
        <w:rPr>
          <w:rFonts w:ascii="Arial" w:cs="Arial" w:eastAsia="Arial" w:hAnsi="Arial"/>
          <w:sz w:val="17"/>
          <w:szCs w:val="17"/>
          <w:color w:val="auto"/>
        </w:rPr>
        <w:t>                     , 20    ,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73" w:lineRule="exact"/>
        <w:rPr>
          <w:sz w:val="24"/>
          <w:szCs w:val="24"/>
          <w:color w:val="auto"/>
        </w:rPr>
      </w:pPr>
    </w:p>
    <w:p>
      <w:pPr>
        <w:ind w:right="860"/>
        <w:spacing w:after="0" w:line="267" w:lineRule="auto"/>
        <w:rPr>
          <w:sz w:val="20"/>
          <w:szCs w:val="20"/>
          <w:color w:val="auto"/>
        </w:rPr>
      </w:pPr>
      <w:r>
        <w:rPr>
          <w:rFonts w:ascii="Arial" w:cs="Arial" w:eastAsia="Arial" w:hAnsi="Arial"/>
          <w:sz w:val="17"/>
          <w:szCs w:val="17"/>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80645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1" w:lineRule="exact"/>
        <w:rPr>
          <w:sz w:val="24"/>
          <w:szCs w:val="24"/>
          <w:color w:val="auto"/>
        </w:rPr>
      </w:pPr>
    </w:p>
    <w:p>
      <w:pPr>
        <w:ind w:right="120"/>
        <w:spacing w:after="0" w:line="280" w:lineRule="auto"/>
        <w:rPr>
          <w:sz w:val="20"/>
          <w:szCs w:val="20"/>
          <w:color w:val="auto"/>
        </w:rPr>
      </w:pPr>
      <w:r>
        <w:rPr>
          <w:rFonts w:ascii="Arial" w:cs="Arial" w:eastAsia="Arial" w:hAnsi="Arial"/>
          <w:sz w:val="17"/>
          <w:szCs w:val="17"/>
          <w:b w:val="1"/>
          <w:bCs w:val="1"/>
          <w:color w:val="auto"/>
        </w:rPr>
        <w:t xml:space="preserve">Investing in the notes involves risks. See “Risk Factors” beginning on page </w:t>
      </w:r>
      <w:r>
        <w:rPr>
          <w:rFonts w:ascii="Arial" w:cs="Arial" w:eastAsia="Arial" w:hAnsi="Arial"/>
          <w:sz w:val="17"/>
          <w:szCs w:val="17"/>
          <w:b w:val="1"/>
          <w:bCs w:val="1"/>
          <w:u w:val="single" w:color="auto"/>
          <w:color w:val="0000EE"/>
        </w:rPr>
        <w:t>S-7</w:t>
      </w:r>
      <w:r>
        <w:rPr>
          <w:rFonts w:ascii="Arial" w:cs="Arial" w:eastAsia="Arial" w:hAnsi="Arial"/>
          <w:sz w:val="17"/>
          <w:szCs w:val="17"/>
          <w:b w:val="1"/>
          <w:bCs w:val="1"/>
          <w:color w:val="auto"/>
        </w:rPr>
        <w:t xml:space="preserve"> for a discussion of certain risks that should be considered in connection with an investment in the notes.</w:t>
      </w:r>
    </w:p>
    <w:p>
      <w:pPr>
        <w:spacing w:after="0" w:line="30" w:lineRule="exact"/>
        <w:rPr>
          <w:sz w:val="24"/>
          <w:szCs w:val="24"/>
          <w:color w:val="auto"/>
        </w:rPr>
      </w:pPr>
    </w:p>
    <w:p>
      <w:pPr>
        <w:ind w:right="380"/>
        <w:spacing w:after="0" w:line="256"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80010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Public</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139"/>
              <w:spacing w:after="0"/>
              <w:rPr>
                <w:sz w:val="20"/>
                <w:szCs w:val="20"/>
                <w:color w:val="auto"/>
              </w:rPr>
            </w:pPr>
            <w:r>
              <w:rPr>
                <w:rFonts w:ascii="Arial" w:cs="Arial" w:eastAsia="Arial" w:hAnsi="Arial"/>
                <w:sz w:val="14"/>
                <w:szCs w:val="14"/>
                <w:b w:val="1"/>
                <w:bCs w:val="1"/>
                <w:color w:val="auto"/>
              </w:rPr>
              <w:t>Underwriting</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Proceeds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6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rPr>
              <w:t>offering</w:t>
            </w:r>
          </w:p>
        </w:tc>
        <w:tc>
          <w:tcPr>
            <w:tcW w:w="1100" w:type="dxa"/>
            <w:vAlign w:val="bottom"/>
            <w:gridSpan w:val="3"/>
            <w:vMerge w:val="continue"/>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to us, before</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20" w:type="dxa"/>
            <w:vAlign w:val="bottom"/>
            <w:gridSpan w:val="2"/>
          </w:tcPr>
          <w:p>
            <w:pPr>
              <w:ind w:left="2760"/>
              <w:spacing w:after="0" w:line="185" w:lineRule="exact"/>
              <w:rPr>
                <w:sz w:val="20"/>
                <w:szCs w:val="20"/>
                <w:color w:val="auto"/>
              </w:rPr>
            </w:pPr>
            <w:r>
              <w:rPr>
                <w:rFonts w:ascii="Arial" w:cs="Arial" w:eastAsia="Arial" w:hAnsi="Arial"/>
                <w:sz w:val="14"/>
                <w:szCs w:val="14"/>
                <w:b w:val="1"/>
                <w:bCs w:val="1"/>
                <w:color w:val="auto"/>
              </w:rPr>
              <w:t>​ ​ price</w:t>
            </w:r>
            <w:r>
              <w:rPr>
                <w:rFonts w:ascii="Arial" w:cs="Arial" w:eastAsia="Arial" w:hAnsi="Arial"/>
                <w:sz w:val="17"/>
                <w:szCs w:val="17"/>
                <w:b w:val="1"/>
                <w:bCs w:val="1"/>
                <w:color w:val="auto"/>
                <w:vertAlign w:val="superscript"/>
              </w:rPr>
              <w:t>(1)</w:t>
            </w:r>
          </w:p>
        </w:tc>
        <w:tc>
          <w:tcPr>
            <w:tcW w:w="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discount</w:t>
            </w:r>
            <w:r>
              <w:rPr>
                <w:rFonts w:ascii="Arial" w:cs="Arial" w:eastAsia="Arial" w:hAnsi="Arial"/>
                <w:sz w:val="8"/>
                <w:szCs w:val="8"/>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 ​ expenses</w:t>
            </w:r>
            <w:r>
              <w:rPr>
                <w:rFonts w:ascii="Arial" w:cs="Arial" w:eastAsia="Arial" w:hAnsi="Arial"/>
                <w:sz w:val="8"/>
                <w:szCs w:val="8"/>
                <w:b w:val="1"/>
                <w:bCs w:val="1"/>
                <w:color w:val="auto"/>
              </w:rPr>
              <w:t>(1)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7"/>
                <w:szCs w:val="17"/>
                <w:color w:val="auto"/>
              </w:rPr>
              <w:t>Per Note</w:t>
            </w:r>
          </w:p>
        </w:tc>
        <w:tc>
          <w:tcPr>
            <w:tcW w:w="2920" w:type="dxa"/>
            <w:vAlign w:val="bottom"/>
            <w:vMerge w:val="restart"/>
          </w:tcPr>
          <w:p>
            <w:pPr>
              <w:ind w:left="2760"/>
              <w:spacing w:after="0"/>
              <w:rPr>
                <w:sz w:val="20"/>
                <w:szCs w:val="20"/>
                <w:color w:val="auto"/>
              </w:rPr>
            </w:pPr>
            <w:r>
              <w:rPr>
                <w:rFonts w:ascii="Arial" w:cs="Arial" w:eastAsia="Arial" w:hAnsi="Arial"/>
                <w:sz w:val="17"/>
                <w:szCs w:val="17"/>
                <w:color w:val="auto"/>
              </w:rPr>
              <w:t>​ ​</w:t>
            </w:r>
          </w:p>
        </w:tc>
        <w:tc>
          <w:tcPr>
            <w:tcW w:w="5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 ​    %​​ ​</w:t>
            </w:r>
          </w:p>
        </w:tc>
        <w:tc>
          <w:tcPr>
            <w:tcW w:w="420" w:type="dxa"/>
            <w:vAlign w:val="bottom"/>
          </w:tcPr>
          <w:p>
            <w:pPr>
              <w:ind w:left="220"/>
              <w:spacing w:after="0"/>
              <w:rPr>
                <w:sz w:val="20"/>
                <w:szCs w:val="20"/>
                <w:color w:val="auto"/>
              </w:rPr>
            </w:pPr>
            <w:r>
              <w:rPr>
                <w:rFonts w:ascii="Arial" w:cs="Arial" w:eastAsia="Arial" w:hAnsi="Arial"/>
                <w:sz w:val="17"/>
                <w:szCs w:val="17"/>
                <w:color w:val="auto"/>
              </w:rPr>
              <w:t>​ ​</w:t>
            </w:r>
          </w:p>
        </w:tc>
        <w:tc>
          <w:tcPr>
            <w:tcW w:w="460" w:type="dxa"/>
            <w:vAlign w:val="bottom"/>
          </w:tcPr>
          <w:p>
            <w:pPr>
              <w:ind w:left="10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 ​ ​</w:t>
            </w:r>
          </w:p>
        </w:tc>
        <w:tc>
          <w:tcPr>
            <w:tcW w:w="860" w:type="dxa"/>
            <w:vAlign w:val="bottom"/>
          </w:tcPr>
          <w:p>
            <w:pPr>
              <w:ind w:left="220"/>
              <w:spacing w:after="0"/>
              <w:rPr>
                <w:sz w:val="20"/>
                <w:szCs w:val="20"/>
                <w:color w:val="auto"/>
              </w:rPr>
            </w:pPr>
            <w:r>
              <w:rPr>
                <w:rFonts w:ascii="Arial" w:cs="Arial" w:eastAsia="Arial" w:hAnsi="Arial"/>
                <w:sz w:val="17"/>
                <w:szCs w:val="17"/>
                <w:color w:val="auto"/>
              </w:rPr>
              <w:t>​ ​    %</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2920" w:type="dxa"/>
            <w:vAlign w:val="bottom"/>
          </w:tcPr>
          <w:p>
            <w:pPr>
              <w:ind w:left="2760"/>
              <w:spacing w:after="0"/>
              <w:rPr>
                <w:sz w:val="20"/>
                <w:szCs w:val="20"/>
                <w:color w:val="auto"/>
              </w:rPr>
            </w:pPr>
            <w:r>
              <w:rPr>
                <w:rFonts w:ascii="Arial" w:cs="Arial" w:eastAsia="Arial" w:hAnsi="Arial"/>
                <w:sz w:val="17"/>
                <w:szCs w:val="17"/>
                <w:color w:val="auto"/>
              </w:rPr>
              <w:t>​ ​</w:t>
            </w:r>
          </w:p>
        </w:tc>
        <w:tc>
          <w:tcPr>
            <w:tcW w:w="500" w:type="dxa"/>
            <w:vAlign w:val="bottom"/>
          </w:tcPr>
          <w:p>
            <w:pPr>
              <w:jc w:val="center"/>
              <w:spacing w:after="0"/>
              <w:rPr>
                <w:sz w:val="20"/>
                <w:szCs w:val="20"/>
                <w:color w:val="auto"/>
              </w:rPr>
            </w:pPr>
            <w:r>
              <w:rPr>
                <w:rFonts w:ascii="Arial" w:cs="Arial" w:eastAsia="Arial" w:hAnsi="Arial"/>
                <w:sz w:val="17"/>
                <w:szCs w:val="17"/>
                <w:color w:val="auto"/>
              </w:rPr>
              <w:t xml:space="preserve">​$       </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420" w:type="dxa"/>
            <w:vAlign w:val="bottom"/>
          </w:tcPr>
          <w:p>
            <w:pPr>
              <w:ind w:left="2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 ​ ​</w:t>
            </w:r>
          </w:p>
        </w:tc>
        <w:tc>
          <w:tcPr>
            <w:tcW w:w="860" w:type="dxa"/>
            <w:vAlign w:val="bottom"/>
          </w:tcPr>
          <w:p>
            <w:pPr>
              <w:ind w:left="220"/>
              <w:spacing w:after="0"/>
              <w:rPr>
                <w:sz w:val="20"/>
                <w:szCs w:val="20"/>
                <w:color w:val="auto"/>
              </w:rPr>
            </w:pPr>
            <w:r>
              <w:rPr>
                <w:rFonts w:ascii="Arial" w:cs="Arial" w:eastAsia="Arial" w:hAnsi="Arial"/>
                <w:sz w:val="17"/>
                <w:szCs w:val="17"/>
                <w:color w:val="auto"/>
              </w:rPr>
              <w:t xml:space="preserve">​$       </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-290830</wp:posOffset>
            </wp:positionV>
            <wp:extent cx="576897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89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9" w:lineRule="exact"/>
        <w:rPr>
          <w:sz w:val="24"/>
          <w:szCs w:val="24"/>
          <w:color w:val="auto"/>
        </w:rPr>
      </w:pPr>
    </w:p>
    <w:p>
      <w:pPr>
        <w:ind w:left="360" w:hanging="360"/>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Plus accrued interest, if any, from                      , 2022.</w:t>
      </w:r>
    </w:p>
    <w:p>
      <w:pPr>
        <w:spacing w:after="0" w:line="101" w:lineRule="exact"/>
        <w:rPr>
          <w:rFonts w:ascii="Arial" w:cs="Arial" w:eastAsia="Arial" w:hAnsi="Arial"/>
          <w:sz w:val="17"/>
          <w:szCs w:val="17"/>
          <w:color w:val="auto"/>
        </w:rPr>
      </w:pPr>
    </w:p>
    <w:p>
      <w:pPr>
        <w:ind w:left="360" w:right="1020" w:hanging="360"/>
        <w:spacing w:after="0" w:line="267"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underwriters have agreed to reimburse us for certain expenses in connection with the offering. See “Underwriting.”</w:t>
      </w:r>
    </w:p>
    <w:p>
      <w:pPr>
        <w:spacing w:after="0" w:line="51" w:lineRule="exact"/>
        <w:rPr>
          <w:sz w:val="24"/>
          <w:szCs w:val="24"/>
          <w:color w:val="auto"/>
        </w:rPr>
      </w:pPr>
    </w:p>
    <w:p>
      <w:pPr>
        <w:jc w:val="both"/>
        <w:ind w:right="300"/>
        <w:spacing w:after="0" w:line="249" w:lineRule="auto"/>
        <w:rPr>
          <w:sz w:val="20"/>
          <w:szCs w:val="20"/>
          <w:color w:val="auto"/>
        </w:rPr>
      </w:pPr>
      <w:r>
        <w:rPr>
          <w:rFonts w:ascii="Arial" w:cs="Arial" w:eastAsia="Arial" w:hAnsi="Arial"/>
          <w:sz w:val="17"/>
          <w:szCs w:val="17"/>
          <w:color w:val="auto"/>
        </w:rPr>
        <w:t>Interest on the notes will accrue from                      , 2022.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67" w:lineRule="exact"/>
        <w:rPr>
          <w:sz w:val="24"/>
          <w:szCs w:val="24"/>
          <w:color w:val="auto"/>
        </w:rPr>
      </w:pPr>
    </w:p>
    <w:p>
      <w:pPr>
        <w:ind w:right="400"/>
        <w:spacing w:after="0" w:line="256" w:lineRule="auto"/>
        <w:rPr>
          <w:sz w:val="20"/>
          <w:szCs w:val="20"/>
          <w:color w:val="auto"/>
        </w:rPr>
      </w:pPr>
      <w:r>
        <w:rPr>
          <w:rFonts w:ascii="Arial" w:cs="Arial" w:eastAsia="Arial" w:hAnsi="Arial"/>
          <w:sz w:val="16"/>
          <w:szCs w:val="16"/>
          <w:color w:val="auto"/>
        </w:rPr>
        <w:t>The underwriters expect to deliver the notes to purchasers through the book-entry delivery system of The Depository Trust Company and its participants, including Euroclear Bank S.A./N.V and Clearstream Banking, S.A., on or about</w:t>
      </w:r>
    </w:p>
    <w:p>
      <w:pPr>
        <w:spacing w:after="0" w:line="1" w:lineRule="exact"/>
        <w:rPr>
          <w:sz w:val="24"/>
          <w:szCs w:val="24"/>
          <w:color w:val="auto"/>
        </w:rPr>
      </w:pPr>
    </w:p>
    <w:p>
      <w:pPr>
        <w:ind w:left="3400" w:right="1880" w:hanging="3400"/>
        <w:spacing w:after="0" w:line="502" w:lineRule="auto"/>
        <w:tabs>
          <w:tab w:leader="none" w:pos="9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                   , 2022, which will be the third business day from the date of the pricing of the notes. </w:t>
      </w:r>
      <w:r>
        <w:rPr>
          <w:rFonts w:ascii="Arial" w:cs="Arial" w:eastAsia="Arial" w:hAnsi="Arial"/>
          <w:sz w:val="17"/>
          <w:szCs w:val="17"/>
          <w:i w:val="1"/>
          <w:iCs w:val="1"/>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-292100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 w:lineRule="exact"/>
        <w:rPr>
          <w:sz w:val="24"/>
          <w:szCs w:val="24"/>
          <w:color w:val="auto"/>
        </w:rPr>
      </w:pPr>
    </w:p>
    <w:p>
      <w:pPr>
        <w:sectPr>
          <w:pgSz w:w="11900" w:h="16838" w:orient="portrait"/>
          <w:cols w:equalWidth="0" w:num="2">
            <w:col w:w="900" w:space="240"/>
            <w:col w:w="9140"/>
          </w:cols>
          <w:pgMar w:left="580" w:top="205" w:right="1039" w:bottom="1440" w:gutter="0" w:footer="0" w:header="0"/>
          <w:type w:val="continuous"/>
        </w:sectPr>
      </w:pPr>
    </w:p>
    <w:p>
      <w:pPr>
        <w:ind w:left="1140"/>
        <w:spacing w:after="0"/>
        <w:tabs>
          <w:tab w:leader="none" w:pos="4320" w:val="left"/>
          <w:tab w:leader="none" w:pos="7540" w:val="left"/>
        </w:tabs>
        <w:rPr>
          <w:sz w:val="20"/>
          <w:szCs w:val="20"/>
          <w:color w:val="auto"/>
        </w:rPr>
      </w:pP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4"/>
          <w:szCs w:val="24"/>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68065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Prospectus Supplement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Cautionary Note on 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Notes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S-ii</w:t>
      </w:r>
      <w:r>
        <w:rPr>
          <w:rFonts w:ascii="Arial" w:cs="Arial" w:eastAsia="Arial" w:hAnsi="Arial"/>
          <w:sz w:val="18"/>
          <w:szCs w:val="18"/>
          <w:color w:val="auto"/>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S-iv</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S-1</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S-7</w:t>
      </w:r>
      <w:r>
        <w:rPr>
          <w:rFonts w:ascii="Arial" w:cs="Arial" w:eastAsia="Arial" w:hAnsi="Arial"/>
          <w:sz w:val="18"/>
          <w:szCs w:val="18"/>
          <w:color w:val="auto"/>
        </w:rPr>
        <w: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S-11</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S-12</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S-13</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S-35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S-40</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S-46</w:t>
      </w:r>
      <w:r>
        <w:rPr>
          <w:rFonts w:ascii="Arial" w:cs="Arial" w:eastAsia="Arial" w:hAnsi="Arial"/>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47"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1</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2</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4</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5</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6</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7</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8</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0000EE"/>
                <w:w w:val="99"/>
              </w:rPr>
              <w:t>9</w:t>
            </w:r>
          </w:p>
        </w:tc>
        <w:tc>
          <w:tcPr>
            <w:tcW w:w="1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120" w:space="720"/>
            <w:col w:w="10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CAUTIONARY NOTE ON FORWARD-</w:t>
      </w:r>
    </w:p>
    <w:p>
      <w:pPr>
        <w:ind w:left="1260"/>
        <w:spacing w:after="0" w:line="224" w:lineRule="auto"/>
        <w:rPr>
          <w:sz w:val="20"/>
          <w:szCs w:val="20"/>
          <w:color w:val="auto"/>
        </w:rPr>
      </w:pPr>
      <w:r>
        <w:rPr>
          <w:rFonts w:ascii="Arial" w:cs="Arial" w:eastAsia="Arial" w:hAnsi="Arial"/>
          <w:sz w:val="40"/>
          <w:szCs w:val="40"/>
          <w:b w:val="1"/>
          <w:bCs w:val="1"/>
          <w:color w:val="auto"/>
        </w:rPr>
        <w:t>LOOKING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STATEMENTS</w:t>
      </w:r>
      <w:r>
        <w:rPr>
          <w:rFonts w:ascii="Times New Roman" w:cs="Times New Roman" w:eastAsia="Times New Roman" w:hAnsi="Times New Roman"/>
          <w:sz w:val="40"/>
          <w:szCs w:val="40"/>
          <w:color w:val="auto"/>
        </w:rPr>
        <w:t>​</w:t>
      </w:r>
    </w:p>
    <w:p>
      <w:pPr>
        <w:spacing w:after="0" w:line="107"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include statements that are, or may be deemed,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Specific forward-looking statements include, but are not limited to:</w:t>
      </w:r>
    </w:p>
    <w:p>
      <w:pPr>
        <w:spacing w:after="0" w:line="117"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to start ramping our 1ß (1-beta) DRAM in manufacturing;</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to implement EUV lithography;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COVID-19 to our business;</w:t>
      </w:r>
    </w:p>
    <w:p>
      <w:pPr>
        <w:spacing w:after="0" w:line="117"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decline in bit shipments and pricing for both DRAM and NAND in the first quarter of 2023;</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decrease in our gross margin percentage in the first quarter of 2023;</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utilization of our manufacturing facilities;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inflationary pressures on costs in the first quarter of 2023;</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increases in our effective tax rate;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tax expense for 2023;</w:t>
      </w:r>
    </w:p>
    <w:p>
      <w:pPr>
        <w:spacing w:after="0" w:line="117" w:lineRule="exact"/>
        <w:rPr>
          <w:rFonts w:ascii="Arial" w:cs="Arial" w:eastAsia="Arial" w:hAnsi="Arial"/>
          <w:sz w:val="18"/>
          <w:szCs w:val="18"/>
          <w:color w:val="auto"/>
        </w:rPr>
      </w:pPr>
    </w:p>
    <w:p>
      <w:pPr>
        <w:ind w:left="1800" w:right="51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for construction and ramping of production for new memory manufacturing fabs in the United States;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of government grants and investment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and investments;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payment of future cash dividends;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spending in 2023;</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funding of sustainability-focused projects;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tax return examinations;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intended use of proceeds from the offering of notes.</w:t>
      </w:r>
    </w:p>
    <w:p>
      <w:pPr>
        <w:spacing w:after="0" w:line="158"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12"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276860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Trademarks and Service Marks</w:t>
      </w:r>
    </w:p>
    <w:p>
      <w:pPr>
        <w:spacing w:after="0" w:line="162"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 SUPPLEMENT</w:t>
      </w:r>
    </w:p>
    <w:p>
      <w:pPr>
        <w:spacing w:after="0" w:line="149"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24"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01"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09"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0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 2022, which will be the third business day following the date of this prospectus supplement (such settlement being 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2022 will be required, by virtue of the fact that the notes initially settle in T+3, to specify an alternate settlement arrangement to prevent a failed settlement. Purchasers of the notes who wish to trade the notes more than two business days prior to                      , 2022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auto"/>
        </w:rPr>
        <w:t>SUMMARY</w:t>
      </w:r>
    </w:p>
    <w:p>
      <w:pPr>
        <w:spacing w:after="0" w:line="219" w:lineRule="exact"/>
        <w:rPr>
          <w:sz w:val="20"/>
          <w:szCs w:val="20"/>
          <w:color w:val="auto"/>
        </w:rPr>
      </w:pPr>
    </w:p>
    <w:p>
      <w:pPr>
        <w:ind w:left="1280" w:right="459"/>
        <w:spacing w:after="0" w:line="245" w:lineRule="auto"/>
        <w:rPr>
          <w:sz w:val="20"/>
          <w:szCs w:val="20"/>
          <w:color w:val="auto"/>
        </w:rPr>
      </w:pPr>
      <w:r>
        <w:rPr>
          <w:rFonts w:ascii="Arial" w:cs="Arial" w:eastAsia="Arial" w:hAnsi="Arial"/>
          <w:sz w:val="18"/>
          <w:szCs w:val="18"/>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year ended September 1, 2022, documents that we subsequently file with the SEC and the financial statements and other information included or incorporated by reference in this prospectus supplement and the accompanying prospectus, before making an investment decision.</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EB6"/>
        </w:rPr>
        <w:t>Micron Technology, Inc.</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ind w:left="1280" w:right="399"/>
        <w:spacing w:after="0" w:line="232"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17" w:lineRule="exact"/>
        <w:rPr>
          <w:sz w:val="20"/>
          <w:szCs w:val="20"/>
          <w:color w:val="auto"/>
        </w:rPr>
      </w:pPr>
    </w:p>
    <w:p>
      <w:pPr>
        <w:ind w:left="1280" w:right="419"/>
        <w:spacing w:after="0" w:line="243"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11" w:lineRule="exact"/>
        <w:rPr>
          <w:sz w:val="20"/>
          <w:szCs w:val="20"/>
          <w:color w:val="auto"/>
        </w:rPr>
      </w:pPr>
    </w:p>
    <w:p>
      <w:pPr>
        <w:ind w:left="1280" w:right="739"/>
        <w:spacing w:after="0" w:line="246"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6" w:lineRule="exact"/>
        <w:rPr>
          <w:sz w:val="20"/>
          <w:szCs w:val="20"/>
          <w:color w:val="auto"/>
        </w:rPr>
      </w:pPr>
    </w:p>
    <w:p>
      <w:pPr>
        <w:ind w:left="1280" w:right="459"/>
        <w:spacing w:after="0" w:line="246" w:lineRule="auto"/>
        <w:rPr>
          <w:sz w:val="20"/>
          <w:szCs w:val="20"/>
          <w:color w:val="auto"/>
        </w:rPr>
      </w:pPr>
      <w:r>
        <w:rPr>
          <w:rFonts w:ascii="Arial" w:cs="Arial" w:eastAsia="Arial" w:hAnsi="Arial"/>
          <w:sz w:val="18"/>
          <w:szCs w:val="18"/>
          <w:color w:val="auto"/>
        </w:rPr>
        <w:t>We currently anticipate raising approximately $3 billion in aggregate principal amount for general corporate purposes through the borrowing of one or more new term loans during our current fiscal quarter. There can be no assurance that any additional financing following the consummation of this offering will be available to us on commercially reasonable terms or at all, or that we will choose to consummate such term loan financing, and the actual amount and terms of any additional financing will be subject to prevailing market conditions and other considerations. The consummation of this offering is not contingent on consummation of any additional financing.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9" w:lineRule="auto"/>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 Information about us is available at our website www.micron.com.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EB6"/>
        </w:rPr>
        <w:t>The Offering</w:t>
      </w:r>
    </w:p>
    <w:p>
      <w:pPr>
        <w:spacing w:after="0" w:line="231" w:lineRule="exact"/>
        <w:rPr>
          <w:sz w:val="20"/>
          <w:szCs w:val="20"/>
          <w:color w:val="auto"/>
        </w:rPr>
      </w:pPr>
    </w:p>
    <w:p>
      <w:pPr>
        <w:ind w:left="1280" w:right="459"/>
        <w:spacing w:after="0" w:line="257"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72"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Micron Technology, Inc.</w:t>
      </w:r>
    </w:p>
    <w:p>
      <w:pPr>
        <w:spacing w:after="0" w:line="117" w:lineRule="exact"/>
        <w:rPr>
          <w:sz w:val="20"/>
          <w:szCs w:val="20"/>
          <w:color w:val="auto"/>
        </w:rPr>
      </w:pPr>
    </w:p>
    <w:p>
      <w:pPr>
        <w:jc w:val="right"/>
        <w:ind w:right="419"/>
        <w:spacing w:after="0"/>
        <w:tabs>
          <w:tab w:leader="none" w:pos="514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            aggregate principal amount of         % Senior Notes due</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20    .</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The notes will mature on                     , 20    .</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and Payment Dates</w:t>
      </w:r>
      <w:r>
        <w:rPr>
          <w:sz w:val="20"/>
          <w:szCs w:val="20"/>
          <w:color w:val="auto"/>
        </w:rPr>
        <w:tab/>
      </w:r>
      <w:r>
        <w:rPr>
          <w:rFonts w:ascii="Arial" w:cs="Arial" w:eastAsia="Arial" w:hAnsi="Arial"/>
          <w:sz w:val="17"/>
          <w:szCs w:val="17"/>
          <w:color w:val="auto"/>
        </w:rPr>
        <w:t>        % per year on the principal amount of the notes. Interest is</w:t>
      </w:r>
    </w:p>
    <w:p>
      <w:pPr>
        <w:spacing w:after="0" w:line="27" w:lineRule="exact"/>
        <w:rPr>
          <w:sz w:val="20"/>
          <w:szCs w:val="20"/>
          <w:color w:val="auto"/>
        </w:rPr>
      </w:pPr>
    </w:p>
    <w:p>
      <w:pPr>
        <w:ind w:left="4300" w:right="459"/>
        <w:spacing w:after="0" w:line="258" w:lineRule="auto"/>
        <w:rPr>
          <w:sz w:val="20"/>
          <w:szCs w:val="20"/>
          <w:color w:val="auto"/>
        </w:rPr>
      </w:pPr>
      <w:r>
        <w:rPr>
          <w:rFonts w:ascii="Arial" w:cs="Arial" w:eastAsia="Arial" w:hAnsi="Arial"/>
          <w:sz w:val="18"/>
          <w:szCs w:val="18"/>
          <w:color w:val="auto"/>
        </w:rPr>
        <w:t>payable on the notes on                     and                     of each year after the date of issuance, commencing                     , 2023. Interest on the notes will accrue from                     , 2022.</w:t>
      </w:r>
    </w:p>
    <w:p>
      <w:pPr>
        <w:spacing w:after="0" w:line="7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Ranking of the Notes</w:t>
      </w:r>
      <w:r>
        <w:rPr>
          <w:sz w:val="20"/>
          <w:szCs w:val="20"/>
          <w:color w:val="auto"/>
        </w:rPr>
        <w:tab/>
      </w:r>
      <w:r>
        <w:rPr>
          <w:rFonts w:ascii="Arial" w:cs="Arial" w:eastAsia="Arial" w:hAnsi="Arial"/>
          <w:sz w:val="17"/>
          <w:szCs w:val="17"/>
          <w:color w:val="auto"/>
        </w:rPr>
        <w:t>The notes will be senior unsecured obligations and will rank</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equally with all of our other existing and future unsecured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unsubordinated indebtedness from time to time outstanding.</w:t>
      </w:r>
    </w:p>
    <w:p>
      <w:pPr>
        <w:spacing w:after="0" w:line="14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of September 1, 2022:</w:t>
      </w:r>
    </w:p>
    <w:p>
      <w:pPr>
        <w:spacing w:after="0" w:line="158" w:lineRule="exact"/>
        <w:rPr>
          <w:sz w:val="20"/>
          <w:szCs w:val="20"/>
          <w:color w:val="auto"/>
        </w:rPr>
      </w:pPr>
    </w:p>
    <w:p>
      <w:pPr>
        <w:ind w:left="4300"/>
        <w:spacing w:after="0"/>
        <w:tabs>
          <w:tab w:leader="none" w:pos="4640" w:val="left"/>
        </w:tabs>
        <w:rPr>
          <w:sz w:val="20"/>
          <w:szCs w:val="20"/>
          <w:color w:val="auto"/>
        </w:rPr>
      </w:pPr>
      <w:r>
        <w:rPr>
          <w:rFonts w:ascii="Arial" w:cs="Arial" w:eastAsia="Arial" w:hAnsi="Arial"/>
          <w:sz w:val="18"/>
          <w:szCs w:val="18"/>
          <w:color w:val="auto"/>
        </w:rPr>
        <w:t>•</w:t>
        <w:tab/>
        <w:t>we had approximately $6.32 billion aggregate principal</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amount of indebtedness;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Sinking Fund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60" w:hanging="179"/>
        <w:spacing w:after="0" w:line="268" w:lineRule="auto"/>
        <w:rPr>
          <w:sz w:val="20"/>
          <w:szCs w:val="20"/>
          <w:color w:val="auto"/>
        </w:rPr>
      </w:pPr>
      <w:r>
        <w:rPr>
          <w:rFonts w:ascii="Arial" w:cs="Arial" w:eastAsia="Arial" w:hAnsi="Arial"/>
          <w:sz w:val="18"/>
          <w:szCs w:val="18"/>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360" w:right="479" w:hanging="358"/>
        <w:spacing w:after="0" w:line="255"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$7.76 billion, all of which will be structurally senior to the notes with respect to claims on the assets and cash flows of our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right="399"/>
        <w:spacing w:after="0" w:line="268" w:lineRule="auto"/>
        <w:rPr>
          <w:sz w:val="20"/>
          <w:szCs w:val="20"/>
          <w:color w:val="auto"/>
        </w:rPr>
      </w:pPr>
      <w:r>
        <w:rPr>
          <w:rFonts w:ascii="Arial" w:cs="Arial" w:eastAsia="Arial" w:hAnsi="Arial"/>
          <w:sz w:val="17"/>
          <w:szCs w:val="17"/>
          <w:color w:val="auto"/>
        </w:rPr>
        <w:t>The notes will be redeemable at our option, in whole or in part, at any time and from time to time at a redemption price for the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w:t>
      </w:r>
    </w:p>
    <w:p>
      <w:pPr>
        <w:spacing w:after="0" w:line="2" w:lineRule="exact"/>
        <w:rPr>
          <w:sz w:val="20"/>
          <w:szCs w:val="20"/>
          <w:color w:val="auto"/>
        </w:rPr>
      </w:pPr>
    </w:p>
    <w:p>
      <w:pPr>
        <w:ind w:right="399" w:firstLine="2"/>
        <w:spacing w:after="0" w:line="272" w:lineRule="auto"/>
        <w:tabs>
          <w:tab w:leader="none" w:pos="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20    (            months prior to the maturity date of the notes),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294" w:lineRule="exact"/>
        <w:rPr>
          <w:sz w:val="20"/>
          <w:szCs w:val="20"/>
          <w:color w:val="auto"/>
        </w:rPr>
      </w:pPr>
    </w:p>
    <w:p>
      <w:pPr>
        <w:ind w:right="419"/>
        <w:spacing w:after="0" w:line="268" w:lineRule="auto"/>
        <w:rPr>
          <w:sz w:val="20"/>
          <w:szCs w:val="20"/>
          <w:color w:val="auto"/>
        </w:rPr>
      </w:pPr>
      <w:r>
        <w:rPr>
          <w:rFonts w:ascii="Arial" w:cs="Arial" w:eastAsia="Arial" w:hAnsi="Arial"/>
          <w:sz w:val="18"/>
          <w:szCs w:val="18"/>
          <w:color w:val="auto"/>
        </w:rPr>
        <w:t>Upon the occurrence of a Change of Control Triggering Event (as defined elsewhere in this prospectus supplement), we will be required to make an offer to purchase the notes at a price</w:t>
      </w:r>
    </w:p>
    <w:p>
      <w:pPr>
        <w:spacing w:after="0" w:line="200" w:lineRule="exact"/>
        <w:rPr>
          <w:sz w:val="20"/>
          <w:szCs w:val="20"/>
          <w:color w:val="auto"/>
        </w:rPr>
      </w:pPr>
    </w:p>
    <w:p>
      <w:pPr>
        <w:sectPr>
          <w:pgSz w:w="11900" w:h="16838" w:orient="portrait"/>
          <w:cols w:equalWidth="0" w:num="2">
            <w:col w:w="3780" w:space="520"/>
            <w:col w:w="5579"/>
          </w:cols>
          <w:pgMar w:left="580" w:top="97" w:right="1440" w:bottom="1440" w:gutter="0" w:footer="0" w:header="0"/>
          <w:type w:val="continuous"/>
        </w:sectPr>
      </w:pPr>
    </w:p>
    <w:p>
      <w:pPr>
        <w:spacing w:after="0" w:line="16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equal to 101% of their principal amount plus accrued and unpaid</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interest to, but excluding, the date of purchase. See “Description</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of the Notes — Repurchase of Notes Upon a Change of Control</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Triggering Event.”</w:t>
            </w:r>
          </w:p>
        </w:tc>
      </w:tr>
      <w:tr>
        <w:trPr>
          <w:trHeight w:val="301"/>
        </w:trPr>
        <w:tc>
          <w:tcPr>
            <w:tcW w:w="2580" w:type="dxa"/>
            <w:vAlign w:val="bottom"/>
          </w:tcPr>
          <w:p>
            <w:pPr>
              <w:spacing w:after="0"/>
              <w:rPr>
                <w:sz w:val="20"/>
                <w:szCs w:val="20"/>
                <w:color w:val="auto"/>
              </w:rPr>
            </w:pPr>
            <w:r>
              <w:rPr>
                <w:rFonts w:ascii="Arial" w:cs="Arial" w:eastAsia="Arial" w:hAnsi="Arial"/>
                <w:sz w:val="18"/>
                <w:szCs w:val="18"/>
                <w:color w:val="auto"/>
              </w:rPr>
              <w:t>Certain Covenants</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The indenture that will govern the notes contains covenants that,</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subject to significant exceptions, limit our ability and/or the ability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of our restricted subsidiaries (which are generally domestic</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9"/>
              </w:rPr>
              <w:t>subsidiaries in which we own at least 80% of the voting stock and</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which own Principal Property (as defined herein)) to:</w:t>
            </w:r>
          </w:p>
        </w:tc>
      </w:tr>
      <w:tr>
        <w:trPr>
          <w:trHeight w:val="355"/>
        </w:trPr>
        <w:tc>
          <w:tcPr>
            <w:tcW w:w="258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create or incur certain liens on Principal Property owned by</w:t>
            </w: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us or a Restricted Subsidiary and shares of capital stock of</w:t>
            </w: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any restricted subsidiary and enter into sale and lease-back</w:t>
            </w:r>
          </w:p>
        </w:tc>
      </w:tr>
      <w:tr>
        <w:trPr>
          <w:trHeight w:val="239"/>
        </w:trPr>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with respect to Principal Property; and</w:t>
            </w:r>
          </w:p>
        </w:tc>
      </w:tr>
      <w:tr>
        <w:trPr>
          <w:trHeight w:val="342"/>
        </w:trPr>
        <w:tc>
          <w:tcPr>
            <w:tcW w:w="258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consolidate with or merge with or into, or convey, transfer or</w:t>
            </w:r>
          </w:p>
        </w:tc>
      </w:tr>
      <w:tr>
        <w:trPr>
          <w:trHeight w:val="239"/>
        </w:trPr>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lease all or substantially all of our assets, to another person.</w:t>
            </w:r>
          </w:p>
        </w:tc>
      </w:tr>
      <w:tr>
        <w:trPr>
          <w:trHeight w:val="328"/>
        </w:trPr>
        <w:tc>
          <w:tcPr>
            <w:tcW w:w="2580" w:type="dxa"/>
            <w:vAlign w:val="bottom"/>
          </w:tcPr>
          <w:p>
            <w:pPr>
              <w:spacing w:after="0"/>
              <w:rPr>
                <w:sz w:val="24"/>
                <w:szCs w:val="24"/>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9"/>
              </w:rPr>
              <w:t>These covenants are subject to a number of important limitations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and exceptions as described under “Description of the Notes — </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Certain Covenants.”</w:t>
            </w:r>
          </w:p>
        </w:tc>
      </w:tr>
      <w:tr>
        <w:trPr>
          <w:trHeight w:val="301"/>
        </w:trPr>
        <w:tc>
          <w:tcPr>
            <w:tcW w:w="258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The notes will be a new issue of securities for which there is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9"/>
              </w:rPr>
              <w:t>currently no established public market. Although the underwriters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have informed us that they intend to make a market in the notes,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they are not obligated to do so and may discontinue market-</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making with respect to the notes at any time without notice.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Accordingly, a liquid market for the notes may not develop or be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maintained. See “Risk Factors — Risks Related to the Notes — </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8"/>
              </w:rPr>
              <w:t>Your ability to transfer the notes may be limited by the absence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an active trading market, and an active trading market may not</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develop for the notes.”</w:t>
            </w:r>
          </w:p>
        </w:tc>
      </w:tr>
      <w:tr>
        <w:trPr>
          <w:trHeight w:val="342"/>
        </w:trPr>
        <w:tc>
          <w:tcPr>
            <w:tcW w:w="2580" w:type="dxa"/>
            <w:vAlign w:val="bottom"/>
          </w:tcPr>
          <w:p>
            <w:pPr>
              <w:spacing w:after="0"/>
              <w:rPr>
                <w:sz w:val="24"/>
                <w:szCs w:val="24"/>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We do not intend to apply for the listing of the notes on any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securities exchange or for the quotation of the notes in any</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dealer quotation system.</w:t>
            </w:r>
          </w:p>
        </w:tc>
      </w:tr>
      <w:tr>
        <w:trPr>
          <w:trHeight w:val="301"/>
        </w:trPr>
        <w:tc>
          <w:tcPr>
            <w:tcW w:w="2580" w:type="dxa"/>
            <w:vAlign w:val="bottom"/>
          </w:tcPr>
          <w:p>
            <w:pPr>
              <w:spacing w:after="0"/>
              <w:rPr>
                <w:sz w:val="20"/>
                <w:szCs w:val="20"/>
                <w:color w:val="auto"/>
              </w:rPr>
            </w:pPr>
            <w:r>
              <w:rPr>
                <w:rFonts w:ascii="Arial" w:cs="Arial" w:eastAsia="Arial" w:hAnsi="Arial"/>
                <w:sz w:val="18"/>
                <w:szCs w:val="18"/>
                <w:color w:val="auto"/>
              </w:rPr>
              <w:t>Use of Proceeds</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We estimate net proceeds from the sale of the notes, after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deducting underwriter discounts and other estimated offering</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expenses, will be approximately $            . We intend to use the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net proceeds from the sale of the notes for general corporate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purposes, which may include capital expenditures. See “Use of</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Proceeds.”</w:t>
            </w:r>
          </w:p>
        </w:tc>
      </w:tr>
      <w:tr>
        <w:trPr>
          <w:trHeight w:val="301"/>
        </w:trPr>
        <w:tc>
          <w:tcPr>
            <w:tcW w:w="2580" w:type="dxa"/>
            <w:vAlign w:val="bottom"/>
          </w:tcPr>
          <w:p>
            <w:pPr>
              <w:spacing w:after="0"/>
              <w:rPr>
                <w:sz w:val="20"/>
                <w:szCs w:val="20"/>
                <w:color w:val="auto"/>
              </w:rPr>
            </w:pPr>
            <w:r>
              <w:rPr>
                <w:rFonts w:ascii="Arial" w:cs="Arial" w:eastAsia="Arial" w:hAnsi="Arial"/>
                <w:sz w:val="18"/>
                <w:szCs w:val="18"/>
                <w:color w:val="auto"/>
              </w:rPr>
              <w:t>Risk Factors</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You should carefully consider all of the information set forth in</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this prospectus supplement and the accompanying prospectus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and the documents, including the information incorporated by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reference, and, in particular, should evaluate the specific factors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set forth in this prospectus supplement under “Risk Factors” for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an explanation of certain risks you should consider before</w:t>
            </w:r>
          </w:p>
        </w:tc>
      </w:tr>
      <w:tr>
        <w:trPr>
          <w:trHeight w:val="239"/>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investing in the notes.</w:t>
            </w:r>
          </w:p>
        </w:tc>
      </w:tr>
      <w:tr>
        <w:trPr>
          <w:trHeight w:val="301"/>
        </w:trPr>
        <w:tc>
          <w:tcPr>
            <w:tcW w:w="2580" w:type="dxa"/>
            <w:vAlign w:val="bottom"/>
          </w:tcPr>
          <w:p>
            <w:pPr>
              <w:spacing w:after="0"/>
              <w:rPr>
                <w:sz w:val="20"/>
                <w:szCs w:val="20"/>
                <w:color w:val="auto"/>
              </w:rPr>
            </w:pPr>
            <w:r>
              <w:rPr>
                <w:rFonts w:ascii="Arial" w:cs="Arial" w:eastAsia="Arial" w:hAnsi="Arial"/>
                <w:sz w:val="18"/>
                <w:szCs w:val="18"/>
                <w:color w:val="auto"/>
              </w:rPr>
              <w:t>Form and Denomination</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The notes will be issued in the form of one or more fully</w:t>
            </w:r>
          </w:p>
        </w:tc>
      </w:tr>
      <w:tr>
        <w:trPr>
          <w:trHeight w:val="234"/>
        </w:trPr>
        <w:tc>
          <w:tcPr>
            <w:tcW w:w="2580" w:type="dxa"/>
            <w:vAlign w:val="bottom"/>
          </w:tcPr>
          <w:p>
            <w:pPr>
              <w:spacing w:after="0"/>
              <w:rPr>
                <w:sz w:val="20"/>
                <w:szCs w:val="20"/>
                <w:color w:val="auto"/>
              </w:rPr>
            </w:pP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w w:val="99"/>
              </w:rPr>
              <w:t>registered global securities, without coupons, in denominations of</w:t>
            </w:r>
          </w:p>
        </w:tc>
      </w:tr>
    </w:tbl>
    <w:p>
      <w:pPr>
        <w:ind w:left="4300"/>
        <w:spacing w:after="0"/>
        <w:rPr>
          <w:sz w:val="20"/>
          <w:szCs w:val="20"/>
          <w:color w:val="auto"/>
        </w:rPr>
      </w:pPr>
      <w:r>
        <w:rPr>
          <w:rFonts w:ascii="Arial" w:cs="Arial" w:eastAsia="Arial" w:hAnsi="Arial"/>
          <w:sz w:val="18"/>
          <w:szCs w:val="18"/>
          <w:color w:val="auto"/>
        </w:rPr>
        <w:t>$2,000 in principal amount and integral multiples of $1,000 in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excess thereof. These global notes will be deposited with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trustee as custodian for, and registered in the name of, 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nominee of The Depository Trust Company (“DTC”). Except in</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limited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399"/>
        <w:spacing w:after="0" w:line="253" w:lineRule="auto"/>
        <w:rPr>
          <w:sz w:val="20"/>
          <w:szCs w:val="20"/>
          <w:color w:val="auto"/>
        </w:rPr>
      </w:pPr>
      <w:r>
        <w:rPr>
          <w:rFonts w:ascii="Arial" w:cs="Arial" w:eastAsia="Arial" w:hAnsi="Arial"/>
          <w:sz w:val="18"/>
          <w:szCs w:val="18"/>
          <w:color w:val="auto"/>
        </w:rPr>
        <w:t>circumstances described under “Description of the Notes — Book-Entry, Form, Denomination and Delivery of Notes,” notes in certificated form will not be issued or exchanged for interests in global securities. Investors may hold their interests in a global note directly through Euroclear Bank S.A./N.V, as operator of the Euroclear System (“Euroclear”), and Clearstream Banking, S.A.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Trustee, Registrar and Paying</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U.S. Bank Trust Company, National Association.</w:t>
      </w:r>
    </w:p>
    <w:p>
      <w:pPr>
        <w:spacing w:after="0" w:line="9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 the</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State of New York.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006EB6"/>
        </w:rPr>
        <w:t>Summary Consolidated Financial Data</w:t>
      </w:r>
    </w:p>
    <w:p>
      <w:pPr>
        <w:spacing w:after="0" w:line="162" w:lineRule="exact"/>
        <w:rPr>
          <w:sz w:val="20"/>
          <w:szCs w:val="20"/>
          <w:color w:val="auto"/>
        </w:rPr>
      </w:pPr>
    </w:p>
    <w:p>
      <w:pPr>
        <w:ind w:left="1280" w:right="419"/>
        <w:spacing w:after="0" w:line="254" w:lineRule="auto"/>
        <w:rPr>
          <w:sz w:val="20"/>
          <w:szCs w:val="20"/>
          <w:color w:val="auto"/>
        </w:rPr>
      </w:pPr>
      <w:r>
        <w:rPr>
          <w:rFonts w:ascii="Arial" w:cs="Arial" w:eastAsia="Arial" w:hAnsi="Arial"/>
          <w:sz w:val="18"/>
          <w:szCs w:val="18"/>
          <w:color w:val="auto"/>
        </w:rPr>
        <w:t>Our summary consolidated financial information as of September 1, 2022 and September 2, 2021 and for the periods ended September 1, 2022, September 2, 2021 and September 3, 2020 has been derived from our audited consolidated financial statements incorporated by reference herein. Our summary consolidated financial information as of September 3, 2020 has been derived from audited financial statements not incorporated by reference. Our historical results, including our operating results for the fiscal year ended September 1, 2022, are not necessarily indicative of results that may be expected for future periods.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September 1, 2022, which is incorporated by reference herein.</w:t>
      </w:r>
    </w:p>
    <w:p>
      <w:pPr>
        <w:spacing w:after="0" w:line="138" w:lineRule="exact"/>
        <w:rPr>
          <w:sz w:val="20"/>
          <w:szCs w:val="20"/>
          <w:color w:val="auto"/>
        </w:rPr>
      </w:pPr>
    </w:p>
    <w:tbl>
      <w:tblPr>
        <w:tblLayout w:type="fixed"/>
        <w:tblInd w:w="128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6"/>
          </w:tcPr>
          <w:p>
            <w:pPr>
              <w:ind w:left="6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1,</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2,</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ind w:left="320"/>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center"/>
              <w:ind w:right="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center"/>
              <w:ind w:right="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center"/>
              <w:ind w:right="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vMerge w:val="continue"/>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4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w w:val="98"/>
              </w:rPr>
              <w:t>​$30,758</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​$27,705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​$21,435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820" w:type="dxa"/>
            <w:vAlign w:val="bottom"/>
            <w:tcBorders>
              <w:right w:val="single" w:sz="8" w:color="CCEEFF"/>
            </w:tcBorders>
            <w:gridSpan w:val="3"/>
            <w:shd w:val="clear" w:color="auto" w:fill="CCEEFF"/>
          </w:tcPr>
          <w:p>
            <w:pPr>
              <w:jc w:val="right"/>
              <w:ind w:right="7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​16,860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​17,282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00" w:type="dxa"/>
            <w:vAlign w:val="bottom"/>
            <w:tcBorders>
              <w:right w:val="single" w:sz="8" w:color="CCEEFF"/>
            </w:tcBorders>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​14,883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Gross margin</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 ​13,898</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​10,423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6,552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 ​ 3,116</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2,663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2,600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 1,066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50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840" w:type="dxa"/>
            <w:vAlign w:val="bottom"/>
            <w:gridSpan w:val="3"/>
            <w:shd w:val="clear" w:color="auto" w:fill="CCEEFF"/>
          </w:tcPr>
          <w:p>
            <w:pPr>
              <w:jc w:val="right"/>
              <w:spacing w:after="0" w:line="269" w:lineRule="exact"/>
              <w:rPr>
                <w:sz w:val="20"/>
                <w:szCs w:val="20"/>
                <w:color w:val="auto"/>
              </w:rPr>
            </w:pPr>
            <w:r>
              <w:rPr>
                <w:rFonts w:ascii="Arial" w:cs="Arial" w:eastAsia="Arial" w:hAnsi="Arial"/>
                <w:sz w:val="17"/>
                <w:szCs w:val="17"/>
                <w:color w:val="auto"/>
              </w:rPr>
              <w:t xml:space="preserve">(34) </w:t>
            </w:r>
            <w:r>
              <w:rPr>
                <w:rFonts w:ascii="Arial" w:cs="Arial" w:eastAsia="Arial" w:hAnsi="Arial"/>
                <w:sz w:val="31"/>
                <w:szCs w:val="31"/>
                <w:color w:val="auto"/>
                <w:vertAlign w:val="subscript"/>
              </w:rPr>
              <w:t>​​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 ​ 9,702</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6,283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3,003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 ​​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180" w:type="dxa"/>
            <w:vAlign w:val="bottom"/>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84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31"/>
                <w:szCs w:val="31"/>
                <w:color w:val="auto"/>
                <w:vertAlign w:val="subscript"/>
              </w:rPr>
              <w:t>​​ ​</w:t>
            </w:r>
          </w:p>
        </w:tc>
        <w:tc>
          <w:tcPr>
            <w:tcW w:w="14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 ​ 9,571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 6,218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 2,983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(888)</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equity method investees</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 ​ 8,687</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5,861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 ​ 2,710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4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Micron</w:t>
            </w:r>
          </w:p>
        </w:tc>
        <w:tc>
          <w:tcPr>
            <w:tcW w:w="460" w:type="dxa"/>
            <w:vAlign w:val="bottom"/>
          </w:tcPr>
          <w:p>
            <w:pPr>
              <w:ind w:left="3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4"/>
                <w:szCs w:val="24"/>
                <w:color w:val="auto"/>
              </w:rPr>
            </w:pPr>
          </w:p>
        </w:tc>
        <w:tc>
          <w:tcPr>
            <w:tcW w:w="18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8,687</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4"/>
                <w:szCs w:val="24"/>
                <w:color w:val="auto"/>
              </w:rPr>
            </w:pPr>
          </w:p>
        </w:tc>
        <w:tc>
          <w:tcPr>
            <w:tcW w:w="16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5,861</w:t>
            </w: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4"/>
                <w:szCs w:val="24"/>
                <w:color w:val="auto"/>
              </w:rPr>
            </w:pPr>
          </w:p>
        </w:tc>
        <w:tc>
          <w:tcPr>
            <w:tcW w:w="16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2,687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50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ind w:left="220"/>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1,</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2,</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ind w:left="280"/>
              <w:spacing w:after="0"/>
              <w:rPr>
                <w:sz w:val="20"/>
                <w:szCs w:val="20"/>
                <w:color w:val="auto"/>
              </w:rPr>
            </w:pPr>
            <w:r>
              <w:rPr>
                <w:rFonts w:ascii="Arial" w:cs="Arial" w:eastAsia="Arial" w:hAnsi="Arial"/>
                <w:sz w:val="14"/>
                <w:szCs w:val="14"/>
                <w:b w:val="1"/>
                <w:bCs w:val="1"/>
                <w:color w:val="auto"/>
              </w:rPr>
              <w:t>​ ​</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Arial" w:cs="Arial" w:eastAsia="Arial" w:hAnsi="Arial"/>
          <w:sz w:val="18"/>
          <w:szCs w:val="18"/>
          <w:b w:val="1"/>
          <w:bCs w:val="1"/>
          <w:color w:val="auto"/>
        </w:rPr>
        <w:t>Balance Sheet Data:</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Cash and equivalents and short-term investments</w:t>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Other current assets</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Long-term marketable investments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Current debt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 ​  ​ ​</w:t>
            </w: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 ​​ ​</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rPr>
              <w:t>​ ​</w:t>
            </w:r>
          </w:p>
        </w:tc>
        <w:tc>
          <w:tcPr>
            <w:tcW w:w="4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 ​​ ​</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rPr>
              <w:t>​ ​</w:t>
            </w:r>
          </w:p>
        </w:tc>
        <w:tc>
          <w:tcPr>
            <w:tcW w:w="4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9,331</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8,633</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8,142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​12,450</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​11,274</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 9,823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6"/>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 1,647</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 1,765</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 1,048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​66,283</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​58,849</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​53,678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ind w:left="80"/>
              <w:spacing w:after="0"/>
              <w:rPr>
                <w:sz w:val="20"/>
                <w:szCs w:val="20"/>
                <w:color w:val="auto"/>
              </w:rPr>
            </w:pPr>
            <w:r>
              <w:rPr>
                <w:rFonts w:ascii="Arial" w:cs="Arial" w:eastAsia="Arial" w:hAnsi="Arial"/>
                <w:sz w:val="18"/>
                <w:szCs w:val="18"/>
                <w:color w:val="auto"/>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 6,803</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 6,621</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 6,373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​49,907</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​43,933</w:t>
            </w: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 ​38,996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5340" w:space="720"/>
            <w:col w:w="38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51" w:lineRule="exact"/>
        <w:rPr>
          <w:sz w:val="20"/>
          <w:szCs w:val="20"/>
          <w:color w:val="auto"/>
        </w:rPr>
      </w:pPr>
    </w:p>
    <w:p>
      <w:pPr>
        <w:ind w:left="1260" w:right="639"/>
        <w:spacing w:after="0" w:line="271" w:lineRule="auto"/>
        <w:rPr>
          <w:sz w:val="20"/>
          <w:szCs w:val="20"/>
          <w:color w:val="auto"/>
        </w:rPr>
      </w:pPr>
      <w:r>
        <w:rPr>
          <w:rFonts w:ascii="Arial" w:cs="Arial" w:eastAsia="Arial" w:hAnsi="Arial"/>
          <w:sz w:val="17"/>
          <w:szCs w:val="17"/>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Annual Report on Form</w:t>
      </w:r>
    </w:p>
    <w:p>
      <w:pPr>
        <w:spacing w:after="0" w:line="2"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i w:val="1"/>
          <w:iCs w:val="1"/>
          <w:color w:val="auto"/>
        </w:rPr>
        <w:t>10-K for the fiscal year ended September 1, 2022 as well as the risk factors described below, which are not exhaustive. In this section, references to “Micron,” “us,” “we,” or “our” refer only to Micron Technology, Inc. and not to any of its subsidiaries.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Risks Related to Our Business</w:t>
      </w:r>
    </w:p>
    <w:p>
      <w:pPr>
        <w:spacing w:after="0" w:line="14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We hereby incorporate by reference the risk factors in Item 1A of our Annual Report on Form 10-K for the fiscal year ended September 1, 2022.</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Risks Related to the Notes</w:t>
      </w:r>
    </w:p>
    <w:p>
      <w:pPr>
        <w:spacing w:after="0" w:line="231"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71"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9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18"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84" w:lineRule="exact"/>
        <w:rPr>
          <w:sz w:val="20"/>
          <w:szCs w:val="20"/>
          <w:color w:val="auto"/>
        </w:rPr>
      </w:pPr>
    </w:p>
    <w:p>
      <w:pPr>
        <w:ind w:left="1260" w:right="699"/>
        <w:spacing w:after="0" w:line="294"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71"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 holders of that debt will be entitled to share ratably with you in any proceeds distributed in connection with any insolvency, liquidation, reorganization,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79"/>
        <w:spacing w:after="0" w:line="287" w:lineRule="auto"/>
        <w:rPr>
          <w:sz w:val="20"/>
          <w:szCs w:val="20"/>
          <w:color w:val="auto"/>
        </w:rPr>
      </w:pPr>
      <w:r>
        <w:rPr>
          <w:rFonts w:ascii="Arial" w:cs="Arial" w:eastAsia="Arial" w:hAnsi="Arial"/>
          <w:sz w:val="18"/>
          <w:szCs w:val="18"/>
          <w:color w:val="auto"/>
        </w:rPr>
        <w:t>dissolution or other winding-up of us. If new debt is added to our current debt levels, the related risks that we and our subsidiaries now face could intensify. See “Description of the Notes.”</w:t>
      </w:r>
    </w:p>
    <w:p>
      <w:pPr>
        <w:spacing w:after="0" w:line="114" w:lineRule="exact"/>
        <w:rPr>
          <w:sz w:val="20"/>
          <w:szCs w:val="20"/>
          <w:color w:val="auto"/>
        </w:rPr>
      </w:pPr>
    </w:p>
    <w:p>
      <w:pPr>
        <w:ind w:left="1260" w:right="879"/>
        <w:spacing w:after="0" w:line="278" w:lineRule="auto"/>
        <w:rPr>
          <w:sz w:val="20"/>
          <w:szCs w:val="20"/>
          <w:color w:val="auto"/>
        </w:rPr>
      </w:pPr>
      <w:r>
        <w:rPr>
          <w:rFonts w:ascii="Arial" w:cs="Arial" w:eastAsia="Arial" w:hAnsi="Arial"/>
          <w:sz w:val="18"/>
          <w:szCs w:val="18"/>
          <w:b w:val="1"/>
          <w:bCs w:val="1"/>
          <w:i w:val="1"/>
          <w:iCs w:val="1"/>
          <w:color w:val="auto"/>
        </w:rPr>
        <w:t>The indenture governing the notes will contain negative covenants that may have a limited effect but these covenants may still restrict the operation of our business.</w:t>
      </w:r>
    </w:p>
    <w:p>
      <w:pPr>
        <w:spacing w:after="0" w:line="5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97"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112"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52" w:lineRule="exact"/>
        <w:rPr>
          <w:sz w:val="20"/>
          <w:szCs w:val="20"/>
          <w:color w:val="auto"/>
        </w:rPr>
      </w:pPr>
    </w:p>
    <w:p>
      <w:pPr>
        <w:ind w:left="1260" w:right="1479"/>
        <w:spacing w:after="0" w:line="294" w:lineRule="auto"/>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58"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September 1, 2022,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$7.76 billion, all of which will be structurally senior to the notes with respect to claims on the assets and cash flows of our subsidiaries.</w:t>
      </w:r>
    </w:p>
    <w:p>
      <w:pPr>
        <w:spacing w:after="0" w:line="146" w:lineRule="exact"/>
        <w:rPr>
          <w:sz w:val="20"/>
          <w:szCs w:val="20"/>
          <w:color w:val="auto"/>
        </w:rPr>
      </w:pPr>
    </w:p>
    <w:p>
      <w:pPr>
        <w:ind w:left="1260" w:right="639"/>
        <w:spacing w:after="0" w:line="264"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71"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56"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17"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1" w:lineRule="exact"/>
        <w:rPr>
          <w:sz w:val="20"/>
          <w:szCs w:val="20"/>
          <w:color w:val="auto"/>
        </w:rPr>
      </w:pPr>
    </w:p>
    <w:p>
      <w:pPr>
        <w:ind w:left="1260" w:right="439"/>
        <w:spacing w:after="0" w:line="294"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5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7"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5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559"/>
        <w:spacing w:after="0" w:line="272"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9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89" w:lineRule="exact"/>
        <w:rPr>
          <w:sz w:val="20"/>
          <w:szCs w:val="20"/>
          <w:color w:val="auto"/>
        </w:rPr>
      </w:pPr>
    </w:p>
    <w:p>
      <w:pPr>
        <w:ind w:left="1260" w:right="1059"/>
        <w:spacing w:after="0" w:line="294"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7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We estimate net proceeds from the sale of the notes, after deducting underwriter discounts and other estimated offering expenses, will be approximately $            .</w:t>
      </w:r>
    </w:p>
    <w:p>
      <w:pPr>
        <w:spacing w:after="0" w:line="85" w:lineRule="exact"/>
        <w:rPr>
          <w:sz w:val="20"/>
          <w:szCs w:val="20"/>
          <w:color w:val="auto"/>
        </w:rPr>
      </w:pPr>
    </w:p>
    <w:p>
      <w:pPr>
        <w:ind w:left="1260" w:right="779"/>
        <w:spacing w:after="0" w:line="287" w:lineRule="auto"/>
        <w:rPr>
          <w:sz w:val="20"/>
          <w:szCs w:val="20"/>
          <w:color w:val="auto"/>
        </w:rPr>
      </w:pPr>
      <w:r>
        <w:rPr>
          <w:rFonts w:ascii="Arial" w:cs="Arial" w:eastAsia="Arial" w:hAnsi="Arial"/>
          <w:sz w:val="18"/>
          <w:szCs w:val="18"/>
          <w:color w:val="auto"/>
        </w:rPr>
        <w:t>We intend to use the net proceeds from the sale of the notes for general corporate purposes, which may include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CASH AND CAPITALIZATION</w:t>
      </w:r>
    </w:p>
    <w:p>
      <w:pPr>
        <w:spacing w:after="0" w:line="149" w:lineRule="exact"/>
        <w:rPr>
          <w:sz w:val="20"/>
          <w:szCs w:val="20"/>
          <w:color w:val="auto"/>
        </w:rPr>
      </w:pPr>
    </w:p>
    <w:p>
      <w:pPr>
        <w:jc w:val="both"/>
        <w:ind w:left="1260" w:right="1079"/>
        <w:spacing w:after="0" w:line="318"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September 1, 2022:</w:t>
      </w:r>
    </w:p>
    <w:p>
      <w:pPr>
        <w:spacing w:after="0" w:line="22"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of the notes offered by this prospectus supplement as if the offering had occurred on September 1, 2022.</w:t>
      </w:r>
    </w:p>
    <w:p>
      <w:pPr>
        <w:spacing w:after="0" w:line="85"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1"/>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2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As of September 1, 2022 </w:t>
            </w:r>
            <w:r>
              <w:rPr>
                <w:rFonts w:ascii="Arial" w:cs="Arial" w:eastAsia="Arial" w:hAnsi="Arial"/>
                <w:sz w:val="28"/>
                <w:szCs w:val="28"/>
                <w:b w:val="1"/>
                <w:bCs w:val="1"/>
                <w:color w:val="auto"/>
                <w:vertAlign w:val="subscript"/>
              </w:rPr>
              <w:t>​</w:t>
            </w:r>
          </w:p>
        </w:tc>
      </w:tr>
      <w:tr>
        <w:trPr>
          <w:trHeight w:val="20"/>
        </w:trPr>
        <w:tc>
          <w:tcPr>
            <w:tcW w:w="3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20" w:type="dxa"/>
            <w:vAlign w:val="bottom"/>
          </w:tcPr>
          <w:p>
            <w:pPr>
              <w:ind w:left="3160"/>
              <w:spacing w:after="0"/>
              <w:rPr>
                <w:sz w:val="20"/>
                <w:szCs w:val="20"/>
                <w:color w:val="auto"/>
              </w:rPr>
            </w:pPr>
            <w:r>
              <w:rPr>
                <w:rFonts w:ascii="Arial" w:cs="Arial" w:eastAsia="Arial" w:hAnsi="Arial"/>
                <w:sz w:val="14"/>
                <w:szCs w:val="14"/>
                <w:b w:val="1"/>
                <w:bCs w:val="1"/>
                <w:color w:val="auto"/>
              </w:rPr>
              <w:t>​ ​</w:t>
            </w:r>
          </w:p>
        </w:tc>
        <w:tc>
          <w:tcPr>
            <w:tcW w:w="178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As Adjusted</w:t>
            </w:r>
            <w:r>
              <w:rPr>
                <w:rFonts w:ascii="Arial" w:cs="Arial" w:eastAsia="Arial" w:hAnsi="Arial"/>
                <w:sz w:val="27"/>
                <w:szCs w:val="27"/>
                <w:b w:val="1"/>
                <w:bCs w:val="1"/>
                <w:color w:val="auto"/>
                <w:vertAlign w:val="subscript"/>
              </w:rPr>
              <w:t>​</w:t>
            </w:r>
          </w:p>
        </w:tc>
      </w:tr>
      <w:tr>
        <w:trPr>
          <w:trHeight w:val="20"/>
        </w:trPr>
        <w:tc>
          <w:tcPr>
            <w:tcW w:w="3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32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1780" w:type="dxa"/>
            <w:vAlign w:val="bottom"/>
            <w:gridSpan w:val="2"/>
          </w:tcPr>
          <w:p>
            <w:pPr>
              <w:jc w:val="right"/>
              <w:spacing w:after="0" w:line="276" w:lineRule="exact"/>
              <w:rPr>
                <w:sz w:val="20"/>
                <w:szCs w:val="20"/>
                <w:color w:val="auto"/>
              </w:rPr>
            </w:pPr>
            <w:r>
              <w:rPr>
                <w:rFonts w:ascii="Arial" w:cs="Arial" w:eastAsia="Arial" w:hAnsi="Arial"/>
                <w:sz w:val="14"/>
                <w:szCs w:val="14"/>
                <w:b w:val="1"/>
                <w:bCs w:val="1"/>
                <w:color w:val="auto"/>
              </w:rPr>
              <w:t xml:space="preserve">(dollars in millions)   </w:t>
            </w:r>
            <w:r>
              <w:rPr>
                <w:rFonts w:ascii="Arial" w:cs="Arial" w:eastAsia="Arial" w:hAnsi="Arial"/>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-187325</wp:posOffset>
            </wp:positionV>
            <wp:extent cx="137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Arial" w:cs="Arial" w:eastAsia="Arial" w:hAnsi="Arial"/>
          <w:sz w:val="18"/>
          <w:szCs w:val="18"/>
          <w:color w:val="auto"/>
        </w:rPr>
        <w:t>Cash and equivalents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marketable investments</w:t>
      </w:r>
    </w:p>
    <w:p>
      <w:pPr>
        <w:spacing w:after="0" w:line="63" w:lineRule="exact"/>
        <w:rPr>
          <w:sz w:val="20"/>
          <w:szCs w:val="20"/>
          <w:color w:val="auto"/>
        </w:rPr>
      </w:pPr>
    </w:p>
    <w:p>
      <w:pPr>
        <w:ind w:left="1620" w:hanging="179"/>
        <w:spacing w:after="0" w:line="287" w:lineRule="auto"/>
        <w:rPr>
          <w:sz w:val="20"/>
          <w:szCs w:val="20"/>
          <w:color w:val="auto"/>
        </w:rPr>
      </w:pPr>
      <w:r>
        <w:rPr>
          <w:rFonts w:ascii="Arial" w:cs="Arial" w:eastAsia="Arial" w:hAnsi="Arial"/>
          <w:sz w:val="18"/>
          <w:szCs w:val="18"/>
          <w:color w:val="auto"/>
        </w:rPr>
        <w:t>Cash and equivalents, short-term investments and 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debt: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debt and finance lease obligations,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right="2200"/>
        <w:spacing w:after="0" w:line="314"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 senior notes due 20    offered hereby Finance lease obligations</w:t>
      </w:r>
    </w:p>
    <w:p>
      <w:pPr>
        <w:spacing w:after="0" w:line="1"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Term Loan A Credit Facility</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4.975% senior notes due 2026</w:t>
      </w:r>
    </w:p>
    <w:p>
      <w:pPr>
        <w:spacing w:after="0" w:line="33"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4.185% senior notes due 2027</w:t>
      </w:r>
      <w:r>
        <w:rPr>
          <w:rFonts w:ascii="Arial" w:cs="Arial" w:eastAsia="Arial" w:hAnsi="Arial"/>
          <w:sz w:val="23"/>
          <w:szCs w:val="23"/>
          <w:color w:val="auto"/>
          <w:vertAlign w:val="superscript"/>
        </w:rPr>
        <w:t>(1)</w:t>
      </w:r>
    </w:p>
    <w:p>
      <w:pPr>
        <w:spacing w:after="0" w:line="46"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5.327% senior notes due 2029</w:t>
      </w:r>
    </w:p>
    <w:p>
      <w:pPr>
        <w:spacing w:after="0" w:line="38"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4.663% senior notes due 2030</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2.703% senior notes due 2032</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3.366% senior notes due 2041</w:t>
      </w:r>
    </w:p>
    <w:p>
      <w:pPr>
        <w:spacing w:after="0" w:line="49"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3.477% senior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-1301750</wp:posOffset>
            </wp:positionV>
            <wp:extent cx="52120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-975995</wp:posOffset>
            </wp:positionV>
            <wp:extent cx="52120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-633095</wp:posOffset>
            </wp:positionV>
            <wp:extent cx="52120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-307340</wp:posOffset>
            </wp:positionV>
            <wp:extent cx="52120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43" w:lineRule="exact"/>
        <w:rPr>
          <w:sz w:val="20"/>
          <w:szCs w:val="20"/>
          <w:color w:val="auto"/>
        </w:rPr>
      </w:pPr>
    </w:p>
    <w:p>
      <w:pPr>
        <w:ind w:left="1800" w:right="160" w:hanging="179"/>
        <w:spacing w:after="0" w:line="287" w:lineRule="auto"/>
        <w:rPr>
          <w:sz w:val="20"/>
          <w:szCs w:val="20"/>
          <w:color w:val="auto"/>
        </w:rPr>
      </w:pPr>
      <w:r>
        <w:rPr>
          <w:rFonts w:ascii="Arial" w:cs="Arial" w:eastAsia="Arial" w:hAnsi="Arial"/>
          <w:sz w:val="18"/>
          <w:szCs w:val="18"/>
          <w:color w:val="auto"/>
        </w:rPr>
        <w:t>Total long-term debt and finance lease obligations, excluding current portion</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8,262​​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gridSpan w:val="4"/>
          </w:tcPr>
          <w:p>
            <w:pPr>
              <w:jc w:val="right"/>
              <w:ind w:right="70"/>
              <w:spacing w:after="0"/>
              <w:rPr>
                <w:sz w:val="20"/>
                <w:szCs w:val="20"/>
                <w:color w:val="auto"/>
              </w:rPr>
            </w:pPr>
            <w:r>
              <w:rPr>
                <w:rFonts w:ascii="Arial" w:cs="Arial" w:eastAsia="Arial" w:hAnsi="Arial"/>
                <w:sz w:val="18"/>
                <w:szCs w:val="18"/>
                <w:color w:val="auto"/>
              </w:rPr>
              <w:t>​ ​​ ​ 1,069​​ ​</w:t>
            </w:r>
          </w:p>
        </w:tc>
        <w:tc>
          <w:tcPr>
            <w:tcW w:w="560" w:type="dxa"/>
            <w:vAlign w:val="bottom"/>
            <w:gridSpan w:val="3"/>
          </w:tcPr>
          <w:p>
            <w:pPr>
              <w:spacing w:after="0"/>
              <w:rPr>
                <w:sz w:val="20"/>
                <w:szCs w:val="20"/>
                <w:color w:val="auto"/>
              </w:rPr>
            </w:pPr>
            <w:r>
              <w:rPr>
                <w:rFonts w:ascii="Arial" w:cs="Arial" w:eastAsia="Arial" w:hAnsi="Arial"/>
                <w:sz w:val="18"/>
                <w:szCs w:val="18"/>
                <w:color w:val="auto"/>
              </w:rPr>
              <w:t>​ ​1,069</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1260" w:type="dxa"/>
            <w:vAlign w:val="bottom"/>
            <w:gridSpan w:val="4"/>
          </w:tcPr>
          <w:p>
            <w:pPr>
              <w:jc w:val="right"/>
              <w:ind w:right="70"/>
              <w:spacing w:after="0" w:line="249"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 1,647</w:t>
            </w:r>
            <w:r>
              <w:rPr>
                <w:rFonts w:ascii="Arial" w:cs="Arial" w:eastAsia="Arial" w:hAnsi="Arial"/>
                <w:sz w:val="15"/>
                <w:szCs w:val="15"/>
                <w:color w:val="auto"/>
              </w:rPr>
              <w:t>​​ ​</w:t>
            </w:r>
          </w:p>
        </w:tc>
        <w:tc>
          <w:tcPr>
            <w:tcW w:w="560" w:type="dxa"/>
            <w:vAlign w:val="bottom"/>
            <w:gridSpan w:val="3"/>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​1,647</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60" w:type="dxa"/>
            <w:vAlign w:val="bottom"/>
            <w:gridSpan w:val="4"/>
          </w:tcPr>
          <w:p>
            <w:pPr>
              <w:jc w:val="right"/>
              <w:ind w:right="7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10,978</w:t>
            </w:r>
            <w:r>
              <w:rPr>
                <w:rFonts w:ascii="Arial" w:cs="Arial" w:eastAsia="Arial" w:hAnsi="Arial"/>
                <w:sz w:val="35"/>
                <w:szCs w:val="35"/>
                <w:color w:val="auto"/>
                <w:vertAlign w:val="subscript"/>
              </w:rPr>
              <w:t>​​ ​</w:t>
            </w:r>
          </w:p>
        </w:tc>
        <w:tc>
          <w:tcPr>
            <w:tcW w:w="100" w:type="dxa"/>
            <w:vAlign w:val="bottom"/>
          </w:tcPr>
          <w:p>
            <w:pPr>
              <w:spacing w:after="0"/>
              <w:rPr>
                <w:sz w:val="20"/>
                <w:szCs w:val="20"/>
                <w:color w:val="auto"/>
              </w:rPr>
            </w:pPr>
            <w:r>
              <w:rPr>
                <w:rFonts w:ascii="Arial" w:cs="Arial" w:eastAsia="Arial" w:hAnsi="Arial"/>
                <w:sz w:val="16"/>
                <w:szCs w:val="16"/>
                <w:color w:val="auto"/>
                <w:w w:val="71"/>
              </w:rPr>
              <w:t>​</w:t>
            </w:r>
            <w:r>
              <w:rPr>
                <w:rFonts w:ascii="Arial" w:cs="Arial" w:eastAsia="Arial" w:hAnsi="Arial"/>
                <w:sz w:val="30"/>
                <w:szCs w:val="30"/>
                <w:color w:val="auto"/>
                <w:w w:val="71"/>
                <w:vertAlign w:val="superscript"/>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0" w:type="dxa"/>
            <w:vAlign w:val="bottom"/>
            <w:gridSpan w:val="2"/>
          </w:tcPr>
          <w:p>
            <w:pPr>
              <w:ind w:left="60"/>
              <w:spacing w:after="0" w:line="236" w:lineRule="exact"/>
              <w:rPr>
                <w:sz w:val="20"/>
                <w:szCs w:val="20"/>
                <w:color w:val="auto"/>
              </w:rPr>
            </w:pPr>
            <w:r>
              <w:rPr>
                <w:rFonts w:ascii="Arial" w:cs="Arial" w:eastAsia="Arial" w:hAnsi="Arial"/>
                <w:sz w:val="15"/>
                <w:szCs w:val="15"/>
                <w:color w:val="auto"/>
              </w:rPr>
              <w:t>​ ​​</w:t>
            </w:r>
            <w:r>
              <w:rPr>
                <w:rFonts w:ascii="Arial" w:cs="Arial" w:eastAsia="Arial" w:hAnsi="Arial"/>
                <w:sz w:val="27"/>
                <w:szCs w:val="27"/>
                <w:color w:val="auto"/>
                <w:vertAlign w:val="superscript"/>
              </w:rPr>
              <w:t>$</w:t>
            </w:r>
          </w:p>
        </w:tc>
        <w:tc>
          <w:tcPr>
            <w:tcW w:w="840" w:type="dxa"/>
            <w:vAlign w:val="bottom"/>
            <w:gridSpan w:val="2"/>
          </w:tcPr>
          <w:p>
            <w:pPr>
              <w:jc w:val="right"/>
              <w:ind w:right="70"/>
              <w:spacing w:after="0" w:line="236" w:lineRule="exact"/>
              <w:rPr>
                <w:sz w:val="20"/>
                <w:szCs w:val="20"/>
                <w:color w:val="auto"/>
              </w:rPr>
            </w:pPr>
            <w:r>
              <w:rPr>
                <w:rFonts w:ascii="Arial" w:cs="Arial" w:eastAsia="Arial" w:hAnsi="Arial"/>
                <w:sz w:val="15"/>
                <w:szCs w:val="15"/>
                <w:color w:val="auto"/>
              </w:rPr>
              <w:t>103</w:t>
            </w:r>
            <w:r>
              <w:rPr>
                <w:rFonts w:ascii="Arial" w:cs="Arial" w:eastAsia="Arial" w:hAnsi="Arial"/>
                <w:sz w:val="27"/>
                <w:szCs w:val="27"/>
                <w:color w:val="auto"/>
                <w:vertAlign w:val="subscript"/>
              </w:rPr>
              <w:t>​​ ​</w:t>
            </w:r>
          </w:p>
        </w:tc>
        <w:tc>
          <w:tcPr>
            <w:tcW w:w="100" w:type="dxa"/>
            <w:vAlign w:val="bottom"/>
          </w:tcPr>
          <w:p>
            <w:pPr>
              <w:spacing w:after="0" w:line="236"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783​​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gridSpan w:val="4"/>
          </w:tcPr>
          <w:p>
            <w:pPr>
              <w:jc w:val="right"/>
              <w:ind w:right="70"/>
              <w:spacing w:after="0"/>
              <w:rPr>
                <w:sz w:val="20"/>
                <w:szCs w:val="20"/>
                <w:color w:val="auto"/>
              </w:rPr>
            </w:pPr>
            <w:r>
              <w:rPr>
                <w:rFonts w:ascii="Arial" w:cs="Arial" w:eastAsia="Arial" w:hAnsi="Arial"/>
                <w:sz w:val="18"/>
                <w:szCs w:val="18"/>
                <w:color w:val="auto"/>
              </w:rPr>
              <w:t>​ ​​ ​ 1,187​​ ​</w:t>
            </w:r>
          </w:p>
        </w:tc>
        <w:tc>
          <w:tcPr>
            <w:tcW w:w="560" w:type="dxa"/>
            <w:vAlign w:val="bottom"/>
            <w:gridSpan w:val="3"/>
          </w:tcPr>
          <w:p>
            <w:pPr>
              <w:spacing w:after="0"/>
              <w:rPr>
                <w:sz w:val="20"/>
                <w:szCs w:val="20"/>
                <w:color w:val="auto"/>
              </w:rPr>
            </w:pPr>
            <w:r>
              <w:rPr>
                <w:rFonts w:ascii="Arial" w:cs="Arial" w:eastAsia="Arial" w:hAnsi="Arial"/>
                <w:sz w:val="18"/>
                <w:szCs w:val="18"/>
                <w:color w:val="auto"/>
              </w:rPr>
              <w:t>​ ​1,187</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498​​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4"/>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806​​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697​​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846​​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994​​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496​​ ​</w:t>
            </w: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420" w:type="dxa"/>
            <w:vAlign w:val="bottom"/>
            <w:gridSpan w:val="2"/>
          </w:tcPr>
          <w:p>
            <w:pPr>
              <w:ind w:left="60"/>
              <w:spacing w:after="0" w:line="249"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40" w:type="dxa"/>
            <w:vAlign w:val="bottom"/>
            <w:gridSpan w:val="2"/>
          </w:tcPr>
          <w:p>
            <w:pPr>
              <w:jc w:val="right"/>
              <w:ind w:right="70"/>
              <w:spacing w:after="0" w:line="249" w:lineRule="exact"/>
              <w:rPr>
                <w:sz w:val="20"/>
                <w:szCs w:val="20"/>
                <w:color w:val="auto"/>
              </w:rPr>
            </w:pPr>
            <w:r>
              <w:rPr>
                <w:rFonts w:ascii="Arial" w:cs="Arial" w:eastAsia="Arial" w:hAnsi="Arial"/>
                <w:sz w:val="15"/>
                <w:szCs w:val="15"/>
                <w:color w:val="auto"/>
              </w:rPr>
              <w:t>496</w:t>
            </w:r>
            <w:r>
              <w:rPr>
                <w:rFonts w:ascii="Arial" w:cs="Arial" w:eastAsia="Arial" w:hAnsi="Arial"/>
                <w:sz w:val="28"/>
                <w:szCs w:val="28"/>
                <w:color w:val="auto"/>
                <w:vertAlign w:val="subscript"/>
              </w:rPr>
              <w:t>​​ ​</w:t>
            </w:r>
          </w:p>
        </w:tc>
        <w:tc>
          <w:tcPr>
            <w:tcW w:w="200" w:type="dxa"/>
            <w:vAlign w:val="bottom"/>
            <w:gridSpan w:val="2"/>
          </w:tcPr>
          <w:p>
            <w:pPr>
              <w:spacing w:after="0" w:line="249"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60" w:type="dxa"/>
            <w:vAlign w:val="bottom"/>
            <w:gridSpan w:val="4"/>
          </w:tcPr>
          <w:p>
            <w:pPr>
              <w:jc w:val="right"/>
              <w:ind w:right="70"/>
              <w:spacing w:after="0"/>
              <w:rPr>
                <w:sz w:val="20"/>
                <w:szCs w:val="20"/>
                <w:color w:val="auto"/>
              </w:rPr>
            </w:pPr>
            <w:r>
              <w:rPr>
                <w:rFonts w:ascii="Arial" w:cs="Arial" w:eastAsia="Arial" w:hAnsi="Arial"/>
                <w:sz w:val="18"/>
                <w:szCs w:val="18"/>
                <w:color w:val="auto"/>
              </w:rPr>
              <w:t>​ ​​ ​ 6,803​​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4"/>
          </w:tcPr>
          <w:p>
            <w:pPr>
              <w:jc w:val="right"/>
              <w:ind w:right="7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​49,907</w:t>
            </w:r>
            <w:r>
              <w:rPr>
                <w:rFonts w:ascii="Arial" w:cs="Arial" w:eastAsia="Arial" w:hAnsi="Arial"/>
                <w:sz w:val="32"/>
                <w:szCs w:val="32"/>
                <w:color w:val="auto"/>
                <w:vertAlign w:val="subscript"/>
              </w:rPr>
              <w:t>​​ ​</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gridSpan w:val="4"/>
          </w:tcPr>
          <w:p>
            <w:pPr>
              <w:jc w:val="right"/>
              <w:ind w:right="7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56,710</w:t>
            </w:r>
            <w:r>
              <w:rPr>
                <w:rFonts w:ascii="Arial" w:cs="Arial" w:eastAsia="Arial" w:hAnsi="Arial"/>
                <w:sz w:val="30"/>
                <w:szCs w:val="30"/>
                <w:color w:val="auto"/>
                <w:vertAlign w:val="subscript"/>
              </w:rPr>
              <w:t>​​ ​</w:t>
            </w:r>
          </w:p>
        </w:tc>
        <w:tc>
          <w:tcPr>
            <w:tcW w:w="100" w:type="dxa"/>
            <w:vAlign w:val="bottom"/>
          </w:tcPr>
          <w:p>
            <w:pPr>
              <w:spacing w:after="0" w:line="264" w:lineRule="exact"/>
              <w:rPr>
                <w:sz w:val="20"/>
                <w:szCs w:val="20"/>
                <w:color w:val="auto"/>
              </w:rPr>
            </w:pPr>
            <w:r>
              <w:rPr>
                <w:rFonts w:ascii="Arial" w:cs="Arial" w:eastAsia="Arial" w:hAnsi="Arial"/>
                <w:sz w:val="16"/>
                <w:szCs w:val="16"/>
                <w:color w:val="auto"/>
                <w:w w:val="71"/>
              </w:rPr>
              <w:t>​</w:t>
            </w:r>
            <w:r>
              <w:rPr>
                <w:rFonts w:ascii="Arial" w:cs="Arial" w:eastAsia="Arial" w:hAnsi="Arial"/>
                <w:sz w:val="30"/>
                <w:szCs w:val="30"/>
                <w:color w:val="auto"/>
                <w:w w:val="71"/>
                <w:vertAlign w:val="superscript"/>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80" w:space="320"/>
            <w:col w:w="2379"/>
          </w:cols>
          <w:pgMar w:left="580" w:top="97" w:right="1440" w:bottom="1440" w:gutter="0" w:footer="0" w:header="0"/>
          <w:type w:val="continuous"/>
        </w:sectPr>
      </w:pPr>
    </w:p>
    <w:p>
      <w:pPr>
        <w:spacing w:after="0" w:line="38" w:lineRule="exact"/>
        <w:rPr>
          <w:sz w:val="20"/>
          <w:szCs w:val="20"/>
          <w:color w:val="auto"/>
        </w:rPr>
      </w:pPr>
    </w:p>
    <w:p>
      <w:pPr>
        <w:ind w:left="1620" w:right="479" w:hanging="360"/>
        <w:spacing w:after="0" w:line="25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THE NOTES</w:t>
      </w:r>
    </w:p>
    <w:p>
      <w:pPr>
        <w:spacing w:after="0" w:line="151" w:lineRule="exact"/>
        <w:rPr>
          <w:sz w:val="20"/>
          <w:szCs w:val="20"/>
          <w:color w:val="auto"/>
        </w:rPr>
      </w:pPr>
    </w:p>
    <w:p>
      <w:pPr>
        <w:ind w:left="1260" w:right="459"/>
        <w:spacing w:after="0" w:line="247" w:lineRule="auto"/>
        <w:rPr>
          <w:sz w:val="20"/>
          <w:szCs w:val="20"/>
          <w:color w:val="auto"/>
        </w:rPr>
      </w:pPr>
      <w:r>
        <w:rPr>
          <w:rFonts w:ascii="Arial" w:cs="Arial" w:eastAsia="Arial" w:hAnsi="Arial"/>
          <w:sz w:val="18"/>
          <w:szCs w:val="18"/>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 2022, with respect to the notes (the “Supplemental Indenture” and, together with the Base Indenture, the “Indenture”).</w:t>
      </w:r>
    </w:p>
    <w:p>
      <w:pPr>
        <w:spacing w:after="0" w:line="109"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06" w:lineRule="exact"/>
        <w:rPr>
          <w:sz w:val="20"/>
          <w:szCs w:val="20"/>
          <w:color w:val="auto"/>
        </w:rPr>
      </w:pPr>
    </w:p>
    <w:p>
      <w:pPr>
        <w:ind w:left="1260" w:right="1139"/>
        <w:spacing w:after="0" w:line="285"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p>
    <w:p>
      <w:pPr>
        <w:spacing w:after="0" w:line="75"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i w:val="1"/>
          <w:iCs w:val="1"/>
          <w:color w:val="auto"/>
        </w:rPr>
        <w:t>The definition of certain terms used in this description are summarized under the subheading “— Certain Definitions.” In this description, references to “Micron,” “us,” “we,” “our” or the “Company” refer only to Micron Technology, Inc. and not to any of its subsidiaries.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General</w:t>
      </w:r>
    </w:p>
    <w:p>
      <w:pPr>
        <w:spacing w:after="0" w:line="148" w:lineRule="exact"/>
        <w:rPr>
          <w:sz w:val="20"/>
          <w:szCs w:val="20"/>
          <w:color w:val="auto"/>
        </w:rPr>
      </w:pPr>
    </w:p>
    <w:p>
      <w:pPr>
        <w:ind w:left="1260" w:right="599"/>
        <w:spacing w:after="0" w:line="271" w:lineRule="auto"/>
        <w:rPr>
          <w:sz w:val="20"/>
          <w:szCs w:val="20"/>
          <w:color w:val="auto"/>
        </w:rPr>
      </w:pPr>
      <w:r>
        <w:rPr>
          <w:rFonts w:ascii="Arial" w:cs="Arial" w:eastAsia="Arial" w:hAnsi="Arial"/>
          <w:sz w:val="18"/>
          <w:szCs w:val="18"/>
          <w:color w:val="auto"/>
        </w:rPr>
        <w:t>We will issue $                aggregate principal amount of notes. The notes will mature on                     , 20    . Interest on the notes will accrue at the rate of         % per annum.</w:t>
      </w:r>
    </w:p>
    <w:p>
      <w:pPr>
        <w:spacing w:after="0" w:line="86"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10"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Interest</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will accrue interest at a rate of         % per annum. Interest on the notes will accrue</w:t>
      </w:r>
    </w:p>
    <w:p>
      <w:pPr>
        <w:spacing w:after="0" w:line="27"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from                     , 2022, or from the most recent interest payment date to which interest has been paid or provided for, to, but excluding, the relevant interest payment date. The Company will make interest payments on the notes semi-annually in arrears on                     and                     of each year, beginning on                     , 2023, to the Person in whose name such notes are registered at the close of business on the immediately preceding                     or                     , as applicable.</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If an interest payment date for the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Optional Redemption</w:t>
      </w:r>
    </w:p>
    <w:p>
      <w:pPr>
        <w:spacing w:after="0" w:line="162" w:lineRule="exact"/>
        <w:rPr>
          <w:sz w:val="20"/>
          <w:szCs w:val="20"/>
          <w:color w:val="auto"/>
        </w:rPr>
      </w:pPr>
    </w:p>
    <w:p>
      <w:pPr>
        <w:jc w:val="both"/>
        <w:ind w:left="1260" w:right="579"/>
        <w:spacing w:after="0" w:line="268" w:lineRule="auto"/>
        <w:rPr>
          <w:sz w:val="20"/>
          <w:szCs w:val="20"/>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ind w:left="1800" w:right="45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(ii) interest accrued to the date of redemption, and</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15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plus accrued and unpaid interest, if any, on the amount being redeemed to, but excluding, the date of redemption. We will calculate the redemption price.</w:t>
      </w:r>
    </w:p>
    <w:p>
      <w:pPr>
        <w:spacing w:after="0" w:line="72"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On or after the Par Call Date, the Company may, at its option, redeem the notes, in whole or in part, at any time and from time to time, at a redemption price equal to 100% of the principal amount of the notes redeemed, plus accrued and unpaid interest thereon, if any, to, but excluding, the date of redemption.</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 Call Date” means                     , 20    (                     months prior to the maturity date of the notes).</w:t>
      </w:r>
    </w:p>
    <w:p>
      <w:pPr>
        <w:spacing w:after="0" w:line="156"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selection of the notes for redemption will be made pro rata, by lot or by such other method as the Trustee deems fair and appropriate.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Euroclear or Clearstream (or another depositary), the redemption of the notes shall be done in accordance with the policies and procedures of the depositary. Any redemption or notice of redemption may, at the Company’s discretion, be subject to one or more conditions precedent.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Mandatory Redemption; Offers To Purchase; Open Market Purchases</w:t>
      </w:r>
    </w:p>
    <w:p>
      <w:pPr>
        <w:spacing w:after="0" w:line="162"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the notes as described under the caption “— Repurchase of Notes upon a Change of Control Triggering Event.” The Company may at any time and from time to time purchase notes in the open market or otherwise.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Ranking</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117" w:lineRule="exact"/>
        <w:rPr>
          <w:sz w:val="20"/>
          <w:szCs w:val="20"/>
          <w:color w:val="auto"/>
        </w:rPr>
      </w:pPr>
    </w:p>
    <w:p>
      <w:pPr>
        <w:ind w:left="1800" w:right="1459" w:hanging="180"/>
        <w:spacing w:after="0" w:line="28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of the Company;</w:t>
      </w:r>
    </w:p>
    <w:p>
      <w:pPr>
        <w:spacing w:after="0" w:line="44" w:lineRule="exact"/>
        <w:rPr>
          <w:rFonts w:ascii="Arial" w:cs="Arial" w:eastAsia="Arial" w:hAnsi="Arial"/>
          <w:sz w:val="18"/>
          <w:szCs w:val="18"/>
          <w:color w:val="auto"/>
        </w:rPr>
      </w:pPr>
    </w:p>
    <w:p>
      <w:pPr>
        <w:ind w:left="1800" w:right="639" w:hanging="180"/>
        <w:spacing w:after="0" w:line="268"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structurally subordinated to any indebtedness and other liabilities of the Company’s Subsidiaries.</w:t>
      </w:r>
    </w:p>
    <w:p>
      <w:pPr>
        <w:spacing w:after="0" w:line="158"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Repurchase of Notes upon a Change of Control Triggering Event</w:t>
      </w:r>
    </w:p>
    <w:p>
      <w:pPr>
        <w:spacing w:after="0" w:line="148"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as described under “— Optional Redemption,” the Company will make an Offer to Purchase all of the outstanding notes at a purchase price equal to 101% of the principal amount thereof plus accrued and unpaid interest, if any, to, but excluding, the date of purchase.</w:t>
      </w:r>
    </w:p>
    <w:p>
      <w:pPr>
        <w:spacing w:after="0" w:line="112"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17"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02" w:lineRule="exact"/>
        <w:rPr>
          <w:sz w:val="20"/>
          <w:szCs w:val="20"/>
          <w:color w:val="auto"/>
        </w:rPr>
      </w:pPr>
    </w:p>
    <w:p>
      <w:pPr>
        <w:jc w:val="both"/>
        <w:ind w:left="1260" w:right="799"/>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0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13"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259"/>
        <w:spacing w:after="0" w:line="287" w:lineRule="auto"/>
        <w:rPr>
          <w:sz w:val="20"/>
          <w:szCs w:val="20"/>
          <w:color w:val="auto"/>
        </w:rPr>
      </w:pPr>
      <w:r>
        <w:rPr>
          <w:rFonts w:ascii="Arial" w:cs="Arial" w:eastAsia="Arial" w:hAnsi="Arial"/>
          <w:sz w:val="18"/>
          <w:szCs w:val="18"/>
          <w:color w:val="auto"/>
        </w:rPr>
        <w:t>equal to 101% of the principal amount thereof plus accrued and unpaid interest, if any, to, but excluding, the second change of control payment date.</w:t>
      </w:r>
    </w:p>
    <w:p>
      <w:pPr>
        <w:spacing w:after="0" w:line="72"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the notes, which would violate the terms of the indenture.”</w:t>
      </w:r>
    </w:p>
    <w:p>
      <w:pPr>
        <w:spacing w:after="0" w:line="110"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12" w:lineRule="exact"/>
        <w:rPr>
          <w:sz w:val="20"/>
          <w:szCs w:val="20"/>
          <w:color w:val="auto"/>
        </w:rPr>
      </w:pPr>
    </w:p>
    <w:p>
      <w:pPr>
        <w:ind w:left="1260" w:right="439"/>
        <w:spacing w:after="0" w:line="242" w:lineRule="auto"/>
        <w:rPr>
          <w:sz w:val="20"/>
          <w:szCs w:val="20"/>
          <w:color w:val="auto"/>
        </w:rPr>
      </w:pPr>
      <w:r>
        <w:rPr>
          <w:rFonts w:ascii="Arial" w:cs="Arial" w:eastAsia="Arial" w:hAnsi="Arial"/>
          <w:sz w:val="18"/>
          <w:szCs w:val="18"/>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16"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Exchange and Transfer</w:t>
      </w:r>
    </w:p>
    <w:p>
      <w:pPr>
        <w:spacing w:after="0" w:line="148" w:lineRule="exact"/>
        <w:rPr>
          <w:sz w:val="20"/>
          <w:szCs w:val="20"/>
          <w:color w:val="auto"/>
        </w:rPr>
      </w:pPr>
    </w:p>
    <w:p>
      <w:pPr>
        <w:ind w:left="1260" w:right="659"/>
        <w:spacing w:after="0" w:line="287" w:lineRule="auto"/>
        <w:rPr>
          <w:sz w:val="20"/>
          <w:szCs w:val="20"/>
          <w:color w:val="auto"/>
        </w:rPr>
      </w:pPr>
      <w:r>
        <w:rPr>
          <w:rFonts w:ascii="Arial" w:cs="Arial" w:eastAsia="Arial" w:hAnsi="Arial"/>
          <w:sz w:val="18"/>
          <w:szCs w:val="18"/>
          <w:color w:val="auto"/>
        </w:rPr>
        <w:t>Holders of the notes generally will be able to exchange their notes for other notes with the same total principal amount and the same terms.</w:t>
      </w:r>
    </w:p>
    <w:p>
      <w:pPr>
        <w:spacing w:after="0" w:line="72"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72"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approve a change in the office of any transfer agent.</w:t>
      </w:r>
    </w:p>
    <w:p>
      <w:pPr>
        <w:spacing w:after="0" w:line="158" w:lineRule="exact"/>
        <w:rPr>
          <w:sz w:val="20"/>
          <w:szCs w:val="20"/>
          <w:color w:val="auto"/>
        </w:rPr>
      </w:pPr>
    </w:p>
    <w:p>
      <w:pPr>
        <w:ind w:left="1260" w:right="559"/>
        <w:spacing w:after="0" w:line="271"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86"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If the Company elects to redeem the notes or makes an Offer to Purchase, neither the Company nor the Trustee will be required to:</w:t>
      </w:r>
    </w:p>
    <w:p>
      <w:pPr>
        <w:spacing w:after="0" w:line="31" w:lineRule="exact"/>
        <w:rPr>
          <w:sz w:val="20"/>
          <w:szCs w:val="20"/>
          <w:color w:val="auto"/>
        </w:rPr>
      </w:pPr>
    </w:p>
    <w:p>
      <w:pPr>
        <w:jc w:val="both"/>
        <w:ind w:left="1800" w:right="559" w:hanging="180"/>
        <w:spacing w:after="0" w:line="262"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8" w:lineRule="exact"/>
        <w:rPr>
          <w:rFonts w:ascii="Arial" w:cs="Arial" w:eastAsia="Arial" w:hAnsi="Arial"/>
          <w:sz w:val="18"/>
          <w:szCs w:val="18"/>
          <w:color w:val="auto"/>
        </w:rPr>
      </w:pPr>
    </w:p>
    <w:p>
      <w:pPr>
        <w:jc w:val="both"/>
        <w:ind w:left="1800" w:right="579" w:hanging="180"/>
        <w:spacing w:after="0" w:line="318"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register the transfer or exchange of any note so selected for redemption or subject to purchase in such Offer to Purchase, except for any portion not to be redeemed or subject to purchase; or</w:t>
      </w:r>
    </w:p>
    <w:p>
      <w:pPr>
        <w:spacing w:after="0" w:line="21" w:lineRule="exact"/>
        <w:rPr>
          <w:rFonts w:ascii="Arial" w:cs="Arial" w:eastAsia="Arial" w:hAnsi="Arial"/>
          <w:sz w:val="17"/>
          <w:szCs w:val="17"/>
          <w:color w:val="auto"/>
        </w:rPr>
      </w:pPr>
    </w:p>
    <w:p>
      <w:pPr>
        <w:ind w:left="1800" w:right="539" w:hanging="180"/>
        <w:spacing w:after="0" w:line="262"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Payment and Paying Agents</w:t>
      </w:r>
    </w:p>
    <w:p>
      <w:pPr>
        <w:spacing w:after="0" w:line="148"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09" w:lineRule="exact"/>
        <w:rPr>
          <w:sz w:val="20"/>
          <w:szCs w:val="20"/>
          <w:color w:val="auto"/>
        </w:rPr>
      </w:pPr>
    </w:p>
    <w:p>
      <w:pPr>
        <w:ind w:left="1260" w:right="919"/>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63" w:lineRule="exact"/>
        <w:rPr>
          <w:sz w:val="20"/>
          <w:szCs w:val="20"/>
          <w:color w:val="auto"/>
        </w:rPr>
      </w:pPr>
    </w:p>
    <w:p>
      <w:pPr>
        <w:ind w:left="1800" w:right="659" w:hanging="180"/>
        <w:spacing w:after="0" w:line="28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4"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109"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Certain Covenants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42"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94"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01"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17"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4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54"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03"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w:t>
      </w:r>
    </w:p>
    <w:p>
      <w:pPr>
        <w:spacing w:after="0" w:line="27" w:lineRule="exact"/>
        <w:rPr>
          <w:rFonts w:ascii="Arial" w:cs="Arial" w:eastAsia="Arial" w:hAnsi="Arial"/>
          <w:sz w:val="18"/>
          <w:szCs w:val="18"/>
          <w:color w:val="auto"/>
        </w:rPr>
      </w:pPr>
    </w:p>
    <w:p>
      <w:pPr>
        <w:ind w:left="1800" w:right="539"/>
        <w:spacing w:after="0" w:line="275" w:lineRule="auto"/>
        <w:rPr>
          <w:rFonts w:ascii="Arial" w:cs="Arial" w:eastAsia="Arial" w:hAnsi="Arial"/>
          <w:sz w:val="18"/>
          <w:szCs w:val="18"/>
          <w:color w:val="auto"/>
        </w:rPr>
      </w:pPr>
      <w:r>
        <w:rPr>
          <w:rFonts w:ascii="Arial" w:cs="Arial" w:eastAsia="Arial" w:hAnsi="Arial"/>
          <w:sz w:val="17"/>
          <w:szCs w:val="17"/>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44" w:lineRule="exact"/>
        <w:rPr>
          <w:rFonts w:ascii="Arial" w:cs="Arial" w:eastAsia="Arial" w:hAnsi="Arial"/>
          <w:sz w:val="18"/>
          <w:szCs w:val="18"/>
          <w:color w:val="auto"/>
        </w:rPr>
      </w:pPr>
    </w:p>
    <w:p>
      <w:pPr>
        <w:ind w:left="1800" w:right="559" w:hanging="180"/>
        <w:spacing w:after="0" w:line="260"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w:t>
      </w:r>
    </w:p>
    <w:p>
      <w:pPr>
        <w:spacing w:after="0" w:line="1"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three years);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59" w:hanging="180"/>
        <w:spacing w:after="0" w:line="262"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8"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17" w:lineRule="exact"/>
        <w:rPr>
          <w:sz w:val="20"/>
          <w:szCs w:val="20"/>
          <w:color w:val="auto"/>
        </w:rPr>
      </w:pPr>
    </w:p>
    <w:p>
      <w:pPr>
        <w:ind w:left="1260" w:right="699"/>
        <w:spacing w:after="0" w:line="247"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79" w:lineRule="exact"/>
        <w:rPr>
          <w:sz w:val="20"/>
          <w:szCs w:val="20"/>
          <w:color w:val="auto"/>
        </w:rPr>
      </w:pPr>
    </w:p>
    <w:p>
      <w:pPr>
        <w:ind w:left="1620" w:right="959"/>
        <w:spacing w:after="0" w:line="294" w:lineRule="auto"/>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58" w:lineRule="exact"/>
        <w:rPr>
          <w:sz w:val="20"/>
          <w:szCs w:val="20"/>
          <w:color w:val="auto"/>
        </w:rPr>
      </w:pPr>
    </w:p>
    <w:p>
      <w:pPr>
        <w:ind w:left="1260" w:right="1119"/>
        <w:spacing w:after="0" w:line="271"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86" w:lineRule="exact"/>
        <w:rPr>
          <w:sz w:val="20"/>
          <w:szCs w:val="20"/>
          <w:color w:val="auto"/>
        </w:rPr>
      </w:pPr>
    </w:p>
    <w:p>
      <w:pPr>
        <w:ind w:left="1980" w:right="459" w:hanging="360"/>
        <w:spacing w:after="0" w:line="262"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95" w:lineRule="exact"/>
        <w:rPr>
          <w:rFonts w:ascii="Arial" w:cs="Arial" w:eastAsia="Arial" w:hAnsi="Arial"/>
          <w:sz w:val="18"/>
          <w:szCs w:val="18"/>
          <w:color w:val="auto"/>
        </w:rPr>
      </w:pPr>
    </w:p>
    <w:p>
      <w:pPr>
        <w:jc w:val="both"/>
        <w:ind w:left="1980" w:right="439" w:hanging="360"/>
        <w:spacing w:after="0" w:line="268"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5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Provision of Financial Information</w:t>
      </w:r>
    </w:p>
    <w:p>
      <w:pPr>
        <w:spacing w:after="0" w:line="148" w:lineRule="exact"/>
        <w:rPr>
          <w:sz w:val="20"/>
          <w:szCs w:val="20"/>
          <w:color w:val="auto"/>
        </w:rPr>
      </w:pPr>
    </w:p>
    <w:p>
      <w:pPr>
        <w:ind w:left="1260" w:right="419"/>
        <w:spacing w:after="0" w:line="260"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Certain Definitions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23"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01"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105" w:lineRule="exact"/>
        <w:rPr>
          <w:sz w:val="20"/>
          <w:szCs w:val="20"/>
          <w:color w:val="auto"/>
        </w:rPr>
      </w:pPr>
    </w:p>
    <w:p>
      <w:pPr>
        <w:ind w:left="1260" w:right="1019"/>
        <w:spacing w:after="0" w:line="287"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“Change of Control” means:</w:t>
      </w:r>
    </w:p>
    <w:p>
      <w:pPr>
        <w:spacing w:after="0" w:line="158" w:lineRule="exact"/>
        <w:rPr>
          <w:sz w:val="20"/>
          <w:szCs w:val="20"/>
          <w:color w:val="auto"/>
        </w:rPr>
      </w:pPr>
    </w:p>
    <w:p>
      <w:pPr>
        <w:ind w:left="1980" w:right="419" w:hanging="360"/>
        <w:spacing w:after="0" w:line="252"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21" w:lineRule="exact"/>
        <w:rPr>
          <w:rFonts w:ascii="Arial" w:cs="Arial" w:eastAsia="Arial" w:hAnsi="Arial"/>
          <w:sz w:val="18"/>
          <w:szCs w:val="18"/>
          <w:color w:val="auto"/>
        </w:rPr>
      </w:pPr>
    </w:p>
    <w:p>
      <w:pPr>
        <w:ind w:left="1980" w:right="419" w:hanging="360"/>
        <w:spacing w:after="0" w:line="256"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15"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44"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85"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02" w:lineRule="exact"/>
        <w:rPr>
          <w:sz w:val="20"/>
          <w:szCs w:val="20"/>
          <w:color w:val="auto"/>
        </w:rPr>
      </w:pPr>
    </w:p>
    <w:p>
      <w:pPr>
        <w:jc w:val="both"/>
        <w:ind w:left="1260" w:right="739"/>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44"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94" w:lineRule="exact"/>
        <w:rPr>
          <w:sz w:val="20"/>
          <w:szCs w:val="20"/>
          <w:color w:val="auto"/>
        </w:rPr>
      </w:pPr>
    </w:p>
    <w:p>
      <w:pPr>
        <w:jc w:val="both"/>
        <w:ind w:left="1260" w:right="419"/>
        <w:spacing w:after="0" w:line="252"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03"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44" w:lineRule="exact"/>
        <w:rPr>
          <w:sz w:val="20"/>
          <w:szCs w:val="20"/>
          <w:color w:val="auto"/>
        </w:rPr>
      </w:pPr>
    </w:p>
    <w:p>
      <w:pPr>
        <w:ind w:left="1980" w:right="499" w:hanging="360"/>
        <w:spacing w:after="0" w:line="28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85"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44" w:lineRule="exact"/>
        <w:rPr>
          <w:rFonts w:ascii="Arial" w:cs="Arial" w:eastAsia="Arial" w:hAnsi="Arial"/>
          <w:sz w:val="18"/>
          <w:szCs w:val="18"/>
          <w:color w:val="auto"/>
        </w:rPr>
      </w:pPr>
    </w:p>
    <w:p>
      <w:pPr>
        <w:ind w:left="1980" w:right="499" w:hanging="360"/>
        <w:spacing w:after="0" w:line="262"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09" w:lineRule="exact"/>
        <w:rPr>
          <w:sz w:val="20"/>
          <w:szCs w:val="20"/>
          <w:color w:val="auto"/>
        </w:rPr>
      </w:pPr>
    </w:p>
    <w:p>
      <w:pPr>
        <w:ind w:left="1260" w:right="1079"/>
        <w:spacing w:after="0" w:line="271"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86"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144"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03" w:lineRule="exact"/>
        <w:rPr>
          <w:sz w:val="20"/>
          <w:szCs w:val="20"/>
          <w:color w:val="auto"/>
        </w:rPr>
      </w:pPr>
    </w:p>
    <w:p>
      <w:pPr>
        <w:ind w:left="1260" w:right="579"/>
        <w:spacing w:after="0" w:line="318"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62"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158"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spacing w:after="0" w:line="262" w:lineRule="auto"/>
        <w:rPr>
          <w:sz w:val="20"/>
          <w:szCs w:val="20"/>
          <w:color w:val="auto"/>
        </w:rPr>
      </w:pPr>
      <w:r>
        <w:rPr>
          <w:rFonts w:ascii="Arial" w:cs="Arial" w:eastAsia="Arial" w:hAnsi="Arial"/>
          <w:sz w:val="18"/>
          <w:szCs w:val="18"/>
          <w:color w:val="auto"/>
        </w:rPr>
        <w:t>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59" w:hanging="180"/>
        <w:spacing w:after="0" w:line="28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117"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72"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90"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6" w:lineRule="exact"/>
        <w:rPr>
          <w:rFonts w:ascii="Arial" w:cs="Arial" w:eastAsia="Arial" w:hAnsi="Arial"/>
          <w:sz w:val="17"/>
          <w:szCs w:val="17"/>
          <w:color w:val="auto"/>
        </w:rPr>
      </w:pPr>
    </w:p>
    <w:p>
      <w:pPr>
        <w:ind w:left="1800" w:right="559"/>
        <w:spacing w:after="0" w:line="258" w:lineRule="auto"/>
        <w:rPr>
          <w:rFonts w:ascii="Arial" w:cs="Arial" w:eastAsia="Arial" w:hAnsi="Arial"/>
          <w:sz w:val="17"/>
          <w:szCs w:val="17"/>
          <w:color w:val="auto"/>
        </w:rPr>
      </w:pPr>
      <w:r>
        <w:rPr>
          <w:rFonts w:ascii="Arial" w:cs="Arial" w:eastAsia="Arial" w:hAnsi="Arial"/>
          <w:sz w:val="18"/>
          <w:szCs w:val="18"/>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70" w:lineRule="exact"/>
        <w:rPr>
          <w:rFonts w:ascii="Arial" w:cs="Arial" w:eastAsia="Arial" w:hAnsi="Arial"/>
          <w:sz w:val="17"/>
          <w:szCs w:val="17"/>
          <w:color w:val="auto"/>
        </w:rPr>
      </w:pPr>
    </w:p>
    <w:p>
      <w:pPr>
        <w:ind w:left="1800" w:right="459" w:hanging="180"/>
        <w:spacing w:after="0" w:line="262"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117" w:lineRule="exact"/>
        <w:rPr>
          <w:rFonts w:ascii="Arial" w:cs="Arial" w:eastAsia="Arial" w:hAnsi="Arial"/>
          <w:sz w:val="18"/>
          <w:szCs w:val="18"/>
          <w:color w:val="auto"/>
        </w:rPr>
      </w:pPr>
    </w:p>
    <w:p>
      <w:pPr>
        <w:ind w:left="1800" w:right="639" w:hanging="180"/>
        <w:spacing w:after="0" w:line="262"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8" w:lineRule="exact"/>
        <w:rPr>
          <w:rFonts w:ascii="Arial" w:cs="Arial" w:eastAsia="Arial" w:hAnsi="Arial"/>
          <w:sz w:val="18"/>
          <w:szCs w:val="18"/>
          <w:color w:val="auto"/>
        </w:rPr>
      </w:pPr>
    </w:p>
    <w:p>
      <w:pPr>
        <w:ind w:left="1800" w:right="479" w:hanging="180"/>
        <w:spacing w:after="0" w:line="268"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99" w:hanging="180"/>
        <w:spacing w:after="0" w:line="255"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76"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4" w:lineRule="exact"/>
        <w:rPr>
          <w:rFonts w:ascii="Arial" w:cs="Arial" w:eastAsia="Arial" w:hAnsi="Arial"/>
          <w:sz w:val="18"/>
          <w:szCs w:val="18"/>
          <w:color w:val="auto"/>
        </w:rPr>
      </w:pPr>
    </w:p>
    <w:p>
      <w:pPr>
        <w:ind w:left="1800" w:right="419" w:hanging="180"/>
        <w:spacing w:after="0" w:line="291"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31" w:lineRule="exact"/>
        <w:rPr>
          <w:rFonts w:ascii="Arial" w:cs="Arial" w:eastAsia="Arial" w:hAnsi="Arial"/>
          <w:sz w:val="17"/>
          <w:szCs w:val="17"/>
          <w:color w:val="auto"/>
        </w:rPr>
      </w:pPr>
    </w:p>
    <w:p>
      <w:pPr>
        <w:ind w:left="1800" w:right="499" w:hanging="180"/>
        <w:spacing w:after="0" w:line="28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44"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18" w:lineRule="exact"/>
        <w:rPr>
          <w:sz w:val="20"/>
          <w:szCs w:val="20"/>
          <w:color w:val="auto"/>
        </w:rPr>
      </w:pPr>
    </w:p>
    <w:p>
      <w:pPr>
        <w:ind w:left="1260" w:right="619"/>
        <w:spacing w:after="0" w:line="271"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86" w:lineRule="exact"/>
        <w:rPr>
          <w:sz w:val="20"/>
          <w:szCs w:val="20"/>
          <w:color w:val="auto"/>
        </w:rPr>
      </w:pPr>
    </w:p>
    <w:p>
      <w:pPr>
        <w:jc w:val="both"/>
        <w:ind w:left="1260" w:right="879"/>
        <w:spacing w:after="0" w:line="261"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94" w:lineRule="exact"/>
        <w:rPr>
          <w:sz w:val="20"/>
          <w:szCs w:val="20"/>
          <w:color w:val="auto"/>
        </w:rPr>
      </w:pPr>
    </w:p>
    <w:p>
      <w:pPr>
        <w:ind w:left="1260" w:right="539"/>
        <w:spacing w:after="0" w:line="258" w:lineRule="auto"/>
        <w:rPr>
          <w:sz w:val="20"/>
          <w:szCs w:val="20"/>
          <w:color w:val="auto"/>
        </w:rPr>
      </w:pPr>
      <w:r>
        <w:rPr>
          <w:rFonts w:ascii="Arial" w:cs="Arial" w:eastAsia="Arial" w:hAnsi="Arial"/>
          <w:sz w:val="17"/>
          <w:szCs w:val="17"/>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260" w:right="519"/>
        <w:spacing w:after="0" w:line="244" w:lineRule="auto"/>
        <w:tabs>
          <w:tab w:leader="none" w:pos="15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10" w:lineRule="exact"/>
        <w:rPr>
          <w:sz w:val="20"/>
          <w:szCs w:val="20"/>
          <w:color w:val="auto"/>
        </w:rPr>
      </w:pPr>
    </w:p>
    <w:p>
      <w:pPr>
        <w:ind w:left="1260" w:right="639"/>
        <w:spacing w:after="0" w:line="247" w:lineRule="auto"/>
        <w:rPr>
          <w:sz w:val="20"/>
          <w:szCs w:val="20"/>
          <w:color w:val="auto"/>
        </w:rPr>
      </w:pPr>
      <w:r>
        <w:rPr>
          <w:rFonts w:ascii="Arial" w:cs="Arial" w:eastAsia="Arial" w:hAnsi="Arial"/>
          <w:sz w:val="18"/>
          <w:szCs w:val="18"/>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09" w:lineRule="exact"/>
        <w:rPr>
          <w:sz w:val="20"/>
          <w:szCs w:val="20"/>
          <w:color w:val="auto"/>
        </w:rPr>
      </w:pPr>
    </w:p>
    <w:p>
      <w:pPr>
        <w:ind w:left="1260" w:right="679"/>
        <w:spacing w:after="0" w:line="301"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w:t>
      </w:r>
    </w:p>
    <w:p>
      <w:pPr>
        <w:sectPr>
          <w:pgSz w:w="11900" w:h="16838" w:orient="portrait"/>
          <w:cols w:equalWidth="0" w:num="1">
            <w:col w:w="9879"/>
          </w:cols>
          <w:pgMar w:left="580" w:top="97" w:right="1440" w:bottom="1440" w:gutter="0" w:footer="0" w:header="0"/>
        </w:sect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Subsidiary that is a direct or indirect Subsidiary of one or more Foreign Subsidiaries of the Company,</w:t>
      </w:r>
    </w:p>
    <w:p>
      <w:pPr>
        <w:spacing w:after="0" w:line="27" w:lineRule="exact"/>
        <w:rPr>
          <w:sz w:val="20"/>
          <w:szCs w:val="20"/>
          <w:color w:val="auto"/>
        </w:rPr>
      </w:pPr>
    </w:p>
    <w:p>
      <w:pPr>
        <w:jc w:val="both"/>
        <w:ind w:left="1260" w:right="619"/>
        <w:spacing w:after="0" w:line="242"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12"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94" w:lineRule="exact"/>
        <w:rPr>
          <w:sz w:val="20"/>
          <w:szCs w:val="20"/>
          <w:color w:val="auto"/>
        </w:rPr>
      </w:pPr>
    </w:p>
    <w:p>
      <w:pPr>
        <w:ind w:left="1260" w:right="639"/>
        <w:spacing w:after="0" w:line="252"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89"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“Treasury Rate” means, with respect to any redemption date, the yield determined by the Company in the manner set forth below:</w:t>
      </w:r>
    </w:p>
    <w:p>
      <w:pPr>
        <w:spacing w:after="0" w:line="72"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92" w:lineRule="exact"/>
        <w:rPr>
          <w:sz w:val="20"/>
          <w:szCs w:val="20"/>
          <w:color w:val="auto"/>
        </w:rPr>
      </w:pPr>
    </w:p>
    <w:p>
      <w:pPr>
        <w:ind w:left="1260" w:right="619"/>
        <w:spacing w:after="0" w:line="255"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color w:val="auto"/>
        </w:rPr>
        <w:t>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06" w:lineRule="exact"/>
        <w:rPr>
          <w:sz w:val="20"/>
          <w:szCs w:val="20"/>
          <w:color w:val="auto"/>
        </w:rPr>
      </w:pPr>
    </w:p>
    <w:p>
      <w:pPr>
        <w:jc w:val="both"/>
        <w:ind w:left="1260" w:right="699"/>
        <w:spacing w:after="0" w:line="268"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Events of Default</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of the following will be an event of default under the Indenture for the notes:</w:t>
      </w:r>
    </w:p>
    <w:p>
      <w:pPr>
        <w:spacing w:after="0" w:line="131" w:lineRule="exact"/>
        <w:rPr>
          <w:sz w:val="20"/>
          <w:szCs w:val="20"/>
          <w:color w:val="auto"/>
        </w:rPr>
      </w:pPr>
    </w:p>
    <w:p>
      <w:pPr>
        <w:ind w:left="1800" w:right="79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it becomes due and payable, and continuance of that default for a period of 30 days;</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when due and payable;</w:t>
      </w:r>
    </w:p>
    <w:p>
      <w:pPr>
        <w:spacing w:after="0" w:line="130" w:lineRule="exact"/>
        <w:rPr>
          <w:rFonts w:ascii="Arial" w:cs="Arial" w:eastAsia="Arial" w:hAnsi="Arial"/>
          <w:sz w:val="18"/>
          <w:szCs w:val="18"/>
          <w:color w:val="auto"/>
        </w:rPr>
      </w:pPr>
    </w:p>
    <w:p>
      <w:pPr>
        <w:ind w:left="1800" w:right="117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58"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98" w:lineRule="exact"/>
        <w:rPr>
          <w:rFonts w:ascii="Arial" w:cs="Arial" w:eastAsia="Arial" w:hAnsi="Arial"/>
          <w:sz w:val="18"/>
          <w:szCs w:val="18"/>
          <w:color w:val="auto"/>
        </w:rPr>
      </w:pPr>
    </w:p>
    <w:p>
      <w:pPr>
        <w:ind w:left="1800" w:right="999" w:hanging="180"/>
        <w:spacing w:after="0" w:line="28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72"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The occurrence of certain events of default or an acceleration under the Indenture may constitute an event of default under certain of our other indebtedness outstanding from time to time.</w:t>
      </w:r>
    </w:p>
    <w:p>
      <w:pPr>
        <w:spacing w:after="0" w:line="8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118"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559"/>
        <w:spacing w:after="0" w:line="268" w:lineRule="auto"/>
        <w:rPr>
          <w:sz w:val="20"/>
          <w:szCs w:val="20"/>
          <w:color w:val="auto"/>
        </w:rPr>
      </w:pPr>
      <w:r>
        <w:rPr>
          <w:rFonts w:ascii="Arial" w:cs="Arial" w:eastAsia="Arial" w:hAnsi="Arial"/>
          <w:sz w:val="18"/>
          <w:szCs w:val="18"/>
          <w:color w:val="auto"/>
        </w:rPr>
        <w:t>No holder of any note will have any right to institute any proceeding, judicial or otherwise, with respect to the Indenture or for the appointment of a receiver or trustee, or for any remedy under the Indenture, unless:</w:t>
      </w:r>
    </w:p>
    <w:p>
      <w:pPr>
        <w:spacing w:after="0" w:line="103" w:lineRule="exact"/>
        <w:rPr>
          <w:sz w:val="20"/>
          <w:szCs w:val="20"/>
          <w:color w:val="auto"/>
        </w:rPr>
      </w:pPr>
    </w:p>
    <w:p>
      <w:pPr>
        <w:ind w:left="1980" w:right="639" w:hanging="360"/>
        <w:spacing w:after="0" w:line="28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and</w:t>
      </w:r>
    </w:p>
    <w:p>
      <w:pPr>
        <w:spacing w:after="0" w:line="85" w:lineRule="exact"/>
        <w:rPr>
          <w:rFonts w:ascii="Arial" w:cs="Arial" w:eastAsia="Arial" w:hAnsi="Arial"/>
          <w:sz w:val="18"/>
          <w:szCs w:val="18"/>
          <w:color w:val="auto"/>
        </w:rPr>
      </w:pPr>
    </w:p>
    <w:p>
      <w:pPr>
        <w:ind w:left="1980" w:right="459" w:hanging="360"/>
        <w:spacing w:after="0" w:line="259"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112"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12"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Modification and Waiver</w:t>
      </w:r>
    </w:p>
    <w:p>
      <w:pPr>
        <w:spacing w:after="0" w:line="148"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The Company or the Trustee may amend or supplement the Indenture or the notes without the consent of the holders of the outstanding notes under the Indenture:</w:t>
      </w:r>
    </w:p>
    <w:p>
      <w:pPr>
        <w:spacing w:after="0" w:line="45"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w:t>
      </w:r>
    </w:p>
    <w:p>
      <w:pPr>
        <w:spacing w:after="0" w:line="130" w:lineRule="exact"/>
        <w:rPr>
          <w:rFonts w:ascii="Arial" w:cs="Arial" w:eastAsia="Arial" w:hAnsi="Arial"/>
          <w:sz w:val="18"/>
          <w:szCs w:val="18"/>
          <w:color w:val="auto"/>
        </w:rPr>
      </w:pPr>
    </w:p>
    <w:p>
      <w:pPr>
        <w:ind w:left="1800" w:right="659" w:hanging="180"/>
        <w:spacing w:after="0" w:line="268"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add guarantees with respect to the notes or secure the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the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117"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notes as permitted by the Indenture;</w:t>
      </w:r>
    </w:p>
    <w:p>
      <w:pPr>
        <w:spacing w:after="0" w:line="44" w:lineRule="exact"/>
        <w:rPr>
          <w:rFonts w:ascii="Arial" w:cs="Arial" w:eastAsia="Arial" w:hAnsi="Arial"/>
          <w:sz w:val="18"/>
          <w:szCs w:val="18"/>
          <w:color w:val="auto"/>
        </w:rPr>
      </w:pPr>
    </w:p>
    <w:p>
      <w:pPr>
        <w:ind w:left="1800" w:right="459" w:hanging="180"/>
        <w:spacing w:after="0" w:line="262"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81"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7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the notes, to the description of the notes in this “Description of the Notes.”</w:t>
      </w:r>
    </w:p>
    <w:p>
      <w:pPr>
        <w:spacing w:after="0" w:line="85" w:lineRule="exact"/>
        <w:rPr>
          <w:sz w:val="20"/>
          <w:szCs w:val="20"/>
          <w:color w:val="auto"/>
        </w:rPr>
      </w:pPr>
    </w:p>
    <w:p>
      <w:pPr>
        <w:ind w:left="1260" w:right="499"/>
        <w:spacing w:after="0" w:line="247" w:lineRule="auto"/>
        <w:rPr>
          <w:sz w:val="20"/>
          <w:szCs w:val="20"/>
          <w:color w:val="auto"/>
        </w:rPr>
      </w:pPr>
      <w:r>
        <w:rPr>
          <w:rFonts w:ascii="Arial" w:cs="Arial" w:eastAsia="Arial" w:hAnsi="Arial"/>
          <w:sz w:val="18"/>
          <w:szCs w:val="18"/>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69"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03" w:lineRule="exact"/>
        <w:rPr>
          <w:rFonts w:ascii="Arial" w:cs="Arial" w:eastAsia="Arial" w:hAnsi="Arial"/>
          <w:sz w:val="18"/>
          <w:szCs w:val="18"/>
          <w:color w:val="auto"/>
        </w:rPr>
      </w:pPr>
    </w:p>
    <w:p>
      <w:pPr>
        <w:jc w:val="both"/>
        <w:ind w:left="1800" w:right="41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03" w:lineRule="exact"/>
        <w:rPr>
          <w:rFonts w:ascii="Arial" w:cs="Arial" w:eastAsia="Arial" w:hAnsi="Arial"/>
          <w:sz w:val="18"/>
          <w:szCs w:val="18"/>
          <w:color w:val="auto"/>
        </w:rPr>
      </w:pPr>
    </w:p>
    <w:p>
      <w:pPr>
        <w:ind w:left="1800" w:right="1279" w:hanging="180"/>
        <w:spacing w:after="0" w:line="28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117" w:lineRule="exact"/>
        <w:rPr>
          <w:rFonts w:ascii="Arial" w:cs="Arial" w:eastAsia="Arial" w:hAnsi="Arial"/>
          <w:sz w:val="18"/>
          <w:szCs w:val="18"/>
          <w:color w:val="auto"/>
        </w:rPr>
      </w:pPr>
    </w:p>
    <w:p>
      <w:pPr>
        <w:ind w:left="1800" w:right="579" w:hanging="180"/>
        <w:spacing w:after="0" w:line="262"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54"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58"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the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Defeasance of Notes and Certain Covenants in Certain Circumstances</w:t>
      </w:r>
    </w:p>
    <w:p>
      <w:pPr>
        <w:spacing w:after="0" w:line="148"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i w:val="1"/>
          <w:iCs w:val="1"/>
          <w:color w:val="auto"/>
        </w:rPr>
        <w:t xml:space="preserve">Legal Defeasance. </w:t>
      </w:r>
      <w:r>
        <w:rPr>
          <w:rFonts w:ascii="Arial" w:cs="Arial" w:eastAsia="Arial" w:hAnsi="Arial"/>
          <w:sz w:val="18"/>
          <w:szCs w:val="18"/>
          <w:color w:val="auto"/>
        </w:rPr>
        <w:t>The Indenture provides that the Company may be discharged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respect of the notes (except for certain 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on the stated maturity of those payments in accordance with the terms of the Indenture and those notes.</w:t>
      </w:r>
    </w:p>
    <w:p>
      <w:pPr>
        <w:spacing w:after="0" w:line="110"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85" w:lineRule="exact"/>
        <w:rPr>
          <w:sz w:val="20"/>
          <w:szCs w:val="20"/>
          <w:color w:val="auto"/>
        </w:rPr>
      </w:pPr>
    </w:p>
    <w:p>
      <w:pPr>
        <w:jc w:val="both"/>
        <w:ind w:left="2340" w:right="679" w:hanging="360"/>
        <w:spacing w:after="0" w:line="268" w:lineRule="auto"/>
        <w:tabs>
          <w:tab w:leader="none" w:pos="2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103" w:lineRule="exact"/>
        <w:rPr>
          <w:rFonts w:ascii="Arial" w:cs="Arial" w:eastAsia="Arial" w:hAnsi="Arial"/>
          <w:sz w:val="18"/>
          <w:szCs w:val="18"/>
          <w:color w:val="auto"/>
        </w:rPr>
      </w:pPr>
    </w:p>
    <w:p>
      <w:pPr>
        <w:ind w:left="2340" w:right="659" w:hanging="360"/>
        <w:spacing w:after="0" w:line="287" w:lineRule="auto"/>
        <w:tabs>
          <w:tab w:leader="none" w:pos="2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(“covenant defeasance”).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conditions include:</w:t>
      </w:r>
    </w:p>
    <w:p>
      <w:pPr>
        <w:spacing w:after="0" w:line="144" w:lineRule="exact"/>
        <w:rPr>
          <w:sz w:val="20"/>
          <w:szCs w:val="20"/>
          <w:color w:val="auto"/>
        </w:rPr>
      </w:pPr>
    </w:p>
    <w:p>
      <w:pPr>
        <w:ind w:left="1980" w:right="439" w:hanging="360"/>
        <w:spacing w:after="0" w:line="25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114" w:lineRule="exact"/>
        <w:rPr>
          <w:rFonts w:ascii="Arial" w:cs="Arial" w:eastAsia="Arial" w:hAnsi="Arial"/>
          <w:sz w:val="18"/>
          <w:szCs w:val="18"/>
          <w:color w:val="auto"/>
        </w:rPr>
      </w:pPr>
    </w:p>
    <w:p>
      <w:pPr>
        <w:ind w:left="1980" w:right="439" w:hanging="360"/>
        <w:spacing w:after="0" w:line="259"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12" w:lineRule="exact"/>
        <w:rPr>
          <w:sz w:val="20"/>
          <w:szCs w:val="20"/>
          <w:color w:val="auto"/>
        </w:rPr>
      </w:pPr>
    </w:p>
    <w:p>
      <w:pPr>
        <w:ind w:left="1260" w:right="459"/>
        <w:spacing w:after="0" w:line="275"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the Company exercises its option to effect</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with respect to the notes and 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87"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Satisfaction and Discharge</w:t>
      </w:r>
    </w:p>
    <w:p>
      <w:pPr>
        <w:spacing w:after="0" w:line="162"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00"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on the dates such installments of principal or interest are due, all the obligations of the Company under the Indenture with respect to such notes will be discharged and terminated except as otherwise provided in the Indenture.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Book-Entry, Form, Denomination and Delivery of Notes</w:t>
      </w:r>
    </w:p>
    <w:p>
      <w:pPr>
        <w:spacing w:after="0" w:line="162"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01" w:lineRule="exact"/>
        <w:rPr>
          <w:sz w:val="20"/>
          <w:szCs w:val="20"/>
          <w:color w:val="auto"/>
        </w:rPr>
      </w:pPr>
    </w:p>
    <w:p>
      <w:pPr>
        <w:ind w:left="1260" w:right="559"/>
        <w:spacing w:after="0" w:line="259" w:lineRule="auto"/>
        <w:rPr>
          <w:sz w:val="20"/>
          <w:szCs w:val="20"/>
          <w:color w:val="auto"/>
        </w:rPr>
      </w:pPr>
      <w:r>
        <w:rPr>
          <w:rFonts w:ascii="Arial" w:cs="Arial" w:eastAsia="Arial" w:hAnsi="Arial"/>
          <w:sz w:val="17"/>
          <w:szCs w:val="17"/>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w:t>
      </w:r>
    </w:p>
    <w:p>
      <w:pPr>
        <w:spacing w:after="0" w:line="3" w:lineRule="exact"/>
        <w:rPr>
          <w:sz w:val="20"/>
          <w:szCs w:val="20"/>
          <w:color w:val="auto"/>
        </w:rPr>
      </w:pPr>
    </w:p>
    <w:p>
      <w:pPr>
        <w:ind w:left="1260" w:right="439"/>
        <w:spacing w:after="0" w:line="245" w:lineRule="auto"/>
        <w:tabs>
          <w:tab w:leader="none" w:pos="15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109"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56" w:lineRule="exact"/>
        <w:rPr>
          <w:sz w:val="20"/>
          <w:szCs w:val="20"/>
          <w:color w:val="auto"/>
        </w:rPr>
      </w:pPr>
    </w:p>
    <w:p>
      <w:pPr>
        <w:ind w:left="1260" w:right="439"/>
        <w:spacing w:after="0" w:line="247"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09"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7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44" w:lineRule="exact"/>
        <w:rPr>
          <w:rFonts w:ascii="Arial" w:cs="Arial" w:eastAsia="Arial" w:hAnsi="Arial"/>
          <w:sz w:val="18"/>
          <w:szCs w:val="18"/>
          <w:color w:val="auto"/>
        </w:rPr>
      </w:pPr>
    </w:p>
    <w:p>
      <w:pPr>
        <w:jc w:val="both"/>
        <w:ind w:left="1800" w:right="539" w:hanging="180"/>
        <w:spacing w:after="0" w:line="262"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09"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5"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2"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01"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65" w:lineRule="exact"/>
        <w:rPr>
          <w:sz w:val="20"/>
          <w:szCs w:val="20"/>
          <w:color w:val="auto"/>
        </w:rPr>
      </w:pPr>
    </w:p>
    <w:p>
      <w:pPr>
        <w:ind w:left="1800" w:right="659" w:hanging="180"/>
        <w:spacing w:after="0" w:line="268"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62" w:lineRule="exact"/>
        <w:rPr>
          <w:rFonts w:ascii="Arial" w:cs="Arial" w:eastAsia="Arial" w:hAnsi="Arial"/>
          <w:sz w:val="18"/>
          <w:szCs w:val="18"/>
          <w:color w:val="auto"/>
        </w:rPr>
      </w:pPr>
    </w:p>
    <w:p>
      <w:pPr>
        <w:ind w:left="1800" w:right="499" w:hanging="180"/>
        <w:spacing w:after="0" w:line="28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72"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18"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01" w:lineRule="exact"/>
        <w:rPr>
          <w:sz w:val="20"/>
          <w:szCs w:val="20"/>
          <w:color w:val="auto"/>
        </w:rPr>
      </w:pPr>
    </w:p>
    <w:p>
      <w:pPr>
        <w:ind w:left="1260" w:right="539"/>
        <w:spacing w:after="0" w:line="261" w:lineRule="auto"/>
        <w:rPr>
          <w:sz w:val="20"/>
          <w:szCs w:val="20"/>
          <w:color w:val="auto"/>
        </w:rPr>
      </w:pPr>
      <w:r>
        <w:rPr>
          <w:rFonts w:ascii="Arial" w:cs="Arial" w:eastAsia="Arial" w:hAnsi="Arial"/>
          <w:sz w:val="17"/>
          <w:szCs w:val="17"/>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979"/>
        <w:spacing w:after="0" w:line="287" w:lineRule="auto"/>
        <w:rPr>
          <w:sz w:val="20"/>
          <w:szCs w:val="20"/>
          <w:color w:val="auto"/>
        </w:rPr>
      </w:pPr>
      <w:r>
        <w:rPr>
          <w:rFonts w:ascii="Arial" w:cs="Arial" w:eastAsia="Arial" w:hAnsi="Arial"/>
          <w:sz w:val="18"/>
          <w:szCs w:val="18"/>
          <w:color w:val="auto"/>
        </w:rPr>
        <w:t>funds settlement applicable to DTC. Euroclear participants and Clearstream participants may not deliver instructions directly to the depositories for Euroclear or Clearstream.</w:t>
      </w:r>
    </w:p>
    <w:p>
      <w:pPr>
        <w:spacing w:after="0" w:line="72"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09"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42"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72"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0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94"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6" w:lineRule="exact"/>
        <w:rPr>
          <w:sz w:val="20"/>
          <w:szCs w:val="20"/>
          <w:color w:val="auto"/>
        </w:rPr>
      </w:pPr>
    </w:p>
    <w:p>
      <w:pPr>
        <w:ind w:left="1260" w:right="459"/>
        <w:spacing w:after="0" w:line="247"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42"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659" w:hanging="180"/>
        <w:spacing w:after="0" w:line="28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4"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0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0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Notices</w:t>
      </w:r>
    </w:p>
    <w:p>
      <w:pPr>
        <w:spacing w:after="0" w:line="148" w:lineRule="exact"/>
        <w:rPr>
          <w:sz w:val="20"/>
          <w:szCs w:val="20"/>
          <w:color w:val="auto"/>
        </w:rPr>
      </w:pPr>
    </w:p>
    <w:p>
      <w:pPr>
        <w:ind w:left="1260" w:right="579"/>
        <w:spacing w:after="0" w:line="287"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Title</w:t>
      </w:r>
    </w:p>
    <w:p>
      <w:pPr>
        <w:spacing w:after="0" w:line="148"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 Personal Liability of Directors, Officers, Employees or Stockholders</w:t>
      </w:r>
    </w:p>
    <w:p>
      <w:pPr>
        <w:spacing w:after="0" w:line="162"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Governing Law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law will govern the Indenture and the notes.</w:t>
      </w:r>
    </w:p>
    <w:p>
      <w:pPr>
        <w:spacing w:after="0" w:line="158"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95" w:lineRule="exact"/>
        <w:rPr>
          <w:sz w:val="20"/>
          <w:szCs w:val="20"/>
          <w:color w:val="auto"/>
        </w:rPr>
      </w:pPr>
    </w:p>
    <w:p>
      <w:pPr>
        <w:ind w:left="1260" w:right="479"/>
        <w:spacing w:after="0" w:line="274" w:lineRule="auto"/>
        <w:rPr>
          <w:sz w:val="20"/>
          <w:szCs w:val="20"/>
          <w:color w:val="auto"/>
        </w:rPr>
      </w:pPr>
      <w:r>
        <w:rPr>
          <w:rFonts w:ascii="Arial" w:cs="Arial" w:eastAsia="Arial" w:hAnsi="Arial"/>
          <w:sz w:val="17"/>
          <w:szCs w:val="17"/>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Regarding the Trustee</w:t>
      </w:r>
    </w:p>
    <w:p>
      <w:pPr>
        <w:spacing w:after="0" w:line="162"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9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112" w:lineRule="exact"/>
        <w:rPr>
          <w:sz w:val="20"/>
          <w:szCs w:val="20"/>
          <w:color w:val="auto"/>
        </w:rPr>
      </w:pPr>
    </w:p>
    <w:p>
      <w:pPr>
        <w:ind w:left="1260" w:right="459"/>
        <w:spacing w:after="0" w:line="278"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1459"/>
        <w:spacing w:after="0" w:line="255" w:lineRule="auto"/>
        <w:rPr>
          <w:sz w:val="20"/>
          <w:szCs w:val="20"/>
          <w:color w:val="auto"/>
        </w:rPr>
      </w:pPr>
      <w:r>
        <w:rPr>
          <w:rFonts w:ascii="Arial" w:cs="Arial" w:eastAsia="Arial" w:hAnsi="Arial"/>
          <w:sz w:val="40"/>
          <w:szCs w:val="40"/>
          <w:b w:val="1"/>
          <w:bCs w:val="1"/>
          <w:color w:val="auto"/>
        </w:rPr>
        <w:t>MATERIAL U.S. FEDERAL INCOME TAX CONSEQUENCES</w:t>
      </w:r>
      <w:r>
        <w:rPr>
          <w:rFonts w:ascii="Times New Roman" w:cs="Times New Roman" w:eastAsia="Times New Roman" w:hAnsi="Times New Roman"/>
          <w:sz w:val="40"/>
          <w:szCs w:val="40"/>
          <w:color w:val="auto"/>
        </w:rPr>
        <w:t>​</w:t>
      </w:r>
    </w:p>
    <w:p>
      <w:pPr>
        <w:spacing w:after="0" w:line="21"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00"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following summary generally applies only to beneficial owners of the notes that purchase their notes in this offering for an amount equal to their issue price,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20"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09"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3" w:lineRule="exact"/>
        <w:rPr>
          <w:sz w:val="20"/>
          <w:szCs w:val="20"/>
          <w:color w:val="auto"/>
        </w:rPr>
      </w:pPr>
    </w:p>
    <w:p>
      <w:pPr>
        <w:ind w:left="1520" w:hanging="260"/>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subject to the primary supervision of a U.S. court and the control of one of more U.S. persons or</w:t>
      </w:r>
    </w:p>
    <w:p>
      <w:pPr>
        <w:spacing w:after="0" w:line="9" w:lineRule="exact"/>
        <w:rPr>
          <w:rFonts w:ascii="Arial" w:cs="Arial" w:eastAsia="Arial" w:hAnsi="Arial"/>
          <w:sz w:val="18"/>
          <w:szCs w:val="18"/>
          <w:color w:val="auto"/>
        </w:rPr>
      </w:pPr>
    </w:p>
    <w:p>
      <w:pPr>
        <w:ind w:left="1260" w:right="899"/>
        <w:spacing w:after="0" w:line="266" w:lineRule="auto"/>
        <w:tabs>
          <w:tab w:leader="none" w:pos="15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valid election in effect under applicable U.S. Treasury regulations to be treated as a U.S. person.</w:t>
      </w:r>
    </w:p>
    <w:p>
      <w:pPr>
        <w:spacing w:after="0" w:line="90"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56"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U.S. Holders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42" w:lineRule="exact"/>
        <w:rPr>
          <w:sz w:val="20"/>
          <w:szCs w:val="20"/>
          <w:color w:val="auto"/>
        </w:rPr>
      </w:pPr>
    </w:p>
    <w:p>
      <w:pPr>
        <w:ind w:left="1260" w:right="679"/>
        <w:spacing w:after="0" w:line="287"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72" w:lineRule="exact"/>
        <w:rPr>
          <w:sz w:val="20"/>
          <w:szCs w:val="20"/>
          <w:color w:val="auto"/>
        </w:rPr>
      </w:pPr>
    </w:p>
    <w:p>
      <w:pPr>
        <w:ind w:left="1260" w:right="759"/>
        <w:spacing w:after="0" w:line="245" w:lineRule="auto"/>
        <w:rPr>
          <w:sz w:val="20"/>
          <w:szCs w:val="20"/>
          <w:color w:val="auto"/>
        </w:rPr>
      </w:pPr>
      <w:r>
        <w:rPr>
          <w:rFonts w:ascii="Arial" w:cs="Arial" w:eastAsia="Arial" w:hAnsi="Arial"/>
          <w:sz w:val="18"/>
          <w:szCs w:val="18"/>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42"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Non-U.S. Holders</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42"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the non-U.S. holders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62" w:lineRule="exact"/>
        <w:rPr>
          <w:sz w:val="20"/>
          <w:szCs w:val="20"/>
          <w:color w:val="auto"/>
        </w:rPr>
      </w:pPr>
    </w:p>
    <w:p>
      <w:pPr>
        <w:ind w:left="1800" w:right="599" w:hanging="180"/>
        <w:spacing w:after="0" w:line="268"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62" w:lineRule="exact"/>
        <w:rPr>
          <w:rFonts w:ascii="Arial" w:cs="Arial" w:eastAsia="Arial" w:hAnsi="Arial"/>
          <w:sz w:val="18"/>
          <w:szCs w:val="18"/>
          <w:color w:val="auto"/>
        </w:rPr>
      </w:pPr>
    </w:p>
    <w:p>
      <w:pPr>
        <w:ind w:left="1800" w:right="859" w:hanging="180"/>
        <w:spacing w:after="0" w:line="28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85"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94"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the applicable withholding agent prior to the payment. If the non-U.S. holder holds the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56"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7" w:lineRule="exact"/>
        <w:rPr>
          <w:sz w:val="20"/>
          <w:szCs w:val="20"/>
          <w:color w:val="auto"/>
        </w:rPr>
      </w:pPr>
    </w:p>
    <w:p>
      <w:pPr>
        <w:ind w:left="1800" w:right="45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71"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4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46" w:lineRule="auto"/>
        <w:rPr>
          <w:sz w:val="20"/>
          <w:szCs w:val="20"/>
          <w:color w:val="auto"/>
        </w:rPr>
      </w:pPr>
      <w:r>
        <w:rPr>
          <w:rFonts w:ascii="Arial" w:cs="Arial" w:eastAsia="Arial" w:hAnsi="Arial"/>
          <w:sz w:val="18"/>
          <w:szCs w:val="18"/>
          <w:color w:val="auto"/>
        </w:rPr>
        <w:t>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42" w:lineRule="exact"/>
        <w:rPr>
          <w:sz w:val="20"/>
          <w:szCs w:val="20"/>
          <w:color w:val="auto"/>
        </w:rPr>
      </w:pPr>
    </w:p>
    <w:p>
      <w:pPr>
        <w:jc w:val="both"/>
        <w:ind w:left="1260" w:right="459"/>
        <w:spacing w:after="0" w:line="259" w:lineRule="auto"/>
        <w:rPr>
          <w:sz w:val="20"/>
          <w:szCs w:val="20"/>
          <w:color w:val="auto"/>
        </w:rPr>
      </w:pPr>
      <w:r>
        <w:rPr>
          <w:rFonts w:ascii="Arial" w:cs="Arial" w:eastAsia="Arial" w:hAnsi="Arial"/>
          <w:sz w:val="17"/>
          <w:szCs w:val="17"/>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w:t>
      </w:r>
    </w:p>
    <w:p>
      <w:pPr>
        <w:spacing w:after="0" w:line="3"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Backup Withholding and Information Reporting</w:t>
      </w:r>
    </w:p>
    <w:p>
      <w:pPr>
        <w:spacing w:after="0" w:line="14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07" w:lineRule="exact"/>
        <w:rPr>
          <w:sz w:val="20"/>
          <w:szCs w:val="20"/>
          <w:color w:val="auto"/>
        </w:rPr>
      </w:pPr>
    </w:p>
    <w:p>
      <w:pPr>
        <w:ind w:left="1260" w:right="719"/>
        <w:spacing w:after="0" w:line="247"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109"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w:t>
      </w: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79"/>
        <w:spacing w:after="0" w:line="262" w:lineRule="auto"/>
        <w:rPr>
          <w:sz w:val="20"/>
          <w:szCs w:val="20"/>
          <w:color w:val="auto"/>
        </w:rPr>
      </w:pPr>
      <w:r>
        <w:rPr>
          <w:rFonts w:ascii="Arial" w:cs="Arial" w:eastAsia="Arial" w:hAnsi="Arial"/>
          <w:sz w:val="18"/>
          <w:szCs w:val="18"/>
          <w:color w:val="auto"/>
        </w:rPr>
        <w:t>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09"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UNDERWRITING</w:t>
      </w:r>
    </w:p>
    <w:p>
      <w:pPr>
        <w:spacing w:after="0" w:line="149" w:lineRule="exact"/>
        <w:rPr>
          <w:sz w:val="20"/>
          <w:szCs w:val="20"/>
          <w:color w:val="auto"/>
        </w:rPr>
      </w:pPr>
    </w:p>
    <w:p>
      <w:pPr>
        <w:ind w:left="1260" w:right="539"/>
        <w:spacing w:after="0" w:line="247"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Morgan Stanley &amp; Co. LLC, BofA Securities, Inc. and Wells Fargo Securities, LLC are acting as representatives, has severally agreed to purchase, and we have agreed to sell to that underwriter, the aggregate principal amount of notes set forth opposite the underwriter’s name in the following table: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xml:space="preserve">​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160" w:type="dxa"/>
            <w:vAlign w:val="bottom"/>
          </w:tcPr>
          <w:p>
            <w:pPr>
              <w:spacing w:after="0"/>
              <w:rPr>
                <w:sz w:val="20"/>
                <w:szCs w:val="20"/>
                <w:color w:val="auto"/>
              </w:rPr>
            </w:pPr>
            <w:r>
              <w:rPr>
                <w:rFonts w:ascii="Arial" w:cs="Arial" w:eastAsia="Arial" w:hAnsi="Arial"/>
                <w:sz w:val="18"/>
                <w:szCs w:val="18"/>
                <w:color w:val="auto"/>
              </w:rPr>
              <w:t>BofA Securities, Inc.</w:t>
            </w:r>
          </w:p>
        </w:tc>
        <w:tc>
          <w:tcPr>
            <w:tcW w:w="104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040" w:type="dxa"/>
            <w:vAlign w:val="bottom"/>
            <w:gridSpan w:val="4"/>
            <w:shd w:val="clear" w:color="auto" w:fill="CCEEFF"/>
          </w:tcPr>
          <w:p>
            <w:pPr>
              <w:ind w:left="6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vMerge w:val="restart"/>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tcPr>
          <w:p>
            <w:pPr>
              <w:spacing w:after="0"/>
              <w:rPr>
                <w:sz w:val="18"/>
                <w:szCs w:val="18"/>
                <w:color w:val="auto"/>
              </w:rPr>
            </w:pPr>
          </w:p>
        </w:tc>
        <w:tc>
          <w:tcPr>
            <w:tcW w:w="800" w:type="dxa"/>
            <w:vAlign w:val="bottom"/>
            <w:tcBorders>
              <w:top w:val="single" w:sz="8" w:color="auto"/>
            </w:tcBorders>
          </w:tcPr>
          <w:p>
            <w:pPr>
              <w:jc w:val="right"/>
              <w:ind w:right="624"/>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1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80" w:type="dxa"/>
            <w:vAlign w:val="bottom"/>
            <w:gridSpan w:val="3"/>
          </w:tcPr>
          <w:p>
            <w:pPr>
              <w:jc w:val="right"/>
              <w:ind w:right="684"/>
              <w:spacing w:after="0"/>
              <w:rPr>
                <w:sz w:val="20"/>
                <w:szCs w:val="20"/>
                <w:color w:val="auto"/>
              </w:rPr>
            </w:pPr>
            <w:r>
              <w:rPr>
                <w:rFonts w:ascii="Arial" w:cs="Arial" w:eastAsia="Arial" w:hAnsi="Arial"/>
                <w:sz w:val="3"/>
                <w:szCs w:val="3"/>
                <w:color w:val="auto"/>
              </w:rPr>
              <w:t>​​</w:t>
            </w:r>
          </w:p>
        </w:tc>
        <w:tc>
          <w:tcPr>
            <w:tcW w:w="60" w:type="dxa"/>
            <w:vAlign w:val="bottom"/>
          </w:tcPr>
          <w:p>
            <w:pPr>
              <w:spacing w:after="0"/>
              <w:rPr>
                <w:sz w:val="20"/>
                <w:szCs w:val="20"/>
                <w:color w:val="auto"/>
              </w:rPr>
            </w:pP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-719455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08" w:lineRule="exact"/>
        <w:rPr>
          <w:sz w:val="20"/>
          <w:szCs w:val="20"/>
          <w:color w:val="auto"/>
        </w:rPr>
      </w:pPr>
    </w:p>
    <w:p>
      <w:pPr>
        <w:jc w:val="both"/>
        <w:ind w:left="1260" w:right="599"/>
        <w:spacing w:after="0" w:line="261"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Commissions and Discounts</w:t>
      </w:r>
    </w:p>
    <w:p>
      <w:pPr>
        <w:spacing w:after="0" w:line="14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notes. The underwriters may allow, and any such dealer may reallow, a concession not to exceed        % of the principal amount of the notes. After the initial offering of the notes to the public, the representatives may change the public offering price and other selling terms.</w:t>
      </w:r>
    </w:p>
    <w:p>
      <w:pPr>
        <w:spacing w:after="0" w:line="115" w:lineRule="exact"/>
        <w:rPr>
          <w:sz w:val="20"/>
          <w:szCs w:val="20"/>
          <w:color w:val="auto"/>
        </w:rPr>
      </w:pPr>
    </w:p>
    <w:p>
      <w:pPr>
        <w:ind w:left="1260" w:right="759"/>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Paid by Micron</w:t>
            </w:r>
          </w:p>
        </w:tc>
      </w:tr>
      <w:tr>
        <w:trPr>
          <w:trHeight w:val="198"/>
        </w:trPr>
        <w:tc>
          <w:tcPr>
            <w:tcW w:w="3780" w:type="dxa"/>
            <w:vAlign w:val="bottom"/>
          </w:tcPr>
          <w:p>
            <w:pPr>
              <w:spacing w:after="0"/>
              <w:rPr>
                <w:sz w:val="20"/>
                <w:szCs w:val="20"/>
                <w:color w:val="auto"/>
              </w:rPr>
            </w:pPr>
            <w:r>
              <w:rPr>
                <w:rFonts w:ascii="Arial" w:cs="Arial" w:eastAsia="Arial" w:hAnsi="Arial"/>
                <w:sz w:val="14"/>
                <w:szCs w:val="14"/>
                <w:b w:val="1"/>
                <w:bCs w:val="1"/>
                <w:color w:val="auto"/>
              </w:rPr>
              <w:t>​</w:t>
            </w:r>
          </w:p>
        </w:tc>
        <w:tc>
          <w:tcPr>
            <w:tcW w:w="330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1180" w:type="dxa"/>
            <w:vAlign w:val="bottom"/>
            <w:gridSpan w:val="2"/>
          </w:tcPr>
          <w:p>
            <w:pPr>
              <w:jc w:val="right"/>
              <w:spacing w:after="0" w:line="199" w:lineRule="exact"/>
              <w:rPr>
                <w:sz w:val="20"/>
                <w:szCs w:val="20"/>
                <w:color w:val="auto"/>
              </w:rPr>
            </w:pPr>
            <w:r>
              <w:rPr>
                <w:rFonts w:ascii="Arial" w:cs="Arial" w:eastAsia="Arial" w:hAnsi="Arial"/>
                <w:sz w:val="12"/>
                <w:szCs w:val="12"/>
                <w:b w:val="1"/>
                <w:bCs w:val="1"/>
                <w:color w:val="auto"/>
              </w:rPr>
              <w:t>Technology, Inc.</w:t>
            </w:r>
            <w:r>
              <w:rPr>
                <w:rFonts w:ascii="Arial" w:cs="Arial" w:eastAsia="Arial" w:hAnsi="Arial"/>
                <w:sz w:val="22"/>
                <w:szCs w:val="22"/>
                <w:b w:val="1"/>
                <w:bCs w:val="1"/>
                <w:color w:val="auto"/>
                <w:vertAlign w:val="subscript"/>
              </w:rPr>
              <w:t>​</w:t>
            </w:r>
          </w:p>
        </w:tc>
      </w:tr>
      <w:tr>
        <w:trPr>
          <w:trHeight w:val="25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300" w:type="dxa"/>
            <w:vAlign w:val="bottom"/>
            <w:tcBorders>
              <w:top w:val="single" w:sz="8" w:color="CCEEFF"/>
            </w:tcBorders>
            <w:shd w:val="clear" w:color="auto" w:fill="CCEEFF"/>
          </w:tcPr>
          <w:p>
            <w:pPr>
              <w:ind w:left="3140"/>
              <w:spacing w:after="0"/>
              <w:rPr>
                <w:sz w:val="20"/>
                <w:szCs w:val="20"/>
                <w:color w:val="auto"/>
              </w:rPr>
            </w:pPr>
            <w:r>
              <w:rPr>
                <w:rFonts w:ascii="Arial" w:cs="Arial" w:eastAsia="Arial" w:hAnsi="Arial"/>
                <w:sz w:val="18"/>
                <w:szCs w:val="18"/>
                <w:color w:val="auto"/>
              </w:rPr>
              <w:t>​ ​</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ind w:left="314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-353695</wp:posOffset>
            </wp:positionV>
            <wp:extent cx="45002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79" w:lineRule="exact"/>
        <w:rPr>
          <w:sz w:val="20"/>
          <w:szCs w:val="20"/>
          <w:color w:val="auto"/>
        </w:rPr>
      </w:pPr>
    </w:p>
    <w:p>
      <w:pPr>
        <w:ind w:left="1260" w:right="819"/>
        <w:spacing w:after="0" w:line="268" w:lineRule="auto"/>
        <w:rPr>
          <w:sz w:val="20"/>
          <w:szCs w:val="20"/>
          <w:color w:val="auto"/>
        </w:rPr>
      </w:pPr>
      <w:r>
        <w:rPr>
          <w:rFonts w:ascii="Arial" w:cs="Arial" w:eastAsia="Arial" w:hAnsi="Arial"/>
          <w:sz w:val="18"/>
          <w:szCs w:val="18"/>
          <w:color w:val="auto"/>
        </w:rPr>
        <w:t>We estimate that our total expenses for this offering, other than underwriting discounts, will be approximately $            million. The underwriters have agreed to reimburse us for certain expenses incurred in connection with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New Issue of Notes</w:t>
      </w:r>
    </w:p>
    <w:p>
      <w:pPr>
        <w:spacing w:after="0" w:line="14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Price Stabilization and Short Positions</w:t>
      </w:r>
    </w:p>
    <w:p>
      <w:pPr>
        <w:spacing w:after="0" w:line="14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08" w:lineRule="exact"/>
        <w:rPr>
          <w:sz w:val="20"/>
          <w:szCs w:val="20"/>
          <w:color w:val="auto"/>
        </w:rPr>
      </w:pPr>
    </w:p>
    <w:p>
      <w:pPr>
        <w:jc w:val="both"/>
        <w:ind w:left="1260" w:right="519"/>
        <w:spacing w:after="0" w:line="252"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03"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 Sales of Similar Securities</w:t>
      </w:r>
    </w:p>
    <w:p>
      <w:pPr>
        <w:spacing w:after="0" w:line="14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Other Relationships</w:t>
      </w:r>
    </w:p>
    <w:p>
      <w:pPr>
        <w:spacing w:after="0" w:line="16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03"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7"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We expect that delivery of the notes will be made to investors on or about,                      2022, which will be the third business day following the date of this prospectus supplement (such settlement being</w:t>
      </w:r>
    </w:p>
    <w:p>
      <w:pPr>
        <w:spacing w:after="0" w:line="3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referred to as T+3).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 2022 will be required, by virtue of the fact that the notes initially settle in T+3, to specify an alternate settlement arrangement to prevent a failed settlement. Purchasers of the notes who wish to trade the notes more than two business days prior to                      , 2022 should consult their advisors.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Canada</w:t>
      </w:r>
    </w:p>
    <w:p>
      <w:pPr>
        <w:spacing w:after="0" w:line="14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15"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2" w:lineRule="exact"/>
        <w:rPr>
          <w:sz w:val="20"/>
          <w:szCs w:val="20"/>
          <w:color w:val="auto"/>
        </w:rPr>
      </w:pPr>
    </w:p>
    <w:p>
      <w:pPr>
        <w:jc w:val="both"/>
        <w:ind w:left="1260" w:right="1059"/>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Prohibition of Sales to EEA Retail Investors</w:t>
      </w:r>
    </w:p>
    <w:p>
      <w:pPr>
        <w:spacing w:after="0" w:line="162"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14"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Prohibition of Sales to UK Retail Investors</w:t>
      </w:r>
    </w:p>
    <w:p>
      <w:pPr>
        <w:spacing w:after="0" w:line="162"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w:t>
      </w:r>
    </w:p>
    <w:p>
      <w:pPr>
        <w:spacing w:after="0" w:line="5" w:lineRule="exact"/>
        <w:rPr>
          <w:sz w:val="20"/>
          <w:szCs w:val="20"/>
          <w:color w:val="auto"/>
        </w:rPr>
      </w:pPr>
    </w:p>
    <w:p>
      <w:pPr>
        <w:ind w:left="1260" w:right="579"/>
        <w:spacing w:after="0" w:line="259" w:lineRule="auto"/>
        <w:rPr>
          <w:sz w:val="20"/>
          <w:szCs w:val="20"/>
          <w:color w:val="auto"/>
        </w:rPr>
      </w:pPr>
      <w:r>
        <w:rPr>
          <w:rFonts w:ascii="Arial" w:cs="Arial" w:eastAsia="Arial" w:hAnsi="Arial"/>
          <w:sz w:val="17"/>
          <w:szCs w:val="17"/>
          <w:color w:val="auto"/>
        </w:rPr>
        <w:t>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Hong Kong</w:t>
      </w:r>
    </w:p>
    <w:p>
      <w:pPr>
        <w:spacing w:after="0" w:line="148" w:lineRule="exact"/>
        <w:rPr>
          <w:sz w:val="20"/>
          <w:szCs w:val="20"/>
          <w:color w:val="auto"/>
        </w:rPr>
      </w:pPr>
    </w:p>
    <w:p>
      <w:pPr>
        <w:ind w:left="1260" w:right="659"/>
        <w:spacing w:after="0" w:line="243" w:lineRule="auto"/>
        <w:rPr>
          <w:sz w:val="20"/>
          <w:szCs w:val="20"/>
          <w:color w:val="auto"/>
        </w:rPr>
      </w:pPr>
      <w:r>
        <w:rPr>
          <w:rFonts w:ascii="Arial" w:cs="Arial" w:eastAsia="Arial" w:hAnsi="Arial"/>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Japan</w:t>
      </w:r>
    </w:p>
    <w:p>
      <w:pPr>
        <w:spacing w:after="0" w:line="148"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10"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this section:</w:t>
      </w:r>
    </w:p>
    <w:p>
      <w:pPr>
        <w:spacing w:after="0" w:line="144"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94" w:lineRule="exact"/>
        <w:rPr>
          <w:sz w:val="20"/>
          <w:szCs w:val="20"/>
          <w:color w:val="auto"/>
        </w:rPr>
      </w:pPr>
    </w:p>
    <w:p>
      <w:pPr>
        <w:jc w:val="both"/>
        <w:ind w:left="1260" w:right="439"/>
        <w:spacing w:after="0" w:line="261"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94" w:lineRule="exact"/>
        <w:rPr>
          <w:sz w:val="20"/>
          <w:szCs w:val="20"/>
          <w:color w:val="auto"/>
        </w:rPr>
      </w:pPr>
    </w:p>
    <w:p>
      <w:pPr>
        <w:ind w:left="1260" w:right="899"/>
        <w:spacing w:after="0" w:line="271"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3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Singapore</w:t>
      </w:r>
    </w:p>
    <w:p>
      <w:pPr>
        <w:spacing w:after="0" w:line="162" w:lineRule="exact"/>
        <w:rPr>
          <w:sz w:val="20"/>
          <w:szCs w:val="20"/>
          <w:color w:val="auto"/>
        </w:rPr>
      </w:pPr>
    </w:p>
    <w:p>
      <w:pPr>
        <w:ind w:left="1260" w:right="719"/>
        <w:spacing w:after="0" w:line="24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109" w:lineRule="exact"/>
        <w:rPr>
          <w:sz w:val="20"/>
          <w:szCs w:val="20"/>
          <w:color w:val="auto"/>
        </w:rPr>
      </w:pPr>
    </w:p>
    <w:p>
      <w:pPr>
        <w:ind w:left="1980" w:right="599" w:hanging="360"/>
        <w:spacing w:after="0" w:line="268"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89" w:lineRule="exact"/>
        <w:rPr>
          <w:rFonts w:ascii="Arial" w:cs="Arial" w:eastAsia="Arial" w:hAnsi="Arial"/>
          <w:sz w:val="18"/>
          <w:szCs w:val="18"/>
          <w:color w:val="auto"/>
        </w:rPr>
      </w:pPr>
    </w:p>
    <w:p>
      <w:pPr>
        <w:jc w:val="both"/>
        <w:ind w:left="1980" w:right="679" w:hanging="360"/>
        <w:spacing w:after="0" w:line="268"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3" w:lineRule="exact"/>
        <w:rPr>
          <w:rFonts w:ascii="Arial" w:cs="Arial" w:eastAsia="Arial" w:hAnsi="Arial"/>
          <w:sz w:val="18"/>
          <w:szCs w:val="18"/>
          <w:color w:val="auto"/>
        </w:rPr>
      </w:pPr>
    </w:p>
    <w:p>
      <w:pPr>
        <w:ind w:left="1980" w:right="439" w:hanging="360"/>
        <w:spacing w:after="0" w:line="28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85"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2" w:lineRule="exact"/>
        <w:rPr>
          <w:sz w:val="20"/>
          <w:szCs w:val="20"/>
          <w:color w:val="auto"/>
        </w:rPr>
      </w:pPr>
    </w:p>
    <w:p>
      <w:pPr>
        <w:ind w:left="1980" w:right="439" w:hanging="360"/>
        <w:spacing w:after="0" w:line="268"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3" w:lineRule="exact"/>
        <w:rPr>
          <w:rFonts w:ascii="Arial" w:cs="Arial" w:eastAsia="Arial" w:hAnsi="Arial"/>
          <w:sz w:val="18"/>
          <w:szCs w:val="18"/>
          <w:color w:val="auto"/>
        </w:rPr>
      </w:pPr>
    </w:p>
    <w:p>
      <w:pPr>
        <w:ind w:left="1980" w:right="719" w:hanging="360"/>
        <w:spacing w:after="0" w:line="318"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2" w:lineRule="exact"/>
        <w:rPr>
          <w:rFonts w:ascii="Arial" w:cs="Arial" w:eastAsia="Arial" w:hAnsi="Arial"/>
          <w:sz w:val="17"/>
          <w:szCs w:val="17"/>
          <w:color w:val="auto"/>
        </w:rPr>
      </w:pPr>
    </w:p>
    <w:p>
      <w:pPr>
        <w:ind w:left="1980" w:right="419" w:hanging="360"/>
        <w:spacing w:after="0" w:line="262"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95" w:lineRule="exact"/>
        <w:rPr>
          <w:rFonts w:ascii="Arial" w:cs="Arial" w:eastAsia="Arial" w:hAnsi="Arial"/>
          <w:sz w:val="18"/>
          <w:szCs w:val="18"/>
          <w:color w:val="auto"/>
        </w:rPr>
      </w:pPr>
    </w:p>
    <w:p>
      <w:pPr>
        <w:ind w:left="2340" w:right="659" w:hanging="360"/>
        <w:spacing w:after="0" w:line="287" w:lineRule="auto"/>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5"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2340" w:right="919" w:hanging="360"/>
        <w:spacing w:after="0" w:line="318" w:lineRule="auto"/>
        <w:tabs>
          <w:tab w:leader="none" w:pos="23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Singapore Securities and Futures Act Product Classification</w:t>
      </w:r>
    </w:p>
    <w:p>
      <w:pPr>
        <w:spacing w:after="0" w:line="14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Switzerland</w:t>
      </w:r>
    </w:p>
    <w:p>
      <w:pPr>
        <w:spacing w:after="0" w:line="162"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7"/>
          <w:szCs w:val="17"/>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62" w:lineRule="auto"/>
        <w:rPr>
          <w:sz w:val="20"/>
          <w:szCs w:val="20"/>
          <w:color w:val="auto"/>
        </w:rPr>
      </w:pPr>
      <w:r>
        <w:rPr>
          <w:rFonts w:ascii="Arial" w:cs="Arial" w:eastAsia="Arial" w:hAnsi="Arial"/>
          <w:sz w:val="18"/>
          <w:szCs w:val="18"/>
          <w:color w:val="auto"/>
        </w:rPr>
        <w:t>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Notice to Prospective Investors in Taiwan</w:t>
      </w:r>
    </w:p>
    <w:p>
      <w:pPr>
        <w:spacing w:after="0" w:line="162"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VALIDITY OF SECURITIES</w:t>
      </w:r>
    </w:p>
    <w:p>
      <w:pPr>
        <w:spacing w:after="0" w:line="149" w:lineRule="exact"/>
        <w:rPr>
          <w:sz w:val="20"/>
          <w:szCs w:val="20"/>
          <w:color w:val="auto"/>
        </w:rPr>
      </w:pPr>
    </w:p>
    <w:p>
      <w:pPr>
        <w:ind w:left="1260" w:right="639"/>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September 1, 2022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1260" w:right="3079"/>
        <w:spacing w:after="0" w:line="268" w:lineRule="auto"/>
        <w:rPr>
          <w:sz w:val="20"/>
          <w:szCs w:val="20"/>
          <w:color w:val="auto"/>
        </w:rPr>
      </w:pPr>
      <w:r>
        <w:rPr>
          <w:rFonts w:ascii="Arial" w:cs="Arial" w:eastAsia="Arial" w:hAnsi="Arial"/>
          <w:sz w:val="40"/>
          <w:szCs w:val="40"/>
          <w:b w:val="1"/>
          <w:bCs w:val="1"/>
          <w:color w:val="auto"/>
        </w:rPr>
        <w:t>WHERE YOU CAN FIND MORE INFORMATION</w:t>
      </w:r>
    </w:p>
    <w:p>
      <w:pPr>
        <w:ind w:left="1260" w:right="439"/>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 //www.sec.gov,</w:t>
      </w:r>
      <w:r>
        <w:rPr>
          <w:rFonts w:ascii="Arial" w:cs="Arial" w:eastAsia="Arial" w:hAnsi="Arial"/>
          <w:sz w:val="18"/>
          <w:szCs w:val="18"/>
          <w:color w:val="auto"/>
        </w:rPr>
        <w:t xml:space="preserve">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1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74"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our </w:t>
      </w:r>
      <w:hyperlink r:id="rId96">
        <w:r>
          <w:rPr>
            <w:rFonts w:ascii="Arial" w:cs="Arial" w:eastAsia="Arial" w:hAnsi="Arial"/>
            <w:sz w:val="18"/>
            <w:szCs w:val="18"/>
            <w:u w:val="single" w:color="auto"/>
            <w:color w:val="0000EE"/>
          </w:rPr>
          <w:t>Annual Report on Form 10-K for the year ended September 1, 2022</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800" w:right="439" w:hanging="180"/>
        <w:spacing w:after="0" w:line="268" w:lineRule="auto"/>
        <w:tabs>
          <w:tab w:leader="none" w:pos="1800" w:val="left"/>
        </w:tabs>
        <w:numPr>
          <w:ilvl w:val="0"/>
          <w:numId w:val="42"/>
        </w:numPr>
        <w:rPr>
          <w:rFonts w:ascii="Arial" w:cs="Arial" w:eastAsia="Arial" w:hAnsi="Arial"/>
          <w:sz w:val="18"/>
          <w:szCs w:val="18"/>
          <w:u w:val="single" w:color="auto"/>
          <w:color w:val="0000EE"/>
        </w:rPr>
      </w:pPr>
      <w:hyperlink r:id="rId97">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fiscal year ended September 2, 2021</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98">
        <w:r>
          <w:rPr>
            <w:rFonts w:ascii="Arial" w:cs="Arial" w:eastAsia="Arial" w:hAnsi="Arial"/>
            <w:sz w:val="18"/>
            <w:szCs w:val="18"/>
            <w:u w:val="single" w:color="auto"/>
            <w:color w:val="0000EE"/>
          </w:rPr>
          <w:t>with the SEC on December 2, 2021.</w:t>
        </w:r>
      </w:hyperlink>
    </w:p>
    <w:p>
      <w:pPr>
        <w:spacing w:after="0" w:line="103" w:lineRule="exact"/>
        <w:rPr>
          <w:rFonts w:ascii="Arial" w:cs="Arial" w:eastAsia="Arial" w:hAnsi="Arial"/>
          <w:sz w:val="18"/>
          <w:szCs w:val="18"/>
          <w:color w:val="auto"/>
        </w:rPr>
      </w:pPr>
    </w:p>
    <w:p>
      <w:pPr>
        <w:ind w:left="1260" w:right="519"/>
        <w:spacing w:after="0" w:line="282" w:lineRule="auto"/>
        <w:rPr>
          <w:sz w:val="20"/>
          <w:szCs w:val="20"/>
          <w:color w:val="auto"/>
        </w:rPr>
      </w:pPr>
      <w:r>
        <w:rPr>
          <w:rFonts w:ascii="Arial" w:cs="Arial" w:eastAsia="Arial" w:hAnsi="Arial"/>
          <w:sz w:val="17"/>
          <w:szCs w:val="17"/>
          <w:color w:val="auto"/>
        </w:rPr>
        <w:t xml:space="preserve">You may request a copy of these filings at no cost by contacting our Investor Relations department by visiting our Web site at </w:t>
      </w:r>
      <w:r>
        <w:rPr>
          <w:rFonts w:ascii="Arial" w:cs="Arial" w:eastAsia="Arial" w:hAnsi="Arial"/>
          <w:sz w:val="17"/>
          <w:szCs w:val="17"/>
          <w:i w:val="1"/>
          <w:iCs w:val="1"/>
          <w:color w:val="auto"/>
        </w:rPr>
        <w:t>www.micron.com</w:t>
      </w:r>
      <w:r>
        <w:rPr>
          <w:rFonts w:ascii="Arial" w:cs="Arial" w:eastAsia="Arial" w:hAnsi="Arial"/>
          <w:sz w:val="17"/>
          <w:szCs w:val="17"/>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126365</wp:posOffset>
            </wp:positionV>
            <wp:extent cx="2468880" cy="685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auto"/>
        </w:rPr>
        <w:t>MICRON TECHNOLOGY, INC.</w:t>
      </w:r>
    </w:p>
    <w:p>
      <w:pPr>
        <w:spacing w:after="0" w:line="21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6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72" w:lineRule="exact"/>
        <w:rPr>
          <w:sz w:val="20"/>
          <w:szCs w:val="20"/>
          <w:color w:val="auto"/>
        </w:rPr>
      </w:pPr>
    </w:p>
    <w:p>
      <w:pPr>
        <w:ind w:left="1260" w:right="619"/>
        <w:spacing w:after="0" w:line="278"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96"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60" w:right="559"/>
        <w:spacing w:after="0" w:line="265" w:lineRule="auto"/>
        <w:rPr>
          <w:sz w:val="20"/>
          <w:szCs w:val="20"/>
          <w:color w:val="auto"/>
        </w:rPr>
      </w:pPr>
      <w:r>
        <w:rPr>
          <w:rFonts w:ascii="Arial" w:cs="Arial" w:eastAsia="Arial" w:hAnsi="Arial"/>
          <w:sz w:val="18"/>
          <w:szCs w:val="18"/>
          <w:b w:val="1"/>
          <w:bCs w:val="1"/>
          <w:color w:val="auto"/>
        </w:rPr>
        <w:t xml:space="preserve">INVESTING IN OUR SECURITIES INVOLVES RISKS. SEE “RISK FACTORS” ON PAGE </w:t>
      </w:r>
      <w:r>
        <w:rPr>
          <w:rFonts w:ascii="Arial" w:cs="Arial" w:eastAsia="Arial" w:hAnsi="Arial"/>
          <w:sz w:val="18"/>
          <w:szCs w:val="18"/>
          <w:b w:val="1"/>
          <w:bCs w:val="1"/>
          <w:u w:val="single" w:color="auto"/>
          <w:color w:val="0000EE"/>
        </w:rPr>
        <w:t>5</w:t>
      </w:r>
      <w:r>
        <w:rPr>
          <w:rFonts w:ascii="Arial" w:cs="Arial" w:eastAsia="Arial" w:hAnsi="Arial"/>
          <w:sz w:val="18"/>
          <w:szCs w:val="18"/>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60" w:right="659"/>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0" w:lineRule="exact"/>
        <w:rPr>
          <w:sz w:val="20"/>
          <w:szCs w:val="20"/>
          <w:color w:val="auto"/>
        </w:rPr>
      </w:pPr>
    </w:p>
    <w:p>
      <w:pPr>
        <w:ind w:left="1260" w:right="619"/>
        <w:spacing w:after="0" w:line="27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About</w:t>
      </w:r>
      <w:r>
        <w:rPr>
          <w:rFonts w:ascii="Arial" w:cs="Arial" w:eastAsia="Arial" w:hAnsi="Arial"/>
          <w:sz w:val="18"/>
          <w:szCs w:val="18"/>
          <w:color w:val="000000"/>
        </w:rPr>
        <w:t>​</w:t>
      </w:r>
      <w:r>
        <w:rPr>
          <w:rFonts w:ascii="Arial" w:cs="Arial" w:eastAsia="Arial" w:hAnsi="Arial"/>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The</w:t>
      </w:r>
      <w:r>
        <w:rPr>
          <w:rFonts w:ascii="Arial" w:cs="Arial" w:eastAsia="Arial" w:hAnsi="Arial"/>
          <w:sz w:val="18"/>
          <w:szCs w:val="18"/>
          <w:color w:val="000000"/>
        </w:rPr>
        <w:t>​</w:t>
      </w:r>
      <w:r>
        <w:rPr>
          <w:rFonts w:ascii="Arial" w:cs="Arial" w:eastAsia="Arial" w:hAnsi="Arial"/>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Plan</w:t>
      </w:r>
      <w:r>
        <w:rPr>
          <w:rFonts w:ascii="Arial" w:cs="Arial" w:eastAsia="Arial" w:hAnsi="Arial"/>
          <w:sz w:val="18"/>
          <w:szCs w:val="18"/>
          <w:color w:val="000000"/>
        </w:rPr>
        <w:t>​</w:t>
      </w:r>
      <w:r>
        <w:rPr>
          <w:rFonts w:ascii="Arial" w:cs="Arial" w:eastAsia="Arial" w:hAnsi="Arial"/>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Legal</w:t>
      </w:r>
      <w:r>
        <w:rPr>
          <w:rFonts w:ascii="Arial" w:cs="Arial" w:eastAsia="Arial" w:hAnsi="Arial"/>
          <w:sz w:val="18"/>
          <w:szCs w:val="18"/>
          <w:color w:val="000000"/>
        </w:rPr>
        <w:t>​</w:t>
      </w:r>
      <w:r>
        <w:rPr>
          <w:rFonts w:ascii="Arial" w:cs="Arial" w:eastAsia="Arial" w:hAnsi="Arial"/>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r>
        <w:rPr>
          <w:rFonts w:ascii="Arial" w:cs="Arial" w:eastAsia="Arial" w:hAnsi="Arial"/>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4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18"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06"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1" w:lineRule="auto"/>
        <w:rPr>
          <w:sz w:val="20"/>
          <w:szCs w:val="20"/>
          <w:color w:val="auto"/>
        </w:rPr>
      </w:pPr>
      <w:r>
        <w:rPr>
          <w:rFonts w:ascii="Arial" w:cs="Arial" w:eastAsia="Arial" w:hAnsi="Arial"/>
          <w:sz w:val="40"/>
          <w:szCs w:val="40"/>
          <w:b w:val="1"/>
          <w:bCs w:val="1"/>
          <w:color w:val="auto"/>
        </w:rPr>
        <w:t>INFORMATION;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r>
        <w:rPr>
          <w:rFonts w:ascii="Times New Roman" w:cs="Times New Roman" w:eastAsia="Times New Roman" w:hAnsi="Times New Roman"/>
          <w:sz w:val="40"/>
          <w:szCs w:val="40"/>
          <w:color w:val="auto"/>
        </w:rPr>
        <w: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Available Information</w:t>
      </w:r>
    </w:p>
    <w:p>
      <w:pPr>
        <w:spacing w:after="0" w:line="162"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90"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8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Incorporation by Reference</w:t>
      </w:r>
    </w:p>
    <w:p>
      <w:pPr>
        <w:spacing w:after="0" w:line="14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15"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15" w:lineRule="exact"/>
        <w:rPr>
          <w:sz w:val="20"/>
          <w:szCs w:val="20"/>
          <w:color w:val="auto"/>
        </w:rPr>
      </w:pPr>
    </w:p>
    <w:p>
      <w:pPr>
        <w:ind w:left="1260" w:right="1279"/>
        <w:spacing w:after="0" w:line="28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45" w:lineRule="exact"/>
        <w:rPr>
          <w:sz w:val="20"/>
          <w:szCs w:val="20"/>
          <w:color w:val="auto"/>
        </w:rPr>
      </w:pPr>
    </w:p>
    <w:p>
      <w:pPr>
        <w:ind w:left="1800" w:right="819" w:hanging="180"/>
        <w:spacing w:after="0" w:line="287" w:lineRule="auto"/>
        <w:tabs>
          <w:tab w:leader="none" w:pos="1800" w:val="left"/>
        </w:tabs>
        <w:numPr>
          <w:ilvl w:val="0"/>
          <w:numId w:val="43"/>
        </w:numPr>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SEC on October 19, 2020.</w:t>
        </w:r>
      </w:hyperlink>
    </w:p>
    <w:p>
      <w:pPr>
        <w:spacing w:after="0" w:line="44"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3"/>
        </w:numPr>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jc w:val="both"/>
        <w:ind w:left="1800" w:right="619" w:hanging="180"/>
        <w:spacing w:after="0" w:line="268" w:lineRule="auto"/>
        <w:tabs>
          <w:tab w:leader="none" w:pos="1800" w:val="left"/>
        </w:tabs>
        <w:numPr>
          <w:ilvl w:val="0"/>
          <w:numId w:val="43"/>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filed amendments and reports updating such description.</w:t>
        </w:r>
      </w:hyperlink>
    </w:p>
    <w:p>
      <w:pPr>
        <w:spacing w:after="0" w:line="103" w:lineRule="exact"/>
        <w:rPr>
          <w:rFonts w:ascii="Arial" w:cs="Arial" w:eastAsia="Arial" w:hAnsi="Arial"/>
          <w:sz w:val="18"/>
          <w:szCs w:val="18"/>
          <w:u w:val="single" w:color="auto"/>
          <w:color w:val="0000EE"/>
        </w:rPr>
      </w:pPr>
    </w:p>
    <w:p>
      <w:pPr>
        <w:ind w:left="1260" w:right="539"/>
        <w:spacing w:after="0" w:line="262"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97" w:right="1440" w:bottom="1440" w:gutter="0" w:footer="0" w:header="0"/>
        </w:sectPr>
      </w:pPr>
    </w:p>
    <w:p>
      <w:pPr>
        <w:spacing w:after="0" w:line="352"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40" w:lineRule="exact"/>
        <w:rPr>
          <w:sz w:val="20"/>
          <w:szCs w:val="20"/>
          <w:color w:val="auto"/>
        </w:rPr>
      </w:pPr>
    </w:p>
    <w:p>
      <w:pPr>
        <w:jc w:val="both"/>
        <w:ind w:left="1260" w:right="1439"/>
        <w:spacing w:after="0" w:line="31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49" w:lineRule="exact"/>
        <w:rPr>
          <w:sz w:val="20"/>
          <w:szCs w:val="20"/>
          <w:color w:val="auto"/>
        </w:rPr>
      </w:pPr>
    </w:p>
    <w:p>
      <w:pPr>
        <w:ind w:left="1260" w:right="1139"/>
        <w:spacing w:after="0" w:line="318"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49"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27" w:lineRule="exact"/>
        <w:rPr>
          <w:sz w:val="20"/>
          <w:szCs w:val="20"/>
          <w:color w:val="auto"/>
        </w:rPr>
      </w:pPr>
    </w:p>
    <w:p>
      <w:pPr>
        <w:jc w:val="both"/>
        <w:ind w:left="1260" w:right="719"/>
        <w:spacing w:after="0" w:line="291"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49" w:lineRule="exact"/>
        <w:rPr>
          <w:sz w:val="20"/>
          <w:szCs w:val="20"/>
          <w:color w:val="auto"/>
        </w:rPr>
      </w:pPr>
    </w:p>
    <w:p>
      <w:pPr>
        <w:ind w:left="1260" w:right="659"/>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49" w:lineRule="exact"/>
        <w:rPr>
          <w:sz w:val="20"/>
          <w:szCs w:val="20"/>
          <w:color w:val="auto"/>
        </w:rPr>
      </w:pPr>
    </w:p>
    <w:p>
      <w:pPr>
        <w:ind w:left="1260" w:right="1239"/>
        <w:spacing w:after="0" w:line="28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90"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8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49" w:lineRule="exact"/>
        <w:rPr>
          <w:sz w:val="20"/>
          <w:szCs w:val="20"/>
          <w:color w:val="auto"/>
        </w:rPr>
      </w:pPr>
    </w:p>
    <w:p>
      <w:pPr>
        <w:jc w:val="both"/>
        <w:ind w:left="1260" w:right="899"/>
        <w:spacing w:after="0" w:line="282"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49" w:lineRule="exact"/>
        <w:rPr>
          <w:sz w:val="20"/>
          <w:szCs w:val="20"/>
          <w:color w:val="auto"/>
        </w:rPr>
      </w:pPr>
    </w:p>
    <w:p>
      <w:pPr>
        <w:ind w:left="126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112">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394970</wp:posOffset>
            </wp:positionV>
            <wp:extent cx="1705610" cy="4718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17056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999"/>
        <w:spacing w:after="0"/>
        <w:rPr>
          <w:sz w:val="20"/>
          <w:szCs w:val="20"/>
          <w:color w:val="auto"/>
        </w:rPr>
      </w:pPr>
      <w:r>
        <w:rPr>
          <w:rFonts w:ascii="Arial" w:cs="Arial" w:eastAsia="Arial" w:hAnsi="Arial"/>
          <w:sz w:val="25"/>
          <w:szCs w:val="25"/>
          <w:b w:val="1"/>
          <w:bCs w:val="1"/>
          <w:color w:val="auto"/>
        </w:rPr>
        <w:t>Micron Technology, Inc.</w:t>
      </w:r>
      <w:r>
        <w:rPr>
          <w:rFonts w:ascii="Times New Roman" w:cs="Times New Roman" w:eastAsia="Times New Roman" w:hAnsi="Times New Roman"/>
          <w:sz w:val="39"/>
          <w:szCs w:val="3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 xml:space="preserve">      % Senior Notes due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1337945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PROSPECTUS SUPPLEMENT</w:t>
      </w:r>
    </w:p>
    <w:p>
      <w:pPr>
        <w:spacing w:after="0" w:line="14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p>
        </w:tc>
        <w:tc>
          <w:tcPr>
            <w:tcW w:w="3100" w:type="dxa"/>
            <w:vAlign w:val="bottom"/>
          </w:tcPr>
          <w:p>
            <w:pPr>
              <w:ind w:left="580"/>
              <w:spacing w:after="0"/>
              <w:rPr>
                <w:sz w:val="20"/>
                <w:szCs w:val="20"/>
                <w:color w:val="auto"/>
              </w:rPr>
            </w:pPr>
            <w:r>
              <w:rPr>
                <w:rFonts w:ascii="Arial" w:cs="Arial" w:eastAsia="Arial" w:hAnsi="Arial"/>
                <w:sz w:val="18"/>
                <w:szCs w:val="18"/>
                <w:i w:val="1"/>
                <w:iCs w:val="1"/>
                <w:color w:val="auto"/>
              </w:rPr>
              <w:t>Joint Book-Running Managers</w:t>
            </w:r>
          </w:p>
        </w:tc>
        <w:tc>
          <w:tcPr>
            <w:tcW w:w="2780" w:type="dxa"/>
            <w:vAlign w:val="bottom"/>
          </w:tcPr>
          <w:p>
            <w:pPr>
              <w:spacing w:after="0"/>
              <w:rPr>
                <w:sz w:val="20"/>
                <w:szCs w:val="20"/>
                <w:color w:val="auto"/>
              </w:rPr>
            </w:pPr>
          </w:p>
        </w:tc>
      </w:tr>
      <w:tr>
        <w:trPr>
          <w:trHeight w:val="576"/>
        </w:trPr>
        <w:tc>
          <w:tcPr>
            <w:tcW w:w="2320" w:type="dxa"/>
            <w:vAlign w:val="bottom"/>
          </w:tcPr>
          <w:p>
            <w:pPr>
              <w:spacing w:after="0"/>
              <w:rPr>
                <w:sz w:val="20"/>
                <w:szCs w:val="20"/>
                <w:color w:val="auto"/>
              </w:rPr>
            </w:pPr>
            <w:r>
              <w:rPr>
                <w:rFonts w:ascii="Arial" w:cs="Arial" w:eastAsia="Arial" w:hAnsi="Arial"/>
                <w:sz w:val="25"/>
                <w:szCs w:val="25"/>
                <w:b w:val="1"/>
                <w:bCs w:val="1"/>
                <w:color w:val="auto"/>
              </w:rPr>
              <w:t>Morgan Stanley</w:t>
            </w:r>
          </w:p>
        </w:tc>
        <w:tc>
          <w:tcPr>
            <w:tcW w:w="3100" w:type="dxa"/>
            <w:vAlign w:val="bottom"/>
          </w:tcPr>
          <w:p>
            <w:pPr>
              <w:ind w:left="440"/>
              <w:spacing w:after="0"/>
              <w:rPr>
                <w:sz w:val="20"/>
                <w:szCs w:val="20"/>
                <w:color w:val="auto"/>
              </w:rPr>
            </w:pPr>
            <w:r>
              <w:rPr>
                <w:rFonts w:ascii="Arial" w:cs="Arial" w:eastAsia="Arial" w:hAnsi="Arial"/>
                <w:sz w:val="25"/>
                <w:szCs w:val="25"/>
                <w:b w:val="1"/>
                <w:bCs w:val="1"/>
                <w:color w:val="auto"/>
              </w:rPr>
              <w:t>BofA Securities</w:t>
            </w:r>
          </w:p>
        </w:tc>
        <w:tc>
          <w:tcPr>
            <w:tcW w:w="2780" w:type="dxa"/>
            <w:vAlign w:val="bottom"/>
          </w:tcPr>
          <w:p>
            <w:pPr>
              <w:ind w:left="100"/>
              <w:spacing w:after="0"/>
              <w:rPr>
                <w:sz w:val="20"/>
                <w:szCs w:val="20"/>
                <w:color w:val="auto"/>
              </w:rPr>
            </w:pPr>
            <w:r>
              <w:rPr>
                <w:rFonts w:ascii="Arial" w:cs="Arial" w:eastAsia="Arial" w:hAnsi="Arial"/>
                <w:sz w:val="25"/>
                <w:szCs w:val="25"/>
                <w:b w:val="1"/>
                <w:bCs w:val="1"/>
                <w:color w:val="auto"/>
                <w:w w:val="99"/>
              </w:rPr>
              <w:t>Wells Fargo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1089025</wp:posOffset>
            </wp:positionV>
            <wp:extent cx="5212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
      <w:numFmt w:val="bullet"/>
      <w:start w:val="1"/>
    </w:lvl>
  </w:abstractNum>
  <w:abstractNum w:abstractNumId="1">
    <w:nsid w:val="6763845E"/>
    <w:multiLevelType w:val="hybridMultilevel"/>
    <w:lvl w:ilvl="0">
      <w:lvlJc w:val="left"/>
      <w:lvlText w:val="(%1)"/>
      <w:numFmt w:val="lowerRoman"/>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Roman"/>
      <w:start w:val="3"/>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24"/>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1"/>
    </w:lvl>
    <w:lvl w:ilvl="1">
      <w:lvlJc w:val="left"/>
      <w:lvlText w:val="(%2)"/>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jpe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jpe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96" Type="http://schemas.openxmlformats.org/officeDocument/2006/relationships/hyperlink" Target="http://www.sec.gov/ix?doc=/Archives/edgar/data/723125/000072312522000048/mu-20220901.htm" TargetMode="External"/><Relationship Id="rId97" Type="http://schemas.openxmlformats.org/officeDocument/2006/relationships/hyperlink" Target="https://www.sec.gov/ix?doc=/Archives/edgar/data/723125/000072312521000065/mu-20210902.htm" TargetMode="External"/><Relationship Id="rId98" Type="http://schemas.openxmlformats.org/officeDocument/2006/relationships/hyperlink" Target="https://www.sec.gov/Archives/edgar/data/723125/000072312521000082/a2021definitiveproxy.htm" TargetMode="External"/><Relationship Id="rId112" Type="http://schemas.openxmlformats.org/officeDocument/2006/relationships/hyperlink" Target="http://www.sec.gov/ix?doc=/Archives/edgar/data/723125/000072312520000082/mu-20200903.htm" TargetMode="External"/><Relationship Id="rId113" Type="http://schemas.openxmlformats.org/officeDocument/2006/relationships/hyperlink" Target="http://www.sec.gov/ix?doc=/Archives/edgar/data/723125/000072312520000074/mu-20200921.htm" TargetMode="External"/><Relationship Id="rId114"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2022-10-26T08:14:05Z</dcterms:created>
  <dcterms:modified xsi:type="dcterms:W3CDTF">2022-10-26T08:14:05Z</dcterms:modified>
</cp:coreProperties>
</file>