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3980" w:right="180" w:hanging="3119"/>
        <w:spacing w:after="0" w:line="521" w:lineRule="auto"/>
        <w:tabs>
          <w:tab w:leader="none" w:pos="1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May 31, 2007</w:t>
      </w:r>
    </w:p>
    <w:p>
      <w:pPr>
        <w:spacing w:after="0" w:line="1" w:lineRule="exact"/>
        <w:rPr>
          <w:rFonts w:ascii="Arial" w:cs="Arial" w:eastAsia="Arial" w:hAnsi="Arial"/>
          <w:sz w:val="18"/>
          <w:szCs w:val="18"/>
          <w:b w:val="1"/>
          <w:bCs w:val="1"/>
          <w:color w:val="auto"/>
        </w:rPr>
      </w:pP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95" w:lineRule="exact"/>
        <w:rPr>
          <w:sz w:val="24"/>
          <w:szCs w:val="24"/>
          <w:color w:val="auto"/>
        </w:rPr>
      </w:pPr>
    </w:p>
    <w:p>
      <w:pPr>
        <w:ind w:left="1780" w:hanging="93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140"/>
          </w:cols>
          <w:pgMar w:left="240" w:top="1017" w:right="519" w:bottom="1440" w:gutter="0" w:footer="0" w:header="0"/>
        </w:sectPr>
      </w:pPr>
    </w:p>
    <w:p>
      <w:pPr>
        <w:spacing w:after="0" w:line="264" w:lineRule="exact"/>
        <w:rPr>
          <w:sz w:val="24"/>
          <w:szCs w:val="24"/>
          <w:color w:val="auto"/>
        </w:rPr>
      </w:pPr>
    </w:p>
    <w:p>
      <w:pPr>
        <w:jc w:val="center"/>
        <w:ind w:right="-279"/>
        <w:spacing w:after="0"/>
        <w:tabs>
          <w:tab w:leader="none" w:pos="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1-10658</w:t>
      </w:r>
    </w:p>
    <w:p>
      <w:pPr>
        <w:sectPr>
          <w:pgSz w:w="11900" w:h="16838" w:orient="portrait"/>
          <w:cols w:equalWidth="0" w:num="1">
            <w:col w:w="11140"/>
          </w:cols>
          <w:pgMar w:left="240" w:top="1017" w:right="519" w:bottom="1440" w:gutter="0" w:footer="0" w:header="0"/>
          <w:type w:val="continuous"/>
        </w:sectPr>
      </w:pP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8000 S. Federal Way, Boise, Idaho</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28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432"/>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0" w:lineRule="exact"/>
        <w:rPr>
          <w:sz w:val="24"/>
          <w:szCs w:val="24"/>
          <w:color w:val="auto"/>
        </w:rPr>
      </w:pPr>
    </w:p>
    <w:p>
      <w:pPr>
        <w:spacing w:after="0" w:line="272"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93" w:lineRule="exact"/>
        <w:rPr>
          <w:sz w:val="24"/>
          <w:szCs w:val="24"/>
          <w:color w:val="auto"/>
        </w:rPr>
      </w:pPr>
    </w:p>
    <w:p>
      <w:pPr>
        <w:ind w:left="1100"/>
        <w:spacing w:after="0"/>
        <w:tabs>
          <w:tab w:leader="none" w:pos="5280" w:val="left"/>
          <w:tab w:leader="none" w:pos="8780" w:val="left"/>
        </w:tabs>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w:cs="Arial" w:eastAsia="Arial" w:hAnsi="Arial"/>
          <w:sz w:val="18"/>
          <w:szCs w:val="18"/>
          <w:b w:val="1"/>
          <w:bCs w:val="1"/>
          <w:color w:val="auto"/>
        </w:rPr>
        <w:t>o</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July 3, 2007 was 756,870,527.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017" w:right="5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31,</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June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May 31,</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June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sold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noncontrolling interests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Noncontrolling interests in net (income) loss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708.6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b w:val="1"/>
                <w:bCs w:val="1"/>
                <w:color w:val="auto"/>
              </w:rPr>
              <w:t>MICRON TECHNOLOGY, INC.</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60" w:type="dxa"/>
            <w:vAlign w:val="bottom"/>
          </w:tcPr>
          <w:p>
            <w:pPr>
              <w:jc w:val="center"/>
              <w:ind w:left="25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1"/>
              </w:rPr>
              <w:t>(Amounts in millions except par value and share amounts)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31,</w:t>
            </w:r>
          </w:p>
        </w:tc>
        <w:tc>
          <w:tcPr>
            <w:tcW w:w="0" w:type="dxa"/>
            <w:vAlign w:val="bottom"/>
          </w:tcPr>
          <w:p>
            <w:pPr>
              <w:spacing w:after="0"/>
              <w:rPr>
                <w:sz w:val="1"/>
                <w:szCs w:val="1"/>
                <w:color w:val="auto"/>
              </w:rPr>
            </w:pPr>
          </w:p>
        </w:tc>
      </w:tr>
      <w:tr>
        <w:trPr>
          <w:trHeight w:val="24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2,667</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14,417</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$0.10 par value, authorized 3 billion shares, issued and outstanding 756.5 million and 749.4 million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Additional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14,417</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b w:val="1"/>
                <w:bCs w:val="1"/>
                <w:color w:val="auto"/>
              </w:rPr>
              <w:t>MICRON TECHNOLOGY, INC.</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jc w:val="center"/>
              <w:ind w:left="2550"/>
              <w:spacing w:after="0"/>
              <w:rPr>
                <w:sz w:val="20"/>
                <w:szCs w:val="20"/>
                <w:color w:val="auto"/>
              </w:rPr>
            </w:pPr>
            <w:r>
              <w:rPr>
                <w:rFonts w:ascii="Arial" w:cs="Arial" w:eastAsia="Arial" w:hAnsi="Arial"/>
                <w:sz w:val="18"/>
                <w:szCs w:val="18"/>
                <w:color w:val="auto"/>
                <w:w w:val="95"/>
              </w:rPr>
              <w:t>(Amounts in millions)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May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June 1,</w:t>
            </w:r>
          </w:p>
        </w:tc>
        <w:tc>
          <w:tcPr>
            <w:tcW w:w="0" w:type="dxa"/>
            <w:vAlign w:val="bottom"/>
          </w:tcPr>
          <w:p>
            <w:pPr>
              <w:spacing w:after="0"/>
              <w:rPr>
                <w:sz w:val="1"/>
                <w:szCs w:val="1"/>
                <w:color w:val="auto"/>
              </w:rPr>
            </w:pPr>
          </w:p>
        </w:tc>
      </w:tr>
      <w:tr>
        <w:trPr>
          <w:trHeight w:val="24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Loss (gain) from write-down or disposition of equipment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(Increase) decrease in receivables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inventories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Increase (decrease) in accounts payable and accrued expenses</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Increase in customer prepayments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 in TECH</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restricted cash</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Consolidation of TECH</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Capital contribution from noncontrolling interest in IMFT</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noncontrolling interest in MP Mask</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received (paid) for capped call transactions</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equivalents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Income taxes paid, net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notes to stock, net of unamortized issuance costs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Equipment acquisitions on contracts payable and capital leases</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25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manufacture and market DRAM,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NAND Flash memory, CMOS image sensors and other semiconductor components. The Company has two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U.S.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Company’s fiscal year is the 52 or 53-week period ending on the Thursday closest to August 31. The Company’s third quarter of fiscal 2007 and 2006 ended on May 31, 2007, and June 1, 2006, respectively. The Company’s fiscal 2006 ended on August 31, 2006.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31, 2006.</w:t>
      </w:r>
    </w:p>
    <w:p>
      <w:pPr>
        <w:spacing w:after="0" w:line="19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b w:val="1"/>
          <w:bCs w:val="1"/>
          <w:i w:val="1"/>
          <w:iCs w:val="1"/>
          <w:color w:val="auto"/>
        </w:rPr>
        <w:t xml:space="preserve">Recently issued accounting standards: </w:t>
      </w:r>
      <w:r>
        <w:rPr>
          <w:rFonts w:ascii="Arial" w:cs="Arial" w:eastAsia="Arial" w:hAnsi="Arial"/>
          <w:sz w:val="16"/>
          <w:szCs w:val="16"/>
          <w:color w:val="auto"/>
        </w:rPr>
        <w:t>In February 2007, the Financial Accounting Standards Board (“FASB”) issued Statement of Financial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(“SFAS”) No. 159, “The Fair Value Option for Financial Assets and Financial Liabilities – Including an amendment of FASB Statement No.</w:t>
      </w:r>
    </w:p>
    <w:p>
      <w:pPr>
        <w:ind w:right="220"/>
        <w:spacing w:after="0" w:line="255" w:lineRule="auto"/>
        <w:rPr>
          <w:sz w:val="20"/>
          <w:szCs w:val="20"/>
          <w:color w:val="auto"/>
        </w:rPr>
      </w:pPr>
      <w:r>
        <w:rPr>
          <w:rFonts w:ascii="Arial" w:cs="Arial" w:eastAsia="Arial" w:hAnsi="Arial"/>
          <w:sz w:val="18"/>
          <w:szCs w:val="18"/>
          <w:color w:val="auto"/>
        </w:rPr>
        <w:t>115.” Under SFAS No. 159, the Company may elect to measure many financial instruments and certain other items at fair value on an instrument by instrument basis subject to certain restrictions. The Company may adopt SFAS No. 159 at the beginning of 2008. The impact of the adoption of SFAS No. 159 will be dependent on the extent to which the Company elects to measure eligible items at fair value.</w:t>
      </w:r>
    </w:p>
    <w:p>
      <w:pPr>
        <w:spacing w:after="0" w:line="2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September 2006, the SEC staff issued Staff Accounting Bulletin (“SAB”) No. 108, “Considering the Effects of Prior Year Misstatements when Quantifying Misstatements in Current Year Financial Statements.” The Company is required to adopt SAB No. 108 by the end of 2007 and does not expect the adoption to have a material impact on the Company’s financial position or results of operations.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2006, the FASB issued SFAS No. 158, “Employers’ Accounting for Defined Benefit Pension and Other Postretirement Plans - an amendment of FASB Statements No. 87, 88, 106, and 132(R).” Under SFAS No. 158, the Company is required to initially recognize the funded status of a defined benefit postretirement plan and to provide the required disclosures as of the end of 2007. The Company does not expect the adoption of SFAS No. 158 to have a material impact on its financial position or results of operations.</w:t>
      </w:r>
    </w:p>
    <w:p>
      <w:pPr>
        <w:spacing w:after="0" w:line="21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SFAS No. 157 effective at the beginning of 2009.</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is evaluating the impact this statement will have on its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May 31, 2007, the Company did not have any hybrid financial instruments subject to the fair value election under SFAS No. 155. The Company is required to adopt SFAS No. 155 effective at the beginning of 2008.</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May 2005, the FASB issued SFAS No. 154, “Accounting Changes and Error Corrections.” SFAS No. 154 changes the requirements for the accounting for and reporting of a change in accounting principle. The Company adopted SFAS No. 154 at the beginning of 2007. The adoption of SFAS No. 154 did not impact the Company’s results of operations and financial condition.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Balance Sheet Information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31,</w:t>
            </w:r>
          </w:p>
        </w:tc>
        <w:tc>
          <w:tcPr>
            <w:tcW w:w="0" w:type="dxa"/>
            <w:vAlign w:val="bottom"/>
          </w:tcPr>
          <w:p>
            <w:pPr>
              <w:spacing w:after="0"/>
              <w:rPr>
                <w:sz w:val="1"/>
                <w:szCs w:val="1"/>
                <w:color w:val="auto"/>
              </w:rPr>
            </w:pPr>
          </w:p>
        </w:tc>
      </w:tr>
      <w:tr>
        <w:trPr>
          <w:trHeight w:val="241"/>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May 31, 2007, and August 31, 2006, other receivables included $87 million and $51 million, respectively, due from Intel Corporation primarily for amounts related to NAND Flash product design and process development activities. Other receivables as of May 31, 2007, and August 31, 2006, also included $82 million and $51 million, respectively, due from settlement of litigation. Long-term receivables due from settlement of litigation of $108 million and $181 million as of May 31, 2007, and August 31, 2006, respectively, are included in other noncurrent assets in the Company’s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August 31,</w:t>
            </w:r>
          </w:p>
        </w:tc>
        <w:tc>
          <w:tcPr>
            <w:tcW w:w="0" w:type="dxa"/>
            <w:vAlign w:val="bottom"/>
          </w:tcPr>
          <w:p>
            <w:pPr>
              <w:spacing w:after="0"/>
              <w:rPr>
                <w:sz w:val="1"/>
                <w:szCs w:val="1"/>
                <w:color w:val="auto"/>
              </w:rPr>
            </w:pPr>
          </w:p>
        </w:tc>
      </w:tr>
      <w:tr>
        <w:trPr>
          <w:trHeight w:val="24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Work in process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Goodwill and Intangible Assets</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May 31, 2007</w:t>
            </w: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August 31, 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Product and process technology</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first nine months of 2007 and 2006, the Company capitalized $76 million and $29 million, respectively, for product and process technology with weighted-average useful lives of 9 years and 10 years, respectively. During the first nine months of 2007, the Company capitalized $2 million of other intangible assets with a weighted-average useful life of 4 years.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both"/>
        <w:ind w:right="140"/>
        <w:spacing w:after="0" w:line="286" w:lineRule="auto"/>
        <w:rPr>
          <w:sz w:val="20"/>
          <w:szCs w:val="20"/>
          <w:color w:val="auto"/>
        </w:rPr>
      </w:pPr>
      <w:r>
        <w:rPr>
          <w:rFonts w:ascii="Arial" w:cs="Arial" w:eastAsia="Arial" w:hAnsi="Arial"/>
          <w:sz w:val="17"/>
          <w:szCs w:val="17"/>
          <w:color w:val="auto"/>
        </w:rPr>
        <w:t>Amortization expense for intangible assets was $19 million and $55 million for the third quarter and first nine months of 2007, respectively, and $11 million and $37 million for the third quarter and first nine months of 2006, respectively. Annual amortization expense for intangible assets held as of May 31, 2007, is estimated to be $75 million for 2007, $77 million for 2008, $66 million for 2009, $56 million for 2010 and $51 million for 2011.</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May 31, 2007, the Company had goodwill of $464 million for its Memory segment and $50 million for its Imaging segment. As of August 31, 2006, the Company had goodwill of $490 million for its Memory segment and $12 million for its Imaging segment. The Company performs its annual test of impairment for goodwill in the fourth quarter of its fiscal year. (See “Acquisitions” Note.)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May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31,</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7,866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Depreciation expense was $426 million and $1,208 million for the third quarter and first nine months of 2007, respectively, and $336 million and $914 million for the third quarter and first nine months of 2006,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May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Customer prepayments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August 31,</w:t>
            </w:r>
          </w:p>
        </w:tc>
        <w:tc>
          <w:tcPr>
            <w:tcW w:w="0" w:type="dxa"/>
            <w:vAlign w:val="bottom"/>
          </w:tcPr>
          <w:p>
            <w:pPr>
              <w:spacing w:after="0"/>
              <w:rPr>
                <w:sz w:val="1"/>
                <w:szCs w:val="1"/>
                <w:color w:val="auto"/>
              </w:rPr>
            </w:pPr>
          </w:p>
        </w:tc>
      </w:tr>
      <w:tr>
        <w:trPr>
          <w:trHeight w:val="241"/>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26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payable, interest rate of 1.875%, due June 2014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96"/>
              </w:rPr>
              <w:t>Capital lease obligations payable in monthly installments through August 2021, weighted-average imputed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interest rate of 6.5% and 6.6%</w:t>
            </w:r>
          </w:p>
        </w:tc>
        <w:tc>
          <w:tcPr>
            <w:tcW w:w="2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w w:val="95"/>
              </w:rPr>
              <w:t>Notes payable in periodic installments through July 2015, weighted-average interest rate of 4.6% and 1.5%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Convertible subordinated notes payable, interest rate of 5.6%, due April 2010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May 31, 2007, notes payable and capital lease obligations above included $258 million, denominated in Singapore dollars, at a weighted average interest rate of 6.6% and $158 million, denominated in Japanese yen, at a weighted-average interest rate of 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line="285" w:lineRule="auto"/>
        <w:rPr>
          <w:sz w:val="20"/>
          <w:szCs w:val="20"/>
          <w:color w:val="auto"/>
        </w:rPr>
      </w:pPr>
      <w:r>
        <w:rPr>
          <w:rFonts w:ascii="Arial" w:cs="Arial" w:eastAsia="Arial" w:hAnsi="Arial"/>
          <w:sz w:val="16"/>
          <w:szCs w:val="16"/>
          <w:color w:val="auto"/>
        </w:rPr>
        <w:t>In May 2007, the Company issued $1.3 billion of 1.875% Convertible Senior Notes due June 1, 2014 (the “Senior Notes”). The issuance costs associated with the Senior Notes totaled $26 million and the net proceeds to the Company from the offering of the Senior Notes were $1,274 million. The initial conversion rate for the Senior Notes is 70.2679 shares of common stock per $1,000 principal amount of Senior Notes. This is equivalent to an initial conversion price of approximately $14.23 per share of common stock. Holders of the Senior Notes may convert the Senior Notes prior to the close of business on the business day immediately preceding the maturity date for the Senior Notes only under the following circumstances: (1) during any calendar quarter beginning after August 30, 2007 (and only during such calendar quarter), if the closing price of the Company's common stock for at least 20 trading days in the 30 consecutive trading days ending on the last trading day of the immediately preceding calendar quarter is more than 130% of the then applicable conversion price per share of the Senior Notes; (2) if the Senior Notes have been called for redemption; (3) if specified distributions to holders of the Company's common stock are made, or specified corporate events occur, as specified in the indenture for the Senior Notes; (4) during the five business days after any five consecutive trading day period in which the trading price per $1,000 principal amount of Senior Notes for each day of that period was less than 98% of the product of the closing price of the Company's common stock and the then applicable conversion rate of the Senior Notes; or (5) at any time on or after March 1, 2014. Upon conversion, the Company will have the right to deliver, in lieu of shares of its common stock, cash or a combination of cash and shares of common stock. If a holder elects to convert its Senior Notes in connection with a make-whole change in control, as defined in the indenture, the Company will, in certain circumstances, pay a make-whole premium by increasing the conversion rate for the Senior Notes converted in connection with such make-whole change in control. The Company may not redeem the Senior Notes prior to June 6, 2011. On or after June 6, 2011, the Company may redeem for cash all or part of the Senior Notes if the last reported sale price of its common stock has been at least 130% of the conversion price then in effect for at least 20 trading days during any 30 consecutive trading day period ending within five trading days prior to the date on which the Company provides notice of redemption. The redemption price will equal 100% of the principal amount of the Senior Notes to be redeemed, plus accrued and unpaid interest. Upon a change in control or a termination of trading, as defined in the indenture, the holders may require the Company to repurchase for cash all or a portion of their Senior Notes at a repurchase price equal to 100% of the principal amount of the Senior Notes, plus accrued and unpaid interest, if any.</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first nine months of 2007, the Company received $358 million in proceeds from sales-leaseback transactions and in connection with these transactions recorded capital lease obligations aggregating $348 million with a weighed-average imputed interest rate of 6.6%, payable in periodic installments through June 2011.</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May 31, 2007, notes payable included $214 million payable to the Singapore Economic Development Board (“EDB”) recorded in connection with the Company’s acquisition of EDB’s interest in the TECH Semiconductor Singapore Pte. Ltd. joint venture in the third quarter of 2007. These notes have a stated interest rate of 6.8%, and are payable to EDB through December 2007 and are collateralized by the acquired shares in the TECH joint venture. (See “Joint Ventures – TECH Semiconductor Singapore Pte. Ltd.” note.)</w:t>
      </w:r>
    </w:p>
    <w:p>
      <w:pPr>
        <w:spacing w:after="0" w:line="21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Company’s TECH subsidiary has a credit facility that enables it to borrow up to $380 million at Singapore Interbank Offered Rate (“SIBOR”) plus 2.5% subject to customary covenants. Amounts borrowed under the facility would be due in quarterly installments through September 2009. As of May 31, 2007, TECH had not borrowed any amounts under the credit facility.</w:t>
      </w:r>
    </w:p>
    <w:p>
      <w:pPr>
        <w:spacing w:after="0" w:line="20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Company’s $70 million 5.6% convertible subordinated notes (the “Subordinated Notes”) assumed in the acquisition of Lexar Media, Inc. are convertible into the Company’s common stock any time at the option of the holders of the Subordinated Notes at a price equal to approximately $11.28 per share and are subject to customary covenants. The Subordinated Notes are redeemable for cash at the Company’s option beginning on April 1, 2008, at a price equal to the principal amount plus accrued interest. The Company may only redeem the Subordinated Notes if its common stock has exceeded 175% of the conversion price for at least 20 trading days in the 30 consecutive trading days prior to delivery of a notice of redemption. Upon redemption, the Company will be required to make a payment equal to the net present value of the remaining scheduled interest payments through April 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8" w:name="page9"/>
    <w:bookmarkEnd w:id="8"/>
    <w:p>
      <w:pPr>
        <w:ind w:right="140"/>
        <w:spacing w:after="0" w:line="279" w:lineRule="auto"/>
        <w:rPr>
          <w:sz w:val="20"/>
          <w:szCs w:val="20"/>
          <w:color w:val="auto"/>
        </w:rPr>
      </w:pPr>
      <w:r>
        <w:rPr>
          <w:rFonts w:ascii="Arial" w:cs="Arial" w:eastAsia="Arial" w:hAnsi="Arial"/>
          <w:sz w:val="17"/>
          <w:szCs w:val="17"/>
          <w:color w:val="auto"/>
        </w:rPr>
        <w:t>Italy. The Company also is engaged in patent litigation with the Massachusetts Institute of Technology (“MIT”) in the U.S. District Court for the District of Massachusetts and with Mosaid Technologies, Inc. (“Mosaid”) in both the U.S. District Court for the Northern District of California and the U.S. District Court for the Eastern District of Texas. Among other things, the above lawsuits pertain to certain of the Company’s SDRAM, DDR SDRAM, DDR2 SDRAM, RLDRAM, and image sensor products, which account for a significant portion of net sales.</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1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Subsequent to the commencement of the DOJ DRAM investigation, at least sixty-eight purported class action lawsuits have been filed against the Company and other DRAM suppliers in 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treble damages sustained by purported class members, in addition to restitution, costs, and attorneys’ fees. On June 1, 2007, the Court granted in part and denied in part the Company’s motion to dismiss the consolidated complaint. Plaintiffs have subsequently sought leave from the Court to file an amended complaint.</w:t>
      </w:r>
    </w:p>
    <w:p>
      <w:pPr>
        <w:spacing w:after="0" w:line="20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Three purported class action lawsuits also have been filed in Canada, on behalf of direct and indirect purchasers, alleging violations of the Canadian Competition Act. The substantive allegations in these cases are similar to those asserted in the cases filed in the United States.</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various states, through their Attorneys General, have filed suit against the Company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w:t>
      </w: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February and March 2007, three cases were filed against the Company and other manufacturers of DRAM in the U.S. District Court for the Northern District of California by parties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ind w:right="20"/>
        <w:spacing w:after="0" w:line="257" w:lineRule="auto"/>
        <w:rPr>
          <w:sz w:val="20"/>
          <w:szCs w:val="20"/>
          <w:color w:val="auto"/>
        </w:rPr>
      </w:pPr>
      <w:r>
        <w:rPr>
          <w:rFonts w:ascii="Arial" w:cs="Arial" w:eastAsia="Arial" w:hAnsi="Arial"/>
          <w:sz w:val="18"/>
          <w:szCs w:val="18"/>
          <w:color w:val="auto"/>
        </w:rPr>
        <w:t>Subsequent to the commencement of the DOJ SRAM investigation, at least eighty purported class action lawsuits have been filed against the Company and other SRAM suppliers in various federal courts on behalf of direct and indirect purchasers alleging price-fixing in violation of federal and state antitrust laws, violations of state unfair competition law, and/or unjust enrichment relating to the sale and pricing of SRAM products during the period from January 1998 through December 2005. The complaints seek treble monetary damages sustained by purported class members, in addition to restitution, costs, and attorneys’ fees.</w:t>
      </w:r>
    </w:p>
    <w:p>
      <w:pPr>
        <w:spacing w:after="0" w:line="2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first calendar half of 2007, at least twenty-two purported class action lawsuits were filed against the Company and other suppliers of flash memory products in various federal and state courts on behalf of direct and indirect purchasers alleging price-fixing in violation of federal and state antitrust laws, violations of state unfair competition law, and/or unjust enrichment relating to the sale and pricing of Flash memory products during the period from January 1, 1999 through the date the various cases were filed. The complaints seek treble monetary damages sustained by purported class members, in addition to restitution, costs, and attorneys’ fees.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w:t>
      </w:r>
    </w:p>
    <w:p>
      <w:pPr>
        <w:spacing w:after="0" w:line="21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21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w:t>
      </w:r>
    </w:p>
    <w:p>
      <w:pPr>
        <w:spacing w:after="0" w:line="5"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Company. However, the Company may be required, throughout the pendency of the action, to advance payment of legal fees and costs incurred by the defendants. On May 29, 2007, the Court granted the Company's motion to dismiss the complaint but provided plaintiffs leave to file an amended complaint. On June 29, 2007, plaintiffs filed an amended complaint.</w:t>
      </w:r>
    </w:p>
    <w:p>
      <w:pPr>
        <w:spacing w:after="0" w:line="2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ind w:right="300"/>
        <w:spacing w:after="0" w:line="279" w:lineRule="auto"/>
        <w:rPr>
          <w:sz w:val="20"/>
          <w:szCs w:val="20"/>
          <w:color w:val="auto"/>
        </w:rPr>
      </w:pPr>
      <w:r>
        <w:rPr>
          <w:rFonts w:ascii="Arial" w:cs="Arial" w:eastAsia="Arial" w:hAnsi="Arial"/>
          <w:sz w:val="17"/>
          <w:szCs w:val="17"/>
          <w:color w:val="auto"/>
        </w:rPr>
        <w:t>motion. An amended consolidated complaint was filed on October 10, 2006. On June 14, 2007, the Court granted Lexar's and the Company's motions to dismiss the amended complaint but allowed plaintiffs leave to file a further amended complaint. The Company is unable to predict the outcome of these suits. A court determination against the Company could result in significant liability and could have a material adverse effect on the Company’s business, results of operations or financial condition. (See “Acquisitions – Lexar Media, Inc.” note.)</w:t>
      </w:r>
    </w:p>
    <w:p>
      <w:pPr>
        <w:spacing w:after="0" w:line="198"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Capped Call Transactions</w:t>
      </w:r>
    </w:p>
    <w:p>
      <w:pPr>
        <w:spacing w:after="0" w:line="2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offering of the Senior Notes in May 2007, the Company also entered into three capped call transactions (the “Capped Calls”). The Capped Calls each have an initial strike price of approximately $14.23 per share, subject to certain adjustments, which matches the initial conversion price of the Senior Notes. The Capped Calls are in three equal tranches; have cap prices of $17.25, $20.13 and $23.00 per share; and cover, subject to anti-dilution adjustments similar to those contained in the Senior Notes, an approximate combined total of 91.3 million shares of common stock. The Capped Calls are intended to reduce the potential dilution upon conversion of the Senior Notes. Settlement of the Capped Calls in cash on their respective expiration dates, would result in the Company receiving an amount ranging from zero if the market price per share of the Company’s common stock is at or below $14.23 to a maximum of $538 million. The Company paid approximately $151 million to purchase the Capped Calls. The Capped Calls expire on various dates between November 2011 and December 2012. The Capped Calls are considered capital transactions and the related cost was recorded as a charge to additional paid in capital.</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Plans</w:t>
      </w:r>
    </w:p>
    <w:p>
      <w:pPr>
        <w:spacing w:after="0" w:line="25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May 31, 2007, the Company had an aggregate of 185.1 million shares of its common stock reserved for issuance under its various equity plans, of which 130.3 million shares were subject to outstanding stock awards and 54.8 million shares were available for future grants. Awards are subject to terms and conditions as determined by the Company’s Board of Directors.</w:t>
      </w:r>
    </w:p>
    <w:p>
      <w:pPr>
        <w:spacing w:after="0" w:line="2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The Company granted 0.2 million and 8.0 million shares of stock options during the third quarter and first nine months of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weighted-average grant-date fair value per share was $4.20 and $4.88 for options granted during the third quarter and first nine months of 2007, respectively. The Company granted 0.2 million and 10.5 million shares of stock options during the third quarter and first nine months of 2006, respectively. The weighted-average grant-date fair value per share was $6.32 and $5.90 for options granted during the third quarter and first nine months of 2006, respectively.</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 of each option award is estimated as of the date of grant using the Black-Scholes model. Expected volatilities are based on implied volatilities from traded options on the Company’s stock and historical volatility. The expected life of options granted is based on historical experience and on the terms and conditions of the options. The risk-free rates are based on the U.S. Treasury yield in effect at the time of the grant. Assumptions used in the Black-Scholes model are presented below: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82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500" w:type="dxa"/>
            <w:vAlign w:val="bottom"/>
            <w:tcBorders>
              <w:top w:val="single" w:sz="8" w:color="auto"/>
            </w:tcBorders>
          </w:tcPr>
          <w:p>
            <w:pPr>
              <w:jc w:val="right"/>
              <w:ind w:right="530"/>
              <w:spacing w:after="0" w:line="198" w:lineRule="exact"/>
              <w:rPr>
                <w:sz w:val="20"/>
                <w:szCs w:val="20"/>
                <w:color w:val="auto"/>
              </w:rPr>
            </w:pPr>
            <w:r>
              <w:rPr>
                <w:rFonts w:ascii="Arial" w:cs="Arial" w:eastAsia="Arial" w:hAnsi="Arial"/>
                <w:sz w:val="18"/>
                <w:szCs w:val="18"/>
                <w:b w:val="1"/>
                <w:bCs w:val="1"/>
                <w:color w:val="auto"/>
              </w:rPr>
              <w:t>May 31,</w:t>
            </w:r>
          </w:p>
        </w:tc>
        <w:tc>
          <w:tcPr>
            <w:tcW w:w="10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June 1,</w:t>
            </w:r>
          </w:p>
        </w:tc>
        <w:tc>
          <w:tcPr>
            <w:tcW w:w="280" w:type="dxa"/>
            <w:vAlign w:val="bottom"/>
          </w:tcPr>
          <w:p>
            <w:pPr>
              <w:spacing w:after="0"/>
              <w:rPr>
                <w:sz w:val="17"/>
                <w:szCs w:val="17"/>
                <w:color w:val="auto"/>
              </w:rPr>
            </w:pPr>
          </w:p>
        </w:tc>
        <w:tc>
          <w:tcPr>
            <w:tcW w:w="1480" w:type="dxa"/>
            <w:vAlign w:val="bottom"/>
            <w:tcBorders>
              <w:top w:val="single" w:sz="8" w:color="auto"/>
            </w:tcBorders>
          </w:tcPr>
          <w:p>
            <w:pPr>
              <w:jc w:val="right"/>
              <w:ind w:right="510"/>
              <w:spacing w:after="0" w:line="198" w:lineRule="exact"/>
              <w:rPr>
                <w:sz w:val="20"/>
                <w:szCs w:val="20"/>
                <w:color w:val="auto"/>
              </w:rPr>
            </w:pPr>
            <w:r>
              <w:rPr>
                <w:rFonts w:ascii="Arial" w:cs="Arial" w:eastAsia="Arial" w:hAnsi="Arial"/>
                <w:sz w:val="18"/>
                <w:szCs w:val="18"/>
                <w:b w:val="1"/>
                <w:bCs w:val="1"/>
                <w:color w:val="auto"/>
              </w:rPr>
              <w:t>May 31,</w:t>
            </w:r>
          </w:p>
        </w:tc>
        <w:tc>
          <w:tcPr>
            <w:tcW w:w="10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June 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2007</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2007</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34%-37%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42%-44%</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34%-42%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Restricted Stock and Restricted Stock Units: </w:t>
      </w:r>
      <w:r>
        <w:rPr>
          <w:rFonts w:ascii="Arial" w:cs="Arial" w:eastAsia="Arial" w:hAnsi="Arial"/>
          <w:sz w:val="18"/>
          <w:szCs w:val="18"/>
          <w:color w:val="auto"/>
        </w:rPr>
        <w:t>The Company awards restricted stock and restricted stock units (collectively, “Restricted Awards”) under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plans. During the first nine months of 2007, the Company granted 2.7 million shares of service-based Restricted Awards and 0.9 million shares of performance-based Restricted Awards. During the first nine months of 2006, the Company granted 1.5 million shares of service-based Restricted Awards and 0.6 million shares of performance-based Restricted Awards. The weighted-average grant-date fair value per share was $15.07 and $12.91 for Restricted Awards granted during the first nine months of 2007 and 2006,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Total compensation costs for the Company’s stock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3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May 31,</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0"/>
              <w:spacing w:after="0" w:line="198" w:lineRule="exact"/>
              <w:rPr>
                <w:sz w:val="20"/>
                <w:szCs w:val="20"/>
                <w:color w:val="auto"/>
              </w:rPr>
            </w:pPr>
            <w:r>
              <w:rPr>
                <w:rFonts w:ascii="Arial" w:cs="Arial" w:eastAsia="Arial" w:hAnsi="Arial"/>
                <w:sz w:val="18"/>
                <w:szCs w:val="18"/>
                <w:b w:val="1"/>
                <w:bCs w:val="1"/>
                <w:color w:val="auto"/>
              </w:rPr>
              <w:t>June 1,</w:t>
            </w:r>
          </w:p>
        </w:tc>
        <w:tc>
          <w:tcPr>
            <w:tcW w:w="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May 31,</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June 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2006</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240" w:type="dxa"/>
            <w:vAlign w:val="bottom"/>
          </w:tcPr>
          <w:p>
            <w:pPr>
              <w:spacing w:after="0"/>
              <w:rPr>
                <w:sz w:val="18"/>
                <w:szCs w:val="18"/>
                <w:color w:val="auto"/>
              </w:rPr>
            </w:pP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Stock-based compensation expense of $2 million was capitalized and remained in inventory at May 31, 2007. As of May 31, 2007, $127 million of total unrecognized compensation costs related to non-vested awards was expected to be recognized through the third quarter of 2011, resulting in a weighted-average period of 1.5 years. Stock-based compensation expense in the above presentation does not reflect any significant income taxes, which is consistent with the Company’s treatment of income or loss from its U.S. operations. (See “Income Taxes” note.)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Operating (Income) Expense, Net</w:t>
      </w:r>
    </w:p>
    <w:p>
      <w:pPr>
        <w:spacing w:after="0" w:line="2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operating income for the third quarter of 2007 includes $15 million from gains on disposals of semiconductor equipment and $7 million in grants received in connection with the Company’s operations in China. Other operating income for the first nine months of 2007 includes $25 million from gains on disposals of semiconductor equipment, a gain of $30 million from the sale of certain intellectual property to Toshiba Corporation and $7 million in grants received in connection with the Company’s operations in China. Other operating income for the first nine months of 2006 includes $230 million of net proceeds from Intel Corporation for the sale of the Company’s existing NAND Flash memory designs and certain related technology and the Company’s acquisition of a perpetual, paid-up license to use and modify such designs.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Income Taxes</w:t>
      </w:r>
    </w:p>
    <w:p>
      <w:pPr>
        <w:spacing w:after="0" w:line="2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Income taxes for 2007 and 2006 primarily reflect taxes on the Company’s non-U.S. operations and U.S. alternative minimum tax. The Company has a valuation allowance for its net deferred tax asset associated with its U.S. operations. The provision for taxes on U.S. operations in 2007 and 2006 was substantially offset by a reduction in the valuation allowance. As of May 31, 2007, the Company had aggregate U.S. tax net operating loss carryforwards of $1.9 billion, the utilization of which is subject to certain limitations, and unused U.S. tax credit carryforwards of $199 million. The Company also had unused state tax net operating loss carryforwards of $1.5 billion and unused state tax credits of $170 million. Substantially all of the net operating loss carryforwards expire in 2022 to 2025 and substantially all of the tax credit carryforwards expire in 2013 to 2026.</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5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257.1 million for the third quarter and first nine months of 2007, and 95.8 million and 97.9 million for the third quarter and first nine months of 2006,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ind w:left="5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31,</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June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May 31,</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June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 – Basic</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effect of assumed conversion of debt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 – Diluted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effect of dilutive stock options and assumed conversion of debt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 (Loss)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for 2007 and 2006 includes net income (loss) and de minimis amounts of unrealized gains and losses on</w:t>
      </w:r>
    </w:p>
    <w:p>
      <w:pPr>
        <w:spacing w:after="0" w:line="2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investments. Comprehensive loss for the third quarter and first nine months of 2007 was $225 million and $163 million, respectively. Comprehensive income for the third quarter and first nine months of 2006 was $88 million and $344 million,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Acquisitions</w:t>
      </w:r>
    </w:p>
    <w:p>
      <w:pPr>
        <w:spacing w:after="0" w:line="25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Lexar Media, Inc. (“Lexar”): </w:t>
      </w:r>
      <w:r>
        <w:rPr>
          <w:rFonts w:ascii="Arial" w:cs="Arial" w:eastAsia="Arial" w:hAnsi="Arial"/>
          <w:sz w:val="16"/>
          <w:szCs w:val="16"/>
          <w:color w:val="auto"/>
        </w:rPr>
        <w:t>On June 21, 2006, the Company acquired Lexar, a designer, developer, manufacturer and marketer of flash memory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stock for stock merger to broaden the Company’s NAND Flash product offering, enhance its retail presence and strengthen its portfolio of intellectual property. In connection therewith, the Company issued 50.7 million shares of common stock, issued 6.6 million stock options and incurred other acquisition costs resulting in an aggregate purchase price of $886 million, which was allocated to the assets and liabilities of Lexar based on preliminary estimates of fair values. In connection with the acquisition, the Company recorded total assets of $1,345 million, including cash and short-term investments of $101 million, receivables of $316 million, intangible assets of $183 million and goodwill of $459 million; and total liabilities of $459 million. The recorded amounts include adjustments in 2007 to the initial allocation of purchase price to reflect additional information about the fair value of assets and liabilities acquired. The adjustments in 2007 include a $16 million increase in receivables and other assets, a $11 million decrease in liabilities and a $27 million decrease in goodwill. The Company’s results of operations subsequent to the acquisition date include Lexar, as part of the Company’s Memory segment.</w:t>
      </w:r>
    </w:p>
    <w:p>
      <w:pPr>
        <w:spacing w:after="0" w:line="19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unaudited pro forma information presents the consolidated results of operations of the Company as if the acquisition of Lexar had taken place at the beginning of 2006. The pro forma information does not necessarily reflect the actual results that would have occurred nor is it necessarily indicative of future results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640" w:type="dxa"/>
            <w:vAlign w:val="bottom"/>
            <w:gridSpan w:val="2"/>
          </w:tcPr>
          <w:p>
            <w:pPr>
              <w:ind w:left="3400"/>
              <w:spacing w:after="0"/>
              <w:rPr>
                <w:sz w:val="20"/>
                <w:szCs w:val="20"/>
                <w:color w:val="auto"/>
              </w:rPr>
            </w:pPr>
            <w:r>
              <w:rPr>
                <w:rFonts w:ascii="Arial" w:cs="Arial" w:eastAsia="Arial" w:hAnsi="Arial"/>
                <w:sz w:val="18"/>
                <w:szCs w:val="18"/>
                <w:b w:val="1"/>
                <w:bCs w:val="1"/>
                <w:color w:val="auto"/>
                <w:w w:val="99"/>
              </w:rPr>
              <w:t>Quarter ended</w:t>
            </w:r>
          </w:p>
        </w:tc>
        <w:tc>
          <w:tcPr>
            <w:tcW w:w="3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1,</w:t>
            </w: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580" w:type="dxa"/>
            <w:vAlign w:val="bottom"/>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w:t>
            </w:r>
          </w:p>
        </w:tc>
        <w:tc>
          <w:tcPr>
            <w:tcW w:w="35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580" w:type="dxa"/>
            <w:vAlign w:val="bottom"/>
          </w:tcPr>
          <w:p>
            <w:pPr>
              <w:ind w:left="3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 xml:space="preserve">Avago Technologies Limited Image Sensor Business: </w:t>
      </w:r>
      <w:r>
        <w:rPr>
          <w:rFonts w:ascii="Arial" w:cs="Arial" w:eastAsia="Arial" w:hAnsi="Arial"/>
          <w:sz w:val="16"/>
          <w:szCs w:val="16"/>
          <w:color w:val="auto"/>
        </w:rPr>
        <w:t>On December 11, 2006, the Company acquired the CMOS image sensor business of Avago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Limited (“Avago”) for approximately $55 million in cash, plus additional contingent payments of up to $15 million if certain milestones are met. The purchase price was allocated to the acquired net assets based on preliminary estimates of fair values. In connection with the acquisition, the Company recorded total assets of $56 million, including intangible assets of $17 million and goodwill of $38 million; and total liabilities of $1 million. The Company’s results of operations subsequent to the acquisition date include the CMOS image sensor business acquired from Avago as part of the Company’s Imaging segment. Mercedes Johnson, a member of the Company’s Board of Directors, is the Senior Vice President, Finance and Chief Financial Officer, of Avago. Ms. Johnson recused herself from all deliberations of the Company’s Board of Directors concerning this transaction.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 Ventures</w:t>
      </w:r>
    </w:p>
    <w:p>
      <w:pPr>
        <w:spacing w:after="0" w:line="25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b w:val="1"/>
          <w:bCs w:val="1"/>
          <w:i w:val="1"/>
          <w:iCs w:val="1"/>
          <w:color w:val="auto"/>
        </w:rPr>
        <w:t xml:space="preserve">NAND Flash Joint Ventures with Intel Corporation (“IM Flash”): </w:t>
      </w:r>
      <w:r>
        <w:rPr>
          <w:rFonts w:ascii="Arial" w:cs="Arial" w:eastAsia="Arial" w:hAnsi="Arial"/>
          <w:sz w:val="17"/>
          <w:szCs w:val="17"/>
          <w:color w:val="auto"/>
        </w:rPr>
        <w:t>The Company has formed two joint ventures with Intel to manufacture NAND Flash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memory products for the exclusive benefit of the partners: IM Flash Technologies, LLC and IM Flash Singapore LLP. As of May 31, 2007, the Company owned 51% and Intel owned 49% of IM Flash. The parties share output of IM Flash generally in proportion to their ownership in IM Flash.</w:t>
      </w:r>
    </w:p>
    <w:p>
      <w:pPr>
        <w:spacing w:after="0" w:line="19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has determined that both of the IM Flash joint ventures are variable interest entities as defined in FIN 46(R), “Consolidation of Variable Interest Entities,” and that the Company is the primary beneficiary of both. Accordingly, IM Flash financial results are included in the accompanying consolidated financial statements of the Company. The creditors of IM Flash have recourse only to the assets of IM Flash and do not have recourse to any other assets of the Company.</w:t>
      </w:r>
    </w:p>
    <w:p>
      <w:pPr>
        <w:spacing w:after="0" w:line="21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Since 1998, the Company has participated in TECH, a semiconductor memory manufacturing joint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in Singapore among the Company, the Singapore Economic Development Board (“EDB”), Canon Inc. and Hewlett-Packard Company. As of May 31, 2007, the Company owned an approximate 73% interest in TECH. The shareholders’ agreement for the TECH joint venture expires in 2011.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On March 30, 2007, the Company exercised its option and acquired all of the shares of TECH common stock held by EDB for approximately $290 million, of which $214 million was outstanding as of May 31, 2007, payable through December 2007. As a result of the acquisition, the Company’s ownership interest in TECH increased from 43% to 73%. The Company applied purchase accounting to the acquisition of these shares. The accompanying consolidated financial statements reflect the impact of acquiring these shares as of March 30, 2007.</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has determined that TECH is a variable interest entity, and has concluded it is the primary beneficiary of TECH as defined by FIN 46(R) and therefore began consolidating TECH’s financial results as of the beginning of the Company’s third quarter of 2006. The creditors of TECH have recourse only to the assets of TECH and do not have recourse to any other assets of the Company.</w:t>
      </w:r>
    </w:p>
    <w:p>
      <w:pPr>
        <w:spacing w:after="0" w:line="20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TECH’s semiconductor manufacturing uses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Through the second quarter of 2006, prior to the consolidation of TECH, all of these transactions with TECH were recognized as part of the net cost of products purchased from TECH. The net cost of products purchased from TECH amounted to $287 million for the first six months of 2006.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segments are Memory and Imaging. The Memory segment’s primary products are DRAM and NAND Flash memory and the Imaging segment’s primary product is CMOS image sensors. Segment information reported below is consistent with how it is reviewed and evaluated by the Company’s chief operating decision maker and is based on the nature of the Company’s operations and products offered to customers. The Company does not identify or report depreciation and amortization, capital expenditures or assets by segment. The information below represents the Company’s reportable segments: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ind w:left="5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31,</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June 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May 31,</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June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Memory</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3,713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consolidated net sales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1,294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4,251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income: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Imaging</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 (loss)</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Subsequent Event</w:t>
      </w:r>
    </w:p>
    <w:p>
      <w:pPr>
        <w:spacing w:after="0" w:line="25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On June 28, 2007, the Company announced that it is pursuing a number of initiatives to drive greater cost efficiencies and revenue growth across its operations. These initiatives include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NAND Flash production in future periods, future capital contributions to IM Flash and new initiatives; in “Net Sales” regarding NAND Flash production in future periods and expected revenue from sales of NAND Flash; in “Selling, General and Administrative” regarding SG&amp;A expenses for the fourth quarter of 2007; in “Research and Development” regarding R&amp;D costs for the fourth quarter of 2007; in “Stock-Based Compensation” regarding increases in future stock-based compensation costs; and in “Liquidity and Capital Resources” regarding capital spending in 2007 and 2008 and future capital contributions to IM Flash.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31, 2006. All period references are to the Company’s fiscal periods unless otherwise indicated. All tabular dollar amounts are in millions. All production data reflects production of the Company and its consolidated joint ventures.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memory products, efficient utilization of the Company’s manufacturing infrastructure, successful ongoing development of advanced process technologies and generation of sufficient return on research and development investments.</w:t>
      </w:r>
    </w:p>
    <w:p>
      <w:pPr>
        <w:spacing w:after="0" w:line="21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recent periods, the Company had strategically diversified its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the Company’s highest volume products, DDR and DDR2 DRAM. The Company leverages its expertise in semiconductor memory manufacturing and product and process technology to provide products that are differentiated from competitors’ products based on performance characteristics. In 2006 and the first nine months of 2007, approximately half of the Company’s revenue came from sales of specialty memory products, NAND Flash memory products and CMOS image sensors.</w:t>
      </w:r>
    </w:p>
    <w:p>
      <w:pPr>
        <w:spacing w:after="0" w:line="2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has partnered with Intel to form two NAND Flash manufacturing joint ventures: IM Flash Technologies, LLC and IM Flash Singapore LLP (collectively “IM Flash”). IM Flash operations include two 300mm wafer fabrication facilities that are expected to greatly increase the Company’s production of NAND Flash in 2007. IM Flash Singapore LLP began construction of a new 300mm wafer fabrication facility in Singapore in 2007. The Company expects to contribute approximately $2 billion in cash to IM Flash over the next three years, with similar contributions to be made by Intel. As of May 31, 2007, the Company owned 51% and Intel owned 49% of IM Flash. The parties share output of IM Flash generally in proportion to their ownership in IM Flash.</w:t>
      </w:r>
    </w:p>
    <w:p>
      <w:pPr>
        <w:spacing w:after="0" w:line="22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makes significant ongoing investments to implement its proprietary product and process technology in its facilities in the United States, Europe and Asia to manufacture semiconductor products with increasing functionality and performance at lower costs. The Company continues to introduce new generations of products that offer improved performance characteristics, such as higher data transfer rates, reduced package size, lower power consumption and increased megapixel count. The Company generally reduces the manufacturing cost of each generation of product through advancements in product and process technology such as its leading-edge line width process technology and innovative array architecture.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6" w:name="page17"/>
    <w:bookmarkEnd w:id="16"/>
    <w:p>
      <w:pPr>
        <w:spacing w:after="0" w:line="253" w:lineRule="auto"/>
        <w:rPr>
          <w:sz w:val="20"/>
          <w:szCs w:val="20"/>
          <w:color w:val="auto"/>
        </w:rPr>
      </w:pPr>
      <w:r>
        <w:rPr>
          <w:rFonts w:ascii="Arial" w:cs="Arial" w:eastAsia="Arial" w:hAnsi="Arial"/>
          <w:sz w:val="18"/>
          <w:szCs w:val="18"/>
          <w:color w:val="auto"/>
        </w:rPr>
        <w:t>In order to maximize returns from investments in research and development (“R&amp;D”), the Company develops process technology that effectively reduces production costs and leverages the Company’s capital expenditures. To leverage its R&amp;D investments, the Company has formed strategic joint ventures under which the costs of developing NAND Flash memory product and process technologies are shared with its joint venture partner. In addition, from time to time, the Company has also sold and/or licensed technology to third parties. To be successfully incorporated in customers’ end products, the Company must offer qualified semiconductor solutions at a time when customers are developing their design specifications for their end products. This is especially true for specialty memory products and CMOS image sensors, which are required to demonstrate advanced functionality and performance well ahead of a planned ramp of production to commercial volumes. In addition, DRAM and NAND Flash products necessarily incorporate highly advanced design and process technologies. The Company must make significant investments in R&amp;D to expand its product offering and develop its leading-edge product and process technologies.</w:t>
      </w:r>
    </w:p>
    <w:p>
      <w:pPr>
        <w:spacing w:after="0" w:line="1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New Initiatives: </w:t>
      </w:r>
      <w:r>
        <w:rPr>
          <w:rFonts w:ascii="Arial" w:cs="Arial" w:eastAsia="Arial" w:hAnsi="Arial"/>
          <w:sz w:val="17"/>
          <w:szCs w:val="17"/>
          <w:color w:val="auto"/>
        </w:rPr>
        <w:t>On June 28, 2007, the Company announced that it is pursuing a number of initiatives to drive greater cost efficiencies and revenue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its operations. These initiatives include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The Company is also exploring opportunities to leverage the Company’s industry-leading technology and diversified product portfolio to accelerate revenue growth and increase shareholder value. It is anticipated that these initiatives will be implemented over several quarters.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6"/>
          </w:tcPr>
          <w:p>
            <w:pPr>
              <w:ind w:left="320"/>
              <w:spacing w:after="0"/>
              <w:rPr>
                <w:sz w:val="20"/>
                <w:szCs w:val="20"/>
                <w:color w:val="auto"/>
              </w:rPr>
            </w:pPr>
            <w:r>
              <w:rPr>
                <w:rFonts w:ascii="Arial" w:cs="Arial" w:eastAsia="Arial" w:hAnsi="Arial"/>
                <w:sz w:val="18"/>
                <w:szCs w:val="18"/>
                <w:b w:val="1"/>
                <w:bCs w:val="1"/>
                <w:color w:val="auto"/>
              </w:rPr>
              <w:t>Third Quarter</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4"/>
          </w:tcPr>
          <w:p>
            <w:pPr>
              <w:ind w:left="4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 of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4"/>
              </w:rPr>
              <w:t>% of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of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8"/>
              </w:rPr>
              <w:t>net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2007</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sales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2006</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sales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sales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2007</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net sales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2006</w:t>
            </w:r>
          </w:p>
        </w:tc>
        <w:tc>
          <w:tcPr>
            <w:tcW w:w="22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sales</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85"/>
              </w:rPr>
              <w:t>(amounts</w:t>
            </w:r>
          </w:p>
        </w:tc>
        <w:tc>
          <w:tcPr>
            <w:tcW w:w="220" w:type="dxa"/>
            <w:vAlign w:val="bottom"/>
          </w:tcPr>
          <w:p>
            <w:pPr>
              <w:ind w:left="60"/>
              <w:spacing w:after="0"/>
              <w:rPr>
                <w:sz w:val="20"/>
                <w:szCs w:val="20"/>
                <w:color w:val="auto"/>
              </w:rPr>
            </w:pPr>
            <w:r>
              <w:rPr>
                <w:rFonts w:ascii="Arial" w:cs="Arial" w:eastAsia="Arial" w:hAnsi="Arial"/>
                <w:sz w:val="18"/>
                <w:szCs w:val="18"/>
                <w:color w:val="auto"/>
                <w:w w:val="99"/>
              </w:rPr>
              <w:t>in</w:t>
            </w:r>
          </w:p>
        </w:tc>
        <w:tc>
          <w:tcPr>
            <w:tcW w:w="720" w:type="dxa"/>
            <w:vAlign w:val="bottom"/>
          </w:tcPr>
          <w:p>
            <w:pPr>
              <w:jc w:val="center"/>
              <w:ind w:right="10"/>
              <w:spacing w:after="0"/>
              <w:rPr>
                <w:sz w:val="20"/>
                <w:szCs w:val="20"/>
                <w:color w:val="auto"/>
              </w:rPr>
            </w:pPr>
            <w:r>
              <w:rPr>
                <w:rFonts w:ascii="Arial" w:cs="Arial" w:eastAsia="Arial" w:hAnsi="Arial"/>
                <w:sz w:val="18"/>
                <w:szCs w:val="18"/>
                <w:color w:val="auto"/>
                <w:w w:val="96"/>
              </w:rPr>
              <w:t>millions</w:t>
            </w:r>
          </w:p>
        </w:tc>
        <w:tc>
          <w:tcPr>
            <w:tcW w:w="1000" w:type="dxa"/>
            <w:vAlign w:val="bottom"/>
            <w:gridSpan w:val="3"/>
          </w:tcPr>
          <w:p>
            <w:pPr>
              <w:spacing w:after="0"/>
              <w:rPr>
                <w:sz w:val="20"/>
                <w:szCs w:val="20"/>
                <w:color w:val="auto"/>
              </w:rPr>
            </w:pPr>
            <w:r>
              <w:rPr>
                <w:rFonts w:ascii="Arial" w:cs="Arial" w:eastAsia="Arial" w:hAnsi="Arial"/>
                <w:sz w:val="18"/>
                <w:szCs w:val="18"/>
                <w:color w:val="auto"/>
                <w:w w:val="73"/>
              </w:rPr>
              <w:t>and as a percent</w:t>
            </w:r>
          </w:p>
        </w:tc>
        <w:tc>
          <w:tcPr>
            <w:tcW w:w="1000" w:type="dxa"/>
            <w:vAlign w:val="bottom"/>
            <w:gridSpan w:val="3"/>
          </w:tcPr>
          <w:p>
            <w:pPr>
              <w:jc w:val="center"/>
              <w:ind w:left="50"/>
              <w:spacing w:after="0"/>
              <w:rPr>
                <w:sz w:val="20"/>
                <w:szCs w:val="20"/>
                <w:color w:val="auto"/>
              </w:rPr>
            </w:pPr>
            <w:r>
              <w:rPr>
                <w:rFonts w:ascii="Arial" w:cs="Arial" w:eastAsia="Arial" w:hAnsi="Arial"/>
                <w:sz w:val="18"/>
                <w:szCs w:val="18"/>
                <w:color w:val="auto"/>
                <w:w w:val="87"/>
              </w:rPr>
              <w:t>of net sales)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Memory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1,100</w:t>
            </w: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1,271</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3,713</w:t>
            </w: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3,374</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1,294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1,312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1,427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4,251</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3,899</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244</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Imaging</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55</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R&amp;D</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168</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243</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operating</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88</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Total net sales for the third quarter of 2007 decreased 9% as compared to the second quarter of 2007 primarily due to severe declines in average selling prices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Company’s Memory products. Memory sales for the third quarter of 2007 decreased 9% from the second quarter of 2007 as a result of the declining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selling prices despite significant increases in megabit sales volumes for both DRAM and NAND Flash memory products. Imaging sales for the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2007 decreased 12% from the second quarter of 2007 reflecting industry softness in mobile handset sales and pricing pressure. Total net sales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third quarter of 2007 decreased slightly from the third quarter of 2006 as a 5% increase in Memory sales was offset by a 35% decrease in Imaging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Total net sales for the first nine months of 2007 increased 9% as compared to the first nine months of 2006 primarily due to a 10% increase in Memory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ind w:right="460"/>
        <w:spacing w:after="0" w:line="277"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Memory sales for the third quarter of 2007 decreased 9% from the second quarter of 2007 primarily as a result of an 18% decrease in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which was partially offset by a 23% increase in sales of NAND Flash products.</w:t>
      </w:r>
    </w:p>
    <w:p>
      <w:pPr>
        <w:spacing w:after="0" w:line="19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Sales of DRAM products for the third quarter of 2007 decreased 18% from the second quarter of 2007 primarily due to a 36% decline in average selling prices per megabit, which was partially mitigated by a 28% increase in megabits sold. Megabit production of DRAM products increased 28% for the third quarter of 2007, primarily due to transitions to higher density, advanced geometry devices. Sales of DDR and DDR2 DRAM products were 45% of the Company’s total net sales in the third quarter of 2007 as compared to 50% for second quarter of 2007 and 50% for the third quarter of 2006.</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Sales of NAND Flash memory products in the third quarter of 2007 increased 23% compared to the second quarter of 2007 primarily due to an 75% increase in megabits sold, partially offset by a 30% decline in average selling prices. Megabit production of NAND Flash products increased 87% for the third quarter of 2007 as compared to the second quarter of 2007 primarily due to the ramp of NAND Flash products at the Company’s 300mm fabrication facilities and transitions to higher density, advanced geometry devices. Sales of NAND Flash products include sales from IM Flash to Intel at long-term negotiated prices approximating cost. Sales of NAND Flash products represented 26% of the Company’s total net sales for the third quarter of 2007 as compared to 19% for the second quarter of 2007 and 5% for the third quarter of 2006. The Company expects that sales of NAND Flash products will continue to increase in future periods as it ramps additional NAND Flash production capacity in Utah.</w:t>
      </w:r>
    </w:p>
    <w:p>
      <w:pPr>
        <w:spacing w:after="0" w:line="2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Memory sales for the third quarter of 2007 increased 5% compared to the third quarter of 2006 as a 362% increase in sales of NAND Flash products was partially offset by a 20% decrease in sales of DRAM products. Memory sales for the first nine months of 2007 increased 10% as compared to the first nine months of 2006, as a 304% increase in sales of NAND Flash products was partially offset by a 9% decrease in sales of DRAM products. The increases in sales of NAND Flash products for the third quarter and first nine months of 2007 as compared to the corresponding periods of 2006 was primarily due to significant increases in megabits manufactured and the Company’s acquisition of Lexar Media, Inc. (which occurred in the fourth quarter of 2006), partially offset by declines in average selling prices per megabit of 56% for both periods. Megabit production of NAND Flash increased for the third quarter and first nine months of 2007 as compared to the corresponding periods of 2006 by 679% and 544%, respectively, due to the ramp of NAND Flash products at the Company’s 300mm fabrication facilities and transitions to higher density, advanced geometry devices. Sales of DRAM products for the third quarter of 2007 decreased 20% as compared to the third quarter of 2006 primarily due to a 40% decline in average selling prices mitigated by a 34% increase in megabit sales volume. Sales of DRAM products for the first nine months of 2007 decreased 9% as compared to the first nine months of 2006 primarily due to a 10% decline in average selling prices.</w:t>
      </w:r>
    </w:p>
    <w:p>
      <w:pPr>
        <w:spacing w:after="0" w:line="210"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Imaging sales for the third quarter of 2007 decreased by 12% from the second quarter of 2007 primarily due to declines in average selling prices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result of industry softness in mobile handset sales and pricing pressure. Imaging sales for the third quarter of 2007 decreased by 35% as compared to the third quarter of 2006 primarily due to declines in average selling prices. Imaging sales for the first nine months of 2007 increased by 2% as compared to the first nine months of 2006 primarily due to an 11% increases in unit sales, substantially offset by declines in average selling prices. Imaging sales were 11% of the Company’s total net sales in the third and second quarters of 2007 and 16% for the third quarter of 2006.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overall gross margin percentage for the third quarter of 2007 declined as compared to the second quarter of 2007 and third quarter of 2006 primarily due to decreases in prices for substantially all of the Company’s products.</w:t>
      </w:r>
    </w:p>
    <w:p>
      <w:pPr>
        <w:spacing w:after="0" w:line="19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The Company’s gross margin for Memory for the third quarter of 2007 declined to 6% from 24% for the second quarter of 2007 primarily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declining margins for DRAM products. The gross margin for DRAM products in the third quarter of 2007 decreased from the second quarter of 2007 primarily due to a 36% decline in average selling prices mitigated by a 17% reduction in costs. The Company achieved cost reductions for DRAM products through transitions to production of devices utilizing the Company’s advanced 78nm process technologies.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ind w:right="60"/>
        <w:spacing w:after="0" w:line="257" w:lineRule="auto"/>
        <w:rPr>
          <w:sz w:val="20"/>
          <w:szCs w:val="20"/>
          <w:color w:val="auto"/>
        </w:rPr>
      </w:pPr>
      <w:r>
        <w:rPr>
          <w:rFonts w:ascii="Arial" w:cs="Arial" w:eastAsia="Arial" w:hAnsi="Arial"/>
          <w:sz w:val="18"/>
          <w:szCs w:val="18"/>
          <w:color w:val="auto"/>
        </w:rPr>
        <w:t>The gross margin for NAND Flash products in the third quarter of 2007 was relatively unchanged from the second quarter of 2007 as a 30% decline in average selling prices was mitigated by a 31% reduction in per megabit costs. Cost reductions in the third quarter of 2007 reflect lower manufacturing costs, lower costs of NAND Flash products purchased for sale under the Company’s Lexar brand and shifts in product mix. The Company achieved manufacturing cost reductions for NAND Flash products primarily through increased production of higher density, advanced geometry devices at the Company’s 300mm fabrication facilities.</w:t>
      </w:r>
    </w:p>
    <w:p>
      <w:pPr>
        <w:spacing w:after="0" w:line="21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Company’s gross margin for Memory for the third quarter of 2007 declined to 6% as compared to 22% for the third quarter of 2006 primarily due to declining margins on sales of DRAM products partially offset by improvements to margins on sales of NAND Flash products. The Company’s gross margin for Memory for the first nine months of 2007 of 19% was unchanged from the first nine months of 2006 as average selling prices and per megabit costs both declined 56%. The gross margin for DRAM products in the third quarter of 2007 declined from the third quarter of 2006, primarily due to a 40% decline in average selling prices per megabit mitigated by reductions in production costs. The gross margin for DRAM products in the first nine months of 2007 improved from the first nine months of 2006, primarily due to reductions in production costs partially offset by a decline in average selling prices of</w:t>
      </w:r>
    </w:p>
    <w:p>
      <w:pPr>
        <w:spacing w:after="0" w:line="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10%. The Company’s gross margin on NAND Flash products for the third quarter of 2007 improved from the third quarter of 2006 primarily due to significant cost reductions partially offset by a 56% decline in average selling prices. The Company’s gross margin on NAND Flash products for the first nine months of 2007 declined from the first nine months of 2006 primarily due to a 56% decline in average selling prices mitigated by significant reductions in costs.</w:t>
      </w:r>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recent periods, the Company’s TECH Semiconductor Singapore Pte. Ltd. (“TECH”) joint venture supplied approximately 15% of the total megabits of memory produced by the Company (reflecting approximately 40% of total DRAM megabits). TECH primarily produced DDR and DDR2 products in 2007 and 2006. As of the beginning of the third quarter of 2006, TECH’s results are included in the Company’s consolidated results. Through the third quarter of 2006, the Company’s results reflected memory products purchased from TECH at prices generally based on a discount from average selling prices realized by the Company for the preceding quarter. In the first six months of 2006, the Company realized higher gross margin percentages on sales of TECH products than on sales of similar products manufactured by the Company’s wholly-owned operations. Subsequent to the second quarter of 2006, the Company’s purchases from TECH are eliminated in consolidation and, as a result, TECH’s actual manufacturing costs are included in the Company’s consolidated results of operations. Since TECH utilizes the Company’s product designs and process technology and has a similar manufacturing cost structure, the gross margin on sales of TECH products since the third quarter of 2006 approximated those on sales of similar products manufactured by the Company’s wholly-owned operations. (See “Item 1. Financial Statements and Supplementary Data – Notes to Consolidated Financial Statements – Joint Ventures – TECH Semiconductor Singapore Pte. Ltd.”)</w:t>
      </w:r>
    </w:p>
    <w:p>
      <w:pPr>
        <w:spacing w:after="0" w:line="2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The Company’s gross margin for Imaging declined to 28% for the third quarter of 2007 from 35% for the second quarter of 2007 primarily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declines in average selling prices. The Company’s gross margin for Imaging declined to 28% for the third quarter of 2007 from 40% for the third quarter of 2006 primarily due to declines in average selling prices which were mitigated by shifts in product mix to higher resolution products. The Company’s gross margin for Imaging declined to 36% for the first nine months of 2007 from 43% for the first nine months of 2006 primarily due to declines in average selling prices that were mitigated by cost reductions and shifts in product mix to higher resolution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Selling, general and administrative (“SG&amp;A”) expenses for the third quarter of 2007 decreased 12% from the second quarter of 2007 primarily due to lower personnel costs and reductions in technical and professional fees. SG&amp;A expenses for the third quarter of 2007 increased 19% from the third quarter of 2006 primarily due to higher personnel costs. Personnel costs in the third quarter of 2007 increased from the third quarter of 2006 primarily due to increased headcount resulting from the acquisition of Lexar and the formation of IM Flash in the second quarter of 2006. SG&amp;A expenses for the first nine months of 2007 increased 48% from the first nine months of 2006 primarily due to higher personnel costs and a $31 million net charge to SG&amp;A in the first quarter of 2007 as a result of the settlement of certain antitrust class action (direct purchaser) lawsuits. The Company expects SG&amp;A expenses to approximate $130 million to $140 million for the fourth quarter of 2007. For the Company’s Memory segment, SG&amp;A expenses as a percentage of Memory sales were 10% in the third and second quarters of 2007 and 8% in the third quarter of 2006. For the Imaging segment, SG&amp;A expenses as a percentage of Imaging sales were 10% in the third quarter of 2007, 15% in the second quarter of 2007 and 11% in the third quarter of 2006.</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1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R&amp;D expenses for the third quarter of 2007 decreased 20% from the second quarter of 2007, principally due to a reduction in costs associated with NAND preproduction wafer processing as a result of the Company’s 8Gb NAND Flash device qualifying for production. Under a NAND Flash R&amp;D cost-sharing arrangement, the Company charged Intel $43 million in the third quarter of 2007, $82 million in the second quarter of 2007 and $35 million in the third quarter of 2006. R&amp;D expenses for the third quarter and first nine months of 2007 increased 16% and 26%, respectively, from the corresponding periods of 2006 principally due to NAND preproduction wafer processing mitigated by reimbursements received from Intel under the NAND Flash R&amp;D cost-sharing arrangement. The Company expects that its net R&amp;D costs will approximate $200 million to $220 million for the fourth quarter of 2007. For the Memory segment, R&amp;D expenses as a percentage of Memory sales were 13% in the third quarter of 2007, 16% in the second quarter of 2007 and 13% in the third quarter of 2006. For the Imaging segment, R&amp;D expenses as a percentage of Imaging sales were 31% in the third quarter of 2007, 27% in the second quarter of 2007 and 9% in the third quarter of 2006.</w:t>
      </w:r>
    </w:p>
    <w:p>
      <w:pPr>
        <w:spacing w:after="0" w:line="20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specialty memory products (including PSRAM, mobile SDRAM and reduced latency DRAM) and new manufacturing materials. Product design and development efforts are concentrated on the Company’s 1 Gb and 2 Gb DDR, DDR2 and DDR3 products as well as high density and mobile NAND Flash memory (including multi-level cell technology), CMOS image sensors and specialty memory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operating income for the third quarter of 2007 includes $15 million from gains on disposals of semiconductor equipment and $7 million in grants received in connection with the Company’s operations in China. Other operating income for the first nine months of 2007 includes $25 million from gains on disposals of semiconductor equipment, a gain of $30 million from the sale of certain intellectual property to Toshiba Corporation and $7 million in grants received in connection with the Company’s operations in China. Other operating income for the first nine months of 2006 includes $230 million of net proceeds from Intel Corporation for the sale of the Company’s existing NAND Flash memory designs and certain related technology and the Company’s acquisition of a perpetual, paid-up license to use and modify such designs.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taxes for 2007 and 2006 primarily reflect taxes on the Company’s non-U.S. operations and U.S. alternative minimum tax. The Company has a valuation allowance for its net deferred tax asset associated with its U.S. operations. The provision for taxes on U.S. operations in 2007 and 2006 was substantially offset by a reduction in the valuation allowance. As of May 31, 2007, the Company had aggregate U.S. tax net operating loss carryforwards of $1.9 billion and unused U.S. tax credit carryforwards of $199 million. The Company also had unused state tax net operating loss carryforwards of $1.5 billion and unused state tax credits of $170 million. Substantially all of the net operating loss carryforwards expire in 2022 to 2025 and substantially all of the tax credit carryforwards expire in 2013 to 2026.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Net (Income) Loss</w:t>
      </w:r>
    </w:p>
    <w:p>
      <w:pPr>
        <w:spacing w:after="0" w:line="25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Noncontrolling interests for 2007 and 2006 primarily reflects the share of income or losses of the Company’s TECH joint venture attributable to the noncontrolling interests in TECH. On March 30, 2007, the Company acquired all of the shares of TECH common stock held by the Singapore Economic Development Board for approximately $290 million, reducing the noncontrolling interests in TECH as of that date from 57% to 27%.</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Total compensation cost for the Company’s equity plans was $10 million for the third quarter of 2007, $10 million for the second quarter of 2007 and $8 million for the third quarter of 2006. As of May 31, 2007, $2 million of stock compensation costs were capitalized and remained in inventory. As of May 31, 2007, there was $127 million of total unrecognized compensation cost related to equity plans, which is expected to be recognized through the third quarter of 2011. In 2005, the Company accelerated the vesting of substantially all of its unvested stock options then outstanding under the Company’s stock plans to reduce compensation costs recognized subsequent to the adoption in 2006 of Statement of Financial Accounting Standards (“SFAS”) No. 123(R), “Share-Based Payment.” Because the Company’s stock-based compensation costs were reduced by the effect of the acceleration of vesting in 2005, the Company expects that stock-based compensation costs will continue to grow in future periods.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liquidity is highly dependent on average selling prices for its products and the timing of capital expenditures, both of which can vary significantly from period to period. As of May 31, 2007, the Company had cash and equivalents and short-term investments totaling $2.9 billion compared to $3.1 billion as of August 31, 2006. The balance as of May 31, 2007, included an aggregate of $367 million held at, and anticipated to be used in the near term by, IM Flash and TECH.</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For the first nine months of 2007, the Company generated $793 million of cash from operating activities, which principally reflects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$162 million of net loss adjusted by $1.2 billion for non-cash depreciation and amortization expense. Net cash provided by operating activities was net of the effects of an increase of $487 million in inventories primarily due to increases in production, growth in output that exceeded growth in demand for the Company’s Memory products and, with respect to Imaging, industry softness in the mobile handset market.</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For the first nine months of 2007, net cash used by investing activities was $1.5 billion, which included cash expenditures for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plant and equipment of $2.9 billion partially offset by the net effect of purchases, sales and maturities of investment securities of $1.4 billion. A significant portion of the capital expenditures relate to the ramp of IM Flash facilities and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expects capital spending for 2007 to approximate $4 billion. The Company currently anticipates 2008 capital spending to be between $2 billion and $3 billion, of which approximately $2 billion is targeted for 300mm fabrication facilities, including $1.5 billion at IM Flash facilities. As of May 31, 2007, the Company had commitments of approximately $1.0 billion for the acquisition of property, plant and equipment, nearly all of which are expected to be paid within one year.</w:t>
      </w:r>
    </w:p>
    <w:p>
      <w:pPr>
        <w:spacing w:after="0" w:line="20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December 11, 2006, the Company acquired the CMOS image sensor business of Avago Technologies Limited for approximately $53 million in cash, plus additional contingent payments up to $17 million if certain milestones are met. The Company made payments of $55 million in the first nine months of 2007 in connection with this acquisition.</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30, 2007, the Company acquired all of the shares of TECH common stock held by the Singapore Economic Development Board for approximately $290 million payable over nine months, increasing its ownership interest in TECH from 43% to 73%. As of May 31, 2007, $214 million remained in notes payable.</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For the first nine months of 2007, net cash provided by financing activities was $2.0 billion. In May 2007, the Company issued $1.3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of 1.875% Convertible Senior Notes due June 1, 2014 (the “Senior Notes”). The issuance costs associated with the Senior Notes totaled $26 million. In connection with the offering of the Senior Notes, the Company also entered into capped call transactions (“Capped Calls”) with the intent to reduce the potential dilution upon conversion of the Senior Notes. Micron paid approximately $151 million from the net proceeds from the issuance and sale of the Senior Notes to purchase the Capped Calls. See “Item 1. Financial Statements and Supplementary Data – Notes to Consolidated Financial Statements – Supplemental Balance Sheet Information – Debt” and “Supplemental Balance Sheet Information – Capped Call Transactions.”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both"/>
        <w:ind w:right="180"/>
        <w:spacing w:after="0" w:line="264" w:lineRule="auto"/>
        <w:rPr>
          <w:sz w:val="20"/>
          <w:szCs w:val="20"/>
          <w:color w:val="auto"/>
        </w:rPr>
      </w:pPr>
      <w:r>
        <w:rPr>
          <w:rFonts w:ascii="Arial" w:cs="Arial" w:eastAsia="Arial" w:hAnsi="Arial"/>
          <w:sz w:val="18"/>
          <w:szCs w:val="18"/>
          <w:color w:val="auto"/>
        </w:rPr>
        <w:t>For the first nine months of 2007, the Company also received $974 million in capital contributions from joint venture partners and $358 million in proceeds from equipment financing arrangements, payable in periodic installments over 5 years. The Company made an aggregate of $552 million in scheduled debt payments and payments on equipment purchase contracts in the first nine months of 2007.</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Company’s TECH joint venture has a credit facility that enables it to borrow up to $380 million in future periods to fund its capital expenditures.</w:t>
      </w:r>
    </w:p>
    <w:p>
      <w:pPr>
        <w:spacing w:after="0" w:line="26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9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As of May 31, 2007, IM Flash had $172 million of cash and marketable investment securities. IM Flash’s cash and marketable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are not anticipated to be made available to finance the Company’s other operations. Subject to certain conditions, the Company expects to make additional contributions to IM Flash of approximately $2 billion over the next three years, with similar contributions to be made by Intel. The Company anticipates additional investments as appropriate to support the growth of IM Flash’s operations.</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May 31, 2007, TECH had $195 million of cash and marketable investment securities. TECH’s cash and marketable investment securities are not anticipated to be made available to finance the Company’s other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and Supplementary Data – Notes to Consolidated Financial Statements – Joint Ventures.”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As of May 31, 2007, contractual obligations for notes payable, capital lease obligations and operating leases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w w:val="90"/>
              </w:rPr>
              <w:t>Remainder</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2012 and</w:t>
            </w:r>
          </w:p>
        </w:tc>
      </w:tr>
      <w:tr>
        <w:trPr>
          <w:trHeight w:val="241"/>
        </w:trPr>
        <w:tc>
          <w:tcPr>
            <w:tcW w:w="28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of 2007</w:t>
            </w: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thereafter</w:t>
            </w:r>
          </w:p>
        </w:tc>
      </w:tr>
      <w:tr>
        <w:trPr>
          <w:trHeight w:val="216"/>
        </w:trPr>
        <w:tc>
          <w:tcPr>
            <w:tcW w:w="28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(amounts in millions)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7"/>
              </w:rPr>
              <w:t>Notes payable (including interest)   $</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48</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2007, in connection with the offering of the Senior Notes, the Company paid approximately $151 million for the Capped Calls. The Capped Calls cover approximately 91.3 million shares of common stock in total. The Capped Calls are in three equal tranches with cap prices of $17.25, $20.13 and $23.00 per share, respectively, each with an initial strike price of approximately $14.23 per share, subject to certain adjustments. The Capped Calls expire on various dates between November 2011 and December 2012.</w:t>
      </w:r>
    </w:p>
    <w:p>
      <w:pPr>
        <w:spacing w:after="0" w:line="21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See “Item 1. Financial Statements and Supplementary Data – Notes to Consolidated Financial Statements – Supplemental Balance Sheet Information – Capped Call Transactions.”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Standards</w:t>
      </w:r>
    </w:p>
    <w:p>
      <w:pPr>
        <w:spacing w:after="0" w:line="2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2007, the Financial Accounting Standards Board (“FASB”) issued Statement of Financial Accounting Standards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may adopt SFAS No. 159 at the beginning of 2008. The impact of the adoption of SFAS No. 159 will be dependent on the extent to which the Company elects to measure eligible items at fair value.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ind w:right="20"/>
        <w:spacing w:after="0" w:line="264" w:lineRule="auto"/>
        <w:rPr>
          <w:sz w:val="20"/>
          <w:szCs w:val="20"/>
          <w:color w:val="auto"/>
        </w:rPr>
      </w:pPr>
      <w:r>
        <w:rPr>
          <w:rFonts w:ascii="Arial" w:cs="Arial" w:eastAsia="Arial" w:hAnsi="Arial"/>
          <w:sz w:val="18"/>
          <w:szCs w:val="18"/>
          <w:color w:val="auto"/>
        </w:rPr>
        <w:t>In September 2006, the SEC staff issued Staff Accounting Bulletin (“SAB”) No. 108, “Considering the Effects of Prior Year Misstatements when Quantifying Misstatements in Current Year Financial Statements.” The Company is required to adopt SAB No. 108 by the end of 2007 and does not expect the adoption to have a material impact on the Company’s financial position or results of operations.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2006, the FASB issued SFAS No. 158, “Employers’ Accounting for Defined Benefit Pension and Other Postretirement Plans - an amendment of FASB Statements No. 87, 88, 106, and 132(R).” Under SFAS No. 158, the Company is required to initially recognize the funded status of a defined benefit postretirement plan and to provide the required disclosures as of the end of 2007. The Company does not expect the adoption of SFAS No. 158 to have a material impact on its financial position or results of operations.</w:t>
      </w:r>
    </w:p>
    <w:p>
      <w:pPr>
        <w:spacing w:after="0" w:line="21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SFAS No. 157 effective at the beginning of 2009.</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is evaluating the impact this statement will have on its consolidated financial statements.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May 31, 2007, the Company did not have any hybrid financial instruments subject to the fair value election under SFAS No. 155. The Company is required to adopt SFAS No. 155 effective at the beginning of 2008.</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May 2005, the FASB issued SFAS No. 154, “Accounting Changes and Error Corrections.” SFAS No. 154 changes the requirements for the accounting for and reporting of a change in accounting principle. The Company adopted SFAS No. 154 at the beginning of 2007. The adoption of SFAS No. 154 did not impact the Company’s results of operations and financial condition.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2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Acquisitions and consolidations: </w:t>
      </w:r>
      <w:r>
        <w:rPr>
          <w:rFonts w:ascii="Arial" w:cs="Arial" w:eastAsia="Arial" w:hAnsi="Arial"/>
          <w:sz w:val="18"/>
          <w:szCs w:val="18"/>
          <w:color w:val="auto"/>
        </w:rPr>
        <w:t>Determination and the allocation thereof of the purchase price of acquired operations significantly influences the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costs are recognized. Accounting for acquisitions and consolidations requires the Company to estimate the fair value of the individual assets and liabilities acquired as well as various forms of consideration given. The Company typically obtains independent third party valuation studies to assist in determining fair values, including assistance in determining future cash flows, appropriate discount rates and comparable market values. The estimation of the fair values of consideration given and assets and liabilities acquired involves a number of judgments, assumptions and estimates that could materially affect the amount and timing of costs recognized.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1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The Company tests goodwill for impairment annually and whenever events or circumstances make it more likely than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an impairment may have occurred, such as a significant adverse change in the business climate or a decision to sell or dispose of a reporting</w:t>
      </w:r>
    </w:p>
    <w:p>
      <w:pPr>
        <w:ind w:right="80"/>
        <w:spacing w:after="0" w:line="252" w:lineRule="auto"/>
        <w:rPr>
          <w:sz w:val="20"/>
          <w:szCs w:val="20"/>
          <w:color w:val="auto"/>
        </w:rPr>
      </w:pPr>
      <w:r>
        <w:rPr>
          <w:rFonts w:ascii="Arial" w:cs="Arial" w:eastAsia="Arial" w:hAnsi="Arial"/>
          <w:sz w:val="18"/>
          <w:szCs w:val="18"/>
          <w:color w:val="auto"/>
        </w:rPr>
        <w:t>unit. Determining whether impairment has occurred requires valuation of the respective reporting unit. If the analysis indicates goodwill is impaired, measuring the impairment requires a fair value estimate of each identified tangible and intangible asset. 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2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9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 circumstances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4" w:name="page25"/>
    <w:bookmarkEnd w:id="24"/>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incurred. Determining when product development is complete requires judgment by the Company. The Company deems development of a product complete once the product has been thoroughly reviewed and tested for performance and reliability.</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2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from historical data. For stock based compensation awards with graded vesting that were granted after 2005, the Company recognizes compensation expense using the straight-line amortization method.</w:t>
      </w: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611"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of May 31, 2007, $2,251 million of the Company’s $2,324 million in total debt was at fixed interest rates. As a result, the fair value of the debt fluctuates based on changes in market interest rates. The estimated fair market value of the Company’s debt was $2,388 million as of May 31, 2007. The difference between the estimated fair value of the Company’s debt and its recorded value is primarily attributable to the Company’s convertible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Risk Factors.” Changes in foreign currency exchange rates could materially adversely affect the Company’s results of operations or financial condition.</w:t>
      </w:r>
    </w:p>
    <w:p>
      <w:pPr>
        <w:spacing w:after="0" w:line="2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aggregate cash and other assets in foreign currencies valued at U.S. $422 million as of May 31, 2007, and U.S. $425 million as of August 31, 2006 (including cash and equivalents denominated in yen valued at U.S. $183 million as of May 31, 2007 and U.S. $222 million as of August 31, 2006; cash and equivalents denominated in Singapore dollars valued at U.S. $68 million as of May 31, 2007 and U.S. $42 million as of August 31, 2006; and deferred income tax assets denominated in yen valued at U.S. $64 million as of May 31, 2007, and U.S. $64 million as of August 31, 2006). The Company also held aggregate foreign currency liabilities valued at U.S. $842 million as of May 31, 2007, and U.S. $615 million as of August 31, 2006 (including debt denominated in Singapore dollars valued at U.S. $258 million as of May 31, 2007, and U.S. $38 million as of August 31, 2006; debt denominated in yen valued at U.S. $158 million as of May 31, 2007, and U.S. $228 million as of August 31, 2006; accounts payable and accrued expenses denominated in yen valued at U.S. $148 million as of May 31, 2007, and U.S. $124 million as of August 31, 2006; and accounts payable and accrued expenses denominated in euros valued at U.S. $96 million as of May 31, 2007, and U.S. $68 million as of August 31, 2006). Foreign currency receivables and payables as of May 31, 2007, were comprised primarily of yen, euros and Singapore dollars. The Company estimates that, based on its assets and liabilities denominated in currencies other than U.S. dollar as of May 31, 2007, a 1% change in the exchange rate versus the U.S. dollar would result in foreign currency gains or losses of approximately U.S. $2 million for the Singapore dollar and U.S. $1 million for the euro and the yen.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and principal financial officer, as appropriate, to allow timely decision regarding disclosure.</w:t>
      </w:r>
    </w:p>
    <w:p>
      <w:pPr>
        <w:spacing w:after="0" w:line="1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w:t>
      </w:r>
    </w:p>
    <w:p>
      <w:pPr>
        <w:spacing w:after="0" w:line="4"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Additionally, other suits are pending alleging that certain of our DDR SDRAM products infringe Rambus’ country counterparts to its European patent 1</w:t>
      </w:r>
    </w:p>
    <w:p>
      <w:pPr>
        <w:spacing w:after="0" w:line="32" w:lineRule="exact"/>
        <w:rPr>
          <w:rFonts w:ascii="Arial" w:cs="Arial" w:eastAsia="Arial" w:hAnsi="Arial"/>
          <w:sz w:val="16"/>
          <w:szCs w:val="16"/>
          <w:color w:val="auto"/>
        </w:rPr>
      </w:pPr>
    </w:p>
    <w:p>
      <w:pPr>
        <w:ind w:right="20" w:firstLine="8"/>
        <w:spacing w:after="0" w:line="292" w:lineRule="auto"/>
        <w:tabs>
          <w:tab w:leader="none" w:pos="315" w:val="left"/>
        </w:tabs>
        <w:numPr>
          <w:ilvl w:val="0"/>
          <w:numId w:val="4"/>
        </w:numPr>
        <w:rPr>
          <w:rFonts w:ascii="Arial" w:cs="Arial" w:eastAsia="Arial" w:hAnsi="Arial"/>
          <w:sz w:val="16"/>
          <w:szCs w:val="16"/>
          <w:color w:val="auto"/>
        </w:rPr>
      </w:pPr>
      <w:r>
        <w:rPr>
          <w:rFonts w:ascii="Arial" w:cs="Arial" w:eastAsia="Arial" w:hAnsi="Arial"/>
          <w:sz w:val="16"/>
          <w:szCs w:val="16"/>
          <w:color w:val="auto"/>
        </w:rPr>
        <w:t>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 On January 13, 2006, Rambus filed a lawsuit against the Company in the U.S. District Court for the Northern District of California alleging infringement of eighteen Rambus patents.</w:t>
      </w:r>
    </w:p>
    <w:p>
      <w:pPr>
        <w:spacing w:after="0" w:line="19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October 3, 2006, the Massachusetts Institute of Technology (“MIT”) filed suit against the Company in the U.S. District Court for the District of Massachusetts alleging infringement of a single MIT patent.</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two additional Mosaid patents. On October 23, 2006, the California Court dismissed the Company’s declaratory judgment suit based on lack of jurisdiction. The Company is appealing that decision to the U.S. Court of Appeals for the Federal Circuit.</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RLDRAM, and image sensor products, which account for a significant portion of the Company’s net sales.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214"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7" w:name="page28"/>
    <w:bookmarkEnd w:id="27"/>
    <w:p>
      <w:pPr>
        <w:ind w:right="40"/>
        <w:spacing w:after="0" w:line="268"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June 1, 2007, the Court granted in part and denied in part the Company’s motion to dismiss the consolidated complaint. Plaintiffs have subsequently sought leave from the Court to file an amended complaint.</w:t>
      </w:r>
    </w:p>
    <w:p>
      <w:pPr>
        <w:spacing w:after="0" w:line="2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various states, through their Attorneys General, have filed suit against the Company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w:t>
      </w:r>
    </w:p>
    <w:p>
      <w:pPr>
        <w:spacing w:after="0" w:line="2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w:t>
      </w:r>
    </w:p>
    <w:p>
      <w:pPr>
        <w:ind w:right="80"/>
        <w:spacing w:after="0" w:line="254" w:lineRule="auto"/>
        <w:rPr>
          <w:sz w:val="20"/>
          <w:szCs w:val="20"/>
          <w:color w:val="auto"/>
        </w:rPr>
      </w:pPr>
      <w:r>
        <w:rPr>
          <w:rFonts w:ascii="Arial" w:cs="Arial" w:eastAsia="Arial" w:hAnsi="Arial"/>
          <w:sz w:val="18"/>
          <w:szCs w:val="18"/>
          <w:color w:val="auto"/>
        </w:rPr>
        <w:t>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8" w:name="page29"/>
    <w:bookmarkEnd w:id="28"/>
    <w:p>
      <w:pPr>
        <w:ind w:right="140"/>
        <w:spacing w:after="0" w:line="276" w:lineRule="auto"/>
        <w:rPr>
          <w:sz w:val="20"/>
          <w:szCs w:val="20"/>
          <w:color w:val="auto"/>
        </w:rPr>
      </w:pPr>
      <w:r>
        <w:rPr>
          <w:rFonts w:ascii="Arial" w:cs="Arial" w:eastAsia="Arial" w:hAnsi="Arial"/>
          <w:sz w:val="17"/>
          <w:szCs w:val="17"/>
          <w:color w:val="auto"/>
        </w:rPr>
        <w:t>In the first calendar half of 2007, at least twenty-two purported class action lawsuits were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20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1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w:t>
      </w:r>
    </w:p>
    <w:p>
      <w:pPr>
        <w:spacing w:after="0" w:line="21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w:t>
      </w:r>
    </w:p>
    <w:p>
      <w:pPr>
        <w:spacing w:after="0" w:line="5"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Company. However, the Company may be required, throughout the pendency of the action, to advance payment of legal fees and costs incurred by the defendants. On May 29, 2007, the Court granted the Company's motion to dismiss the complaint but provided plaintiffs leave to file an amended complaint. On June 29, 2007, plaintiffs filed an amended complaint.</w:t>
      </w:r>
    </w:p>
    <w:p>
      <w:pPr>
        <w:spacing w:after="0" w:line="2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The Company is unable to predict the outcome of these suits. A court determination against the Company could result in significant liability and could have a material adverse effect on the Company’s business, results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ind w:right="740"/>
        <w:spacing w:after="0" w:line="277" w:lineRule="auto"/>
        <w:rPr>
          <w:sz w:val="20"/>
          <w:szCs w:val="20"/>
          <w:color w:val="auto"/>
        </w:rPr>
      </w:pPr>
      <w:r>
        <w:rPr>
          <w:rFonts w:ascii="Arial" w:cs="Arial" w:eastAsia="Arial" w:hAnsi="Arial"/>
          <w:sz w:val="18"/>
          <w:szCs w:val="18"/>
          <w:color w:val="auto"/>
        </w:rPr>
        <w:t>operations or financial condition. (See “PART I. FINANCIAL INFORMATION – Item 1. Financial Statements and Supplementary Data – Notes to Consolidated Financial Statements – Lexar Media,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9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third quarter of 2007, average selling prices for DRAM products and NAND Flash products decreased 36% and 30%, respectively, as compared to the second quarter of 2007. In recent years, we have also experienced annual decreases in per megabit average selling prices for our memory products including: 34% in 2006, 24% in 2005, 17% in 2003, 53% in 2002 and 60% in 2001. At times, average selling prices for our memory products have been below our costs. If average selling prices for our memory products decrease faster than we can decrease per megabit costs, as they recently have, our business, results of operations or financial condition could be materially adversely affected.</w:t>
      </w:r>
    </w:p>
    <w:p>
      <w:pPr>
        <w:spacing w:after="0" w:line="21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Increased worldwide semiconductor memory production or lack of demand for semiconductor memory could lead to further declines in average selling prices.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announced plans to increase production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these costs at historical rates due to strategic product diversification decisions affecting product mix, the ever increasing complexity of manufacturing processes, changes in process technologies or products which inherently may require relatively larger die sizes. Per unit manufacturing costs may also be affected by the relatively smaller production quantities and shorter product lifecycles of Imaging and certain specialty memory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plans to significantly increase our NAND Flash memory production and sales have numerous risks.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plan to significantly increase our NAND Flash production and sales in future periods. As part of this plan, we have formed several manufacturing joint ventures with Intel and made substantial investments in capital expenditures for equipment and new facilities as well as research and development. Our plans also require significant future investments in capital expenditures and research and development. We currently expect our capital spending for 2008 to be between $2 and $3 billion, with a majority of the expenditures being made to support our NAND operations. These investments involve numerous risks. In addition we are required to devote a significant portion of our existing semiconductor manufacturing capacity to the production of NAND Flash instead of the Company's other products. We are party to a contract with Apple Inc. to provide NAND Flash products for an extended period of time at contractually determined prices. We currently have a relatively small share of the world-wide market for NAND Flash.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NAND Flash strategy involves numerous risks, and may include the following: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NAND Flash;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debt to finance future investments;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diverting management’s attention from DRAM and CMOS image sensor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NAND Flash strategy may not be successful and could materially adversely affect our business, results of operations or financial condition.</w:t>
      </w:r>
    </w:p>
    <w:p>
      <w:pPr>
        <w:spacing w:after="0" w:line="24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9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Imaging business represented 11% of our net sales in the third quarter of 2007. Despite growth in 2006, Imaging net sales and gross margins were down significantly in the third quarter of 2007 compared to the second quarter of 2007. There can be no assurance that we will be able to grow or maintain our market share or gross margins for Imaging products in the future. The success of our Imaging business will depend on a number of factors, including:</w:t>
      </w:r>
    </w:p>
    <w:p>
      <w:pPr>
        <w:spacing w:after="0" w:line="174" w:lineRule="exact"/>
        <w:rPr>
          <w:sz w:val="20"/>
          <w:szCs w:val="20"/>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cash flows from operations depend primarily on the volume of semiconductor memory and CMOS image sensors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expect capital spending for 2007 to approximate $4 billion. We currently anticipate 2008 capital spending to be between $2 billion and $3 billion. Cash and investments of IM Flash and TECH are generally not available to finance our other operations. In addition to cash provided by operations, we have from time to time utilized external sources of financing. Access to capital markets has historically been very important to us. Depending on market conditions, we may issue registered or unregistered securities to raise capital to fund a portion of our operations. There can be no assurance that we will be able to generate sufficient cash flows to fund our operations, make adequate capital investments or access capital markets on acceptable terms, and an inability to do so could have a material adverse effect on our business and results of operations.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The semiconductor industry is highly competitive.</w:t>
      </w:r>
    </w:p>
    <w:p>
      <w:pPr>
        <w:spacing w:after="0" w:line="2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2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realize the expected benefits of new initiatives to drive greater cost efficiencies and revenue growth across our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On June 28, 2007, we announced that we are pursuing a number of initiatives to drive greater cost efficiencies and revenue growth across our</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operations. These initiatives include developing production cost efficiencies closer in location to our global customers, evaluating functions more efficiently performed through partnerships or other outside relationships and reducing our overhead costs to meet or exceed industry benchmarks. We are also exploring opportunities to leverage our industry-leading technology and diversified product portfolio to accelerate revenue growth and increase shareholder value. We anticipate that these initiatives will be implemented over several quarters. We may not realize the expected benefits of these new initiatives. As a result of these initiatives, we expect to incur restructuring or other infrequent charges and we may experience disruptions in our operations, loss of key personnel and difficulties in delivering products timely.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integrating the operations of Lexar.</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we are unable to successfully combine and integrate the Lexar operations, we may not be able to realize many of the anticipated benefits of the merger, which could harm our results of operations. In order to realize the benefits of the merger, we will need to timely integrate the technology, operations, and personnel of Lexar. Integrating the two companies will be a complex, time-consuming and expensive process that, even with proper planning and implementation, could significantly disrupt the businesses of Micron and Lexar. The challenges involved in this integration include: combining product and service offerings, optimizing inventory management over a broader distribution chain, and preserving customer, supplier and other important relationships of both Micron and Lexar. If we are not able to successfully integrate our operations with those of Lexar, our results of operations could be materially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could be adversely affected by material weaknesses in Lexar's internal controls.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Lexar's Annual Report on Form 10-K for the period ended December 31, 2005, and its Quarterly Report on Form 10-Q for the period ended March 31, 2006, Lexar reported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and Quarterly Report that its internal control over financial reporting was not effective as of the end of the periods covered by the reports. While prior to the close of the merger Lexar continued to take steps to remediate these material weaknesses, there can be no assurance that we will be able to completely remediate these material weaknesses such that we will be able to conclude that our internal control over financial reporting is effective. We began consolidating the financial results of Lexar on June 22, 2006. However, due to the timing of the acquisition, the internal control over financial reporting relating to Lexar was exempt from testing and evaluation for 2006. To the extent we do not remediate the material weaknesses, the effectiveness of our internal control over financial reporting may be adversely affected.</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Our net operating loss carryforwards may be limited as a result of the Lexar merger.</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Micron and Lexar had net operating loss carryforwards for federal income tax purposes prior to the merger and both entities had provided significant valuation allowances against the tax benefit of such losses as well as certain tax credit carryforwards. Utilization of these net operating losses and credit carryforwards are dependent upon us achieving profitable results following the Lexar merger. As a consequence of the merger, as well as earlier issuances of common stock consummated by both companies and business combinations by the Company, utilization of the tax benefits of these carryforwards are subject to limitations imposed by Section 382 of the Internal Revenue Code. The determination of the limitations is complex and requires significant judgment and analysis of past transactions. Accordingly, some portion or all of these carryforwards may not be available to offset any future taxable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resellers receive price protections which may have an adverse affect on our gross margins.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NAND Flash sales are made through resellers which traditionally have been provided price protection. In an environment of slower demand and abundant supply of products, price declines and channel promotions expenses are more likely to occur. Further, in this environment, high channel inventory may result in substantial price protection charges. These price protection charges have the effect of reducing gross sales and gross margin. We expect to continue to incur price protection charges for the foreseeable future due to competitive pricing pressures and, as a result, our revenues and gross margins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6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estimate that, based on our assets and liabilities denominated in currencies other than U.S. dollar as of May 31, 2007, a 1% change in the exchange rate versus the U.S. dollar would result in foreign currency gains or losses of approximately U.S. $2 million for the Singapore dollar and U.S. $1 million for the euro and the yen. In the event that the U.S. dollar weakens significantly compared to the euro, yen or Singapore dollar, our results of operations or financial condition will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ind w:right="80"/>
        <w:spacing w:after="0" w:line="267" w:lineRule="auto"/>
        <w:rPr>
          <w:sz w:val="20"/>
          <w:szCs w:val="20"/>
          <w:color w:val="auto"/>
        </w:rPr>
      </w:pPr>
      <w:r>
        <w:rPr>
          <w:rFonts w:ascii="Arial" w:cs="Arial" w:eastAsia="Arial" w:hAnsi="Arial"/>
          <w:sz w:val="17"/>
          <w:szCs w:val="17"/>
          <w:color w:val="auto"/>
        </w:rPr>
        <w:t>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On January 13, 2006, Rambus filed a lawsuit against us in the U.S. District Court for the Northern District of California alleging infringement of eighteen Rambus patents. We are also engaged in litigation with the Massachusetts Institute of Technology (“MIT”). On October 3, 2006, the Massachusetts Institute of Technology (“MIT”) filed suit against us in the U.S. District Court for the District of Massachusetts alleging infringement of a single MIT patent.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25, 2006, Mosaid filed a lawsuit against us and others in the U.S. District Court for the Eastern District of Texas alleging infringement of nine Mosaid patents. On August 31, 2006, Mosaid filed an amended complaint adding two additional Mosaid patents. On October 23, 2006, the California Court dismissed our declaratory judgment suit based on lack of jurisdiction. We are appealing that decision to the U.S. Court of Appeals for the Federal Circuit.</w:t>
      </w:r>
    </w:p>
    <w:p>
      <w:pPr>
        <w:spacing w:after="0" w:line="2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Among other things, the above lawsuits pertain to certain of our SDRAM, DDR SDRAM, DDR2 SDRAM, RLDRAM, and image sensor products, which account for a significant portion of our net sales.</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9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us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April</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100"/>
        <w:spacing w:after="0" w:line="257" w:lineRule="auto"/>
        <w:rPr>
          <w:sz w:val="20"/>
          <w:szCs w:val="20"/>
          <w:color w:val="auto"/>
        </w:rPr>
      </w:pPr>
      <w:r>
        <w:rPr>
          <w:rFonts w:ascii="Arial" w:cs="Arial" w:eastAsia="Arial" w:hAnsi="Arial"/>
          <w:sz w:val="18"/>
          <w:szCs w:val="18"/>
          <w:color w:val="auto"/>
        </w:rPr>
        <w:t>1999 through at least June 2002.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June 1, 2007, the Court granted in part and denied in part our motion to dismiss the consolidated complaint. Plaintiffs have subsequently sought leave from the Court to file an amended complaint.</w:t>
      </w:r>
    </w:p>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20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various states, through their Attorneys General, have filed suit against us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w:t>
      </w:r>
    </w:p>
    <w:p>
      <w:pPr>
        <w:spacing w:after="0" w:line="2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February and March 2007, three cases were filed against the Company and other manufacturers of DRAM in the U.S. District Court for the Northern District of California by parties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with the DOJ in its investigation of the SRAM industry.</w:t>
      </w:r>
    </w:p>
    <w:p>
      <w:pPr>
        <w:spacing w:after="0" w:line="208" w:lineRule="exact"/>
        <w:rPr>
          <w:sz w:val="20"/>
          <w:szCs w:val="20"/>
          <w:color w:val="auto"/>
        </w:rPr>
      </w:pPr>
    </w:p>
    <w:p>
      <w:pPr>
        <w:ind w:right="46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us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w:t>
      </w:r>
    </w:p>
    <w:p>
      <w:pPr>
        <w:ind w:right="120"/>
        <w:spacing w:after="0" w:line="254" w:lineRule="auto"/>
        <w:rPr>
          <w:sz w:val="20"/>
          <w:szCs w:val="20"/>
          <w:color w:val="auto"/>
        </w:rPr>
      </w:pPr>
      <w:r>
        <w:rPr>
          <w:rFonts w:ascii="Arial" w:cs="Arial" w:eastAsia="Arial" w:hAnsi="Arial"/>
          <w:sz w:val="18"/>
          <w:szCs w:val="18"/>
          <w:color w:val="auto"/>
        </w:rPr>
        <w:t>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the first calendar half of 2007, at least twenty-two purported class action lawsuits were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us and other DRAM</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right="360"/>
        <w:spacing w:after="0" w:line="277" w:lineRule="auto"/>
        <w:rPr>
          <w:sz w:val="20"/>
          <w:szCs w:val="20"/>
          <w:color w:val="auto"/>
        </w:rPr>
      </w:pPr>
      <w:r>
        <w:rPr>
          <w:rFonts w:ascii="Arial" w:cs="Arial" w:eastAsia="Arial" w:hAnsi="Arial"/>
          <w:sz w:val="18"/>
          <w:szCs w:val="18"/>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violations of securities laws.</w:t>
      </w:r>
    </w:p>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and for our benefit, against certain of our current and former officers and directors. We were also named as a nominal defendant. An amended complaint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filed on August 23, 2006. The complaint is based on the same allegations of fact as in the securities class actions filed in the U.S. District Court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District of Idaho and alleges breach of fiduciary duty, abuse of control, gross mismanagement, waste of corporate assets, unjust enrichment, and insider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trading. The complaint seeks unspecified damages, restitution, disgorgement of profits, equitable and injunctive relief, attorneys' fees, costs,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The complaint is derivative in nature and does not seek monetary damages from us. However, we may be required, throughout the pendency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 to advance payment of legal fees and costs incurred by the defendants. On May 29, 2007, the Court granted the our motion to dismiss the complaint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but provided plaintiffs leave to file an amended complaint. On June 29, 2007, plaintiffs filed an amended complaint.</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March 2006, following our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our motions to dismiss the amended complaint but allowed plaintiffs leave to file a further amended complaint.</w:t>
      </w:r>
    </w:p>
    <w:p>
      <w:pPr>
        <w:spacing w:after="0" w:line="2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political conditions may harm our business.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21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9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Sales to customers outside the United States approximated 70% of our consolidated net sales for the third quarter of 2007. In addition, we have manufacturing operations in Italy, Japan, Puerto Rico and Singapore. Our international sales and operations are subject to a variety of risks, including: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6" w:name="page37"/>
    <w:bookmarkEnd w:id="36"/>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 Flash,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5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expect to make future acquisitions where we believe it is advisable to enhance shareholder value. Acquisitions involve numerous risks, including:</w:t>
      </w:r>
    </w:p>
    <w:p>
      <w:pPr>
        <w:spacing w:after="0" w:line="275" w:lineRule="exact"/>
        <w:rPr>
          <w:sz w:val="20"/>
          <w:szCs w:val="20"/>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607" w:right="6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2007, the Company did not acquire any shares of its common stock.</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120" w:type="dxa"/>
            <w:vAlign w:val="bottom"/>
          </w:tcPr>
          <w:p>
            <w:pPr>
              <w:spacing w:after="0"/>
              <w:rPr>
                <w:sz w:val="20"/>
                <w:szCs w:val="20"/>
                <w:color w:val="auto"/>
              </w:rPr>
            </w:pPr>
          </w:p>
        </w:tc>
        <w:tc>
          <w:tcPr>
            <w:tcW w:w="9500" w:type="dxa"/>
            <w:vAlign w:val="bottom"/>
          </w:tcPr>
          <w:p>
            <w:pPr>
              <w:spacing w:after="0"/>
              <w:rPr>
                <w:sz w:val="20"/>
                <w:szCs w:val="20"/>
                <w:color w:val="auto"/>
              </w:rPr>
            </w:pPr>
          </w:p>
        </w:tc>
      </w:tr>
      <w:tr>
        <w:trPr>
          <w:trHeight w:val="441"/>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96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4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500" w:type="dxa"/>
            <w:vAlign w:val="bottom"/>
            <w:shd w:val="clear" w:color="auto" w:fill="000000"/>
          </w:tcPr>
          <w:p>
            <w:pPr>
              <w:spacing w:after="0"/>
              <w:rPr>
                <w:sz w:val="2"/>
                <w:szCs w:val="2"/>
                <w:color w:val="auto"/>
              </w:rPr>
            </w:pPr>
          </w:p>
        </w:tc>
      </w:tr>
      <w:tr>
        <w:trPr>
          <w:trHeight w:val="418"/>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1.1</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w w:val="99"/>
              </w:rPr>
              <w:t>Underwriting Agreement, dated as of May 17, 2007, by and between Micron Technology, Inc. and Morgan Stanley &amp; Co.</w:t>
            </w: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Incorporated, as representative of the underwriters (1)</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3.1</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Articles of Incorporation of Registrant, Restated (2)</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3.7</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Bylaws of the Registrant, As Amended (3)</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4.17</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w w:val="94"/>
              </w:rPr>
              <w:t>Indenture, dated as of May 23, 2007, by and between Micron Technology, Inc. and Wells Fargo Bank, National Association, as</w:t>
            </w: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trustee (1)</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10.170</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w w:val="98"/>
              </w:rPr>
              <w:t>Capped Call Confirmation (Reference No. CEODL6), by and between Micron Technology, Inc. and Morgan Stanley &amp; Co.</w:t>
            </w: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Incorporated, as representative of the underwriters (1)</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10.171</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w w:val="91"/>
              </w:rPr>
              <w:t>Capped Call Confirmation (Reference No. 53228800), by and between Micron Technology, Inc. and Credit Suisse International (1)</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10.172</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w w:val="91"/>
              </w:rPr>
              <w:t>Capped Call Confirmation (Reference No. 53228855), by and between Micron Technology, Inc. and Credit Suisse International (1)</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31.1</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31.2</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Rule 13a-14(a) Certification of Chief Financial Officer</w:t>
            </w:r>
          </w:p>
        </w:tc>
      </w:tr>
      <w:tr>
        <w:trPr>
          <w:trHeight w:val="216"/>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32.1</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09"/>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32.2</w:t>
            </w:r>
          </w:p>
        </w:tc>
        <w:tc>
          <w:tcPr>
            <w:tcW w:w="962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266"/>
        </w:trPr>
        <w:tc>
          <w:tcPr>
            <w:tcW w:w="1800" w:type="dxa"/>
            <w:vAlign w:val="bottom"/>
            <w:gridSpan w:val="2"/>
          </w:tcPr>
          <w:p>
            <w:pPr>
              <w:spacing w:after="0"/>
              <w:rPr>
                <w:sz w:val="20"/>
                <w:szCs w:val="20"/>
                <w:color w:val="auto"/>
              </w:rPr>
            </w:pPr>
            <w:r>
              <w:rPr>
                <w:rFonts w:ascii="Arial" w:cs="Arial" w:eastAsia="Arial" w:hAnsi="Arial"/>
                <w:sz w:val="22"/>
                <w:szCs w:val="22"/>
                <w:color w:val="auto"/>
              </w:rPr>
              <w:t>____________</w:t>
            </w:r>
          </w:p>
        </w:tc>
        <w:tc>
          <w:tcPr>
            <w:tcW w:w="120" w:type="dxa"/>
            <w:vAlign w:val="bottom"/>
          </w:tcPr>
          <w:p>
            <w:pPr>
              <w:spacing w:after="0"/>
              <w:rPr>
                <w:sz w:val="23"/>
                <w:szCs w:val="23"/>
                <w:color w:val="auto"/>
              </w:rPr>
            </w:pPr>
          </w:p>
        </w:tc>
        <w:tc>
          <w:tcPr>
            <w:tcW w:w="9500" w:type="dxa"/>
            <w:vAlign w:val="bottom"/>
          </w:tcPr>
          <w:p>
            <w:pPr>
              <w:spacing w:after="0"/>
              <w:rPr>
                <w:sz w:val="23"/>
                <w:szCs w:val="23"/>
                <w:color w:val="auto"/>
              </w:rPr>
            </w:pPr>
          </w:p>
        </w:tc>
      </w:tr>
    </w:tbl>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May 17, 2007</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December 5, 2006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July 10, 2007</w:t>
      </w:r>
      <w:r>
        <w:rPr>
          <w:sz w:val="20"/>
          <w:szCs w:val="20"/>
          <w:color w:val="auto"/>
        </w:rPr>
        <w:tab/>
      </w:r>
      <w:r>
        <w:rPr>
          <w:rFonts w:ascii="Arial" w:cs="Arial" w:eastAsia="Arial" w:hAnsi="Arial"/>
          <w:sz w:val="16"/>
          <w:szCs w:val="16"/>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W. G. Stover, Jr., Vice President of Finance and Chief Financial Officer</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364" w:right="459" w:bottom="1440" w:gutter="0" w:footer="0" w:header="0"/>
        </w:sectPr>
      </w:pPr>
    </w:p>
    <w:bookmarkStart w:id="40" w:name="page41"/>
    <w:bookmarkEnd w:id="40"/>
    <w:p>
      <w:pPr>
        <w:ind w:left="9940"/>
        <w:spacing w:after="0"/>
        <w:rPr>
          <w:sz w:val="20"/>
          <w:szCs w:val="20"/>
          <w:color w:val="auto"/>
        </w:rPr>
      </w:pPr>
      <w:r>
        <w:rPr>
          <w:rFonts w:ascii="Arial" w:cs="Arial" w:eastAsia="Arial" w:hAnsi="Arial"/>
          <w:sz w:val="18"/>
          <w:szCs w:val="18"/>
          <w:b w:val="1"/>
          <w:bCs w:val="1"/>
          <w:color w:val="auto"/>
        </w:rPr>
        <w:t>EXHIBIT 31.1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0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4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10, 2007</w:t>
      </w:r>
      <w:r>
        <w:rPr>
          <w:sz w:val="20"/>
          <w:szCs w:val="20"/>
          <w:color w:val="auto"/>
        </w:rPr>
        <w:tab/>
      </w:r>
      <w:r>
        <w:rPr>
          <w:rFonts w:ascii="Arial" w:cs="Arial" w:eastAsia="Arial" w:hAnsi="Arial"/>
          <w:sz w:val="17"/>
          <w:szCs w:val="17"/>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00"/>
          </w:cols>
          <w:pgMar w:left="240" w:top="395" w:right="259" w:bottom="1440" w:gutter="0" w:footer="0" w:header="0"/>
        </w:sectPr>
      </w:pPr>
    </w:p>
    <w:bookmarkStart w:id="41" w:name="page42"/>
    <w:bookmarkEnd w:id="41"/>
    <w:p>
      <w:pPr>
        <w:ind w:left="10200"/>
        <w:spacing w:after="0"/>
        <w:rPr>
          <w:sz w:val="20"/>
          <w:szCs w:val="20"/>
          <w:color w:val="auto"/>
        </w:rPr>
      </w:pPr>
      <w:r>
        <w:rPr>
          <w:rFonts w:ascii="Arial" w:cs="Arial" w:eastAsia="Arial" w:hAnsi="Arial"/>
          <w:sz w:val="18"/>
          <w:szCs w:val="18"/>
          <w:b w:val="1"/>
          <w:bCs w:val="1"/>
          <w:color w:val="auto"/>
        </w:rPr>
        <w:t>EXHIBIT 31.2</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0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4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10, 2007</w:t>
      </w:r>
      <w:r>
        <w:rPr>
          <w:sz w:val="20"/>
          <w:szCs w:val="20"/>
          <w:color w:val="auto"/>
        </w:rPr>
        <w:tab/>
      </w:r>
      <w:r>
        <w:rPr>
          <w:rFonts w:ascii="Arial" w:cs="Arial" w:eastAsia="Arial" w:hAnsi="Arial"/>
          <w:sz w:val="16"/>
          <w:szCs w:val="16"/>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 G. Stover, Jr.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of Finance and Chief Financial Officer</w:t>
      </w:r>
    </w:p>
    <w:p>
      <w:pPr>
        <w:sectPr>
          <w:pgSz w:w="11900" w:h="16838" w:orient="portrait"/>
          <w:cols w:equalWidth="0" w:num="1">
            <w:col w:w="11400"/>
          </w:cols>
          <w:pgMar w:left="240" w:top="395" w:right="259" w:bottom="1440" w:gutter="0" w:footer="0" w:header="0"/>
        </w:sectPr>
      </w:pPr>
    </w:p>
    <w:bookmarkStart w:id="42" w:name="page43"/>
    <w:bookmarkEnd w:id="42"/>
    <w:p>
      <w:pPr>
        <w:ind w:left="9720"/>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May 31, 2007,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000" w:val="left"/>
          <w:tab w:leader="none" w:pos="5820" w:val="left"/>
        </w:tabs>
        <w:rPr>
          <w:sz w:val="20"/>
          <w:szCs w:val="20"/>
          <w:color w:val="auto"/>
        </w:rPr>
      </w:pPr>
      <w:r>
        <w:rPr>
          <w:rFonts w:ascii="Arial" w:cs="Arial" w:eastAsia="Arial" w:hAnsi="Arial"/>
          <w:sz w:val="18"/>
          <w:szCs w:val="18"/>
          <w:color w:val="auto"/>
        </w:rPr>
        <w:t>Date: July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00"/>
          </w:cols>
          <w:pgMar w:left="240" w:top="395"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May 31, 2007,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000" w:val="left"/>
          <w:tab w:leader="none" w:pos="5820" w:val="left"/>
        </w:tabs>
        <w:rPr>
          <w:sz w:val="20"/>
          <w:szCs w:val="20"/>
          <w:color w:val="auto"/>
        </w:rPr>
      </w:pPr>
      <w:r>
        <w:rPr>
          <w:rFonts w:ascii="Arial" w:cs="Arial" w:eastAsia="Arial" w:hAnsi="Arial"/>
          <w:sz w:val="18"/>
          <w:szCs w:val="18"/>
          <w:color w:val="auto"/>
        </w:rPr>
        <w:t>Date: July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 G. Stover, Jr.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of Finance and Chief Financial Officer</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956"/>
    </w:lvl>
  </w:abstractNum>
  <w:abstractNum w:abstractNumId="3">
    <w:nsid w:val="7545E146"/>
    <w:multiLevelType w:val="hybridMultilevel"/>
    <w:lvl w:ilvl="0">
      <w:lvlJc w:val="left"/>
      <w:lvlText w:val="%1"/>
      <w:numFmt w:val="decimal"/>
      <w:start w:val="2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2019-12-13T13:17:09Z</dcterms:created>
  <dcterms:modified xsi:type="dcterms:W3CDTF">2019-12-13T13:17:09Z</dcterms:modified>
</cp:coreProperties>
</file>