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6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buy these</w:t>
            </w:r>
          </w:p>
        </w:tc>
      </w:tr>
      <w:tr>
        <w:trPr>
          <w:trHeight w:val="139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U.S. Securities and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soliciting an offer to</w:t>
            </w:r>
          </w:p>
        </w:tc>
      </w:tr>
      <w:tr>
        <w:trPr>
          <w:trHeight w:val="27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to these notes has been filed with the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offer to sell these notes and they are not</w:t>
            </w:r>
          </w:p>
        </w:tc>
      </w:tr>
      <w:tr>
        <w:trPr>
          <w:trHeight w:val="786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is not complete and may be changed. A registration statement relating</w:t>
            </w:r>
          </w:p>
        </w:tc>
        <w:tc>
          <w:tcPr>
            <w:tcW w:w="300" w:type="dxa"/>
            <w:vAlign w:val="bottom"/>
            <w:textDirection w:val="btLr"/>
          </w:tcPr>
          <w:p>
            <w:pPr>
              <w:ind w:left="151"/>
              <w:spacing w:after="0"/>
              <w:rPr>
                <w:sz w:val="20"/>
                <w:szCs w:val="20"/>
                <w:color w:val="auto"/>
              </w:rPr>
            </w:pPr>
            <w:r>
              <w:rPr>
                <w:rFonts w:ascii="Arial" w:cs="Arial" w:eastAsia="Arial" w:hAnsi="Arial"/>
                <w:sz w:val="13"/>
                <w:szCs w:val="13"/>
                <w:b w:val="1"/>
                <w:bCs w:val="1"/>
                <w:color w:val="FC0014"/>
                <w:w w:val="72"/>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 Filed pursuant to Rule 424(b)(5)​</w:t>
      </w:r>
    </w:p>
    <w:p>
      <w:pPr>
        <w:jc w:val="right"/>
        <w:spacing w:after="0" w:line="219" w:lineRule="auto"/>
        <w:rPr>
          <w:sz w:val="20"/>
          <w:szCs w:val="20"/>
          <w:color w:val="auto"/>
        </w:rPr>
      </w:pPr>
      <w:r>
        <w:rPr>
          <w:rFonts w:ascii="Arial" w:cs="Arial" w:eastAsia="Arial" w:hAnsi="Arial"/>
          <w:sz w:val="18"/>
          <w:szCs w:val="18"/>
          <w:b w:val="1"/>
          <w:bCs w:val="1"/>
          <w:color w:val="auto"/>
        </w:rPr>
        <w:t> Registration No. 333-249838​</w:t>
      </w:r>
    </w:p>
    <w:p>
      <w:pPr>
        <w:jc w:val="center"/>
        <w:ind w:right="40"/>
        <w:spacing w:after="0"/>
        <w:rPr>
          <w:sz w:val="20"/>
          <w:szCs w:val="20"/>
          <w:color w:val="auto"/>
        </w:rPr>
      </w:pPr>
      <w:r>
        <w:rPr>
          <w:rFonts w:ascii="Arial" w:cs="Arial" w:eastAsia="Arial" w:hAnsi="Arial"/>
          <w:sz w:val="18"/>
          <w:szCs w:val="18"/>
          <w:b w:val="1"/>
          <w:bCs w:val="1"/>
          <w:color w:val="FC0014"/>
        </w:rPr>
        <w:t>Subject to Completion, dated February 6, 2023</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November 4, 2020)</w:t>
      </w:r>
    </w:p>
    <w:p>
      <w:pPr>
        <w:spacing w:after="0" w:line="35"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71755</wp:posOffset>
            </wp:positionV>
            <wp:extent cx="17056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Micron Technology, Inc.</w:t>
      </w:r>
      <w:r>
        <w:rPr>
          <w:rFonts w:ascii="Times New Roman" w:cs="Times New Roman" w:eastAsia="Times New Roman" w:hAnsi="Times New Roman"/>
          <w:sz w:val="39"/>
          <w:szCs w:val="39"/>
          <w:color w:val="auto"/>
        </w:rPr>
        <w:t>​</w:t>
      </w:r>
    </w:p>
    <w:p>
      <w:pPr>
        <w:spacing w:after="0" w:line="62"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            6.750% Senior Notes due 2029</w:t>
      </w:r>
    </w:p>
    <w:p>
      <w:pPr>
        <w:spacing w:after="0" w:line="90"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                     % Senior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88900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6" w:lineRule="exact"/>
        <w:rPr>
          <w:sz w:val="24"/>
          <w:szCs w:val="24"/>
          <w:color w:val="auto"/>
        </w:rPr>
      </w:pPr>
    </w:p>
    <w:p>
      <w:pPr>
        <w:ind w:right="220"/>
        <w:spacing w:after="0" w:line="281" w:lineRule="auto"/>
        <w:rPr>
          <w:sz w:val="20"/>
          <w:szCs w:val="20"/>
          <w:color w:val="auto"/>
        </w:rPr>
      </w:pPr>
      <w:r>
        <w:rPr>
          <w:rFonts w:ascii="Arial" w:cs="Arial" w:eastAsia="Arial" w:hAnsi="Arial"/>
          <w:sz w:val="13"/>
          <w:szCs w:val="13"/>
          <w:color w:val="auto"/>
        </w:rPr>
        <w:t>Micron Technology, Inc. is offering an additional $                      in aggregate principal amount of 6.750% senior notes due 2029 (the ‘‘2029 notes’’) and $                      aggregate principal amount of     % senior notes due 2033 (the ‘‘2033 notes’’ and, together with the 2029 notes, (the “notes”).</w:t>
      </w:r>
    </w:p>
    <w:p>
      <w:pPr>
        <w:spacing w:after="0" w:line="1" w:lineRule="exact"/>
        <w:rPr>
          <w:sz w:val="24"/>
          <w:szCs w:val="24"/>
          <w:color w:val="auto"/>
        </w:rPr>
      </w:pPr>
    </w:p>
    <w:p>
      <w:pPr>
        <w:ind w:right="260"/>
        <w:spacing w:after="0" w:line="251" w:lineRule="auto"/>
        <w:rPr>
          <w:sz w:val="20"/>
          <w:szCs w:val="20"/>
          <w:color w:val="auto"/>
        </w:rPr>
      </w:pPr>
      <w:r>
        <w:rPr>
          <w:rFonts w:ascii="Arial" w:cs="Arial" w:eastAsia="Arial" w:hAnsi="Arial"/>
          <w:sz w:val="14"/>
          <w:szCs w:val="14"/>
          <w:color w:val="auto"/>
        </w:rPr>
        <w:t>We previously issued 2029 notes in an aggregate principal amount of $750,000,000 on October 31, 2022 (the “Original 2029 Notes”). Accordingly, the 2029 notes offered by this prospectus supplement and the accompanying prospectus will:</w:t>
      </w:r>
    </w:p>
    <w:p>
      <w:pPr>
        <w:spacing w:after="0" w:line="38" w:lineRule="exact"/>
        <w:rPr>
          <w:sz w:val="24"/>
          <w:szCs w:val="24"/>
          <w:color w:val="auto"/>
        </w:rPr>
      </w:pPr>
    </w:p>
    <w:p>
      <w:pPr>
        <w:ind w:left="540" w:hanging="18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 identical to the terms of the Original 2029 Notes (other than the initial offering price);</w:t>
      </w:r>
    </w:p>
    <w:p>
      <w:pPr>
        <w:spacing w:after="0" w:line="82" w:lineRule="exact"/>
        <w:rPr>
          <w:rFonts w:ascii="Arial" w:cs="Arial" w:eastAsia="Arial" w:hAnsi="Arial"/>
          <w:sz w:val="14"/>
          <w:szCs w:val="14"/>
          <w:color w:val="auto"/>
        </w:rPr>
      </w:pPr>
    </w:p>
    <w:p>
      <w:pPr>
        <w:ind w:left="540" w:hanging="18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 treated as a single series with the Original 2029 Notes; and</w:t>
      </w:r>
    </w:p>
    <w:p>
      <w:pPr>
        <w:spacing w:after="0" w:line="82" w:lineRule="exact"/>
        <w:rPr>
          <w:rFonts w:ascii="Arial" w:cs="Arial" w:eastAsia="Arial" w:hAnsi="Arial"/>
          <w:sz w:val="14"/>
          <w:szCs w:val="14"/>
          <w:color w:val="auto"/>
        </w:rPr>
      </w:pPr>
    </w:p>
    <w:p>
      <w:pPr>
        <w:ind w:left="540" w:hanging="18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have the same CUSIP number and will be fungible with the Original 2029 Notes.</w:t>
      </w:r>
    </w:p>
    <w:p>
      <w:pPr>
        <w:spacing w:after="0" w:line="59" w:lineRule="exact"/>
        <w:rPr>
          <w:sz w:val="24"/>
          <w:szCs w:val="24"/>
          <w:color w:val="auto"/>
        </w:rPr>
      </w:pPr>
    </w:p>
    <w:p>
      <w:pPr>
        <w:jc w:val="both"/>
        <w:ind w:right="80"/>
        <w:spacing w:after="0" w:line="237" w:lineRule="auto"/>
        <w:rPr>
          <w:sz w:val="20"/>
          <w:szCs w:val="20"/>
          <w:color w:val="auto"/>
        </w:rPr>
      </w:pPr>
      <w:r>
        <w:rPr>
          <w:rFonts w:ascii="Arial" w:cs="Arial" w:eastAsia="Arial" w:hAnsi="Arial"/>
          <w:sz w:val="14"/>
          <w:szCs w:val="14"/>
          <w:color w:val="auto"/>
        </w:rPr>
        <w:t>The 2029 notes will bear interest at the rate of 6.750% per year and the 2033 notes will bear interest at the rate of     % per year. Interest on the 2029 notes will be payable semi-annually in arrears on May 1 and November 1 of each year, beginning May 1, 2023, and interest on the 2033 notes will be payable semi-annually in arrears on                 and                 of each year, beginning       , 2023.</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The 2029 notes will mature on November 1, 2029 and the 2033 notes will mature on             , 2033.</w:t>
      </w:r>
    </w:p>
    <w:p>
      <w:pPr>
        <w:spacing w:after="0" w:line="55" w:lineRule="exact"/>
        <w:rPr>
          <w:sz w:val="24"/>
          <w:szCs w:val="24"/>
          <w:color w:val="auto"/>
        </w:rPr>
      </w:pPr>
    </w:p>
    <w:p>
      <w:pPr>
        <w:ind w:right="160"/>
        <w:spacing w:after="0" w:line="252" w:lineRule="auto"/>
        <w:rPr>
          <w:sz w:val="20"/>
          <w:szCs w:val="20"/>
          <w:color w:val="auto"/>
        </w:rPr>
      </w:pPr>
      <w:r>
        <w:rPr>
          <w:rFonts w:ascii="Arial" w:cs="Arial" w:eastAsia="Arial" w:hAnsi="Arial"/>
          <w:sz w:val="13"/>
          <w:szCs w:val="13"/>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2029 notes, in whole or</w:t>
      </w:r>
    </w:p>
    <w:p>
      <w:pPr>
        <w:spacing w:after="0"/>
        <w:rPr>
          <w:sz w:val="20"/>
          <w:szCs w:val="20"/>
          <w:color w:val="auto"/>
        </w:rPr>
      </w:pPr>
      <w:r>
        <w:rPr>
          <w:rFonts w:ascii="Arial" w:cs="Arial" w:eastAsia="Arial" w:hAnsi="Arial"/>
          <w:sz w:val="13"/>
          <w:szCs w:val="13"/>
          <w:color w:val="auto"/>
        </w:rPr>
        <w:t>in part, at any time from or after September 1, 2029 and we may redeem the 2033 notes, in whole or in part, at any time from or after                       ,</w:t>
      </w:r>
    </w:p>
    <w:p>
      <w:pPr>
        <w:ind w:right="40"/>
        <w:spacing w:after="0" w:line="251" w:lineRule="auto"/>
        <w:tabs>
          <w:tab w:leader="none" w:pos="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 in each case,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16" w:lineRule="exact"/>
        <w:rPr>
          <w:sz w:val="24"/>
          <w:szCs w:val="24"/>
          <w:color w:val="auto"/>
        </w:rPr>
      </w:pPr>
    </w:p>
    <w:p>
      <w:pPr>
        <w:ind w:right="500"/>
        <w:spacing w:after="0" w:line="271"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1905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60" w:lineRule="exact"/>
        <w:rPr>
          <w:sz w:val="24"/>
          <w:szCs w:val="24"/>
          <w:color w:val="auto"/>
        </w:rPr>
      </w:pPr>
    </w:p>
    <w:p>
      <w:pPr>
        <w:ind w:right="80"/>
        <w:spacing w:after="0" w:line="271" w:lineRule="auto"/>
        <w:rPr>
          <w:sz w:val="20"/>
          <w:szCs w:val="20"/>
          <w:color w:val="auto"/>
        </w:rPr>
      </w:pPr>
      <w:r>
        <w:rPr>
          <w:rFonts w:ascii="Arial" w:cs="Arial" w:eastAsia="Arial" w:hAnsi="Arial"/>
          <w:sz w:val="14"/>
          <w:szCs w:val="14"/>
          <w:b w:val="1"/>
          <w:bCs w:val="1"/>
          <w:color w:val="auto"/>
        </w:rPr>
        <w:t xml:space="preserve">Investing in the notes involves risks. See “Risk Factors” beginning on page </w:t>
      </w:r>
      <w:r>
        <w:rPr>
          <w:rFonts w:ascii="Arial" w:cs="Arial" w:eastAsia="Arial" w:hAnsi="Arial"/>
          <w:sz w:val="14"/>
          <w:szCs w:val="14"/>
          <w:b w:val="1"/>
          <w:bCs w:val="1"/>
          <w:u w:val="single" w:color="auto"/>
          <w:color w:val="0000EE"/>
        </w:rPr>
        <w:t>S-7</w:t>
      </w:r>
      <w:r>
        <w:rPr>
          <w:rFonts w:ascii="Arial" w:cs="Arial" w:eastAsia="Arial" w:hAnsi="Arial"/>
          <w:sz w:val="14"/>
          <w:szCs w:val="14"/>
          <w:b w:val="1"/>
          <w:bCs w:val="1"/>
          <w:color w:val="auto"/>
        </w:rPr>
        <w:t xml:space="preserve"> for a discussion of certain risks that should be considered in connection with an investment in the notes.</w:t>
      </w:r>
    </w:p>
    <w:p>
      <w:pPr>
        <w:spacing w:after="0" w:line="1" w:lineRule="exact"/>
        <w:rPr>
          <w:sz w:val="24"/>
          <w:szCs w:val="24"/>
          <w:color w:val="auto"/>
        </w:rPr>
      </w:pPr>
    </w:p>
    <w:p>
      <w:pPr>
        <w:ind w:right="100"/>
        <w:spacing w:after="0" w:line="242"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19050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Public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Underwriting</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Proceeds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offering</w:t>
            </w:r>
          </w:p>
        </w:tc>
        <w:tc>
          <w:tcPr>
            <w:tcW w:w="1100" w:type="dxa"/>
            <w:vAlign w:val="bottom"/>
            <w:gridSpan w:val="4"/>
            <w:vMerge w:val="continue"/>
          </w:tcPr>
          <w:p>
            <w:pPr>
              <w:spacing w:after="0"/>
              <w:rPr>
                <w:sz w:val="12"/>
                <w:szCs w:val="12"/>
                <w:color w:val="auto"/>
              </w:rPr>
            </w:pPr>
          </w:p>
        </w:tc>
        <w:tc>
          <w:tcPr>
            <w:tcW w:w="9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to us, before</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60" w:type="dxa"/>
            <w:vAlign w:val="bottom"/>
            <w:gridSpan w:val="4"/>
          </w:tcPr>
          <w:p>
            <w:pPr>
              <w:jc w:val="center"/>
              <w:ind w:left="2421"/>
              <w:spacing w:after="0" w:line="185" w:lineRule="exact"/>
              <w:rPr>
                <w:sz w:val="20"/>
                <w:szCs w:val="20"/>
                <w:color w:val="auto"/>
              </w:rPr>
            </w:pPr>
            <w:r>
              <w:rPr>
                <w:rFonts w:ascii="Arial" w:cs="Arial" w:eastAsia="Arial" w:hAnsi="Arial"/>
                <w:sz w:val="14"/>
                <w:szCs w:val="14"/>
                <w:b w:val="1"/>
                <w:bCs w:val="1"/>
                <w:color w:val="auto"/>
              </w:rPr>
              <w:t>​ ​ price</w:t>
            </w:r>
            <w:r>
              <w:rPr>
                <w:rFonts w:ascii="Arial" w:cs="Arial" w:eastAsia="Arial" w:hAnsi="Arial"/>
                <w:sz w:val="17"/>
                <w:szCs w:val="17"/>
                <w:b w:val="1"/>
                <w:bCs w:val="1"/>
                <w:color w:val="auto"/>
                <w:vertAlign w:val="superscript"/>
              </w:rPr>
              <w:t>(1)(2)</w:t>
            </w:r>
            <w:r>
              <w:rPr>
                <w:rFonts w:ascii="Arial" w:cs="Arial" w:eastAsia="Arial" w:hAnsi="Arial"/>
                <w:sz w:val="14"/>
                <w:szCs w:val="14"/>
                <w:b w:val="1"/>
                <w:bCs w:val="1"/>
                <w:color w:val="auto"/>
              </w:rPr>
              <w:t xml:space="preserve"> ​ ​</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discount</w:t>
            </w:r>
            <w:r>
              <w:rPr>
                <w:rFonts w:ascii="Arial" w:cs="Arial" w:eastAsia="Arial" w:hAnsi="Arial"/>
                <w:sz w:val="8"/>
                <w:szCs w:val="8"/>
                <w:b w:val="1"/>
                <w:bCs w:val="1"/>
                <w:color w:val="auto"/>
              </w:rPr>
              <w:t>(3)</w:t>
            </w:r>
          </w:p>
        </w:tc>
        <w:tc>
          <w:tcPr>
            <w:tcW w:w="60" w:type="dxa"/>
            <w:vAlign w:val="bottom"/>
          </w:tcPr>
          <w:p>
            <w:pPr>
              <w:spacing w:after="0"/>
              <w:rPr>
                <w:sz w:val="16"/>
                <w:szCs w:val="16"/>
                <w:color w:val="auto"/>
              </w:rPr>
            </w:pPr>
          </w:p>
        </w:tc>
        <w:tc>
          <w:tcPr>
            <w:tcW w:w="1140" w:type="dxa"/>
            <w:vAlign w:val="bottom"/>
            <w:gridSpan w:val="5"/>
          </w:tcPr>
          <w:p>
            <w:pPr>
              <w:jc w:val="right"/>
              <w:ind w:right="20"/>
              <w:spacing w:after="0" w:line="185" w:lineRule="exact"/>
              <w:rPr>
                <w:sz w:val="20"/>
                <w:szCs w:val="20"/>
                <w:color w:val="auto"/>
              </w:rPr>
            </w:pPr>
            <w:r>
              <w:rPr>
                <w:rFonts w:ascii="Arial" w:cs="Arial" w:eastAsia="Arial" w:hAnsi="Arial"/>
                <w:sz w:val="14"/>
                <w:szCs w:val="14"/>
                <w:b w:val="1"/>
                <w:bCs w:val="1"/>
                <w:color w:val="auto"/>
              </w:rPr>
              <w:t>​ ​expenses</w:t>
            </w:r>
            <w:r>
              <w:rPr>
                <w:rFonts w:ascii="Arial" w:cs="Arial" w:eastAsia="Arial" w:hAnsi="Arial"/>
                <w:sz w:val="17"/>
                <w:szCs w:val="17"/>
                <w:b w:val="1"/>
                <w:bCs w:val="1"/>
                <w:color w:val="auto"/>
                <w:vertAlign w:val="superscript"/>
              </w:rPr>
              <w:t>(1)(2)</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6"/>
                <w:szCs w:val="16"/>
                <w:color w:val="auto"/>
              </w:rPr>
              <w:t>Per 2029 Note</w:t>
            </w:r>
          </w:p>
        </w:tc>
        <w:tc>
          <w:tcPr>
            <w:tcW w:w="2680" w:type="dxa"/>
            <w:vAlign w:val="bottom"/>
            <w:vMerge w:val="restart"/>
          </w:tcPr>
          <w:p>
            <w:pPr>
              <w:ind w:left="2520"/>
              <w:spacing w:after="0"/>
              <w:rPr>
                <w:sz w:val="20"/>
                <w:szCs w:val="20"/>
                <w:color w:val="auto"/>
              </w:rPr>
            </w:pPr>
            <w:r>
              <w:rPr>
                <w:rFonts w:ascii="Arial" w:cs="Arial" w:eastAsia="Arial" w:hAnsi="Arial"/>
                <w:sz w:val="16"/>
                <w:szCs w:val="16"/>
                <w:color w:val="auto"/>
              </w:rPr>
              <w:t>​ ​</w:t>
            </w: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 ​        %​​ ​</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 ​ ​</w:t>
            </w: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 ​        %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2029 Note Total</w:t>
            </w:r>
          </w:p>
        </w:tc>
        <w:tc>
          <w:tcPr>
            <w:tcW w:w="3200" w:type="dxa"/>
            <w:vAlign w:val="bottom"/>
            <w:gridSpan w:val="2"/>
          </w:tcPr>
          <w:p>
            <w:pPr>
              <w:ind w:left="2520"/>
              <w:spacing w:after="0"/>
              <w:rPr>
                <w:sz w:val="20"/>
                <w:szCs w:val="20"/>
                <w:color w:val="auto"/>
              </w:rPr>
            </w:pPr>
            <w:r>
              <w:rPr>
                <w:rFonts w:ascii="Arial" w:cs="Arial" w:eastAsia="Arial" w:hAnsi="Arial"/>
                <w:sz w:val="16"/>
                <w:szCs w:val="16"/>
                <w:color w:val="auto"/>
              </w:rPr>
              <w:t>​ ​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480" w:type="dxa"/>
            <w:vAlign w:val="bottom"/>
          </w:tcPr>
          <w:p>
            <w:pPr>
              <w:ind w:lef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Per 2033 Note</w:t>
            </w:r>
          </w:p>
        </w:tc>
        <w:tc>
          <w:tcPr>
            <w:tcW w:w="3460" w:type="dxa"/>
            <w:vAlign w:val="bottom"/>
            <w:gridSpan w:val="4"/>
          </w:tcPr>
          <w:p>
            <w:pPr>
              <w:jc w:val="right"/>
              <w:spacing w:after="0"/>
              <w:rPr>
                <w:sz w:val="20"/>
                <w:szCs w:val="20"/>
                <w:color w:val="auto"/>
              </w:rPr>
            </w:pPr>
            <w:r>
              <w:rPr>
                <w:rFonts w:ascii="Arial" w:cs="Arial" w:eastAsia="Arial" w:hAnsi="Arial"/>
                <w:sz w:val="16"/>
                <w:szCs w:val="16"/>
                <w:color w:val="auto"/>
              </w:rPr>
              <w:t>​ ​ ​ ​        %​​ ​</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 ​ ​</w:t>
            </w: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 ​        %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2033 Note Total</w:t>
            </w:r>
          </w:p>
        </w:tc>
        <w:tc>
          <w:tcPr>
            <w:tcW w:w="3200" w:type="dxa"/>
            <w:vAlign w:val="bottom"/>
            <w:gridSpan w:val="2"/>
          </w:tcPr>
          <w:p>
            <w:pPr>
              <w:ind w:left="2520"/>
              <w:spacing w:after="0"/>
              <w:rPr>
                <w:sz w:val="20"/>
                <w:szCs w:val="20"/>
                <w:color w:val="auto"/>
              </w:rPr>
            </w:pPr>
            <w:r>
              <w:rPr>
                <w:rFonts w:ascii="Arial" w:cs="Arial" w:eastAsia="Arial" w:hAnsi="Arial"/>
                <w:sz w:val="16"/>
                <w:szCs w:val="16"/>
                <w:color w:val="auto"/>
              </w:rPr>
              <w:t>​ ​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480" w:type="dxa"/>
            <w:vAlign w:val="bottom"/>
          </w:tcPr>
          <w:p>
            <w:pPr>
              <w:ind w:lef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Total</w:t>
            </w:r>
          </w:p>
        </w:tc>
        <w:tc>
          <w:tcPr>
            <w:tcW w:w="3200" w:type="dxa"/>
            <w:vAlign w:val="bottom"/>
            <w:gridSpan w:val="2"/>
          </w:tcPr>
          <w:p>
            <w:pPr>
              <w:ind w:left="2520"/>
              <w:spacing w:after="0"/>
              <w:rPr>
                <w:sz w:val="20"/>
                <w:szCs w:val="20"/>
                <w:color w:val="auto"/>
              </w:rPr>
            </w:pPr>
            <w:r>
              <w:rPr>
                <w:rFonts w:ascii="Arial" w:cs="Arial" w:eastAsia="Arial" w:hAnsi="Arial"/>
                <w:sz w:val="16"/>
                <w:szCs w:val="16"/>
                <w:color w:val="auto"/>
              </w:rPr>
              <w:t>​ ​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480" w:type="dxa"/>
            <w:vAlign w:val="bottom"/>
          </w:tcPr>
          <w:p>
            <w:pPr>
              <w:ind w:left="180"/>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-410845</wp:posOffset>
            </wp:positionV>
            <wp:extent cx="57689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89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57689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89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-693420</wp:posOffset>
            </wp:positionV>
            <wp:extent cx="57689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89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128905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5" w:lineRule="exact"/>
        <w:rPr>
          <w:sz w:val="24"/>
          <w:szCs w:val="24"/>
          <w:color w:val="auto"/>
        </w:rPr>
      </w:pPr>
    </w:p>
    <w:p>
      <w:pPr>
        <w:ind w:left="360" w:right="140" w:hanging="360"/>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Without giving effect to accrued interest that must be paid by the purchasers of the 2029 notes from October 31, 2022 to, but not including, the issuance date. The total amount of accrued interest on the 2029 notes on                     , 2023 will be $              , or approximately $               </w:t>
      </w:r>
    </w:p>
    <w:p>
      <w:pPr>
        <w:ind w:left="360"/>
        <w:spacing w:after="0"/>
        <w:rPr>
          <w:rFonts w:ascii="Arial" w:cs="Arial" w:eastAsia="Arial" w:hAnsi="Arial"/>
          <w:sz w:val="14"/>
          <w:szCs w:val="14"/>
          <w:color w:val="auto"/>
        </w:rPr>
      </w:pPr>
      <w:r>
        <w:rPr>
          <w:rFonts w:ascii="Arial" w:cs="Arial" w:eastAsia="Arial" w:hAnsi="Arial"/>
          <w:sz w:val="14"/>
          <w:szCs w:val="14"/>
          <w:color w:val="auto"/>
        </w:rPr>
        <w:t>per $1,000 principal amount of the notes.</w:t>
      </w:r>
    </w:p>
    <w:p>
      <w:pPr>
        <w:spacing w:after="0" w:line="43" w:lineRule="exact"/>
        <w:rPr>
          <w:rFonts w:ascii="Arial" w:cs="Arial" w:eastAsia="Arial" w:hAnsi="Arial"/>
          <w:sz w:val="14"/>
          <w:szCs w:val="14"/>
          <w:color w:val="auto"/>
        </w:rPr>
      </w:pPr>
    </w:p>
    <w:p>
      <w:pPr>
        <w:ind w:left="360" w:hanging="360"/>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Plus accrued interest, if any, from                      , 2023.</w:t>
      </w:r>
    </w:p>
    <w:p>
      <w:pPr>
        <w:spacing w:after="0" w:line="41" w:lineRule="exact"/>
        <w:rPr>
          <w:rFonts w:ascii="Arial" w:cs="Arial" w:eastAsia="Arial" w:hAnsi="Arial"/>
          <w:sz w:val="14"/>
          <w:szCs w:val="14"/>
          <w:color w:val="auto"/>
        </w:rPr>
      </w:pPr>
    </w:p>
    <w:p>
      <w:pPr>
        <w:ind w:left="360" w:hanging="360"/>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underwriters have agreed to reimburse us for certain expenses in connection with the offering. See “Underwriting.”</w:t>
      </w:r>
    </w:p>
    <w:p>
      <w:pPr>
        <w:spacing w:after="0" w:line="42" w:lineRule="exact"/>
        <w:rPr>
          <w:sz w:val="24"/>
          <w:szCs w:val="24"/>
          <w:color w:val="auto"/>
        </w:rPr>
      </w:pPr>
    </w:p>
    <w:p>
      <w:pPr>
        <w:jc w:val="both"/>
        <w:ind w:right="120"/>
        <w:spacing w:after="0" w:line="258" w:lineRule="auto"/>
        <w:rPr>
          <w:sz w:val="20"/>
          <w:szCs w:val="20"/>
          <w:color w:val="auto"/>
        </w:rPr>
      </w:pPr>
      <w:r>
        <w:rPr>
          <w:rFonts w:ascii="Arial" w:cs="Arial" w:eastAsia="Arial" w:hAnsi="Arial"/>
          <w:sz w:val="13"/>
          <w:szCs w:val="13"/>
          <w:color w:val="auto"/>
        </w:rPr>
        <w:t>Interest on the 2029 notes will accrue from October 31, 2022 and interest on the 2033 notes will accrue from             , 2023. The notes will be issued in registered, book-entry form only without interest coupons, in minimum denominations of $2,000 and integral multiples of $1,000 in excess thereof.</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notes will not be listed on any securities exchange. Currently there is no public market for the 2033 notes.</w:t>
      </w:r>
    </w:p>
    <w:p>
      <w:pPr>
        <w:spacing w:after="0" w:line="30" w:lineRule="exact"/>
        <w:rPr>
          <w:sz w:val="24"/>
          <w:szCs w:val="24"/>
          <w:color w:val="auto"/>
        </w:rPr>
      </w:pPr>
    </w:p>
    <w:p>
      <w:pPr>
        <w:ind w:right="320"/>
        <w:spacing w:after="0" w:line="237" w:lineRule="auto"/>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 participants, including Euroclear Bank S.A./N.V and Clearstream Banking, S.A., on or about                 , 2023,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41275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Joint Book-Running Managers</w:t>
      </w:r>
    </w:p>
    <w:p>
      <w:pPr>
        <w:spacing w:after="0" w:line="60" w:lineRule="exact"/>
        <w:rPr>
          <w:sz w:val="24"/>
          <w:szCs w:val="24"/>
          <w:color w:val="auto"/>
        </w:rPr>
      </w:pPr>
    </w:p>
    <w:p>
      <w:pPr>
        <w:sectPr>
          <w:pgSz w:w="11900" w:h="16838" w:orient="portrait"/>
          <w:cols w:equalWidth="0" w:num="2">
            <w:col w:w="900" w:space="240"/>
            <w:col w:w="9140"/>
          </w:cols>
          <w:pgMar w:left="580" w:top="205" w:right="1039" w:bottom="1440" w:gutter="0" w:footer="0" w:header="0"/>
          <w:type w:val="continuous"/>
        </w:sectPr>
      </w:pPr>
    </w:p>
    <w:p>
      <w:pPr>
        <w:ind w:left="1140"/>
        <w:spacing w:after="0"/>
        <w:tabs>
          <w:tab w:leader="none" w:pos="4040" w:val="left"/>
          <w:tab w:leader="none" w:pos="7540" w:val="left"/>
        </w:tabs>
        <w:rPr>
          <w:sz w:val="20"/>
          <w:szCs w:val="20"/>
          <w:color w:val="auto"/>
        </w:rPr>
      </w:pP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        BofA Securities</w:t>
      </w:r>
      <w:r>
        <w:rPr>
          <w:sz w:val="20"/>
          <w:szCs w:val="20"/>
          <w:color w:val="auto"/>
        </w:rPr>
        <w:tab/>
      </w:r>
      <w:r>
        <w:rPr>
          <w:rFonts w:ascii="Arial" w:cs="Arial" w:eastAsia="Arial" w:hAnsi="Arial"/>
          <w:sz w:val="24"/>
          <w:szCs w:val="24"/>
          <w:b w:val="1"/>
          <w:bCs w:val="1"/>
          <w:color w:val="auto"/>
        </w:rPr>
        <w:t>Wells Fargo Securities</w:t>
      </w:r>
    </w:p>
    <w:p>
      <w:pPr>
        <w:sectPr>
          <w:pgSz w:w="11900" w:h="16838" w:orient="portrait"/>
          <w:cols w:equalWidth="0" w:num="1">
            <w:col w:w="10280"/>
          </w:cols>
          <w:pgMar w:left="580" w:top="205" w:right="1039" w:bottom="1440" w:gutter="0" w:footer="0" w:header="0"/>
          <w:type w:val="continuous"/>
        </w:sectPr>
      </w:pPr>
    </w:p>
    <w:p>
      <w:pPr>
        <w:spacing w:after="0" w:line="99"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 Supplement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on 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Notes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w:t>
      </w:r>
      <w:r>
        <w:rPr>
          <w:rFonts w:ascii="Arial" w:cs="Arial" w:eastAsia="Arial" w:hAnsi="Arial"/>
          <w:sz w:val="18"/>
          <w:szCs w:val="18"/>
          <w:color w:val="auto"/>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S-iii</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S-7</w:t>
      </w:r>
      <w:r>
        <w:rPr>
          <w:rFonts w:ascii="Arial" w:cs="Arial" w:eastAsia="Arial" w:hAnsi="Arial"/>
          <w:sz w:val="18"/>
          <w:szCs w:val="18"/>
          <w:color w:val="auto"/>
        </w:rPr>
        <w: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S-13</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S-47</w:t>
      </w:r>
      <w:r>
        <w:rPr>
          <w:rFonts w:ascii="Arial" w:cs="Arial" w:eastAsia="Arial" w:hAnsi="Arial"/>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4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1</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2</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4</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5</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6</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7</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8</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120" w:space="720"/>
            <w:col w:w="10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CAUTIONARY NOTE ON FORWARD-</w:t>
      </w:r>
    </w:p>
    <w:p>
      <w:pPr>
        <w:ind w:left="1260"/>
        <w:spacing w:after="0" w:line="231" w:lineRule="auto"/>
        <w:rPr>
          <w:sz w:val="20"/>
          <w:szCs w:val="20"/>
          <w:color w:val="auto"/>
        </w:rPr>
      </w:pPr>
      <w:r>
        <w:rPr>
          <w:rFonts w:ascii="Arial" w:cs="Arial" w:eastAsia="Arial" w:hAnsi="Arial"/>
          <w:sz w:val="40"/>
          <w:szCs w:val="40"/>
          <w:b w:val="1"/>
          <w:bCs w:val="1"/>
          <w:color w:val="auto"/>
        </w:rPr>
        <w:t>LOOKING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STATEMENTS</w:t>
      </w:r>
      <w:r>
        <w:rPr>
          <w:rFonts w:ascii="Times New Roman" w:cs="Times New Roman" w:eastAsia="Times New Roman" w:hAnsi="Times New Roman"/>
          <w:sz w:val="40"/>
          <w:szCs w:val="40"/>
          <w:color w:val="auto"/>
        </w:rPr>
        <w:t>​</w:t>
      </w:r>
    </w:p>
    <w:p>
      <w:pPr>
        <w:spacing w:after="0" w:line="107"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include statements that are, or may be deemed,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Specific forward-looking statements include, but are not limited to:</w:t>
      </w:r>
    </w:p>
    <w:p>
      <w:pPr>
        <w:spacing w:after="0" w:line="117"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such as those made regarding restructure plans and related charges;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profitability in our industry;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our wafer starts and the corresponding impact on our costs in 2023;</w:t>
      </w:r>
    </w:p>
    <w:p>
      <w:pPr>
        <w:spacing w:after="0" w:line="117"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 construction and ramping of production for new memory manufacturing fabs in the United States;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of government grants and investment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spending in 2023;</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funding of sustainability-focused projects;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allocation and dispersal of the net proceeds of our 2032 Green Bonds.</w:t>
      </w:r>
    </w:p>
    <w:p>
      <w:pPr>
        <w:spacing w:after="0" w:line="144"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17"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Trademarks and Service Marks</w:t>
      </w:r>
    </w:p>
    <w:p>
      <w:pPr>
        <w:spacing w:after="0" w:line="14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symbols, but we will assert, to the fullest extent under applicable law, our rights or the rights of the applicable licensors to these trademarks, service marks, and tradenames.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 SUPPLEMENT</w:t>
      </w:r>
    </w:p>
    <w:p>
      <w:pPr>
        <w:spacing w:after="0" w:line="149"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24"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01"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09"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0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2023 will be required, by virtue of the fact that the notes initially settle in T+3, to specify an alternate settlement arrangement to prevent a failed settlement. Purchasers of the notes who wish to trade the notes more than two business days prior to                   , 2023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auto"/>
        </w:rPr>
        <w:t>SUMMARY</w:t>
      </w:r>
    </w:p>
    <w:p>
      <w:pPr>
        <w:spacing w:after="0" w:line="219" w:lineRule="exact"/>
        <w:rPr>
          <w:sz w:val="20"/>
          <w:szCs w:val="20"/>
          <w:color w:val="auto"/>
        </w:rPr>
      </w:pPr>
    </w:p>
    <w:p>
      <w:pPr>
        <w:ind w:left="1280" w:right="439"/>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fiscal year ended September 1, 2022, our Quarterly Report on Form 10-Q for the fiscal quarter ended December 1, 2022, documents that we subsequently file with the SEC and the financial statements and other information included or incorporated by reference in this prospectus supplement and the accompanying prospectus, before making an investment decision.</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Micron Technology, Inc.</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left="1280" w:right="399"/>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13" w:lineRule="exact"/>
        <w:rPr>
          <w:sz w:val="20"/>
          <w:szCs w:val="20"/>
          <w:color w:val="auto"/>
        </w:rPr>
      </w:pPr>
    </w:p>
    <w:p>
      <w:pPr>
        <w:ind w:left="1280" w:right="419"/>
        <w:spacing w:after="0" w:line="253"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20" w:lineRule="exact"/>
        <w:rPr>
          <w:sz w:val="20"/>
          <w:szCs w:val="20"/>
          <w:color w:val="auto"/>
        </w:rPr>
      </w:pPr>
    </w:p>
    <w:p>
      <w:pPr>
        <w:ind w:left="1280" w:right="739"/>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85" w:lineRule="exact"/>
        <w:rPr>
          <w:sz w:val="20"/>
          <w:szCs w:val="20"/>
          <w:color w:val="auto"/>
        </w:rPr>
      </w:pPr>
    </w:p>
    <w:p>
      <w:pPr>
        <w:ind w:left="1280" w:right="419"/>
        <w:spacing w:after="0" w:line="259" w:lineRule="auto"/>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The Offering</w:t>
      </w:r>
    </w:p>
    <w:p>
      <w:pPr>
        <w:spacing w:after="0" w:line="231" w:lineRule="exact"/>
        <w:rPr>
          <w:sz w:val="20"/>
          <w:szCs w:val="20"/>
          <w:color w:val="auto"/>
        </w:rPr>
      </w:pPr>
    </w:p>
    <w:p>
      <w:pPr>
        <w:ind w:left="1280" w:right="459"/>
        <w:spacing w:after="0" w:line="257"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72"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Micron Technology,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8"/>
          <w:szCs w:val="18"/>
          <w:color w:val="auto"/>
        </w:rPr>
        <w:t>$                    aggregate principal amount of 6.750% Senior</w:t>
      </w:r>
    </w:p>
    <w:p>
      <w:pPr>
        <w:spacing w:after="0" w:line="27" w:lineRule="exact"/>
        <w:rPr>
          <w:sz w:val="20"/>
          <w:szCs w:val="20"/>
          <w:color w:val="auto"/>
        </w:rPr>
      </w:pPr>
    </w:p>
    <w:p>
      <w:pPr>
        <w:ind w:left="4300" w:right="399"/>
        <w:spacing w:after="0" w:line="252" w:lineRule="auto"/>
        <w:rPr>
          <w:sz w:val="20"/>
          <w:szCs w:val="20"/>
          <w:color w:val="auto"/>
        </w:rPr>
      </w:pPr>
      <w:r>
        <w:rPr>
          <w:rFonts w:ascii="Arial" w:cs="Arial" w:eastAsia="Arial" w:hAnsi="Arial"/>
          <w:sz w:val="18"/>
          <w:szCs w:val="18"/>
          <w:color w:val="auto"/>
        </w:rPr>
        <w:t>Notes due 2029 and $                    aggregate principal amount of       % Senior Notes due 2033. The 2029 notes will form a single series with the $750,000,000 aggregate principal amount of 6.750% Senior Notes due 2029 that we issued on October 31, 2022. Accordingly, the 2029 notes offered by this prospectus 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                    .</w:t>
      </w:r>
    </w:p>
    <w:p>
      <w:pPr>
        <w:spacing w:after="0" w:line="75"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The 2029 notes will mature on November 1, 2029 and the 2033</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notes will mature on                      , 2033.</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and Payment Dates</w:t>
      </w:r>
      <w:r>
        <w:rPr>
          <w:sz w:val="20"/>
          <w:szCs w:val="20"/>
          <w:color w:val="auto"/>
        </w:rPr>
        <w:tab/>
      </w:r>
      <w:r>
        <w:rPr>
          <w:rFonts w:ascii="Arial" w:cs="Arial" w:eastAsia="Arial" w:hAnsi="Arial"/>
          <w:sz w:val="17"/>
          <w:szCs w:val="17"/>
          <w:color w:val="auto"/>
        </w:rPr>
        <w:t>6.750% per year on the principal amount of the 2029 notes and</w:t>
      </w:r>
    </w:p>
    <w:p>
      <w:pPr>
        <w:spacing w:after="0" w:line="27" w:lineRule="exact"/>
        <w:rPr>
          <w:sz w:val="20"/>
          <w:szCs w:val="20"/>
          <w:color w:val="auto"/>
        </w:rPr>
      </w:pPr>
    </w:p>
    <w:p>
      <w:pPr>
        <w:ind w:left="4300" w:right="439"/>
        <w:spacing w:after="0" w:line="252" w:lineRule="auto"/>
        <w:rPr>
          <w:sz w:val="20"/>
          <w:szCs w:val="20"/>
          <w:color w:val="auto"/>
        </w:rPr>
      </w:pPr>
      <w:r>
        <w:rPr>
          <w:rFonts w:ascii="Arial" w:cs="Arial" w:eastAsia="Arial" w:hAnsi="Arial"/>
          <w:sz w:val="18"/>
          <w:szCs w:val="18"/>
          <w:color w:val="auto"/>
        </w:rPr>
        <w:t>        % per year on the principal amount of the 2033 notes. Interest is payable on the 2029 notes on May 1 and November 1 of each year after the date of issuance, commencing May 1, 2023, and interest is payable on the 2033 notes on                      and                      of each year after the date of issuance, commencing on                      , 2023. Interest on the 2029 notes will accrue from October 31, 2022 and interest on the 2033 notes will accrue from                      , 2023.</w:t>
      </w:r>
    </w:p>
    <w:p>
      <w:pPr>
        <w:spacing w:after="0" w:line="7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Ranking of the Notes</w:t>
      </w:r>
      <w:r>
        <w:rPr>
          <w:sz w:val="20"/>
          <w:szCs w:val="20"/>
          <w:color w:val="auto"/>
        </w:rPr>
        <w:tab/>
      </w:r>
      <w:r>
        <w:rPr>
          <w:rFonts w:ascii="Arial" w:cs="Arial" w:eastAsia="Arial" w:hAnsi="Arial"/>
          <w:sz w:val="17"/>
          <w:szCs w:val="17"/>
          <w:color w:val="auto"/>
        </w:rPr>
        <w:t>The notes will be senior unsecured obligations and will rank</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equally with all of our other existing and future unsecured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unsubordinated indebtedness from time to time outstanding.</w:t>
      </w:r>
    </w:p>
    <w:p>
      <w:pPr>
        <w:spacing w:after="0" w:line="14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of December 1, 2022:</w:t>
      </w:r>
    </w:p>
    <w:p>
      <w:pPr>
        <w:spacing w:after="0" w:line="158"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tab/>
        <w:t>we had approximately $9.7 billion aggregate principal</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of indebtedness;</w:t>
      </w:r>
    </w:p>
    <w:p>
      <w:pPr>
        <w:spacing w:after="0" w:line="126"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tab/>
        <w:t>and our subsidiaries had outstanding liabilities (including</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trade payables and indebtedness to third parties at the full</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stated amount thereof but excluding intercompany</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indebtedness and other obligations and liabilities of a type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not required to be reflected on a balance sheet of such</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subsidiaries in accordance with GAAP) of approximately</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$7.0 billion, all of which will be structurally senior to the notes</w:t>
      </w:r>
    </w:p>
    <w:p>
      <w:pPr>
        <w:spacing w:after="0" w:line="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with respect to claims on the assets and cash flows of our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subsidiaries.</w:t>
      </w:r>
    </w:p>
    <w:p>
      <w:pPr>
        <w:spacing w:after="0" w:line="140" w:lineRule="exact"/>
        <w:rPr>
          <w:sz w:val="20"/>
          <w:szCs w:val="20"/>
          <w:color w:val="auto"/>
        </w:rPr>
      </w:pPr>
    </w:p>
    <w:p>
      <w:pPr>
        <w:ind w:left="4300" w:right="539"/>
        <w:spacing w:after="0" w:line="268" w:lineRule="auto"/>
        <w:rPr>
          <w:sz w:val="20"/>
          <w:szCs w:val="20"/>
          <w:color w:val="auto"/>
        </w:rPr>
      </w:pPr>
      <w:r>
        <w:rPr>
          <w:rFonts w:ascii="Arial" w:cs="Arial" w:eastAsia="Arial" w:hAnsi="Arial"/>
          <w:sz w:val="18"/>
          <w:szCs w:val="18"/>
          <w:color w:val="auto"/>
        </w:rPr>
        <w:t>The foregoing does not reflect the $600 million in aggregate principal amount of incremental term loans that we borrowed on January 5, 2023.</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Sinking Fund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60" w:hanging="179"/>
        <w:spacing w:after="0" w:line="268" w:lineRule="auto"/>
        <w:rPr>
          <w:sz w:val="20"/>
          <w:szCs w:val="20"/>
          <w:color w:val="auto"/>
        </w:rPr>
      </w:pPr>
      <w:r>
        <w:rPr>
          <w:rFonts w:ascii="Arial" w:cs="Arial" w:eastAsia="Arial" w:hAnsi="Arial"/>
          <w:sz w:val="18"/>
          <w:szCs w:val="18"/>
          <w:color w:val="auto"/>
        </w:rPr>
        <w:t>Mandatory Offer to Repurchase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Market; No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right="439"/>
        <w:spacing w:after="0" w:line="267" w:lineRule="auto"/>
        <w:rPr>
          <w:sz w:val="20"/>
          <w:szCs w:val="20"/>
          <w:color w:val="auto"/>
        </w:rPr>
      </w:pPr>
      <w:r>
        <w:rPr>
          <w:rFonts w:ascii="Arial" w:cs="Arial" w:eastAsia="Arial" w:hAnsi="Arial"/>
          <w:sz w:val="17"/>
          <w:szCs w:val="17"/>
          <w:color w:val="auto"/>
        </w:rPr>
        <w:t>The notes will be redeemable at our option, in whole or in part, at any time and from time to time at a redemption price for each series of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September 1, 2029 in the case of the 2029 notes</w:t>
      </w:r>
    </w:p>
    <w:p>
      <w:pPr>
        <w:spacing w:after="0" w:line="6" w:lineRule="exact"/>
        <w:rPr>
          <w:sz w:val="20"/>
          <w:szCs w:val="20"/>
          <w:color w:val="auto"/>
        </w:rPr>
      </w:pPr>
    </w:p>
    <w:p>
      <w:pPr>
        <w:ind w:right="519"/>
        <w:spacing w:after="0" w:line="270" w:lineRule="auto"/>
        <w:rPr>
          <w:sz w:val="20"/>
          <w:szCs w:val="20"/>
          <w:color w:val="auto"/>
        </w:rPr>
      </w:pPr>
      <w:r>
        <w:rPr>
          <w:rFonts w:ascii="Arial" w:cs="Arial" w:eastAsia="Arial" w:hAnsi="Arial"/>
          <w:sz w:val="17"/>
          <w:szCs w:val="17"/>
          <w:color w:val="auto"/>
        </w:rPr>
        <w:t>(two months prior to the maturity date of the 2029 notes) and on or after                      ,               in the case of the 2033 notes (three months prior to the maturity date of the 2033 notes), in each case,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295" w:lineRule="exact"/>
        <w:rPr>
          <w:sz w:val="20"/>
          <w:szCs w:val="20"/>
          <w:color w:val="auto"/>
        </w:rPr>
      </w:pPr>
    </w:p>
    <w:p>
      <w:pPr>
        <w:ind w:right="379"/>
        <w:spacing w:after="0" w:line="255" w:lineRule="auto"/>
        <w:rPr>
          <w:sz w:val="20"/>
          <w:szCs w:val="20"/>
          <w:color w:val="auto"/>
        </w:rPr>
      </w:pPr>
      <w:r>
        <w:rPr>
          <w:rFonts w:ascii="Arial" w:cs="Arial" w:eastAsia="Arial" w:hAnsi="Arial"/>
          <w:sz w:val="18"/>
          <w:szCs w:val="18"/>
          <w:color w:val="auto"/>
        </w:rPr>
        <w:t>Upon the occurrence of a Change of Control Triggering Event (as defined elsewhere in this prospectus supplement) with respect to a series of notes, we will be required to make an offer to purchase the notes of such series at a price equal to 101% of their principal amount plus accrued and unpaid interest to, but excluding, the date of purchase. See “Description of the Notes —  Repurchase of Notes Upon a Change of Control Triggering Event.”</w:t>
      </w:r>
    </w:p>
    <w:p>
      <w:pPr>
        <w:spacing w:after="0" w:line="77" w:lineRule="exact"/>
        <w:rPr>
          <w:sz w:val="20"/>
          <w:szCs w:val="20"/>
          <w:color w:val="auto"/>
        </w:rPr>
      </w:pPr>
    </w:p>
    <w:p>
      <w:pPr>
        <w:ind w:right="499"/>
        <w:spacing w:after="0" w:line="257" w:lineRule="auto"/>
        <w:rPr>
          <w:sz w:val="20"/>
          <w:szCs w:val="20"/>
          <w:color w:val="auto"/>
        </w:rPr>
      </w:pPr>
      <w:r>
        <w:rPr>
          <w:rFonts w:ascii="Arial" w:cs="Arial" w:eastAsia="Arial" w:hAnsi="Arial"/>
          <w:sz w:val="18"/>
          <w:szCs w:val="18"/>
          <w:color w:val="auto"/>
        </w:rPr>
        <w:t>The indenture that will govern each series of notes contains covenants that, subject to significant exceptions, limit our ability and/or the ability of our restricted subsidiaries (which are generally domestic subsidiaries in which we own at least 80% of the voting stock and which own Principal Property (as defined herein)) to:</w:t>
      </w:r>
    </w:p>
    <w:p>
      <w:pPr>
        <w:spacing w:after="0" w:line="128" w:lineRule="exact"/>
        <w:rPr>
          <w:sz w:val="20"/>
          <w:szCs w:val="20"/>
          <w:color w:val="auto"/>
        </w:rPr>
      </w:pPr>
    </w:p>
    <w:p>
      <w:pPr>
        <w:jc w:val="both"/>
        <w:ind w:left="360" w:right="499" w:hanging="358"/>
        <w:spacing w:after="0" w:line="262"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or incur certain liens on Principal Property owned by us or a Restricted Subsidiary and shares of capital stock of any restricted subsidiary and enter into sale and lease-back transactions with respect to Principal Property; and</w:t>
      </w:r>
    </w:p>
    <w:p>
      <w:pPr>
        <w:spacing w:after="0" w:line="122" w:lineRule="exact"/>
        <w:rPr>
          <w:rFonts w:ascii="Arial" w:cs="Arial" w:eastAsia="Arial" w:hAnsi="Arial"/>
          <w:sz w:val="18"/>
          <w:szCs w:val="18"/>
          <w:color w:val="auto"/>
        </w:rPr>
      </w:pPr>
    </w:p>
    <w:p>
      <w:pPr>
        <w:jc w:val="both"/>
        <w:ind w:left="360" w:right="459" w:hanging="358"/>
        <w:spacing w:after="0" w:line="31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consolidate with or merge with or into, or convey, transfer or lease all or substantially all of our assets, to another person.</w:t>
      </w:r>
    </w:p>
    <w:p>
      <w:pPr>
        <w:spacing w:after="0" w:line="62" w:lineRule="exact"/>
        <w:rPr>
          <w:sz w:val="20"/>
          <w:szCs w:val="20"/>
          <w:color w:val="auto"/>
        </w:rPr>
      </w:pPr>
    </w:p>
    <w:p>
      <w:pPr>
        <w:jc w:val="both"/>
        <w:ind w:right="439"/>
        <w:spacing w:after="0" w:line="268" w:lineRule="auto"/>
        <w:rPr>
          <w:sz w:val="20"/>
          <w:szCs w:val="20"/>
          <w:color w:val="auto"/>
        </w:rPr>
      </w:pPr>
      <w:r>
        <w:rPr>
          <w:rFonts w:ascii="Arial" w:cs="Arial" w:eastAsia="Arial" w:hAnsi="Arial"/>
          <w:sz w:val="18"/>
          <w:szCs w:val="18"/>
          <w:color w:val="auto"/>
        </w:rPr>
        <w:t>These covenants are subject to a number of important limitations and exceptions as described under “Description of the Notes —  Certain Covenants.”</w:t>
      </w:r>
    </w:p>
    <w:p>
      <w:pPr>
        <w:spacing w:after="0" w:line="63" w:lineRule="exact"/>
        <w:rPr>
          <w:sz w:val="20"/>
          <w:szCs w:val="20"/>
          <w:color w:val="auto"/>
        </w:rPr>
      </w:pPr>
    </w:p>
    <w:p>
      <w:pPr>
        <w:ind w:right="419"/>
        <w:spacing w:after="0" w:line="254" w:lineRule="auto"/>
        <w:rPr>
          <w:sz w:val="20"/>
          <w:szCs w:val="20"/>
          <w:color w:val="auto"/>
        </w:rPr>
      </w:pPr>
      <w:r>
        <w:rPr>
          <w:rFonts w:ascii="Arial" w:cs="Arial" w:eastAsia="Arial" w:hAnsi="Arial"/>
          <w:sz w:val="18"/>
          <w:szCs w:val="18"/>
          <w:color w:val="auto"/>
        </w:rPr>
        <w:t>The 2033 notes will be a new issue of securities for which there is currently no established pubic market. Although the underwriters have informed us that they intend to make a market in the notes, they are not obligated to do so and may discontinue market-making with respect to the notes at any time without notice. Accordingly, a liquid market for the notes may not develop or be maintained. See “Risk Factors — Risks Related to the Notes — Your ability to transfer the notes may be limited by the absence of an active trading market, and an active trading market may not develop for the notes.”</w:t>
      </w:r>
    </w:p>
    <w:p>
      <w:pPr>
        <w:spacing w:after="0" w:line="200" w:lineRule="exact"/>
        <w:rPr>
          <w:sz w:val="20"/>
          <w:szCs w:val="20"/>
          <w:color w:val="auto"/>
        </w:rPr>
      </w:pPr>
    </w:p>
    <w:p>
      <w:pPr>
        <w:sectPr>
          <w:pgSz w:w="11900" w:h="16838" w:orient="portrait"/>
          <w:cols w:equalWidth="0" w:num="2">
            <w:col w:w="3780" w:space="520"/>
            <w:col w:w="5579"/>
          </w:cols>
          <w:pgMar w:left="580" w:top="97" w:right="1440" w:bottom="1440" w:gutter="0" w:footer="0" w:header="0"/>
          <w:type w:val="continuous"/>
        </w:sectPr>
      </w:pPr>
    </w:p>
    <w:p>
      <w:pPr>
        <w:spacing w:after="0" w:line="17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We do not intend to apply for the listing of the notes on any</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securities exchange or for the quotation of the notes in 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dealer quotation system.</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net proceeds from the sale of the notes, after</w:t>
      </w:r>
    </w:p>
    <w:p>
      <w:pPr>
        <w:spacing w:after="0" w:line="27" w:lineRule="exact"/>
        <w:rPr>
          <w:sz w:val="20"/>
          <w:szCs w:val="20"/>
          <w:color w:val="auto"/>
        </w:rPr>
      </w:pPr>
    </w:p>
    <w:p>
      <w:pPr>
        <w:ind w:left="4300" w:right="459"/>
        <w:spacing w:after="0" w:line="254" w:lineRule="auto"/>
        <w:rPr>
          <w:sz w:val="20"/>
          <w:szCs w:val="20"/>
          <w:color w:val="auto"/>
        </w:rPr>
      </w:pPr>
      <w:r>
        <w:rPr>
          <w:rFonts w:ascii="Arial" w:cs="Arial" w:eastAsia="Arial" w:hAnsi="Arial"/>
          <w:sz w:val="18"/>
          <w:szCs w:val="18"/>
          <w:color w:val="auto"/>
        </w:rPr>
        <w:t>deducting underwriter discounts and other estimated offering expenses, will be approximately $                    . We intend to use the net proceeds from the sale of the notes for general corporate purposes, which may include capital expenditures. See “Use of Proceeds.”</w:t>
      </w:r>
    </w:p>
    <w:p>
      <w:pPr>
        <w:spacing w:after="0" w:line="75"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You should carefully consider all of the information set forth in</w:t>
      </w:r>
    </w:p>
    <w:p>
      <w:pPr>
        <w:spacing w:after="0" w:line="27" w:lineRule="exact"/>
        <w:rPr>
          <w:sz w:val="20"/>
          <w:szCs w:val="20"/>
          <w:color w:val="auto"/>
        </w:rPr>
      </w:pPr>
    </w:p>
    <w:p>
      <w:pPr>
        <w:ind w:left="4300" w:right="519"/>
        <w:spacing w:after="0" w:line="253" w:lineRule="auto"/>
        <w:rPr>
          <w:sz w:val="20"/>
          <w:szCs w:val="20"/>
          <w:color w:val="auto"/>
        </w:rPr>
      </w:pPr>
      <w:r>
        <w:rPr>
          <w:rFonts w:ascii="Arial" w:cs="Arial" w:eastAsia="Arial" w:hAnsi="Arial"/>
          <w:sz w:val="18"/>
          <w:szCs w:val="18"/>
          <w:color w:val="auto"/>
        </w:rPr>
        <w:t>this prospectus supplement and the accompanying prospectus and the documents, including the information incorporated by reference, and, in particular, should evaluate the specific factors set forth in this prospectus supplement under “Risk Factors” for an explanation of certain risks you should consider before investing in the notes.</w:t>
      </w:r>
    </w:p>
    <w:p>
      <w:pPr>
        <w:spacing w:after="0" w:line="7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Form and Denomination</w:t>
      </w:r>
      <w:r>
        <w:rPr>
          <w:sz w:val="20"/>
          <w:szCs w:val="20"/>
          <w:color w:val="auto"/>
        </w:rPr>
        <w:tab/>
      </w:r>
      <w:r>
        <w:rPr>
          <w:rFonts w:ascii="Arial" w:cs="Arial" w:eastAsia="Arial" w:hAnsi="Arial"/>
          <w:sz w:val="17"/>
          <w:szCs w:val="17"/>
          <w:color w:val="auto"/>
        </w:rPr>
        <w:t>Each series of notes will be issued in the form of one or more</w:t>
      </w:r>
    </w:p>
    <w:p>
      <w:pPr>
        <w:spacing w:after="0" w:line="27" w:lineRule="exact"/>
        <w:rPr>
          <w:sz w:val="20"/>
          <w:szCs w:val="20"/>
          <w:color w:val="auto"/>
        </w:rPr>
      </w:pPr>
    </w:p>
    <w:p>
      <w:pPr>
        <w:ind w:left="4300" w:right="399"/>
        <w:spacing w:after="0" w:line="251" w:lineRule="auto"/>
        <w:rPr>
          <w:sz w:val="20"/>
          <w:szCs w:val="20"/>
          <w:color w:val="auto"/>
        </w:rPr>
      </w:pPr>
      <w:r>
        <w:rPr>
          <w:rFonts w:ascii="Arial" w:cs="Arial" w:eastAsia="Arial" w:hAnsi="Arial"/>
          <w:sz w:val="18"/>
          <w:szCs w:val="18"/>
          <w:color w:val="auto"/>
        </w:rPr>
        <w:t>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(“DTC”). Except in the limited 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8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Trustee, Registrar and Paying</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U.S. Bank Trust Company, National Association.</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 the</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State of New York.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CB7"/>
        </w:rPr>
        <w:t>Summary Consolidated Financial Data</w:t>
      </w:r>
    </w:p>
    <w:p>
      <w:pPr>
        <w:spacing w:after="0" w:line="162" w:lineRule="exact"/>
        <w:rPr>
          <w:sz w:val="20"/>
          <w:szCs w:val="20"/>
          <w:color w:val="auto"/>
        </w:rPr>
      </w:pPr>
    </w:p>
    <w:p>
      <w:pPr>
        <w:ind w:left="1280" w:right="439"/>
        <w:spacing w:after="0" w:line="269" w:lineRule="auto"/>
        <w:rPr>
          <w:sz w:val="20"/>
          <w:szCs w:val="20"/>
          <w:color w:val="auto"/>
        </w:rPr>
      </w:pPr>
      <w:r>
        <w:rPr>
          <w:rFonts w:ascii="Arial" w:cs="Arial" w:eastAsia="Arial" w:hAnsi="Arial"/>
          <w:sz w:val="17"/>
          <w:szCs w:val="17"/>
          <w:color w:val="auto"/>
        </w:rPr>
        <w:t>Our summary consolidated statement of operations data for the periods ended September 1, 2022, September 2, 2021 and September 3, 2020, and the consolidated balance sheet data as of September 1, 2022 and September 2, 2021, has been derived from our audited consolidated financial statements incorporated by reference herein. The summary consolidated statement of operations data below for the three month periods ended December 1, 2022 and December 2, 2021, and the summary consolidated balance sheet data as of December 1, 2022, have been derived from our unaudited consolidated financial statements that are incorporated by reference herein. Our summary consolidated balance sheet data as of September 3, 2020 has been derived from audited financial statements not incorporated by reference. Our historical results, including our operating results for the three months ended December 1, 2022, are not necessarily indicative of results that may be expected for future periods.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September 1, 2022 and our Quarterly Report on Form 10-Q for the fiscal quarter ended December 1, 2022, which are incorporated by reference herein.</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10"/>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8"/>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7"/>
        </w:trPr>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top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September 1, September 2,</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1,</w:t>
            </w: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2,</w:t>
            </w:r>
          </w:p>
        </w:tc>
        <w:tc>
          <w:tcPr>
            <w:tcW w:w="60" w:type="dxa"/>
            <w:vAlign w:val="bottom"/>
          </w:tcPr>
          <w:p>
            <w:pPr>
              <w:spacing w:after="0"/>
              <w:rPr>
                <w:sz w:val="16"/>
                <w:szCs w:val="16"/>
                <w:color w:val="auto"/>
              </w:rPr>
            </w:pPr>
          </w:p>
        </w:tc>
      </w:tr>
      <w:tr>
        <w:trPr>
          <w:trHeight w:val="198"/>
        </w:trPr>
        <w:tc>
          <w:tcPr>
            <w:tcW w:w="33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18"/>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​$30,758</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​$27,705</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​$21,435</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$4,085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$7,687</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​16,860</w:t>
            </w:r>
          </w:p>
        </w:tc>
        <w:tc>
          <w:tcPr>
            <w:tcW w:w="1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​17,282</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​14,883</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​3,192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​4,122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​13,898</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​10,423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6,552</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893</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​3,565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 ​ 3,116</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2,663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2,600</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849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1,066</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ind w:right="16"/>
              <w:spacing w:after="0"/>
              <w:rPr>
                <w:sz w:val="20"/>
                <w:szCs w:val="20"/>
                <w:color w:val="auto"/>
              </w:rPr>
            </w:pPr>
            <w:r>
              <w:rPr>
                <w:rFonts w:ascii="Arial" w:cs="Arial" w:eastAsia="Arial" w:hAnsi="Arial"/>
                <w:sz w:val="18"/>
                <w:szCs w:val="18"/>
                <w:color w:val="auto"/>
              </w:rPr>
              <w:t>48</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488</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 9,702</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6,283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3,003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 (209)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​2,631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4"/>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 9,571</w:t>
            </w:r>
          </w:p>
        </w:tc>
        <w:tc>
          <w:tcPr>
            <w:tcW w:w="100" w:type="dxa"/>
            <w:vAlign w:val="bottom"/>
          </w:tcPr>
          <w:p>
            <w:pPr>
              <w:spacing w:after="0"/>
              <w:rPr>
                <w:sz w:val="21"/>
                <w:szCs w:val="21"/>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6,218</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tcPr>
          <w:p>
            <w:pPr>
              <w:spacing w:after="0"/>
              <w:rPr>
                <w:sz w:val="20"/>
                <w:szCs w:val="20"/>
                <w:color w:val="auto"/>
              </w:rPr>
            </w:pPr>
            <w:r>
              <w:rPr>
                <w:rFonts w:ascii="Arial" w:cs="Arial" w:eastAsia="Arial" w:hAnsi="Arial"/>
                <w:sz w:val="18"/>
                <w:szCs w:val="18"/>
                <w:color w:val="auto"/>
              </w:rPr>
              <w:t>​ ​ 2,983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 (176)</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(219)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Equity in net income (loss) of equity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8"/>
                <w:szCs w:val="18"/>
                <w:color w:val="auto"/>
              </w:rPr>
              <w:t>method investees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8,687</w:t>
            </w:r>
          </w:p>
        </w:tc>
        <w:tc>
          <w:tcPr>
            <w:tcW w:w="100" w:type="dxa"/>
            <w:vAlign w:val="bottom"/>
            <w:shd w:val="clear" w:color="auto" w:fill="CCEEFF"/>
          </w:tcPr>
          <w:p>
            <w:pPr>
              <w:spacing w:after="0"/>
              <w:rPr>
                <w:sz w:val="22"/>
                <w:szCs w:val="22"/>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5,861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2,710</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(195)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8"/>
        </w:trPr>
        <w:tc>
          <w:tcPr>
            <w:tcW w:w="3320" w:type="dxa"/>
            <w:vAlign w:val="bottom"/>
          </w:tcPr>
          <w:p>
            <w:pPr>
              <w:spacing w:after="0"/>
              <w:rPr>
                <w:sz w:val="20"/>
                <w:szCs w:val="20"/>
                <w:color w:val="auto"/>
              </w:rPr>
            </w:pPr>
            <w:r>
              <w:rPr>
                <w:rFonts w:ascii="Arial" w:cs="Arial" w:eastAsia="Arial" w:hAnsi="Arial"/>
                <w:sz w:val="18"/>
                <w:szCs w:val="18"/>
                <w:color w:val="auto"/>
              </w:rPr>
              <w:t>Net income attributable to noncontrolling</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24"/>
                <w:szCs w:val="24"/>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5,861</w:t>
            </w:r>
          </w:p>
        </w:tc>
        <w:tc>
          <w:tcPr>
            <w:tcW w:w="2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2,687</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(195)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40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center"/>
              <w:ind w:right="217"/>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1,</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2,</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w:t>
            </w:r>
          </w:p>
        </w:tc>
        <w:tc>
          <w:tcPr>
            <w:tcW w:w="160" w:type="dxa"/>
            <w:vAlign w:val="bottom"/>
          </w:tcPr>
          <w:p>
            <w:pPr>
              <w:spacing w:after="0"/>
              <w:rPr>
                <w:sz w:val="16"/>
                <w:szCs w:val="16"/>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December 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6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6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Cash and equivalents and short-term investments</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9,331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8,633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8,142</w:t>
            </w:r>
          </w:p>
        </w:tc>
        <w:tc>
          <w:tcPr>
            <w:tcW w:w="1060" w:type="dxa"/>
            <w:vAlign w:val="bottom"/>
            <w:gridSpan w:val="4"/>
          </w:tcPr>
          <w:p>
            <w:pPr>
              <w:spacing w:after="0"/>
              <w:rPr>
                <w:sz w:val="20"/>
                <w:szCs w:val="20"/>
                <w:color w:val="auto"/>
              </w:rPr>
            </w:pPr>
            <w:r>
              <w:rPr>
                <w:rFonts w:ascii="Arial" w:cs="Arial" w:eastAsia="Arial" w:hAnsi="Arial"/>
                <w:sz w:val="18"/>
                <w:szCs w:val="18"/>
                <w:color w:val="auto"/>
              </w:rPr>
              <w:t xml:space="preserve">​​​ ​$10,581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​12,450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​11,274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 9,823</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​12,340</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 1,647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 1,765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 ​ 1,048</w:t>
            </w:r>
          </w:p>
        </w:tc>
        <w:tc>
          <w:tcPr>
            <w:tcW w:w="880" w:type="dxa"/>
            <w:vAlign w:val="bottom"/>
            <w:gridSpan w:val="2"/>
          </w:tcPr>
          <w:p>
            <w:pPr>
              <w:spacing w:after="0"/>
              <w:rPr>
                <w:sz w:val="20"/>
                <w:szCs w:val="20"/>
                <w:color w:val="auto"/>
              </w:rPr>
            </w:pPr>
            <w:r>
              <w:rPr>
                <w:rFonts w:ascii="Arial" w:cs="Arial" w:eastAsia="Arial" w:hAnsi="Arial"/>
                <w:sz w:val="18"/>
                <w:szCs w:val="18"/>
                <w:color w:val="auto"/>
              </w:rPr>
              <w:t>​​​ ​ ​ 1,426</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​66,283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​58,849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​53,678</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​67,874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Current debt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103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155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 ​  171</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 6,803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 6,621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 6,373</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​10,094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1"/>
        </w:trPr>
        <w:tc>
          <w:tcPr>
            <w:tcW w:w="40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​49,907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​43,933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 ​38,996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 ​49,306</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51"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quarter ended December 1, 2022 as well as the risk factors described below, which are not exhaustive. In this section, references to “Micron,” “us,” “we,” or “our” refer only to Micron Technology, Inc. and not to any of its subsidiaries.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Our Business</w:t>
      </w:r>
    </w:p>
    <w:p>
      <w:pPr>
        <w:spacing w:after="0" w:line="148" w:lineRule="exact"/>
        <w:rPr>
          <w:sz w:val="20"/>
          <w:szCs w:val="20"/>
          <w:color w:val="auto"/>
        </w:rPr>
      </w:pPr>
    </w:p>
    <w:p>
      <w:pPr>
        <w:ind w:left="1260" w:right="659"/>
        <w:spacing w:after="0" w:line="287" w:lineRule="auto"/>
        <w:rPr>
          <w:sz w:val="20"/>
          <w:szCs w:val="20"/>
          <w:color w:val="auto"/>
        </w:rPr>
      </w:pPr>
      <w:r>
        <w:rPr>
          <w:rFonts w:ascii="Arial" w:cs="Arial" w:eastAsia="Arial" w:hAnsi="Arial"/>
          <w:sz w:val="18"/>
          <w:szCs w:val="18"/>
          <w:color w:val="auto"/>
        </w:rPr>
        <w:t>We hereby incorporate by reference the risk factors in Item 1A of our Quarterly Report on Form 10-Q for the fiscal quarter ended December 1, 2022.</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Risks Related to the Notes</w:t>
      </w:r>
    </w:p>
    <w:p>
      <w:pPr>
        <w:spacing w:after="0" w:line="231"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71"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9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18"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4"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7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 holders of that debt will be entitled to share ratably with you in any proceeds distributed in connection with any insolvency, liquidation, reorganization,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79"/>
        <w:spacing w:after="0" w:line="287" w:lineRule="auto"/>
        <w:rPr>
          <w:sz w:val="20"/>
          <w:szCs w:val="20"/>
          <w:color w:val="auto"/>
        </w:rPr>
      </w:pPr>
      <w:r>
        <w:rPr>
          <w:rFonts w:ascii="Arial" w:cs="Arial" w:eastAsia="Arial" w:hAnsi="Arial"/>
          <w:sz w:val="18"/>
          <w:szCs w:val="18"/>
          <w:color w:val="auto"/>
        </w:rPr>
        <w:t>dissolution or other winding-up of us. If new debt is added to our current debt levels, the related risks that we and our subsidiaries now face could intensify. See “Description of the Notes.”</w:t>
      </w:r>
    </w:p>
    <w:p>
      <w:pPr>
        <w:spacing w:after="0" w:line="114" w:lineRule="exact"/>
        <w:rPr>
          <w:sz w:val="20"/>
          <w:szCs w:val="20"/>
          <w:color w:val="auto"/>
        </w:rPr>
      </w:pPr>
    </w:p>
    <w:p>
      <w:pPr>
        <w:ind w:left="1260" w:right="579"/>
        <w:spacing w:after="0" w:line="278"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58" w:lineRule="exact"/>
        <w:rPr>
          <w:sz w:val="20"/>
          <w:szCs w:val="20"/>
          <w:color w:val="auto"/>
        </w:rPr>
      </w:pPr>
    </w:p>
    <w:p>
      <w:pPr>
        <w:ind w:left="1260" w:right="439"/>
        <w:spacing w:after="0" w:line="258"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90" w:lineRule="exact"/>
        <w:rPr>
          <w:sz w:val="20"/>
          <w:szCs w:val="20"/>
          <w:color w:val="auto"/>
        </w:rPr>
      </w:pPr>
    </w:p>
    <w:p>
      <w:pPr>
        <w:ind w:left="1260" w:right="439"/>
        <w:spacing w:after="0" w:line="260"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01"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52" w:lineRule="exact"/>
        <w:rPr>
          <w:sz w:val="20"/>
          <w:szCs w:val="20"/>
          <w:color w:val="auto"/>
        </w:rPr>
      </w:pPr>
    </w:p>
    <w:p>
      <w:pPr>
        <w:ind w:left="1260" w:right="1479"/>
        <w:spacing w:after="0" w:line="294" w:lineRule="auto"/>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5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December 1, 2022,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$7.0 billion, all of which will be structurally senior to the notes with respect to claims on the assets and cash flows of our subsidiaries.</w:t>
      </w:r>
    </w:p>
    <w:p>
      <w:pPr>
        <w:spacing w:after="0" w:line="146" w:lineRule="exact"/>
        <w:rPr>
          <w:sz w:val="20"/>
          <w:szCs w:val="20"/>
          <w:color w:val="auto"/>
        </w:rPr>
      </w:pPr>
    </w:p>
    <w:p>
      <w:pPr>
        <w:ind w:left="1260" w:right="639"/>
        <w:spacing w:after="0" w:line="264"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71"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56"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17"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1" w:lineRule="exact"/>
        <w:rPr>
          <w:sz w:val="20"/>
          <w:szCs w:val="20"/>
          <w:color w:val="auto"/>
        </w:rPr>
      </w:pPr>
    </w:p>
    <w:p>
      <w:pPr>
        <w:ind w:left="1260" w:right="439"/>
        <w:spacing w:after="0" w:line="294"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5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2033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679"/>
        <w:spacing w:after="0" w:line="272"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91"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Upon the occurrence of a Change of Control Triggering Event (as defined in the indenture governing each series of notes) with respect to a series of notes, holders of such series of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78" w:lineRule="exact"/>
        <w:rPr>
          <w:sz w:val="20"/>
          <w:szCs w:val="20"/>
          <w:color w:val="auto"/>
        </w:rPr>
      </w:pPr>
    </w:p>
    <w:p>
      <w:pPr>
        <w:ind w:left="1260" w:right="1059"/>
        <w:spacing w:after="0" w:line="294"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7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Upon the occurrence of a Change of Control Triggering Event with respect to a series of notes, you will have the right to require us to purchase the notes of such series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              .</w:t>
      </w:r>
    </w:p>
    <w:p>
      <w:pPr>
        <w:spacing w:after="0" w:line="85" w:lineRule="exact"/>
        <w:rPr>
          <w:sz w:val="20"/>
          <w:szCs w:val="20"/>
          <w:color w:val="auto"/>
        </w:rPr>
      </w:pPr>
    </w:p>
    <w:p>
      <w:pPr>
        <w:ind w:left="1260" w:right="779"/>
        <w:spacing w:after="0" w:line="287" w:lineRule="auto"/>
        <w:rPr>
          <w:sz w:val="20"/>
          <w:szCs w:val="20"/>
          <w:color w:val="auto"/>
        </w:rPr>
      </w:pPr>
      <w:r>
        <w:rPr>
          <w:rFonts w:ascii="Arial" w:cs="Arial" w:eastAsia="Arial" w:hAnsi="Arial"/>
          <w:sz w:val="18"/>
          <w:szCs w:val="18"/>
          <w:color w:val="auto"/>
        </w:rPr>
        <w:t>We intend to use the net proceeds from the sale of the notes for general corporate purposes, which may include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CASH AND CAPITALIZATION</w:t>
      </w:r>
    </w:p>
    <w:p>
      <w:pPr>
        <w:spacing w:after="0" w:line="149" w:lineRule="exact"/>
        <w:rPr>
          <w:sz w:val="20"/>
          <w:szCs w:val="20"/>
          <w:color w:val="auto"/>
        </w:rPr>
      </w:pPr>
    </w:p>
    <w:p>
      <w:pPr>
        <w:jc w:val="both"/>
        <w:ind w:left="1260" w:right="1079"/>
        <w:spacing w:after="0" w:line="301"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December 1, 2022:</w:t>
      </w:r>
    </w:p>
    <w:p>
      <w:pPr>
        <w:spacing w:after="0" w:line="2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as if the offering had occurred on December 1, 2022.</w:t>
      </w:r>
    </w:p>
    <w:p>
      <w:pPr>
        <w:spacing w:after="0" w:line="85" w:lineRule="exact"/>
        <w:rPr>
          <w:sz w:val="20"/>
          <w:szCs w:val="20"/>
          <w:color w:val="auto"/>
        </w:rPr>
      </w:pPr>
    </w:p>
    <w:p>
      <w:pPr>
        <w:ind w:left="1260" w:right="819"/>
        <w:spacing w:after="0" w:line="271"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December 1, 2022</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6"/>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1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As Adjusted </w:t>
            </w:r>
            <w:r>
              <w:rPr>
                <w:rFonts w:ascii="Arial" w:cs="Arial" w:eastAsia="Arial" w:hAnsi="Arial"/>
                <w:sz w:val="27"/>
                <w:szCs w:val="27"/>
                <w:b w:val="1"/>
                <w:bCs w:val="1"/>
                <w:color w:val="auto"/>
                <w:vertAlign w:val="subscript"/>
              </w:rPr>
              <w:t>​</w:t>
            </w:r>
          </w:p>
        </w:tc>
      </w:tr>
      <w:tr>
        <w:trPr>
          <w:trHeight w:val="262"/>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-178435</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Arial" w:cs="Arial" w:eastAsia="Arial" w:hAnsi="Arial"/>
          <w:sz w:val="18"/>
          <w:szCs w:val="18"/>
          <w:color w:val="auto"/>
        </w:rPr>
        <w:t>Cash and equivalents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marketable investments</w:t>
      </w:r>
    </w:p>
    <w:p>
      <w:pPr>
        <w:spacing w:after="0" w:line="63" w:lineRule="exact"/>
        <w:rPr>
          <w:sz w:val="20"/>
          <w:szCs w:val="20"/>
          <w:color w:val="auto"/>
        </w:rPr>
      </w:pPr>
    </w:p>
    <w:p>
      <w:pPr>
        <w:ind w:left="1620" w:hanging="179"/>
        <w:spacing w:after="0" w:line="287" w:lineRule="auto"/>
        <w:rPr>
          <w:sz w:val="20"/>
          <w:szCs w:val="20"/>
          <w:color w:val="auto"/>
        </w:rPr>
      </w:pPr>
      <w:r>
        <w:rPr>
          <w:rFonts w:ascii="Arial" w:cs="Arial" w:eastAsia="Arial" w:hAnsi="Arial"/>
          <w:sz w:val="18"/>
          <w:szCs w:val="18"/>
          <w:color w:val="auto"/>
        </w:rPr>
        <w:t>Cash and equivalents, short-term investments and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debt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debt and finance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6.750% senior notes due 2029, including 2029 notes offered hereby</w:t>
      </w:r>
    </w:p>
    <w:p>
      <w:pPr>
        <w:spacing w:after="0" w:line="50" w:lineRule="exact"/>
        <w:rPr>
          <w:sz w:val="20"/>
          <w:szCs w:val="20"/>
          <w:color w:val="auto"/>
        </w:rPr>
      </w:pPr>
    </w:p>
    <w:p>
      <w:pPr>
        <w:ind w:left="1440" w:right="2160"/>
        <w:spacing w:after="0" w:line="305"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 senior notes due 2033 offered hereby 2024 Term Loan</w:t>
      </w:r>
    </w:p>
    <w:p>
      <w:pPr>
        <w:ind w:left="1440"/>
        <w:spacing w:after="0"/>
        <w:rPr>
          <w:rFonts w:ascii="Arial" w:cs="Arial" w:eastAsia="Arial" w:hAnsi="Arial"/>
          <w:sz w:val="17"/>
          <w:szCs w:val="17"/>
          <w:color w:val="auto"/>
        </w:rPr>
      </w:pPr>
      <w:r>
        <w:rPr>
          <w:rFonts w:ascii="Arial" w:cs="Arial" w:eastAsia="Arial" w:hAnsi="Arial"/>
          <w:sz w:val="18"/>
          <w:szCs w:val="18"/>
          <w:color w:val="auto"/>
        </w:rPr>
        <w:t>2025 Term Loan</w:t>
      </w:r>
      <w:r>
        <w:rPr>
          <w:rFonts w:ascii="Arial" w:cs="Arial" w:eastAsia="Arial" w:hAnsi="Arial"/>
          <w:sz w:val="23"/>
          <w:szCs w:val="23"/>
          <w:color w:val="auto"/>
          <w:vertAlign w:val="superscript"/>
        </w:rPr>
        <w:t>(1)</w:t>
      </w:r>
    </w:p>
    <w:p>
      <w:pPr>
        <w:spacing w:after="0" w:line="46"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2026 Term Loan</w:t>
      </w:r>
      <w:r>
        <w:rPr>
          <w:rFonts w:ascii="Arial" w:cs="Arial" w:eastAsia="Arial" w:hAnsi="Arial"/>
          <w:sz w:val="23"/>
          <w:szCs w:val="23"/>
          <w:color w:val="auto"/>
          <w:vertAlign w:val="superscript"/>
        </w:rPr>
        <w:t>(1)</w:t>
      </w:r>
    </w:p>
    <w:p>
      <w:pPr>
        <w:spacing w:after="0" w:line="1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2027 Term Loan</w:t>
      </w:r>
      <w:r>
        <w:rPr>
          <w:rFonts w:ascii="Arial" w:cs="Arial" w:eastAsia="Arial" w:hAnsi="Arial"/>
          <w:sz w:val="23"/>
          <w:szCs w:val="23"/>
          <w:color w:val="auto"/>
          <w:vertAlign w:val="superscript"/>
        </w:rPr>
        <w:t>(1)</w:t>
      </w:r>
    </w:p>
    <w:p>
      <w:pPr>
        <w:spacing w:after="0" w:line="1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4.975% senior notes due 2026</w:t>
      </w:r>
    </w:p>
    <w:p>
      <w:pPr>
        <w:spacing w:after="0" w:line="22"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4.185% senior notes due 2027</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46"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5.327% senior notes due 2029</w:t>
      </w:r>
    </w:p>
    <w:p>
      <w:pPr>
        <w:spacing w:after="0" w:line="38"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4.663% senior notes due 2030</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2.703% senior notes due 2032</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3.366% senior notes due 2041</w:t>
      </w:r>
    </w:p>
    <w:p>
      <w:pPr>
        <w:spacing w:after="0" w:line="49" w:lineRule="exact"/>
        <w:rPr>
          <w:rFonts w:ascii="Arial" w:cs="Arial" w:eastAsia="Arial" w:hAnsi="Arial"/>
          <w:sz w:val="17"/>
          <w:szCs w:val="17"/>
          <w:color w:val="auto"/>
        </w:rPr>
      </w:pPr>
    </w:p>
    <w:p>
      <w:pPr>
        <w:ind w:left="1440" w:right="3320"/>
        <w:spacing w:after="0" w:line="323" w:lineRule="auto"/>
        <w:rPr>
          <w:rFonts w:ascii="Arial" w:cs="Arial" w:eastAsia="Arial" w:hAnsi="Arial"/>
          <w:sz w:val="17"/>
          <w:szCs w:val="17"/>
          <w:color w:val="auto"/>
        </w:rPr>
      </w:pPr>
      <w:r>
        <w:rPr>
          <w:rFonts w:ascii="Arial" w:cs="Arial" w:eastAsia="Arial" w:hAnsi="Arial"/>
          <w:sz w:val="17"/>
          <w:szCs w:val="17"/>
          <w:color w:val="auto"/>
        </w:rPr>
        <w:t>3.477% senior notes due 2051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-2044700</wp:posOffset>
            </wp:positionV>
            <wp:extent cx="52120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-1701800</wp:posOffset>
            </wp:positionV>
            <wp:extent cx="52120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-1341755</wp:posOffset>
            </wp:positionV>
            <wp:extent cx="52120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-998855</wp:posOffset>
            </wp:positionV>
            <wp:extent cx="52120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-673100</wp:posOffset>
            </wp:positionV>
            <wp:extent cx="52120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-347345</wp:posOffset>
            </wp:positionV>
            <wp:extent cx="52120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346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ind w:left="1800" w:right="160" w:hanging="179"/>
        <w:spacing w:after="0" w:line="268" w:lineRule="auto"/>
        <w:rPr>
          <w:sz w:val="20"/>
          <w:szCs w:val="20"/>
          <w:color w:val="auto"/>
        </w:rPr>
      </w:pPr>
      <w:r>
        <w:rPr>
          <w:rFonts w:ascii="Arial" w:cs="Arial" w:eastAsia="Arial" w:hAnsi="Arial"/>
          <w:sz w:val="18"/>
          <w:szCs w:val="18"/>
          <w:color w:val="auto"/>
        </w:rPr>
        <w:t>Total long-term debt and finance lease obligations, excluding current portion</w:t>
      </w:r>
      <w:r>
        <w:rPr>
          <w:rFonts w:ascii="Arial" w:cs="Arial" w:eastAsia="Arial" w:hAnsi="Arial"/>
          <w:sz w:val="23"/>
          <w:szCs w:val="23"/>
          <w:color w:val="auto"/>
          <w:vertAlign w:val="superscript"/>
        </w:rPr>
        <w:t>(1)</w:t>
      </w:r>
    </w:p>
    <w:p>
      <w:pPr>
        <w:ind w:left="126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9,574​​ ​</w:t>
            </w:r>
          </w:p>
        </w:tc>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          </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1220" w:type="dxa"/>
            <w:vAlign w:val="bottom"/>
            <w:gridSpan w:val="4"/>
          </w:tcPr>
          <w:p>
            <w:pPr>
              <w:jc w:val="right"/>
              <w:ind w:right="30"/>
              <w:spacing w:after="0"/>
              <w:rPr>
                <w:sz w:val="20"/>
                <w:szCs w:val="20"/>
                <w:color w:val="auto"/>
              </w:rPr>
            </w:pPr>
            <w:r>
              <w:rPr>
                <w:rFonts w:ascii="Arial" w:cs="Arial" w:eastAsia="Arial" w:hAnsi="Arial"/>
                <w:sz w:val="18"/>
                <w:szCs w:val="18"/>
                <w:color w:val="auto"/>
              </w:rPr>
              <w:t>​ ​​ ​ 1,007​​ ​</w:t>
            </w:r>
          </w:p>
        </w:tc>
        <w:tc>
          <w:tcPr>
            <w:tcW w:w="660" w:type="dxa"/>
            <w:vAlign w:val="bottom"/>
            <w:gridSpan w:val="2"/>
          </w:tcPr>
          <w:p>
            <w:pPr>
              <w:spacing w:after="0"/>
              <w:rPr>
                <w:sz w:val="20"/>
                <w:szCs w:val="20"/>
                <w:color w:val="auto"/>
              </w:rPr>
            </w:pPr>
            <w:r>
              <w:rPr>
                <w:rFonts w:ascii="Arial" w:cs="Arial" w:eastAsia="Arial" w:hAnsi="Arial"/>
                <w:sz w:val="18"/>
                <w:szCs w:val="18"/>
                <w:color w:val="auto"/>
              </w:rPr>
              <w:t>​ ​ 1,007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1220" w:type="dxa"/>
            <w:vAlign w:val="bottom"/>
            <w:gridSpan w:val="4"/>
          </w:tcPr>
          <w:p>
            <w:pPr>
              <w:jc w:val="right"/>
              <w:ind w:right="30"/>
              <w:spacing w:after="0" w:line="249"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 1,426</w:t>
            </w:r>
            <w:r>
              <w:rPr>
                <w:rFonts w:ascii="Arial" w:cs="Arial" w:eastAsia="Arial" w:hAnsi="Arial"/>
                <w:sz w:val="28"/>
                <w:szCs w:val="28"/>
                <w:color w:val="auto"/>
                <w:vertAlign w:val="subscript"/>
              </w:rPr>
              <w:t>​​ ​</w:t>
            </w:r>
          </w:p>
        </w:tc>
        <w:tc>
          <w:tcPr>
            <w:tcW w:w="660" w:type="dxa"/>
            <w:vAlign w:val="bottom"/>
            <w:gridSpan w:val="2"/>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1,426</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20" w:type="dxa"/>
            <w:vAlign w:val="bottom"/>
            <w:gridSpan w:val="4"/>
          </w:tcPr>
          <w:p>
            <w:pPr>
              <w:jc w:val="right"/>
              <w:ind w:right="3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12,007</w:t>
            </w:r>
            <w:r>
              <w:rPr>
                <w:rFonts w:ascii="Arial" w:cs="Arial" w:eastAsia="Arial" w:hAnsi="Arial"/>
                <w:sz w:val="35"/>
                <w:szCs w:val="35"/>
                <w:color w:val="auto"/>
                <w:vertAlign w:val="subscript"/>
              </w:rPr>
              <w:t>​​ ​</w:t>
            </w:r>
          </w:p>
        </w:tc>
        <w:tc>
          <w:tcPr>
            <w:tcW w:w="660" w:type="dxa"/>
            <w:vAlign w:val="bottom"/>
            <w:gridSpan w:val="2"/>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0" w:type="dxa"/>
            <w:vAlign w:val="bottom"/>
            <w:gridSpan w:val="2"/>
          </w:tcPr>
          <w:p>
            <w:pPr>
              <w:ind w:left="60"/>
              <w:spacing w:after="0" w:line="236" w:lineRule="exact"/>
              <w:rPr>
                <w:sz w:val="20"/>
                <w:szCs w:val="20"/>
                <w:color w:val="auto"/>
              </w:rPr>
            </w:pPr>
            <w:r>
              <w:rPr>
                <w:rFonts w:ascii="Arial" w:cs="Arial" w:eastAsia="Arial" w:hAnsi="Arial"/>
                <w:sz w:val="15"/>
                <w:szCs w:val="15"/>
                <w:color w:val="auto"/>
              </w:rPr>
              <w:t>​ ​​</w:t>
            </w:r>
            <w:r>
              <w:rPr>
                <w:rFonts w:ascii="Arial" w:cs="Arial" w:eastAsia="Arial" w:hAnsi="Arial"/>
                <w:sz w:val="27"/>
                <w:szCs w:val="27"/>
                <w:color w:val="auto"/>
                <w:vertAlign w:val="superscript"/>
              </w:rPr>
              <w:t>$</w:t>
            </w:r>
          </w:p>
        </w:tc>
        <w:tc>
          <w:tcPr>
            <w:tcW w:w="800" w:type="dxa"/>
            <w:vAlign w:val="bottom"/>
            <w:gridSpan w:val="2"/>
          </w:tcPr>
          <w:p>
            <w:pPr>
              <w:jc w:val="right"/>
              <w:ind w:right="30"/>
              <w:spacing w:after="0" w:line="236" w:lineRule="exact"/>
              <w:rPr>
                <w:sz w:val="20"/>
                <w:szCs w:val="20"/>
                <w:color w:val="auto"/>
              </w:rPr>
            </w:pPr>
            <w:r>
              <w:rPr>
                <w:rFonts w:ascii="Arial" w:cs="Arial" w:eastAsia="Arial" w:hAnsi="Arial"/>
                <w:sz w:val="15"/>
                <w:szCs w:val="15"/>
                <w:color w:val="auto"/>
              </w:rPr>
              <w:t>171</w:t>
            </w:r>
            <w:r>
              <w:rPr>
                <w:rFonts w:ascii="Arial" w:cs="Arial" w:eastAsia="Arial" w:hAnsi="Arial"/>
                <w:sz w:val="27"/>
                <w:szCs w:val="27"/>
                <w:color w:val="auto"/>
                <w:vertAlign w:val="subscript"/>
              </w:rPr>
              <w:t>​​ ​</w:t>
            </w:r>
          </w:p>
        </w:tc>
        <w:tc>
          <w:tcPr>
            <w:tcW w:w="26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4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744​​ ​</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6"/>
        </w:trPr>
        <w:tc>
          <w:tcPr>
            <w:tcW w:w="1220" w:type="dxa"/>
            <w:vAlign w:val="bottom"/>
            <w:gridSpan w:val="4"/>
          </w:tcPr>
          <w:p>
            <w:pPr>
              <w:jc w:val="right"/>
              <w:ind w:right="30"/>
              <w:spacing w:after="0"/>
              <w:rPr>
                <w:sz w:val="20"/>
                <w:szCs w:val="20"/>
                <w:color w:val="auto"/>
              </w:rPr>
            </w:pPr>
            <w:r>
              <w:rPr>
                <w:rFonts w:ascii="Arial" w:cs="Arial" w:eastAsia="Arial" w:hAnsi="Arial"/>
                <w:sz w:val="18"/>
                <w:szCs w:val="18"/>
                <w:color w:val="auto"/>
              </w:rPr>
              <w:t>​ ​​ ​ 1,187​​ ​</w:t>
            </w:r>
          </w:p>
        </w:tc>
        <w:tc>
          <w:tcPr>
            <w:tcW w:w="660" w:type="dxa"/>
            <w:vAlign w:val="bottom"/>
            <w:gridSpan w:val="2"/>
          </w:tcPr>
          <w:p>
            <w:pPr>
              <w:spacing w:after="0"/>
              <w:rPr>
                <w:sz w:val="20"/>
                <w:szCs w:val="20"/>
                <w:color w:val="auto"/>
              </w:rPr>
            </w:pPr>
            <w:r>
              <w:rPr>
                <w:rFonts w:ascii="Arial" w:cs="Arial" w:eastAsia="Arial" w:hAnsi="Arial"/>
                <w:sz w:val="18"/>
                <w:szCs w:val="18"/>
                <w:color w:val="auto"/>
              </w:rPr>
              <w:t>​ ​ 1,187</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925​​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717​​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890​​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499​​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796​​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697​​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846​​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995​​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497​​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496​​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420" w:type="dxa"/>
            <w:vAlign w:val="bottom"/>
            <w:gridSpan w:val="2"/>
          </w:tcPr>
          <w:p>
            <w:pPr>
              <w:ind w:left="60"/>
              <w:spacing w:after="0" w:line="249"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00" w:type="dxa"/>
            <w:vAlign w:val="bottom"/>
            <w:gridSpan w:val="2"/>
          </w:tcPr>
          <w:p>
            <w:pPr>
              <w:jc w:val="right"/>
              <w:ind w:right="30"/>
              <w:spacing w:after="0" w:line="249" w:lineRule="exact"/>
              <w:rPr>
                <w:sz w:val="20"/>
                <w:szCs w:val="20"/>
                <w:color w:val="auto"/>
              </w:rPr>
            </w:pPr>
            <w:r>
              <w:rPr>
                <w:rFonts w:ascii="Arial" w:cs="Arial" w:eastAsia="Arial" w:hAnsi="Arial"/>
                <w:sz w:val="15"/>
                <w:szCs w:val="15"/>
                <w:color w:val="auto"/>
              </w:rPr>
              <w:t>805</w:t>
            </w:r>
            <w:r>
              <w:rPr>
                <w:rFonts w:ascii="Arial" w:cs="Arial" w:eastAsia="Arial" w:hAnsi="Arial"/>
                <w:sz w:val="28"/>
                <w:szCs w:val="28"/>
                <w:color w:val="auto"/>
                <w:vertAlign w:val="subscript"/>
              </w:rPr>
              <w:t>​​ ​</w:t>
            </w:r>
          </w:p>
        </w:tc>
        <w:tc>
          <w:tcPr>
            <w:tcW w:w="260" w:type="dxa"/>
            <w:vAlign w:val="bottom"/>
          </w:tcPr>
          <w:p>
            <w:pPr>
              <w:spacing w:after="0" w:line="249"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20" w:type="dxa"/>
            <w:vAlign w:val="bottom"/>
            <w:gridSpan w:val="4"/>
          </w:tcPr>
          <w:p>
            <w:pPr>
              <w:jc w:val="right"/>
              <w:ind w:right="30"/>
              <w:spacing w:after="0"/>
              <w:rPr>
                <w:sz w:val="20"/>
                <w:szCs w:val="20"/>
                <w:color w:val="auto"/>
              </w:rPr>
            </w:pPr>
            <w:r>
              <w:rPr>
                <w:rFonts w:ascii="Arial" w:cs="Arial" w:eastAsia="Arial" w:hAnsi="Arial"/>
                <w:sz w:val="18"/>
                <w:szCs w:val="18"/>
                <w:color w:val="auto"/>
              </w:rPr>
              <w:t>​ ​​ ​10,094​​ ​</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gridSpan w:val="4"/>
          </w:tcPr>
          <w:p>
            <w:pPr>
              <w:jc w:val="right"/>
              <w:ind w:right="3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​49,306</w:t>
            </w:r>
            <w:r>
              <w:rPr>
                <w:rFonts w:ascii="Arial" w:cs="Arial" w:eastAsia="Arial" w:hAnsi="Arial"/>
                <w:sz w:val="30"/>
                <w:szCs w:val="30"/>
                <w:color w:val="auto"/>
                <w:vertAlign w:val="subscript"/>
              </w:rPr>
              <w:t>​​ ​</w:t>
            </w:r>
          </w:p>
        </w:tc>
        <w:tc>
          <w:tcPr>
            <w:tcW w:w="66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​49,306</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gridSpan w:val="4"/>
          </w:tcPr>
          <w:p>
            <w:pPr>
              <w:jc w:val="right"/>
              <w:ind w:right="3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59,400</w:t>
            </w:r>
            <w:r>
              <w:rPr>
                <w:rFonts w:ascii="Arial" w:cs="Arial" w:eastAsia="Arial" w:hAnsi="Arial"/>
                <w:sz w:val="28"/>
                <w:szCs w:val="28"/>
                <w:color w:val="auto"/>
                <w:vertAlign w:val="subscript"/>
              </w:rPr>
              <w:t>​​ ​</w:t>
            </w:r>
          </w:p>
        </w:tc>
        <w:tc>
          <w:tcPr>
            <w:tcW w:w="260" w:type="dxa"/>
            <w:vAlign w:val="bottom"/>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80" w:space="300"/>
            <w:col w:w="2399"/>
          </w:cols>
          <w:pgMar w:left="580" w:top="97" w:right="1440" w:bottom="1440" w:gutter="0" w:footer="0" w:header="0"/>
          <w:type w:val="continuous"/>
        </w:sectPr>
      </w:pPr>
    </w:p>
    <w:p>
      <w:pPr>
        <w:spacing w:after="0" w:line="11" w:lineRule="exact"/>
        <w:rPr>
          <w:sz w:val="20"/>
          <w:szCs w:val="20"/>
          <w:color w:val="auto"/>
        </w:rPr>
      </w:pPr>
    </w:p>
    <w:p>
      <w:pPr>
        <w:ind w:left="1620" w:right="719" w:hanging="360"/>
        <w:spacing w:after="0" w:line="28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above do not reflect the $600 million in aggregate principal amount of incremental term loans that we borrowed on January 5, 2023.</w:t>
      </w:r>
    </w:p>
    <w:p>
      <w:pPr>
        <w:spacing w:after="0" w:line="1"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ectPr>
          <w:pgSz w:w="11900" w:h="16838" w:orient="portrait"/>
          <w:cols w:equalWidth="0" w:num="1">
            <w:col w:w="9879"/>
          </w:cols>
          <w:pgMar w:left="580" w:top="97" w:right="1440" w:bottom="1440" w:gutter="0" w:footer="0" w:header="0"/>
          <w:type w:val="continuous"/>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THE NOTES</w:t>
      </w:r>
    </w:p>
    <w:p>
      <w:pPr>
        <w:spacing w:after="0" w:line="151"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the fifth supplemental indenture, dated as of October 31, 2022, with respect to the 2029 notes (the “Fifth Supplemental Indenture”) and as supplemented by a supplemental indenture, to be dated</w:t>
      </w:r>
    </w:p>
    <w:p>
      <w:pPr>
        <w:spacing w:after="0" w:line="1" w:lineRule="exact"/>
        <w:rPr>
          <w:sz w:val="20"/>
          <w:szCs w:val="20"/>
          <w:color w:val="auto"/>
        </w:rPr>
      </w:pPr>
    </w:p>
    <w:p>
      <w:pPr>
        <w:ind w:left="1260" w:right="719"/>
        <w:spacing w:after="0" w:line="275" w:lineRule="auto"/>
        <w:tabs>
          <w:tab w:leader="none" w:pos="13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 2023, with respect to the 2033 notes (the “Sixth Supplemental Indenture”). As used in this description, “Indenture,” with respect to the 2029 notes, means the Base Indenture, as supplemented by the Fifth Supplemental Indenture, and, with respect to the 2033 Notes, means the Base Indenture, as supplemented by the Sixth Supplemental Indenture.</w:t>
      </w:r>
    </w:p>
    <w:p>
      <w:pPr>
        <w:spacing w:after="0" w:line="101"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5" w:lineRule="exact"/>
        <w:rPr>
          <w:sz w:val="20"/>
          <w:szCs w:val="20"/>
          <w:color w:val="auto"/>
        </w:rPr>
      </w:pPr>
    </w:p>
    <w:p>
      <w:pPr>
        <w:ind w:left="1260" w:right="1139"/>
        <w:spacing w:after="0" w:line="285"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p>
    <w:p>
      <w:pPr>
        <w:spacing w:after="0" w:line="89"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i w:val="1"/>
          <w:iCs w:val="1"/>
          <w:color w:val="auto"/>
        </w:rPr>
        <w:t>The definition of certain terms used in this description are summarized under the subheading “— Certain Definitions.” In this description, references to “Micron,” “us,” “we,” “our” or the “Company” refer only to Micron Technology, Inc. and not to any of its subsidiaries.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General</w:t>
      </w:r>
    </w:p>
    <w:p>
      <w:pPr>
        <w:spacing w:after="0" w:line="14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2029 notes will form a single series with the $750,000,000 aggregate principal amount of 6.750% Senior Notes due 2029 that we issued on October 31, 2022. Accordingly, the 2029 notes offered by this prospectus 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                    .</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will issue $                aggregate principal amount of 2033 notes.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2029 notes will mature on November 1, 2029 and the 2033 notes will mature on                   , 2033.</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2029 notes and the 2033 notes are collectively referred to as the “notes.”</w:t>
      </w:r>
    </w:p>
    <w:p>
      <w:pPr>
        <w:spacing w:after="0" w:line="15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15"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Interest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2029 notes will accrue interest at a rate of 6.750% per annum and the 2033 notes will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accrue interest at a rate of             % per annum. Interest on the 2029 notes will accrue from</w:t>
      </w:r>
    </w:p>
    <w:p>
      <w:pPr>
        <w:ind w:left="1260"/>
        <w:spacing w:after="0"/>
        <w:rPr>
          <w:sz w:val="20"/>
          <w:szCs w:val="20"/>
          <w:color w:val="auto"/>
        </w:rPr>
      </w:pPr>
      <w:r>
        <w:rPr>
          <w:rFonts w:ascii="Arial" w:cs="Arial" w:eastAsia="Arial" w:hAnsi="Arial"/>
          <w:sz w:val="17"/>
          <w:szCs w:val="17"/>
          <w:color w:val="auto"/>
        </w:rPr>
        <w:t>October 31, 2022 and interest on the 2033 notes will accrue from                     , 2023. The Company will</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make interest payments on the 2029 notes semi-annually in arrears on May 1 and November 1 of each</w:t>
      </w:r>
    </w:p>
    <w:p>
      <w:pPr>
        <w:ind w:left="1260"/>
        <w:spacing w:after="0"/>
        <w:rPr>
          <w:sz w:val="20"/>
          <w:szCs w:val="20"/>
          <w:color w:val="auto"/>
        </w:rPr>
      </w:pPr>
      <w:r>
        <w:rPr>
          <w:rFonts w:ascii="Arial" w:cs="Arial" w:eastAsia="Arial" w:hAnsi="Arial"/>
          <w:sz w:val="17"/>
          <w:szCs w:val="17"/>
          <w:color w:val="auto"/>
        </w:rPr>
        <w:t>year, beginning on May 1, 2023, to the Person in whose name such notes are registered at the close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on the immediately preceding April 15 or October 15, as applicable. The Company will make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payments on the 2033 notes semi-annually in arrears on               and               of each year,</w:t>
      </w:r>
    </w:p>
    <w:p>
      <w:pPr>
        <w:ind w:left="1260"/>
        <w:spacing w:after="0"/>
        <w:rPr>
          <w:sz w:val="20"/>
          <w:szCs w:val="20"/>
          <w:color w:val="auto"/>
        </w:rPr>
      </w:pPr>
      <w:r>
        <w:rPr>
          <w:rFonts w:ascii="Arial" w:cs="Arial" w:eastAsia="Arial" w:hAnsi="Arial"/>
          <w:sz w:val="17"/>
          <w:szCs w:val="17"/>
          <w:color w:val="auto"/>
        </w:rPr>
        <w:t>beginning on                   , 2023, to the Person in whose name such notes are registered at the close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on the immediately preceding               or               , as applicable.</w:t>
      </w:r>
    </w:p>
    <w:p>
      <w:pPr>
        <w:spacing w:after="0" w:line="126"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In addition to the public offering price of the 2029 notes offered hereby that is set forth on the cover page of this prospectus supplement, purchasers of the 2029 notes in this offering will pay interest from October 31, 2022 to, but excluding, the date of issuance.</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Optional Redemption</w:t>
      </w:r>
    </w:p>
    <w:p>
      <w:pPr>
        <w:spacing w:after="0" w:line="14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Prior to the applicable Par Call Date, the Company may redeem the notes of each series at its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1800" w:right="499" w:hanging="180"/>
        <w:spacing w:after="0" w:line="255"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40 basis points for the 2029 notes and                </w:t>
      </w:r>
    </w:p>
    <w:p>
      <w:pPr>
        <w:spacing w:after="0" w:line="2"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basis points for the 2033 notes, less (ii) interest accrued to the date of redemption, and</w:t>
      </w:r>
    </w:p>
    <w:p>
      <w:pPr>
        <w:spacing w:after="0" w:line="99"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w:t>
      </w:r>
    </w:p>
    <w:p>
      <w:pPr>
        <w:spacing w:after="0" w:line="144"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72" w:lineRule="exact"/>
        <w:rPr>
          <w:sz w:val="20"/>
          <w:szCs w:val="20"/>
          <w:color w:val="auto"/>
        </w:rPr>
      </w:pPr>
    </w:p>
    <w:p>
      <w:pPr>
        <w:ind w:left="1260" w:right="619"/>
        <w:spacing w:after="0" w:line="252" w:lineRule="auto"/>
        <w:rPr>
          <w:sz w:val="20"/>
          <w:szCs w:val="20"/>
          <w:color w:val="auto"/>
        </w:rPr>
      </w:pPr>
      <w:r>
        <w:rPr>
          <w:rFonts w:ascii="Arial" w:cs="Arial" w:eastAsia="Arial" w:hAnsi="Arial"/>
          <w:sz w:val="18"/>
          <w:szCs w:val="18"/>
          <w:color w:val="auto"/>
        </w:rPr>
        <w:t>On or after the applicable Par Call Date for a series of notes, the Company may, at its option, redeem the notes of such series, in whole or in part, at any time and from time to time, at a redemption price equal to 100% of the principal amount of the notes redeemed, plus accrued and unpaid interest thereon, if any, to, but excluding, the date of redemption.</w:t>
      </w:r>
    </w:p>
    <w:p>
      <w:pPr>
        <w:spacing w:after="0" w:line="103"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“Par Call Date” means September 1, 2029, with respect to any 2029 notes (two months prior to the maturity date of the 2029 notes), and                 ,           , with respect to any 2033 notes (three months prior to the maturity date of the 2033 notes).</w:t>
      </w:r>
    </w:p>
    <w:p>
      <w:pPr>
        <w:spacing w:after="0" w:line="101"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of the series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of a series, selection of the notes of such series for redemption will be made pro rata, by lot or by such other method as the Trustee deems fair and appropriate. No notes of a principal amount of $2,000 or less will be redeemed in part. If any note of a series is to be redeemed in part only, the notice of redemption that relates to the note of such series will state the portion of the principal</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5" w:lineRule="auto"/>
        <w:rPr>
          <w:sz w:val="20"/>
          <w:szCs w:val="20"/>
          <w:color w:val="auto"/>
        </w:rPr>
      </w:pPr>
      <w:r>
        <w:rPr>
          <w:rFonts w:ascii="Arial" w:cs="Arial" w:eastAsia="Arial" w:hAnsi="Arial"/>
          <w:sz w:val="17"/>
          <w:szCs w:val="17"/>
          <w:color w:val="auto"/>
        </w:rPr>
        <w:t>amount of the note to be redeemed. A new note in a principal amount equal to the unredeemed portion of the note will be issued in the name of the holder of the note upon surrender for cancellation of the original note. For so long as the notes of each series are held by The Depository Trust Company (“DTC”), Euroclear or Clearstream (or another depositary), the redemption of the notes of each series shall be done in accordance with the policies and procedures of the depositary. Any redemption or notice of redemption may, at the Company’s discretion, be subject to one or more conditions precedent.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Mandatory Redemption; Offers To Purchase; Open Market Purchases</w:t>
      </w:r>
    </w:p>
    <w:p>
      <w:pPr>
        <w:spacing w:after="0" w:line="162" w:lineRule="exact"/>
        <w:rPr>
          <w:sz w:val="20"/>
          <w:szCs w:val="20"/>
          <w:color w:val="auto"/>
        </w:rPr>
      </w:pPr>
    </w:p>
    <w:p>
      <w:pPr>
        <w:ind w:left="1260" w:right="439"/>
        <w:spacing w:after="0" w:line="247"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Ranking</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104" w:lineRule="exact"/>
        <w:rPr>
          <w:sz w:val="20"/>
          <w:szCs w:val="20"/>
          <w:color w:val="auto"/>
        </w:rPr>
      </w:pPr>
    </w:p>
    <w:p>
      <w:pPr>
        <w:ind w:left="1800" w:right="1459" w:hanging="180"/>
        <w:spacing w:after="0" w:line="28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w:t>
      </w:r>
    </w:p>
    <w:p>
      <w:pPr>
        <w:spacing w:after="0" w:line="44" w:lineRule="exact"/>
        <w:rPr>
          <w:rFonts w:ascii="Arial" w:cs="Arial" w:eastAsia="Arial" w:hAnsi="Arial"/>
          <w:sz w:val="18"/>
          <w:szCs w:val="18"/>
          <w:color w:val="auto"/>
        </w:rPr>
      </w:pPr>
    </w:p>
    <w:p>
      <w:pPr>
        <w:ind w:left="1800" w:right="639" w:hanging="180"/>
        <w:spacing w:after="0" w:line="268"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56"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Repurchase of Notes upon a Change of Control Triggering Event</w:t>
      </w:r>
    </w:p>
    <w:p>
      <w:pPr>
        <w:spacing w:after="0" w:line="148"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of a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06" w:lineRule="exact"/>
        <w:rPr>
          <w:sz w:val="20"/>
          <w:szCs w:val="20"/>
          <w:color w:val="auto"/>
        </w:rPr>
      </w:pPr>
    </w:p>
    <w:p>
      <w:pPr>
        <w:ind w:left="1260" w:right="519"/>
        <w:spacing w:after="0" w:line="244" w:lineRule="auto"/>
        <w:rPr>
          <w:sz w:val="20"/>
          <w:szCs w:val="20"/>
          <w:color w:val="auto"/>
        </w:rPr>
      </w:pPr>
      <w:r>
        <w:rPr>
          <w:rFonts w:ascii="Arial" w:cs="Arial" w:eastAsia="Arial" w:hAnsi="Arial"/>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12"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99"/>
        <w:spacing w:after="0" w:line="287" w:lineRule="auto"/>
        <w:rPr>
          <w:sz w:val="20"/>
          <w:szCs w:val="20"/>
          <w:color w:val="auto"/>
        </w:rPr>
      </w:pPr>
      <w:r>
        <w:rPr>
          <w:rFonts w:ascii="Arial" w:cs="Arial" w:eastAsia="Arial" w:hAnsi="Arial"/>
          <w:sz w:val="18"/>
          <w:szCs w:val="18"/>
          <w:color w:val="auto"/>
        </w:rPr>
        <w:t>Company defaults in the payment of the purchase price, interest on notes purchased will cease to accrue on and after the purchase date.</w:t>
      </w:r>
    </w:p>
    <w:p>
      <w:pPr>
        <w:spacing w:after="0" w:line="72" w:lineRule="exact"/>
        <w:rPr>
          <w:sz w:val="20"/>
          <w:szCs w:val="20"/>
          <w:color w:val="auto"/>
        </w:rPr>
      </w:pPr>
    </w:p>
    <w:p>
      <w:pPr>
        <w:jc w:val="both"/>
        <w:ind w:left="1260" w:right="799"/>
        <w:spacing w:after="0" w:line="253"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01" w:lineRule="exact"/>
        <w:rPr>
          <w:sz w:val="20"/>
          <w:szCs w:val="20"/>
          <w:color w:val="auto"/>
        </w:rPr>
      </w:pPr>
    </w:p>
    <w:p>
      <w:pPr>
        <w:ind w:left="1260" w:right="459"/>
        <w:spacing w:after="0" w:line="245"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10"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w:t>
      </w:r>
    </w:p>
    <w:p>
      <w:pPr>
        <w:spacing w:after="0" w:line="1"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13"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the indenture.”</w:t>
      </w:r>
    </w:p>
    <w:p>
      <w:pPr>
        <w:spacing w:after="0" w:line="110"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12"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03" w:lineRule="exact"/>
        <w:rPr>
          <w:sz w:val="20"/>
          <w:szCs w:val="20"/>
          <w:color w:val="auto"/>
        </w:rPr>
      </w:pPr>
    </w:p>
    <w:p>
      <w:pPr>
        <w:ind w:left="1260" w:right="459"/>
        <w:spacing w:after="0" w:line="283"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Exchange and Transfer</w:t>
      </w:r>
    </w:p>
    <w:p>
      <w:pPr>
        <w:spacing w:after="0" w:line="162" w:lineRule="exact"/>
        <w:rPr>
          <w:sz w:val="20"/>
          <w:szCs w:val="20"/>
          <w:color w:val="auto"/>
        </w:rPr>
      </w:pPr>
    </w:p>
    <w:p>
      <w:pPr>
        <w:ind w:left="1260" w:right="659"/>
        <w:spacing w:after="0" w:line="271"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86"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77"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158"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Company elects to redeem the notes of a series or makes an Offer to Purchase, neither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99" w:lineRule="exact"/>
        <w:rPr>
          <w:sz w:val="20"/>
          <w:szCs w:val="20"/>
          <w:color w:val="auto"/>
        </w:rPr>
      </w:pPr>
    </w:p>
    <w:p>
      <w:pPr>
        <w:jc w:val="both"/>
        <w:ind w:left="1800" w:right="45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8" w:lineRule="exact"/>
        <w:rPr>
          <w:rFonts w:ascii="Arial" w:cs="Arial" w:eastAsia="Arial" w:hAnsi="Arial"/>
          <w:sz w:val="18"/>
          <w:szCs w:val="18"/>
          <w:color w:val="auto"/>
        </w:rPr>
      </w:pPr>
    </w:p>
    <w:p>
      <w:pPr>
        <w:ind w:left="1800" w:right="419" w:hanging="180"/>
        <w:spacing w:after="0" w:line="268"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62"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of such series on or after the regular record date and before the date of redemption or purchase.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Payment and Paying Agents</w:t>
      </w:r>
    </w:p>
    <w:p>
      <w:pPr>
        <w:spacing w:after="0" w:line="162"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95" w:lineRule="exact"/>
        <w:rPr>
          <w:sz w:val="20"/>
          <w:szCs w:val="20"/>
          <w:color w:val="auto"/>
        </w:rPr>
      </w:pPr>
    </w:p>
    <w:p>
      <w:pPr>
        <w:ind w:left="1260" w:right="919"/>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63" w:lineRule="exact"/>
        <w:rPr>
          <w:sz w:val="20"/>
          <w:szCs w:val="20"/>
          <w:color w:val="auto"/>
        </w:rPr>
      </w:pPr>
    </w:p>
    <w:p>
      <w:pPr>
        <w:ind w:left="1800" w:right="659" w:hanging="180"/>
        <w:spacing w:after="0" w:line="28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39" w:hanging="180"/>
        <w:spacing w:after="0" w:line="262"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09"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03"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Covenants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42"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17"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w:t>
      </w:r>
    </w:p>
    <w:p>
      <w:pPr>
        <w:spacing w:after="0" w:line="2" w:lineRule="exact"/>
        <w:rPr>
          <w:sz w:val="20"/>
          <w:szCs w:val="20"/>
          <w:color w:val="auto"/>
        </w:rPr>
      </w:pPr>
    </w:p>
    <w:p>
      <w:pPr>
        <w:ind w:left="1260" w:right="439"/>
        <w:spacing w:after="0" w:line="251" w:lineRule="auto"/>
        <w:tabs>
          <w:tab w:leader="none" w:pos="15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 of Consolidated Net Tangible Assets of the Company immediately preceding the date of the creation or incurrence of the Lien. The Company or any Restricted Subsidiary of the Company also may, without equally and ratably securing the notes of each series,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25"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39"/>
        <w:spacing w:after="0" w:line="270" w:lineRule="auto"/>
        <w:rPr>
          <w:sz w:val="20"/>
          <w:szCs w:val="20"/>
          <w:color w:val="auto"/>
        </w:rPr>
      </w:pPr>
      <w:r>
        <w:rPr>
          <w:rFonts w:ascii="Arial" w:cs="Arial" w:eastAsia="Arial" w:hAnsi="Arial"/>
          <w:sz w:val="17"/>
          <w:szCs w:val="17"/>
          <w:color w:val="auto"/>
        </w:rPr>
        <w:t>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88"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56"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61"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17"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w:t>
      </w:r>
    </w:p>
    <w:p>
      <w:pPr>
        <w:spacing w:after="0" w:line="27" w:lineRule="exact"/>
        <w:rPr>
          <w:rFonts w:ascii="Arial" w:cs="Arial" w:eastAsia="Arial" w:hAnsi="Arial"/>
          <w:sz w:val="18"/>
          <w:szCs w:val="18"/>
          <w:color w:val="auto"/>
        </w:rPr>
      </w:pPr>
    </w:p>
    <w:p>
      <w:pPr>
        <w:ind w:left="1800" w:right="539"/>
        <w:spacing w:after="0" w:line="275" w:lineRule="auto"/>
        <w:rPr>
          <w:rFonts w:ascii="Arial" w:cs="Arial" w:eastAsia="Arial" w:hAnsi="Arial"/>
          <w:sz w:val="18"/>
          <w:szCs w:val="18"/>
          <w:color w:val="auto"/>
        </w:rPr>
      </w:pPr>
      <w:r>
        <w:rPr>
          <w:rFonts w:ascii="Arial" w:cs="Arial" w:eastAsia="Arial" w:hAnsi="Arial"/>
          <w:sz w:val="17"/>
          <w:szCs w:val="17"/>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58" w:lineRule="exact"/>
        <w:rPr>
          <w:rFonts w:ascii="Arial" w:cs="Arial" w:eastAsia="Arial" w:hAnsi="Arial"/>
          <w:sz w:val="18"/>
          <w:szCs w:val="18"/>
          <w:color w:val="auto"/>
        </w:rPr>
      </w:pPr>
    </w:p>
    <w:p>
      <w:pPr>
        <w:ind w:left="1800" w:right="559" w:hanging="180"/>
        <w:spacing w:after="0" w:line="260"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w:t>
      </w:r>
    </w:p>
    <w:p>
      <w:pPr>
        <w:spacing w:after="0" w:line="1"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three years);</w:t>
      </w:r>
    </w:p>
    <w:p>
      <w:pPr>
        <w:spacing w:after="0" w:line="99"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8"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04" w:lineRule="exact"/>
        <w:rPr>
          <w:sz w:val="20"/>
          <w:szCs w:val="20"/>
          <w:color w:val="auto"/>
        </w:rPr>
      </w:pPr>
    </w:p>
    <w:p>
      <w:pPr>
        <w:ind w:left="1260" w:right="699"/>
        <w:spacing w:after="0" w:line="247"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2" w:lineRule="exact"/>
        <w:rPr>
          <w:sz w:val="20"/>
          <w:szCs w:val="20"/>
          <w:color w:val="auto"/>
        </w:rPr>
      </w:pPr>
    </w:p>
    <w:p>
      <w:pPr>
        <w:ind w:left="1620" w:right="959"/>
        <w:spacing w:after="0" w:line="278" w:lineRule="auto"/>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72" w:lineRule="exact"/>
        <w:rPr>
          <w:sz w:val="20"/>
          <w:szCs w:val="20"/>
          <w:color w:val="auto"/>
        </w:rPr>
      </w:pPr>
    </w:p>
    <w:p>
      <w:pPr>
        <w:ind w:left="1260" w:right="1119"/>
        <w:spacing w:after="0" w:line="271"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86" w:lineRule="exact"/>
        <w:rPr>
          <w:sz w:val="20"/>
          <w:szCs w:val="20"/>
          <w:color w:val="auto"/>
        </w:rPr>
      </w:pPr>
    </w:p>
    <w:p>
      <w:pPr>
        <w:ind w:left="1980" w:right="459" w:hanging="360"/>
        <w:spacing w:after="0" w:line="262"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980" w:right="439" w:hanging="360"/>
        <w:spacing w:after="0" w:line="268"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5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Provision of Financial Information</w:t>
      </w:r>
    </w:p>
    <w:p>
      <w:pPr>
        <w:spacing w:after="0" w:line="162"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Certain Definitions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4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79"/>
        <w:spacing w:after="0" w:line="287" w:lineRule="auto"/>
        <w:rPr>
          <w:sz w:val="20"/>
          <w:szCs w:val="20"/>
          <w:color w:val="auto"/>
        </w:rPr>
      </w:pPr>
      <w:r>
        <w:rPr>
          <w:rFonts w:ascii="Arial" w:cs="Arial" w:eastAsia="Arial" w:hAnsi="Arial"/>
          <w:sz w:val="18"/>
          <w:szCs w:val="18"/>
          <w:color w:val="auto"/>
        </w:rPr>
        <w:t>drawn outstanding amount of such revolving credit Indebtedness will be deemed to be incurred and secured by any relevant Liens at such time.</w:t>
      </w:r>
    </w:p>
    <w:p>
      <w:pPr>
        <w:spacing w:after="0" w:line="72"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09"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520" w:hanging="260"/>
        <w:spacing w:after="0" w:line="236"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the first public notice of an arrangement that could result in a Change of Control or</w:t>
      </w:r>
    </w:p>
    <w:p>
      <w:pPr>
        <w:ind w:left="1520" w:hanging="26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 Change of Control (which period shall be extended so long as the rating of such</w:t>
      </w:r>
    </w:p>
    <w:p>
      <w:pPr>
        <w:spacing w:after="0" w:line="9"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12" w:lineRule="exact"/>
        <w:rPr>
          <w:sz w:val="20"/>
          <w:szCs w:val="20"/>
          <w:color w:val="auto"/>
        </w:rPr>
      </w:pPr>
    </w:p>
    <w:p>
      <w:pPr>
        <w:ind w:left="1260" w:right="1019"/>
        <w:spacing w:after="0" w:line="271"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 of Control” means:</w:t>
      </w:r>
    </w:p>
    <w:p>
      <w:pPr>
        <w:spacing w:after="0" w:line="144" w:lineRule="exact"/>
        <w:rPr>
          <w:sz w:val="20"/>
          <w:szCs w:val="20"/>
          <w:color w:val="auto"/>
        </w:rPr>
      </w:pPr>
    </w:p>
    <w:p>
      <w:pPr>
        <w:ind w:left="1980" w:right="419" w:hanging="360"/>
        <w:spacing w:after="0" w:line="252"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419" w:hanging="360"/>
        <w:spacing w:after="0" w:line="256"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15" w:lineRule="exact"/>
        <w:rPr>
          <w:rFonts w:ascii="Arial" w:cs="Arial" w:eastAsia="Arial" w:hAnsi="Arial"/>
          <w:sz w:val="18"/>
          <w:szCs w:val="18"/>
          <w:color w:val="auto"/>
        </w:rPr>
      </w:pPr>
    </w:p>
    <w:p>
      <w:pPr>
        <w:ind w:left="1980" w:hanging="360"/>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58"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72"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02" w:lineRule="exact"/>
        <w:rPr>
          <w:sz w:val="20"/>
          <w:szCs w:val="20"/>
          <w:color w:val="auto"/>
        </w:rPr>
      </w:pPr>
    </w:p>
    <w:p>
      <w:pPr>
        <w:jc w:val="both"/>
        <w:ind w:left="1260" w:right="739"/>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03"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5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03"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95"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58" w:lineRule="exact"/>
        <w:rPr>
          <w:sz w:val="20"/>
          <w:szCs w:val="20"/>
          <w:color w:val="auto"/>
        </w:rPr>
      </w:pPr>
    </w:p>
    <w:p>
      <w:pPr>
        <w:ind w:left="1980" w:right="499" w:hanging="360"/>
        <w:spacing w:after="0" w:line="28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71"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499" w:hanging="360"/>
        <w:spacing w:after="0" w:line="262"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09" w:lineRule="exact"/>
        <w:rPr>
          <w:sz w:val="20"/>
          <w:szCs w:val="20"/>
          <w:color w:val="auto"/>
        </w:rPr>
      </w:pPr>
    </w:p>
    <w:p>
      <w:pPr>
        <w:ind w:left="1260" w:right="1079"/>
        <w:spacing w:after="0" w:line="271"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86"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06"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color w:val="auto"/>
        </w:rPr>
        <w:t>“Issue Date” means, with respect to a series of notes, the date of original issuance of the notes of such series under the Indenture.</w:t>
      </w:r>
    </w:p>
    <w:p>
      <w:pPr>
        <w:spacing w:after="0" w:line="86"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94" w:lineRule="exact"/>
        <w:rPr>
          <w:sz w:val="20"/>
          <w:szCs w:val="20"/>
          <w:color w:val="auto"/>
        </w:rPr>
      </w:pPr>
    </w:p>
    <w:p>
      <w:pPr>
        <w:ind w:left="1260" w:right="579"/>
        <w:spacing w:after="0" w:line="301"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63" w:lineRule="exact"/>
        <w:rPr>
          <w:sz w:val="20"/>
          <w:szCs w:val="20"/>
          <w:color w:val="auto"/>
        </w:rPr>
      </w:pPr>
    </w:p>
    <w:p>
      <w:pPr>
        <w:ind w:left="1260" w:right="539"/>
        <w:spacing w:after="0" w:line="283"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58"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5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44" w:lineRule="exact"/>
        <w:rPr>
          <w:rFonts w:ascii="Arial" w:cs="Arial" w:eastAsia="Arial" w:hAnsi="Arial"/>
          <w:sz w:val="18"/>
          <w:szCs w:val="18"/>
          <w:color w:val="auto"/>
        </w:rPr>
      </w:pPr>
    </w:p>
    <w:p>
      <w:pPr>
        <w:ind w:left="1800" w:right="95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44"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59" w:lineRule="exact"/>
        <w:rPr>
          <w:rFonts w:ascii="Arial" w:cs="Arial" w:eastAsia="Arial" w:hAnsi="Arial"/>
          <w:sz w:val="18"/>
          <w:szCs w:val="18"/>
          <w:color w:val="auto"/>
        </w:rPr>
      </w:pPr>
    </w:p>
    <w:p>
      <w:pPr>
        <w:ind w:left="1800" w:right="499" w:hanging="180"/>
        <w:spacing w:after="0" w:line="27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59"/>
        <w:spacing w:after="0" w:line="251" w:lineRule="auto"/>
        <w:rPr>
          <w:sz w:val="20"/>
          <w:szCs w:val="20"/>
          <w:color w:val="auto"/>
        </w:rPr>
      </w:pPr>
      <w:r>
        <w:rPr>
          <w:rFonts w:ascii="Arial" w:cs="Arial" w:eastAsia="Arial" w:hAnsi="Arial"/>
          <w:sz w:val="18"/>
          <w:szCs w:val="18"/>
          <w:color w:val="auto"/>
        </w:rPr>
        <w:t>(or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65" w:lineRule="exact"/>
        <w:rPr>
          <w:sz w:val="20"/>
          <w:szCs w:val="20"/>
          <w:color w:val="auto"/>
        </w:rPr>
      </w:pPr>
    </w:p>
    <w:p>
      <w:pPr>
        <w:ind w:left="1800" w:right="419" w:hanging="180"/>
        <w:spacing w:after="0" w:line="267"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6" w:lineRule="exact"/>
        <w:rPr>
          <w:rFonts w:ascii="Arial" w:cs="Arial" w:eastAsia="Arial" w:hAnsi="Arial"/>
          <w:sz w:val="17"/>
          <w:szCs w:val="17"/>
          <w:color w:val="auto"/>
        </w:rPr>
      </w:pPr>
    </w:p>
    <w:p>
      <w:pPr>
        <w:ind w:left="1800" w:right="559"/>
        <w:spacing w:after="0" w:line="258" w:lineRule="auto"/>
        <w:rPr>
          <w:rFonts w:ascii="Arial" w:cs="Arial" w:eastAsia="Arial" w:hAnsi="Arial"/>
          <w:sz w:val="17"/>
          <w:szCs w:val="17"/>
          <w:color w:val="auto"/>
        </w:rPr>
      </w:pPr>
      <w:r>
        <w:rPr>
          <w:rFonts w:ascii="Arial" w:cs="Arial" w:eastAsia="Arial" w:hAnsi="Arial"/>
          <w:sz w:val="18"/>
          <w:szCs w:val="18"/>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56" w:lineRule="exact"/>
        <w:rPr>
          <w:rFonts w:ascii="Arial" w:cs="Arial" w:eastAsia="Arial" w:hAnsi="Arial"/>
          <w:sz w:val="17"/>
          <w:szCs w:val="17"/>
          <w:color w:val="auto"/>
        </w:rPr>
      </w:pPr>
    </w:p>
    <w:p>
      <w:pPr>
        <w:ind w:left="1800" w:right="459" w:hanging="180"/>
        <w:spacing w:after="0" w:line="262"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117" w:lineRule="exact"/>
        <w:rPr>
          <w:rFonts w:ascii="Arial" w:cs="Arial" w:eastAsia="Arial" w:hAnsi="Arial"/>
          <w:sz w:val="18"/>
          <w:szCs w:val="18"/>
          <w:color w:val="auto"/>
        </w:rPr>
      </w:pPr>
    </w:p>
    <w:p>
      <w:pPr>
        <w:ind w:left="1800" w:right="639" w:hanging="180"/>
        <w:spacing w:after="0" w:line="262"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8" w:lineRule="exact"/>
        <w:rPr>
          <w:rFonts w:ascii="Arial" w:cs="Arial" w:eastAsia="Arial" w:hAnsi="Arial"/>
          <w:sz w:val="18"/>
          <w:szCs w:val="18"/>
          <w:color w:val="auto"/>
        </w:rPr>
      </w:pPr>
    </w:p>
    <w:p>
      <w:pPr>
        <w:ind w:left="1800" w:right="479" w:hanging="180"/>
        <w:spacing w:after="0" w:line="268"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76"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0" w:lineRule="exact"/>
        <w:rPr>
          <w:rFonts w:ascii="Arial" w:cs="Arial" w:eastAsia="Arial" w:hAnsi="Arial"/>
          <w:sz w:val="18"/>
          <w:szCs w:val="18"/>
          <w:color w:val="auto"/>
        </w:rPr>
      </w:pPr>
    </w:p>
    <w:p>
      <w:pPr>
        <w:ind w:left="1800" w:right="419" w:hanging="180"/>
        <w:spacing w:after="0" w:line="291"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44" w:lineRule="exact"/>
        <w:rPr>
          <w:rFonts w:ascii="Arial" w:cs="Arial" w:eastAsia="Arial" w:hAnsi="Arial"/>
          <w:sz w:val="17"/>
          <w:szCs w:val="17"/>
          <w:color w:val="auto"/>
        </w:rPr>
      </w:pPr>
    </w:p>
    <w:p>
      <w:pPr>
        <w:ind w:left="1800" w:right="499" w:hanging="180"/>
        <w:spacing w:after="0" w:line="28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44" w:lineRule="exact"/>
        <w:rPr>
          <w:rFonts w:ascii="Arial" w:cs="Arial" w:eastAsia="Arial" w:hAnsi="Arial"/>
          <w:sz w:val="18"/>
          <w:szCs w:val="18"/>
          <w:color w:val="auto"/>
        </w:rPr>
      </w:pPr>
    </w:p>
    <w:p>
      <w:pPr>
        <w:ind w:left="1800" w:right="439" w:hanging="180"/>
        <w:spacing w:after="0" w:line="282"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79"/>
        <w:spacing w:after="0" w:line="248" w:lineRule="auto"/>
        <w:rPr>
          <w:sz w:val="20"/>
          <w:szCs w:val="20"/>
          <w:color w:val="auto"/>
        </w:rPr>
      </w:pPr>
      <w:r>
        <w:rPr>
          <w:rFonts w:ascii="Arial" w:cs="Arial" w:eastAsia="Arial" w:hAnsi="Arial"/>
          <w:sz w:val="18"/>
          <w:szCs w:val="18"/>
          <w:color w:val="auto"/>
        </w:rPr>
        <w:t>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07" w:lineRule="exact"/>
        <w:rPr>
          <w:sz w:val="20"/>
          <w:szCs w:val="20"/>
          <w:color w:val="auto"/>
        </w:rPr>
      </w:pPr>
    </w:p>
    <w:p>
      <w:pPr>
        <w:ind w:left="1260" w:right="619"/>
        <w:spacing w:after="0" w:line="271"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86" w:lineRule="exact"/>
        <w:rPr>
          <w:sz w:val="20"/>
          <w:szCs w:val="20"/>
          <w:color w:val="auto"/>
        </w:rPr>
      </w:pPr>
    </w:p>
    <w:p>
      <w:pPr>
        <w:jc w:val="both"/>
        <w:ind w:left="1260" w:right="879"/>
        <w:spacing w:after="0" w:line="261"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94" w:lineRule="exact"/>
        <w:rPr>
          <w:sz w:val="20"/>
          <w:szCs w:val="20"/>
          <w:color w:val="auto"/>
        </w:rPr>
      </w:pPr>
    </w:p>
    <w:p>
      <w:pPr>
        <w:ind w:left="1260" w:right="539"/>
        <w:spacing w:after="0" w:line="258" w:lineRule="auto"/>
        <w:rPr>
          <w:sz w:val="20"/>
          <w:szCs w:val="20"/>
          <w:color w:val="auto"/>
        </w:rPr>
      </w:pPr>
      <w:r>
        <w:rPr>
          <w:rFonts w:ascii="Arial" w:cs="Arial" w:eastAsia="Arial" w:hAnsi="Arial"/>
          <w:sz w:val="17"/>
          <w:szCs w:val="17"/>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260" w:right="519"/>
        <w:spacing w:after="0" w:line="244" w:lineRule="auto"/>
        <w:tabs>
          <w:tab w:leader="none" w:pos="15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10" w:lineRule="exact"/>
        <w:rPr>
          <w:sz w:val="20"/>
          <w:szCs w:val="20"/>
          <w:color w:val="auto"/>
        </w:rPr>
      </w:pPr>
    </w:p>
    <w:p>
      <w:pPr>
        <w:ind w:left="1260" w:right="639"/>
        <w:spacing w:after="0" w:line="247" w:lineRule="auto"/>
        <w:rPr>
          <w:sz w:val="20"/>
          <w:szCs w:val="20"/>
          <w:color w:val="auto"/>
        </w:rPr>
      </w:pPr>
      <w:r>
        <w:rPr>
          <w:rFonts w:ascii="Arial" w:cs="Arial" w:eastAsia="Arial" w:hAnsi="Arial"/>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09" w:lineRule="exact"/>
        <w:rPr>
          <w:sz w:val="20"/>
          <w:szCs w:val="20"/>
          <w:color w:val="auto"/>
        </w:rPr>
      </w:pPr>
    </w:p>
    <w:p>
      <w:pPr>
        <w:ind w:left="1260" w:right="659"/>
        <w:spacing w:after="0" w:line="261"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spacing w:after="0" w:line="1" w:lineRule="exact"/>
        <w:rPr>
          <w:sz w:val="20"/>
          <w:szCs w:val="20"/>
          <w:color w:val="auto"/>
        </w:rPr>
      </w:pPr>
    </w:p>
    <w:p>
      <w:pPr>
        <w:jc w:val="both"/>
        <w:ind w:left="1260" w:right="619"/>
        <w:spacing w:after="0" w:line="242" w:lineRule="auto"/>
        <w:tabs>
          <w:tab w:leader="none" w:pos="1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12"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94"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“Treasury Rate” means, with respect to any redemption date, the yield determined by the Company in the manner set forth below:</w:t>
      </w:r>
    </w:p>
    <w:p>
      <w:pPr>
        <w:spacing w:after="0" w:line="7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3"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0" w:lineRule="exact"/>
        <w:rPr>
          <w:sz w:val="20"/>
          <w:szCs w:val="20"/>
          <w:color w:val="auto"/>
        </w:rPr>
      </w:pPr>
    </w:p>
    <w:p>
      <w:pPr>
        <w:jc w:val="both"/>
        <w:ind w:left="1260" w:right="699"/>
        <w:spacing w:after="0" w:line="261"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Events of Default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04" w:lineRule="exact"/>
        <w:rPr>
          <w:sz w:val="20"/>
          <w:szCs w:val="20"/>
          <w:color w:val="auto"/>
        </w:rPr>
      </w:pPr>
    </w:p>
    <w:p>
      <w:pPr>
        <w:ind w:left="1800" w:right="799" w:hanging="180"/>
        <w:spacing w:after="0" w:line="28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44" w:lineRule="exact"/>
        <w:rPr>
          <w:rFonts w:ascii="Arial" w:cs="Arial" w:eastAsia="Arial" w:hAnsi="Arial"/>
          <w:sz w:val="18"/>
          <w:szCs w:val="18"/>
          <w:color w:val="auto"/>
        </w:rPr>
      </w:pPr>
    </w:p>
    <w:p>
      <w:pPr>
        <w:ind w:left="1800" w:right="1019" w:hanging="180"/>
        <w:spacing w:after="0" w:line="28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31" w:lineRule="exact"/>
        <w:rPr>
          <w:rFonts w:ascii="Arial" w:cs="Arial" w:eastAsia="Arial" w:hAnsi="Arial"/>
          <w:sz w:val="18"/>
          <w:szCs w:val="18"/>
          <w:color w:val="auto"/>
        </w:rPr>
      </w:pPr>
    </w:p>
    <w:p>
      <w:pPr>
        <w:ind w:left="1800" w:right="73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with respect to notes of that series in connection with a Change of Control Triggering Event for 30 calendar days;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99" w:hanging="18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71" w:lineRule="exact"/>
        <w:rPr>
          <w:rFonts w:ascii="Arial" w:cs="Arial" w:eastAsia="Arial" w:hAnsi="Arial"/>
          <w:sz w:val="18"/>
          <w:szCs w:val="18"/>
          <w:color w:val="auto"/>
        </w:rPr>
      </w:pPr>
    </w:p>
    <w:p>
      <w:pPr>
        <w:ind w:left="1800" w:right="99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85" w:lineRule="exact"/>
        <w:rPr>
          <w:sz w:val="20"/>
          <w:szCs w:val="20"/>
          <w:color w:val="auto"/>
        </w:rPr>
      </w:pPr>
    </w:p>
    <w:p>
      <w:pPr>
        <w:ind w:left="1260" w:right="739"/>
        <w:spacing w:after="0" w:line="247"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09"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16"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07"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94" w:lineRule="exact"/>
        <w:rPr>
          <w:sz w:val="20"/>
          <w:szCs w:val="20"/>
          <w:color w:val="auto"/>
        </w:rPr>
      </w:pPr>
    </w:p>
    <w:p>
      <w:pPr>
        <w:ind w:left="1980" w:right="639" w:hanging="360"/>
        <w:spacing w:after="0" w:line="28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71" w:lineRule="exact"/>
        <w:rPr>
          <w:rFonts w:ascii="Arial" w:cs="Arial" w:eastAsia="Arial" w:hAnsi="Arial"/>
          <w:sz w:val="18"/>
          <w:szCs w:val="18"/>
          <w:color w:val="auto"/>
        </w:rPr>
      </w:pPr>
    </w:p>
    <w:p>
      <w:pPr>
        <w:ind w:left="1980" w:right="439" w:hanging="360"/>
        <w:spacing w:after="0" w:line="259"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12"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Indenture requires us, within 120 days after the end of our fiscal year, to furnish to the Trustee a</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statement as to compliance with the Indenture. The Indenture provides that the Trustee may withhold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notice to the holders of the notes of any series of any default or event of default (except in payment on</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Modification and Waiver</w:t>
      </w:r>
    </w:p>
    <w:p>
      <w:pPr>
        <w:spacing w:after="0" w:line="148" w:lineRule="exact"/>
        <w:rPr>
          <w:sz w:val="20"/>
          <w:szCs w:val="20"/>
          <w:color w:val="auto"/>
        </w:rPr>
      </w:pPr>
    </w:p>
    <w:p>
      <w:pPr>
        <w:ind w:left="1260" w:right="739"/>
        <w:spacing w:after="0" w:line="301" w:lineRule="auto"/>
        <w:rPr>
          <w:sz w:val="20"/>
          <w:szCs w:val="20"/>
          <w:color w:val="auto"/>
        </w:rPr>
      </w:pPr>
      <w:r>
        <w:rPr>
          <w:rFonts w:ascii="Arial" w:cs="Arial" w:eastAsia="Arial" w:hAnsi="Arial"/>
          <w:sz w:val="17"/>
          <w:szCs w:val="17"/>
          <w:color w:val="auto"/>
        </w:rPr>
        <w:t>The Company or the Trustee may amend or supplement the Indenture or the notes of one or more series without the consent of the holders of the outstanding notes of any series under the Indenture:</w:t>
      </w:r>
    </w:p>
    <w:p>
      <w:pPr>
        <w:spacing w:after="0" w:line="23"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659" w:hanging="180"/>
        <w:spacing w:after="0" w:line="268"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the notes of any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such series;</w:t>
      </w:r>
    </w:p>
    <w:p>
      <w:pPr>
        <w:spacing w:after="0" w:line="117" w:lineRule="exact"/>
        <w:rPr>
          <w:rFonts w:ascii="Arial" w:cs="Arial" w:eastAsia="Arial" w:hAnsi="Arial"/>
          <w:sz w:val="18"/>
          <w:szCs w:val="18"/>
          <w:color w:val="auto"/>
        </w:rPr>
      </w:pPr>
    </w:p>
    <w:p>
      <w:pPr>
        <w:ind w:left="1800" w:right="899" w:hanging="180"/>
        <w:spacing w:after="0" w:line="28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31"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68"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68"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72"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65"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49"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127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117"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44"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Defeasance of Notes and Certain Covenants in Certain Circumstances</w:t>
      </w:r>
    </w:p>
    <w:p>
      <w:pPr>
        <w:spacing w:after="0" w:line="14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the Company may be discharged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10"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0" w:lineRule="exact"/>
        <w:rPr>
          <w:sz w:val="20"/>
          <w:szCs w:val="20"/>
          <w:color w:val="auto"/>
        </w:rPr>
      </w:pPr>
    </w:p>
    <w:p>
      <w:pPr>
        <w:ind w:left="1260" w:right="1119"/>
        <w:spacing w:after="0" w:line="271"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86" w:lineRule="exact"/>
        <w:rPr>
          <w:sz w:val="20"/>
          <w:szCs w:val="20"/>
          <w:color w:val="auto"/>
        </w:rPr>
      </w:pPr>
    </w:p>
    <w:p>
      <w:pPr>
        <w:jc w:val="both"/>
        <w:ind w:left="2340" w:right="679" w:hanging="360"/>
        <w:spacing w:after="0" w:line="268" w:lineRule="auto"/>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89" w:lineRule="exact"/>
        <w:rPr>
          <w:rFonts w:ascii="Arial" w:cs="Arial" w:eastAsia="Arial" w:hAnsi="Arial"/>
          <w:sz w:val="18"/>
          <w:szCs w:val="18"/>
          <w:color w:val="auto"/>
        </w:rPr>
      </w:pPr>
    </w:p>
    <w:p>
      <w:pPr>
        <w:ind w:left="2340" w:right="659" w:hanging="360"/>
        <w:spacing w:after="0" w:line="287" w:lineRule="auto"/>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44" w:lineRule="exact"/>
        <w:rPr>
          <w:sz w:val="20"/>
          <w:szCs w:val="20"/>
          <w:color w:val="auto"/>
        </w:rPr>
      </w:pPr>
    </w:p>
    <w:p>
      <w:pPr>
        <w:ind w:left="1980" w:right="439" w:hanging="360"/>
        <w:spacing w:after="0" w:line="25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439" w:hanging="360"/>
        <w:spacing w:after="0" w:line="278"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6" w:lineRule="exact"/>
        <w:rPr>
          <w:sz w:val="20"/>
          <w:szCs w:val="20"/>
          <w:color w:val="auto"/>
        </w:rPr>
      </w:pPr>
    </w:p>
    <w:p>
      <w:pPr>
        <w:jc w:val="both"/>
        <w:ind w:left="1260" w:right="559"/>
        <w:spacing w:after="0" w:line="261"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the Company exercises its option to effect</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with respect to any series of notes and the notes of that series are declared due and payable because of the occurrence of any event of default, the amount of money and/or U.S.</w:t>
      </w:r>
    </w:p>
    <w:p>
      <w:pPr>
        <w:spacing w:after="0" w:line="1" w:lineRule="exact"/>
        <w:rPr>
          <w:sz w:val="20"/>
          <w:szCs w:val="20"/>
          <w:color w:val="auto"/>
        </w:rPr>
      </w:pPr>
    </w:p>
    <w:p>
      <w:pPr>
        <w:ind w:left="1260" w:right="539"/>
        <w:spacing w:after="0" w:line="245" w:lineRule="auto"/>
        <w:rPr>
          <w:sz w:val="20"/>
          <w:szCs w:val="20"/>
          <w:color w:val="auto"/>
        </w:rPr>
      </w:pPr>
      <w:r>
        <w:rPr>
          <w:rFonts w:ascii="Arial" w:cs="Arial" w:eastAsia="Arial" w:hAnsi="Arial"/>
          <w:sz w:val="18"/>
          <w:szCs w:val="18"/>
          <w:color w:val="auto"/>
        </w:rPr>
        <w:t>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09" w:lineRule="exact"/>
        <w:rPr>
          <w:sz w:val="20"/>
          <w:szCs w:val="20"/>
          <w:color w:val="auto"/>
        </w:rPr>
      </w:pPr>
    </w:p>
    <w:p>
      <w:pPr>
        <w:ind w:left="1260" w:right="53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Satisfaction and Discharge</w:t>
      </w:r>
    </w:p>
    <w:p>
      <w:pPr>
        <w:spacing w:after="0" w:line="148" w:lineRule="exact"/>
        <w:rPr>
          <w:sz w:val="20"/>
          <w:szCs w:val="20"/>
          <w:color w:val="auto"/>
        </w:rPr>
      </w:pPr>
    </w:p>
    <w:p>
      <w:pPr>
        <w:ind w:left="1260" w:right="459"/>
        <w:spacing w:after="0" w:line="261"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Book-Entry, Form, Denomination and Delivery of Notes</w:t>
      </w:r>
    </w:p>
    <w:p>
      <w:pPr>
        <w:spacing w:after="0" w:line="148" w:lineRule="exact"/>
        <w:rPr>
          <w:sz w:val="20"/>
          <w:szCs w:val="20"/>
          <w:color w:val="auto"/>
        </w:rPr>
      </w:pPr>
    </w:p>
    <w:p>
      <w:pPr>
        <w:jc w:val="both"/>
        <w:ind w:left="1260" w:right="479"/>
        <w:spacing w:after="0" w:line="283"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78"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19"/>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56"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79" w:hanging="180"/>
        <w:spacing w:after="0" w:line="28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44" w:lineRule="exact"/>
        <w:rPr>
          <w:rFonts w:ascii="Arial" w:cs="Arial" w:eastAsia="Arial" w:hAnsi="Arial"/>
          <w:sz w:val="18"/>
          <w:szCs w:val="18"/>
          <w:color w:val="auto"/>
        </w:rPr>
      </w:pPr>
    </w:p>
    <w:p>
      <w:pPr>
        <w:jc w:val="both"/>
        <w:ind w:left="1800" w:right="539" w:hanging="180"/>
        <w:spacing w:after="0" w:line="262"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09"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2"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94"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69" w:lineRule="exact"/>
        <w:rPr>
          <w:sz w:val="20"/>
          <w:szCs w:val="20"/>
          <w:color w:val="auto"/>
        </w:rPr>
      </w:pPr>
    </w:p>
    <w:p>
      <w:pPr>
        <w:ind w:left="1800" w:right="659" w:hanging="180"/>
        <w:spacing w:after="0" w:line="268"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62"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85"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18"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01"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5"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01" w:lineRule="exact"/>
        <w:rPr>
          <w:sz w:val="20"/>
          <w:szCs w:val="20"/>
          <w:color w:val="auto"/>
        </w:rPr>
      </w:pPr>
    </w:p>
    <w:p>
      <w:pPr>
        <w:ind w:left="1260" w:right="699"/>
        <w:spacing w:after="0" w:line="318" w:lineRule="auto"/>
        <w:rPr>
          <w:sz w:val="20"/>
          <w:szCs w:val="20"/>
          <w:color w:val="auto"/>
        </w:rPr>
      </w:pPr>
      <w:r>
        <w:rPr>
          <w:rFonts w:ascii="Arial" w:cs="Arial" w:eastAsia="Arial" w:hAnsi="Arial"/>
          <w:sz w:val="17"/>
          <w:szCs w:val="17"/>
          <w:color w:val="auto"/>
        </w:rPr>
        <w:t>Although DTC, Euroclear and Clearstream have agreed to the foregoing procedures to facilitate transfers of interests in global notes among participants in DTC, Euroclear and Clearstream they are</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56"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85"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01"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03"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6"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42"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76" w:lineRule="exact"/>
        <w:rPr>
          <w:sz w:val="20"/>
          <w:szCs w:val="20"/>
          <w:color w:val="auto"/>
        </w:rPr>
      </w:pPr>
    </w:p>
    <w:p>
      <w:pPr>
        <w:ind w:left="1800" w:right="659" w:hanging="180"/>
        <w:spacing w:after="0" w:line="28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4"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260" w:right="439"/>
        <w:spacing w:after="0" w:line="318" w:lineRule="auto"/>
        <w:rPr>
          <w:sz w:val="20"/>
          <w:szCs w:val="20"/>
          <w:color w:val="auto"/>
        </w:rPr>
      </w:pPr>
      <w:r>
        <w:rPr>
          <w:rFonts w:ascii="Arial" w:cs="Arial" w:eastAsia="Arial" w:hAnsi="Arial"/>
          <w:sz w:val="17"/>
          <w:szCs w:val="17"/>
          <w:color w:val="auto"/>
        </w:rPr>
        <w:t>The notes represented by the global notes are expected to trade in DTC’s Same-Day Funds Settlement System, and any permitted secondary market trading activity in such notes will, therefore, be required</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59"/>
        <w:spacing w:after="0" w:line="287" w:lineRule="auto"/>
        <w:rPr>
          <w:sz w:val="20"/>
          <w:szCs w:val="20"/>
          <w:color w:val="auto"/>
        </w:rPr>
      </w:pPr>
      <w:r>
        <w:rPr>
          <w:rFonts w:ascii="Arial" w:cs="Arial" w:eastAsia="Arial" w:hAnsi="Arial"/>
          <w:sz w:val="18"/>
          <w:szCs w:val="18"/>
          <w:color w:val="auto"/>
        </w:rPr>
        <w:t>by DTC to be settled in immediately available funds. The Company expects that secondary trading in any certificated notes will also be settled in immediately available funds.</w:t>
      </w:r>
    </w:p>
    <w:p>
      <w:pPr>
        <w:spacing w:after="0" w:line="85"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Notices</w:t>
      </w:r>
    </w:p>
    <w:p>
      <w:pPr>
        <w:spacing w:after="0" w:line="148"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Title</w:t>
      </w:r>
    </w:p>
    <w:p>
      <w:pPr>
        <w:spacing w:after="0" w:line="162"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Personal Liability of Directors, Officers, Employees or Stockholders</w:t>
      </w:r>
    </w:p>
    <w:p>
      <w:pPr>
        <w:spacing w:after="0" w:line="14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Governing Law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law will govern the Indenture and each series of notes.</w:t>
      </w:r>
    </w:p>
    <w:p>
      <w:pPr>
        <w:spacing w:after="0" w:line="158"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0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Regarding the Trustee</w:t>
      </w:r>
    </w:p>
    <w:p>
      <w:pPr>
        <w:spacing w:after="0" w:line="162"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12" w:lineRule="exact"/>
        <w:rPr>
          <w:sz w:val="20"/>
          <w:szCs w:val="20"/>
          <w:color w:val="auto"/>
        </w:rPr>
      </w:pPr>
    </w:p>
    <w:p>
      <w:pPr>
        <w:ind w:left="1260" w:right="459"/>
        <w:spacing w:after="0" w:line="278"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1459"/>
        <w:spacing w:after="0" w:line="255" w:lineRule="auto"/>
        <w:rPr>
          <w:sz w:val="20"/>
          <w:szCs w:val="20"/>
          <w:color w:val="auto"/>
        </w:rPr>
      </w:pPr>
      <w:r>
        <w:rPr>
          <w:rFonts w:ascii="Arial" w:cs="Arial" w:eastAsia="Arial" w:hAnsi="Arial"/>
          <w:sz w:val="40"/>
          <w:szCs w:val="40"/>
          <w:b w:val="1"/>
          <w:bCs w:val="1"/>
          <w:color w:val="auto"/>
        </w:rPr>
        <w:t>MATERIAL U.S. FEDERAL INCOME TAX CONSEQUENCES</w:t>
      </w:r>
      <w:r>
        <w:rPr>
          <w:rFonts w:ascii="Times New Roman" w:cs="Times New Roman" w:eastAsia="Times New Roman" w:hAnsi="Times New Roman"/>
          <w:sz w:val="40"/>
          <w:szCs w:val="40"/>
          <w:color w:val="auto"/>
        </w:rPr>
        <w:t>​</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 General</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Nature and Scope of Discussion</w:t>
      </w:r>
    </w:p>
    <w:p>
      <w:pPr>
        <w:spacing w:after="0" w:line="142"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10"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The following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335"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5"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3" w:lineRule="exact"/>
        <w:rPr>
          <w:sz w:val="20"/>
          <w:szCs w:val="20"/>
          <w:color w:val="auto"/>
        </w:rPr>
      </w:pPr>
    </w:p>
    <w:p>
      <w:pPr>
        <w:ind w:left="1520" w:hanging="260"/>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subject to the primary supervision of a U.S. court and the control of one of more U.S. persons or</w:t>
      </w:r>
    </w:p>
    <w:p>
      <w:pPr>
        <w:spacing w:after="0" w:line="9" w:lineRule="exact"/>
        <w:rPr>
          <w:rFonts w:ascii="Arial" w:cs="Arial" w:eastAsia="Arial" w:hAnsi="Arial"/>
          <w:sz w:val="18"/>
          <w:szCs w:val="18"/>
          <w:color w:val="auto"/>
        </w:rPr>
      </w:pPr>
    </w:p>
    <w:p>
      <w:pPr>
        <w:ind w:left="1260" w:right="899"/>
        <w:spacing w:after="0" w:line="266" w:lineRule="auto"/>
        <w:tabs>
          <w:tab w:leader="none" w:pos="15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a valid election in effect under applicable U.S. Treasury regulations to be treated as a U.S. person.</w:t>
      </w:r>
    </w:p>
    <w:p>
      <w:pPr>
        <w:spacing w:after="0" w:line="104" w:lineRule="exact"/>
        <w:rPr>
          <w:sz w:val="20"/>
          <w:szCs w:val="20"/>
          <w:color w:val="auto"/>
        </w:rPr>
      </w:pPr>
    </w:p>
    <w:p>
      <w:pPr>
        <w:jc w:val="both"/>
        <w:ind w:left="1260" w:right="439"/>
        <w:spacing w:after="0" w:line="278" w:lineRule="auto"/>
        <w:rPr>
          <w:sz w:val="20"/>
          <w:szCs w:val="20"/>
          <w:color w:val="auto"/>
        </w:rPr>
      </w:pPr>
      <w:r>
        <w:rPr>
          <w:rFonts w:ascii="Arial" w:cs="Arial" w:eastAsia="Arial" w:hAnsi="Arial"/>
          <w:sz w:val="17"/>
          <w:szCs w:val="17"/>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w:t>
      </w:r>
    </w:p>
    <w:p>
      <w:pPr>
        <w:sectPr>
          <w:pgSz w:w="11900" w:h="16838" w:orient="portrait"/>
          <w:cols w:equalWidth="0" w:num="1">
            <w:col w:w="9879"/>
          </w:cols>
          <w:pgMar w:left="580" w:top="97"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99"/>
        <w:spacing w:after="0" w:line="261" w:lineRule="auto"/>
        <w:rPr>
          <w:sz w:val="20"/>
          <w:szCs w:val="20"/>
          <w:color w:val="auto"/>
        </w:rPr>
      </w:pPr>
      <w:r>
        <w:rPr>
          <w:rFonts w:ascii="Arial" w:cs="Arial" w:eastAsia="Arial" w:hAnsi="Arial"/>
          <w:sz w:val="18"/>
          <w:szCs w:val="18"/>
          <w:color w:val="auto"/>
        </w:rPr>
        <w:t>partnership. A beneficial owner of a note that is a partnership, and partners in such partnership, should consult their own tax advisors about the U.S. federal income tax consequences of purchasing, owning and disposing of the notes.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56"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156"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Debt instruments issued as part of a “qualified reopening” of a previous issue of debt instruments are treated as part of the original issue and, consequently, are deemed to have the same issue date and the same issue price as the original debt instruments. It is expected that the offering of 2029 notes pursuant to this prospectus supplement will meet the requirements under applicable U.S. Treasury regulations for a “qualified reopening” of the Original 2029 Notes issued on October 31, 2022. Accordingly, we expect, and this discussion assumes, that for U.S. federal income tax purposes the 2029 notes issued pursuant to this prospectus supplement will have the same issue date and issue price as the Original 2029 Notes originally issued on October 31, 2022 and will not be considered to be issued with any amount of “original issue discount” for U.S. federal income tax purposes.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U.S. Holders</w:t>
      </w: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56"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As discussed under “Description of the Notes — Interest,” a portion of the price paid for the 2029 notes issued pursuant to this prospectus supplement will be allocable to interest that accrued prior to the date such 2029 notes are purchased (“pre-acquisition accrued interest”). To the extent that a portion of a U.S. holder’s purchase price for the 2029 notes is allocable to pre-acquisition accrued interest, a portion of the first stated interest payment equal to the amount of such pre-acquisition accrued interest may be treated as a nontaxable return of such pre-acquisition accrued interest to the U.S. holder and not as a payment of interest on the note. The remainder of this discussion assumes that the pre-acquisition accrued interest will be so treated.</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56"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(but excluding, in the case of the 2029 notes, any pre-acquisition accrued interest, as discussed above) paid or accrued on the notes, in accordance with such holder’s regular method of tax accounting.</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42" w:lineRule="exact"/>
        <w:rPr>
          <w:sz w:val="20"/>
          <w:szCs w:val="20"/>
          <w:color w:val="auto"/>
        </w:rPr>
      </w:pPr>
    </w:p>
    <w:p>
      <w:pPr>
        <w:ind w:left="1260" w:right="539"/>
        <w:spacing w:after="0" w:line="278" w:lineRule="auto"/>
        <w:rPr>
          <w:sz w:val="20"/>
          <w:szCs w:val="20"/>
          <w:color w:val="auto"/>
        </w:rPr>
      </w:pPr>
      <w:r>
        <w:rPr>
          <w:rFonts w:ascii="Arial" w:cs="Arial" w:eastAsia="Arial" w:hAnsi="Arial"/>
          <w:sz w:val="17"/>
          <w:szCs w:val="17"/>
          <w:color w:val="auto"/>
        </w:rPr>
        <w:t>We expect, and this discussion assumes, that the 2029 notes issued pursuant to this prospectus supplement will be issued for an amount (exclusive of any amount allocable to pre-acquisition accrued interest, as discussed above) that is in excess of their principal amount. If a U.S. holder’s initial purchase price for a 2029 note (disregarding any amount allocable to pre-acquisition accrued interest) is in excess of its principal amount, the holder may generally elect to treat the excess as amortizable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bond premium. By making this election, the U.S. holder can reduce the amount required to be included in the holder’s income each year with respect to interest on the 2029 note by the amount of amortizable bond premium allocable to that year, based on the yield to maturity of the 2029 note. However, because the 2029 notes are redeemable at our option prior to maturity at a premium, special rules apply that may reduce and/or defer the amount of bond premium that a U.S. holder may amortize with respect to a 2029 note to reduce interest income. If a U.S. holder makes an election to amortize bond premium, this election will apply to all debt instruments, other than debt instruments the interest on which is excludible from gross income, that the holder holds at the beginning of the first taxable year to which the election applies or that the holder thereafter acquires, and the holder may not revoke this election without the consent of the IRS. Holders should consult their own tax advisors regarding the general availability of, and potential U.S. federal income tax consequences associated with, making an election to amortize bond premium in respect of the 2029 notes.</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56"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(but excluding, in the case of the 2029 notes, any amount allocable to pre-acquisition accrued interest, as discussed above), and in the case of a 2029 note, the U.S. holder’s tax basis will be reduced by any bond premium previously amortized pursuant to an election, as discussed above. The portion of any proceeds that is attributable to accrued interest will not be taken into account in computing the U.S. holder’s taxable gain or loss. Instead, that portion (but excluding, in the case of the 2029 notes, any portion attributable to pre-acquisition accrued interest, as discussed above)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Non-U.S. Holders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4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also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77" w:lineRule="exact"/>
        <w:rPr>
          <w:sz w:val="20"/>
          <w:szCs w:val="20"/>
          <w:color w:val="auto"/>
        </w:rPr>
      </w:pPr>
    </w:p>
    <w:p>
      <w:pPr>
        <w:ind w:left="1800" w:right="599" w:hanging="180"/>
        <w:spacing w:after="0" w:line="268"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62" w:lineRule="exact"/>
        <w:rPr>
          <w:rFonts w:ascii="Arial" w:cs="Arial" w:eastAsia="Arial" w:hAnsi="Arial"/>
          <w:sz w:val="18"/>
          <w:szCs w:val="18"/>
          <w:color w:val="auto"/>
        </w:rPr>
      </w:pPr>
    </w:p>
    <w:p>
      <w:pPr>
        <w:ind w:left="1800" w:right="85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3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94"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42"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7" w:lineRule="exact"/>
        <w:rPr>
          <w:sz w:val="20"/>
          <w:szCs w:val="20"/>
          <w:color w:val="auto"/>
        </w:rPr>
      </w:pPr>
    </w:p>
    <w:p>
      <w:pPr>
        <w:ind w:left="1800" w:right="51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71"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56"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42" w:lineRule="exact"/>
        <w:rPr>
          <w:sz w:val="20"/>
          <w:szCs w:val="20"/>
          <w:color w:val="auto"/>
        </w:rPr>
      </w:pPr>
    </w:p>
    <w:p>
      <w:pPr>
        <w:ind w:left="1260" w:right="459"/>
        <w:spacing w:after="0" w:line="287" w:lineRule="auto"/>
        <w:rPr>
          <w:sz w:val="20"/>
          <w:szCs w:val="20"/>
          <w:color w:val="auto"/>
        </w:rPr>
      </w:pPr>
      <w:r>
        <w:rPr>
          <w:rFonts w:ascii="Arial" w:cs="Arial" w:eastAsia="Arial" w:hAnsi="Arial"/>
          <w:sz w:val="18"/>
          <w:szCs w:val="18"/>
          <w:color w:val="auto"/>
        </w:rPr>
        <w:t>Legislation and administrative guidance incorporating provisions referred to as the Foreign Account Tax Compliance Act, or FATCA, imposes a U.S. federal withholding tax on certain types of payments</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Backup Withholding and Information Reporting</w:t>
      </w:r>
    </w:p>
    <w:p>
      <w:pPr>
        <w:spacing w:after="0" w:line="162"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0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112"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06"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which may entitle the holder to a refund, provided the required information is timely furnished to the IRS.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UNDERWRITING</w:t>
      </w:r>
    </w:p>
    <w:p>
      <w:pPr>
        <w:spacing w:after="0" w:line="136"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Morgan Stanley &amp; Co. LLC, BofA Securities, Inc. and Wells Fargo Securities, LLC are acting as representatives, has severally agreed to purchase, and we have agreed to sell to that underwriter, the aggregate principal amount of notes of each series set forth opposite the underwriter’s name in the following table: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 of</w:t>
            </w:r>
          </w:p>
        </w:tc>
        <w:tc>
          <w:tcPr>
            <w:tcW w:w="2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 of</w:t>
            </w:r>
          </w:p>
        </w:tc>
        <w:tc>
          <w:tcPr>
            <w:tcW w:w="60" w:type="dxa"/>
            <w:vAlign w:val="bottom"/>
          </w:tcPr>
          <w:p>
            <w:pPr>
              <w:spacing w:after="0"/>
              <w:rPr>
                <w:sz w:val="14"/>
                <w:szCs w:val="14"/>
                <w:color w:val="auto"/>
              </w:rPr>
            </w:pPr>
          </w:p>
        </w:tc>
      </w:tr>
      <w:tr>
        <w:trPr>
          <w:trHeight w:val="16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2029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2033</w:t>
            </w:r>
          </w:p>
        </w:tc>
        <w:tc>
          <w:tcPr>
            <w:tcW w:w="60" w:type="dxa"/>
            <w:vAlign w:val="bottom"/>
          </w:tcPr>
          <w:p>
            <w:pPr>
              <w:spacing w:after="0"/>
              <w:rPr>
                <w:sz w:val="14"/>
                <w:szCs w:val="14"/>
                <w:color w:val="auto"/>
              </w:rPr>
            </w:pPr>
          </w:p>
        </w:tc>
      </w:tr>
      <w:tr>
        <w:trPr>
          <w:trHeight w:val="198"/>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2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Notes</w:t>
            </w:r>
          </w:p>
        </w:tc>
        <w:tc>
          <w:tcPr>
            <w:tcW w:w="24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BofA Securities, Inc.</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tcPr>
          <w:p>
            <w:pPr>
              <w:spacing w:after="0"/>
              <w:rPr>
                <w:sz w:val="22"/>
                <w:szCs w:val="22"/>
                <w:color w:val="auto"/>
              </w:rPr>
            </w:pP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8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00" w:type="dxa"/>
            <w:vAlign w:val="bottom"/>
            <w:gridSpan w:val="2"/>
            <w:shd w:val="clear" w:color="auto" w:fill="CCEEFF"/>
          </w:tcPr>
          <w:p>
            <w:pPr>
              <w:ind w:left="6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8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line="269"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b w:val="1"/>
                <w:bCs w:val="1"/>
                <w:color w:val="auto"/>
              </w:rPr>
              <w:t xml:space="preserve"> </w:t>
            </w:r>
            <w:r>
              <w:rPr>
                <w:rFonts w:ascii="Arial" w:cs="Arial" w:eastAsia="Arial" w:hAnsi="Arial"/>
                <w:sz w:val="31"/>
                <w:szCs w:val="31"/>
                <w:color w:val="auto"/>
                <w:vertAlign w:val="superscript"/>
              </w:rPr>
              <w:t>​</w:t>
            </w:r>
          </w:p>
        </w:tc>
        <w:tc>
          <w:tcPr>
            <w:tcW w:w="8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2540" w:type="dxa"/>
            <w:vAlign w:val="bottom"/>
            <w:gridSpan w:val="7"/>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w:t>
            </w:r>
            <w:r>
              <w:rPr>
                <w:rFonts w:ascii="Arial" w:cs="Arial" w:eastAsia="Arial" w:hAnsi="Arial"/>
                <w:sz w:val="28"/>
                <w:szCs w:val="28"/>
                <w:color w:val="auto"/>
                <w:vertAlign w:val="subscript"/>
              </w:rPr>
              <w:t>​​ ​​</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p>
        </w:tc>
      </w:tr>
      <w:tr>
        <w:trPr>
          <w:trHeight w:val="21"/>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-719455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-719455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08" w:lineRule="exact"/>
        <w:rPr>
          <w:sz w:val="20"/>
          <w:szCs w:val="20"/>
          <w:color w:val="auto"/>
        </w:rPr>
      </w:pPr>
    </w:p>
    <w:p>
      <w:pPr>
        <w:jc w:val="both"/>
        <w:ind w:left="1260" w:right="599"/>
        <w:spacing w:after="0" w:line="25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Commissions and Discounts</w:t>
      </w:r>
    </w:p>
    <w:p>
      <w:pPr>
        <w:spacing w:after="0" w:line="135"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2029 notes and         % of the principal amount of the 2033 notes. The underwriters may allow, and any such dealer may reallow, a concession not to exceed         % of the principal amount of the 2029 notes and         % of the principal amount of the 2033 notes. After the initial offering of the notes to the public, the representatives may change the public offering price and other selling terms.</w:t>
      </w:r>
    </w:p>
    <w:p>
      <w:pPr>
        <w:spacing w:after="0" w:line="10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Paid by Micron</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Arial" w:cs="Arial" w:eastAsia="Arial" w:hAnsi="Arial"/>
                <w:sz w:val="14"/>
                <w:szCs w:val="14"/>
                <w:b w:val="1"/>
                <w:bCs w:val="1"/>
                <w:color w:val="auto"/>
              </w:rPr>
              <w:t>​</w:t>
            </w:r>
          </w:p>
        </w:tc>
        <w:tc>
          <w:tcPr>
            <w:tcW w:w="4240" w:type="dxa"/>
            <w:vAlign w:val="bottom"/>
            <w:gridSpan w:val="5"/>
          </w:tcPr>
          <w:p>
            <w:pPr>
              <w:ind w:left="282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Technology, Inc.</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line="196" w:lineRule="exact"/>
              <w:rPr>
                <w:sz w:val="20"/>
                <w:szCs w:val="20"/>
                <w:color w:val="auto"/>
              </w:rPr>
            </w:pPr>
            <w:r>
              <w:rPr>
                <w:rFonts w:ascii="Arial" w:cs="Arial" w:eastAsia="Arial" w:hAnsi="Arial"/>
                <w:sz w:val="18"/>
                <w:szCs w:val="18"/>
                <w:color w:val="auto"/>
              </w:rPr>
              <w:t>Per 2029 Note</w:t>
            </w:r>
          </w:p>
        </w:tc>
        <w:tc>
          <w:tcPr>
            <w:tcW w:w="3200" w:type="dxa"/>
            <w:vAlign w:val="bottom"/>
            <w:gridSpan w:val="2"/>
            <w:vMerge w:val="restart"/>
          </w:tcPr>
          <w:p>
            <w:pPr>
              <w:ind w:left="286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32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gridSpan w:val="2"/>
          </w:tcPr>
          <w:p>
            <w:pPr>
              <w:ind w:left="7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2029 Note Total</w:t>
            </w:r>
          </w:p>
        </w:tc>
        <w:tc>
          <w:tcPr>
            <w:tcW w:w="3200" w:type="dxa"/>
            <w:vAlign w:val="bottom"/>
            <w:gridSpan w:val="2"/>
          </w:tcPr>
          <w:p>
            <w:pPr>
              <w:ind w:left="286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2"/>
                <w:szCs w:val="22"/>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Per 2033 Note</w:t>
            </w:r>
          </w:p>
        </w:tc>
        <w:tc>
          <w:tcPr>
            <w:tcW w:w="3200" w:type="dxa"/>
            <w:vAlign w:val="bottom"/>
            <w:gridSpan w:val="2"/>
            <w:vMerge w:val="restart"/>
          </w:tcPr>
          <w:p>
            <w:pPr>
              <w:ind w:left="286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32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gridSpan w:val="2"/>
          </w:tcPr>
          <w:p>
            <w:pPr>
              <w:ind w:left="7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2033 Note Total</w:t>
            </w:r>
          </w:p>
        </w:tc>
        <w:tc>
          <w:tcPr>
            <w:tcW w:w="3200" w:type="dxa"/>
            <w:vAlign w:val="bottom"/>
            <w:gridSpan w:val="2"/>
          </w:tcPr>
          <w:p>
            <w:pPr>
              <w:ind w:left="286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2"/>
                <w:szCs w:val="22"/>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 ​ ​$</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estimate that our total expenses for this offering, other than underwriting discounts, will be</w:t>
      </w:r>
    </w:p>
    <w:p>
      <w:pPr>
        <w:spacing w:after="0" w:line="14"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approximately $ . The underwriters have agreed to reimburse us for certain expenses incurred in connection with this offering.</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New Issue of Notes</w:t>
      </w:r>
    </w:p>
    <w:p>
      <w:pPr>
        <w:spacing w:after="0" w:line="135"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2029 notes will be part of our 6.750% Senior Notes due 2029, of which we issued $750,000,000 in aggregate principal amount on October 31, 2022. The 2029 notes offered by this prospectus</w:t>
      </w:r>
    </w:p>
    <w:p>
      <w:pPr>
        <w:sectPr>
          <w:pgSz w:w="11900" w:h="16838" w:orient="portrait"/>
          <w:cols w:equalWidth="0" w:num="1">
            <w:col w:w="9879"/>
          </w:cols>
          <w:pgMar w:left="580" w:top="97" w:right="1440" w:bottom="1440" w:gutter="0" w:footer="0" w:header="0"/>
        </w:sectPr>
      </w:pPr>
    </w:p>
    <w:p>
      <w:pPr>
        <w:spacing w:after="0" w:line="31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supplement will have terms that are identical to the terms of the Original 2029 Notes (other than the initial offering price) and have the same CUSIP number and will be fungible with the Original 2029 Notes. Upon the issuance of the 2029 notes offered hereby, the outstanding principal amount of our 6.750% Senior Notes due 2029 will be $                  .</w:t>
      </w:r>
    </w:p>
    <w:p>
      <w:pPr>
        <w:spacing w:after="0" w:line="103"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There is currently no public trading market for the 2033 notes. The notes are not listed and we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Price Stabilization and Short Positions</w:t>
      </w:r>
    </w:p>
    <w:p>
      <w:pPr>
        <w:spacing w:after="0" w:line="14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08" w:lineRule="exact"/>
        <w:rPr>
          <w:sz w:val="20"/>
          <w:szCs w:val="20"/>
          <w:color w:val="auto"/>
        </w:rPr>
      </w:pPr>
    </w:p>
    <w:p>
      <w:pPr>
        <w:jc w:val="both"/>
        <w:ind w:left="1260" w:right="519"/>
        <w:spacing w:after="0" w:line="252"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03" w:lineRule="exact"/>
        <w:rPr>
          <w:sz w:val="20"/>
          <w:szCs w:val="20"/>
          <w:color w:val="auto"/>
        </w:rPr>
      </w:pPr>
    </w:p>
    <w:p>
      <w:pPr>
        <w:ind w:left="1260" w:right="659"/>
        <w:spacing w:after="0" w:line="24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 Sales of Similar Securities</w:t>
      </w:r>
    </w:p>
    <w:p>
      <w:pPr>
        <w:spacing w:after="0" w:line="16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Other Relationships</w:t>
      </w:r>
    </w:p>
    <w:p>
      <w:pPr>
        <w:spacing w:after="0" w:line="148"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03"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63" w:lineRule="auto"/>
        <w:rPr>
          <w:sz w:val="20"/>
          <w:szCs w:val="20"/>
          <w:color w:val="auto"/>
        </w:rPr>
      </w:pPr>
      <w:r>
        <w:rPr>
          <w:rFonts w:ascii="Arial" w:cs="Arial" w:eastAsia="Arial" w:hAnsi="Arial"/>
          <w:sz w:val="17"/>
          <w:szCs w:val="17"/>
          <w:color w:val="auto"/>
        </w:rPr>
        <w:t>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4"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We expect that delivery of the notes will be made to investors on or about,                      , 2023,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2023 will be required, by virtue of the fact that the notes initially settle in T+3, to specify an alternate settlement arrangement to prevent a failed settlement. Purchasers of the notes who wish to trade the notes more than two business days prior to                      , 2023 should consult their advisors.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Canada</w:t>
      </w:r>
    </w:p>
    <w:p>
      <w:pPr>
        <w:spacing w:after="0" w:line="162"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09"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jc w:val="both"/>
        <w:ind w:left="1260" w:right="1059"/>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EEA Retail Investors</w:t>
      </w:r>
    </w:p>
    <w:p>
      <w:pPr>
        <w:spacing w:after="0" w:line="14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Prohibition of Sales to UK Retail Investors</w:t>
      </w:r>
    </w:p>
    <w:p>
      <w:pPr>
        <w:spacing w:after="0" w:line="162"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w:t>
      </w:r>
    </w:p>
    <w:p>
      <w:pPr>
        <w:spacing w:after="0" w:line="2" w:lineRule="exact"/>
        <w:rPr>
          <w:sz w:val="20"/>
          <w:szCs w:val="20"/>
          <w:color w:val="auto"/>
        </w:rPr>
      </w:pPr>
    </w:p>
    <w:p>
      <w:pPr>
        <w:ind w:left="1260" w:right="579"/>
        <w:spacing w:after="0" w:line="270" w:lineRule="auto"/>
        <w:rPr>
          <w:sz w:val="20"/>
          <w:szCs w:val="20"/>
          <w:color w:val="auto"/>
        </w:rPr>
      </w:pPr>
      <w:r>
        <w:rPr>
          <w:rFonts w:ascii="Arial" w:cs="Arial" w:eastAsia="Arial" w:hAnsi="Arial"/>
          <w:sz w:val="17"/>
          <w:szCs w:val="17"/>
          <w:color w:val="auto"/>
        </w:rPr>
        <w:t>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Hong Kong</w:t>
      </w:r>
    </w:p>
    <w:p>
      <w:pPr>
        <w:spacing w:after="0" w:line="148" w:lineRule="exact"/>
        <w:rPr>
          <w:sz w:val="20"/>
          <w:szCs w:val="20"/>
          <w:color w:val="auto"/>
        </w:rPr>
      </w:pPr>
    </w:p>
    <w:p>
      <w:pPr>
        <w:ind w:left="1260" w:right="659"/>
        <w:spacing w:after="0" w:line="253" w:lineRule="auto"/>
        <w:rPr>
          <w:sz w:val="20"/>
          <w:szCs w:val="20"/>
          <w:color w:val="auto"/>
        </w:rPr>
      </w:pPr>
      <w:r>
        <w:rPr>
          <w:rFonts w:ascii="Arial" w:cs="Arial" w:eastAsia="Arial" w:hAnsi="Arial"/>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Japan</w:t>
      </w:r>
    </w:p>
    <w:p>
      <w:pPr>
        <w:spacing w:after="0" w:line="14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18"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section:</w:t>
      </w:r>
    </w:p>
    <w:p>
      <w:pPr>
        <w:spacing w:after="0" w:line="158"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94" w:lineRule="exact"/>
        <w:rPr>
          <w:sz w:val="20"/>
          <w:szCs w:val="20"/>
          <w:color w:val="auto"/>
        </w:rPr>
      </w:pPr>
    </w:p>
    <w:p>
      <w:pPr>
        <w:jc w:val="both"/>
        <w:ind w:left="1260" w:right="439"/>
        <w:spacing w:after="0" w:line="253"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01" w:lineRule="exact"/>
        <w:rPr>
          <w:sz w:val="20"/>
          <w:szCs w:val="20"/>
          <w:color w:val="auto"/>
        </w:rPr>
      </w:pPr>
    </w:p>
    <w:p>
      <w:pPr>
        <w:ind w:left="1260" w:right="899"/>
        <w:spacing w:after="0" w:line="287"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Singapore</w:t>
      </w:r>
    </w:p>
    <w:p>
      <w:pPr>
        <w:spacing w:after="0" w:line="148"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79" w:lineRule="exact"/>
        <w:rPr>
          <w:sz w:val="20"/>
          <w:szCs w:val="20"/>
          <w:color w:val="auto"/>
        </w:rPr>
      </w:pPr>
    </w:p>
    <w:p>
      <w:pPr>
        <w:ind w:left="1980" w:right="599" w:hanging="360"/>
        <w:spacing w:after="0" w:line="268"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89" w:lineRule="exact"/>
        <w:rPr>
          <w:rFonts w:ascii="Arial" w:cs="Arial" w:eastAsia="Arial" w:hAnsi="Arial"/>
          <w:sz w:val="18"/>
          <w:szCs w:val="18"/>
          <w:color w:val="auto"/>
        </w:rPr>
      </w:pPr>
    </w:p>
    <w:p>
      <w:pPr>
        <w:jc w:val="both"/>
        <w:ind w:left="1980" w:right="679" w:hanging="360"/>
        <w:spacing w:after="0" w:line="268"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6" w:lineRule="exact"/>
        <w:rPr>
          <w:rFonts w:ascii="Arial" w:cs="Arial" w:eastAsia="Arial" w:hAnsi="Arial"/>
          <w:sz w:val="18"/>
          <w:szCs w:val="18"/>
          <w:color w:val="auto"/>
        </w:rPr>
      </w:pPr>
    </w:p>
    <w:p>
      <w:pPr>
        <w:ind w:left="1980" w:right="439" w:hanging="360"/>
        <w:spacing w:after="0" w:line="28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85"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3" w:lineRule="exact"/>
        <w:rPr>
          <w:sz w:val="20"/>
          <w:szCs w:val="20"/>
          <w:color w:val="auto"/>
        </w:rPr>
      </w:pPr>
    </w:p>
    <w:p>
      <w:pPr>
        <w:ind w:left="1980" w:right="439" w:hanging="360"/>
        <w:spacing w:after="0" w:line="268"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6" w:lineRule="exact"/>
        <w:rPr>
          <w:rFonts w:ascii="Arial" w:cs="Arial" w:eastAsia="Arial" w:hAnsi="Arial"/>
          <w:sz w:val="18"/>
          <w:szCs w:val="18"/>
          <w:color w:val="auto"/>
        </w:rPr>
      </w:pPr>
    </w:p>
    <w:p>
      <w:pPr>
        <w:ind w:left="1980" w:right="719" w:hanging="360"/>
        <w:spacing w:after="0" w:line="318"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35" w:lineRule="exact"/>
        <w:rPr>
          <w:rFonts w:ascii="Arial" w:cs="Arial" w:eastAsia="Arial" w:hAnsi="Arial"/>
          <w:sz w:val="17"/>
          <w:szCs w:val="17"/>
          <w:color w:val="auto"/>
        </w:rPr>
      </w:pPr>
    </w:p>
    <w:p>
      <w:pPr>
        <w:ind w:left="1980" w:right="419" w:hanging="360"/>
        <w:spacing w:after="0" w:line="262"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95" w:lineRule="exact"/>
        <w:rPr>
          <w:rFonts w:ascii="Arial" w:cs="Arial" w:eastAsia="Arial" w:hAnsi="Arial"/>
          <w:sz w:val="18"/>
          <w:szCs w:val="18"/>
          <w:color w:val="auto"/>
        </w:rPr>
      </w:pPr>
    </w:p>
    <w:p>
      <w:pPr>
        <w:ind w:left="2340" w:right="659" w:hanging="360"/>
        <w:spacing w:after="0" w:line="287" w:lineRule="auto"/>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58" w:lineRule="exact"/>
        <w:rPr>
          <w:rFonts w:ascii="Arial" w:cs="Arial" w:eastAsia="Arial" w:hAnsi="Arial"/>
          <w:sz w:val="18"/>
          <w:szCs w:val="18"/>
          <w:color w:val="auto"/>
        </w:rPr>
      </w:pPr>
    </w:p>
    <w:p>
      <w:pPr>
        <w:ind w:left="2340" w:hanging="360"/>
        <w:spacing w:after="0"/>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2340" w:hanging="360"/>
        <w:spacing w:after="0"/>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2340" w:right="919" w:hanging="360"/>
        <w:spacing w:after="0" w:line="318" w:lineRule="auto"/>
        <w:tabs>
          <w:tab w:leader="none" w:pos="23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Singapore Securities and Futures Act Product Classification</w:t>
      </w:r>
    </w:p>
    <w:p>
      <w:pPr>
        <w:spacing w:after="0" w:line="148" w:lineRule="exact"/>
        <w:rPr>
          <w:sz w:val="20"/>
          <w:szCs w:val="20"/>
          <w:color w:val="auto"/>
        </w:rPr>
      </w:pPr>
    </w:p>
    <w:p>
      <w:pPr>
        <w:ind w:left="1260" w:right="459"/>
        <w:spacing w:after="0" w:line="318" w:lineRule="auto"/>
        <w:rPr>
          <w:sz w:val="20"/>
          <w:szCs w:val="20"/>
          <w:color w:val="auto"/>
        </w:rPr>
      </w:pPr>
      <w:r>
        <w:rPr>
          <w:rFonts w:ascii="Arial" w:cs="Arial" w:eastAsia="Arial" w:hAnsi="Arial"/>
          <w:sz w:val="17"/>
          <w:szCs w:val="17"/>
          <w:color w:val="auto"/>
        </w:rPr>
        <w:t>In connection with Section 309B of the SFA and the CMP Regulations 2018, unless otherwise specified before an offer of notes, we have determined, and hereby notify all relevant persons (as defined in</w:t>
      </w:r>
    </w:p>
    <w:p>
      <w:pPr>
        <w:sectPr>
          <w:pgSz w:w="11900" w:h="16838" w:orient="portrait"/>
          <w:cols w:equalWidth="0" w:num="1">
            <w:col w:w="9879"/>
          </w:cols>
          <w:pgMar w:left="580" w:top="97" w:right="1440" w:bottom="1440" w:gutter="0" w:footer="0" w:header="0"/>
        </w:sectPr>
      </w:pPr>
    </w:p>
    <w:p>
      <w:pPr>
        <w:spacing w:after="0" w:line="29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Switzerland</w:t>
      </w:r>
    </w:p>
    <w:p>
      <w:pPr>
        <w:spacing w:after="0" w:line="162"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Notice to Prospective Investors in Taiwan</w:t>
      </w:r>
    </w:p>
    <w:p>
      <w:pPr>
        <w:spacing w:after="0" w:line="14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VALIDITY OF SECURITIES</w:t>
      </w:r>
    </w:p>
    <w:p>
      <w:pPr>
        <w:spacing w:after="0" w:line="149"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September 1, 2022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1260" w:right="3079"/>
        <w:spacing w:after="0" w:line="268" w:lineRule="auto"/>
        <w:rPr>
          <w:sz w:val="20"/>
          <w:szCs w:val="20"/>
          <w:color w:val="auto"/>
        </w:rPr>
      </w:pPr>
      <w:r>
        <w:rPr>
          <w:rFonts w:ascii="Arial" w:cs="Arial" w:eastAsia="Arial" w:hAnsi="Arial"/>
          <w:sz w:val="40"/>
          <w:szCs w:val="40"/>
          <w:b w:val="1"/>
          <w:bCs w:val="1"/>
          <w:color w:val="auto"/>
        </w:rPr>
        <w:t>WHERE YOU CAN FIND MORE INFORMATION</w:t>
      </w:r>
    </w:p>
    <w:p>
      <w:pPr>
        <w:ind w:left="1260" w:right="439"/>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 //www.sec.gov,</w:t>
      </w:r>
      <w:r>
        <w:rPr>
          <w:rFonts w:ascii="Arial" w:cs="Arial" w:eastAsia="Arial" w:hAnsi="Arial"/>
          <w:sz w:val="18"/>
          <w:szCs w:val="18"/>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1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74"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w:t>
      </w:r>
      <w:hyperlink r:id="rId102">
        <w:r>
          <w:rPr>
            <w:rFonts w:ascii="Arial" w:cs="Arial" w:eastAsia="Arial" w:hAnsi="Arial"/>
            <w:sz w:val="18"/>
            <w:szCs w:val="18"/>
            <w:u w:val="single" w:color="auto"/>
            <w:color w:val="0000EE"/>
          </w:rPr>
          <w:t>Annual Report on Form 10-K for the fiscal year ended September 1, 2022;</w:t>
        </w:r>
      </w:hyperlink>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w:t>
      </w:r>
      <w:hyperlink r:id="rId103">
        <w:r>
          <w:rPr>
            <w:rFonts w:ascii="Arial" w:cs="Arial" w:eastAsia="Arial" w:hAnsi="Arial"/>
            <w:sz w:val="18"/>
            <w:szCs w:val="18"/>
            <w:u w:val="single" w:color="auto"/>
            <w:color w:val="0000EE"/>
          </w:rPr>
          <w:t>Quarterly Report on Form 10-Q for the fiscal quarter ended December 1, 2022;</w:t>
        </w:r>
      </w:hyperlink>
    </w:p>
    <w:p>
      <w:pPr>
        <w:spacing w:after="0" w:line="117" w:lineRule="exact"/>
        <w:rPr>
          <w:rFonts w:ascii="Arial" w:cs="Arial" w:eastAsia="Arial" w:hAnsi="Arial"/>
          <w:sz w:val="18"/>
          <w:szCs w:val="18"/>
          <w:color w:val="auto"/>
        </w:rPr>
      </w:pPr>
    </w:p>
    <w:p>
      <w:pPr>
        <w:ind w:left="1800" w:right="439" w:hanging="180"/>
        <w:spacing w:after="0" w:line="268" w:lineRule="auto"/>
        <w:tabs>
          <w:tab w:leader="none" w:pos="1800" w:val="left"/>
        </w:tabs>
        <w:numPr>
          <w:ilvl w:val="0"/>
          <w:numId w:val="47"/>
        </w:numPr>
        <w:rPr>
          <w:rFonts w:ascii="Arial" w:cs="Arial" w:eastAsia="Arial" w:hAnsi="Arial"/>
          <w:sz w:val="18"/>
          <w:szCs w:val="18"/>
          <w:color w:val="0000EE"/>
        </w:rPr>
      </w:pPr>
      <w:hyperlink r:id="rId104">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EE"/>
          </w:rPr>
          <w:t>fiscal year ended September 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105">
        <w:r>
          <w:rPr>
            <w:rFonts w:ascii="Arial" w:cs="Arial" w:eastAsia="Arial" w:hAnsi="Arial"/>
            <w:sz w:val="18"/>
            <w:szCs w:val="18"/>
            <w:u w:val="single" w:color="auto"/>
            <w:color w:val="0000EE"/>
          </w:rPr>
          <w:t>with the SEC on December 2, 2022</w:t>
        </w:r>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1800" w:right="99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106">
        <w:r>
          <w:rPr>
            <w:rFonts w:ascii="Arial" w:cs="Arial" w:eastAsia="Arial" w:hAnsi="Arial"/>
            <w:sz w:val="18"/>
            <w:szCs w:val="18"/>
            <w:u w:val="single" w:color="auto"/>
            <w:color w:val="0000EE"/>
          </w:rPr>
          <w:t xml:space="preserve">October 31, 2022, </w:t>
        </w:r>
      </w:hyperlink>
      <w:hyperlink r:id="rId107">
        <w:r>
          <w:rPr>
            <w:rFonts w:ascii="Arial" w:cs="Arial" w:eastAsia="Arial" w:hAnsi="Arial"/>
            <w:sz w:val="18"/>
            <w:szCs w:val="18"/>
            <w:u w:val="single" w:color="auto"/>
            <w:color w:val="auto"/>
          </w:rPr>
          <w:t xml:space="preserve">November </w:t>
        </w:r>
        <w:r>
          <w:rPr>
            <w:rFonts w:ascii="Arial" w:cs="Arial" w:eastAsia="Arial" w:hAnsi="Arial"/>
            <w:sz w:val="18"/>
            <w:szCs w:val="18"/>
            <w:u w:val="single" w:color="auto"/>
            <w:color w:val="0000EE"/>
          </w:rPr>
          <w:t>3, 2022</w:t>
        </w:r>
      </w:hyperlink>
      <w:r>
        <w:rPr>
          <w:rFonts w:ascii="Arial" w:cs="Arial" w:eastAsia="Arial" w:hAnsi="Arial"/>
          <w:sz w:val="18"/>
          <w:szCs w:val="18"/>
          <w:color w:val="auto"/>
        </w:rPr>
        <w:t xml:space="preserve">, December 21, 2022 (Item 2.05 only), </w:t>
      </w:r>
      <w:hyperlink r:id="rId108">
        <w:r>
          <w:rPr>
            <w:rFonts w:ascii="Arial" w:cs="Arial" w:eastAsia="Arial" w:hAnsi="Arial"/>
            <w:sz w:val="18"/>
            <w:szCs w:val="18"/>
            <w:u w:val="single" w:color="auto"/>
            <w:color w:val="0000EE"/>
          </w:rPr>
          <w:t>January 5,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9">
        <w:r>
          <w:rPr>
            <w:rFonts w:ascii="Arial" w:cs="Arial" w:eastAsia="Arial" w:hAnsi="Arial"/>
            <w:sz w:val="18"/>
            <w:szCs w:val="18"/>
            <w:u w:val="single" w:color="auto"/>
            <w:color w:val="0000EE"/>
          </w:rPr>
          <w:t>January 13, 2023</w:t>
        </w:r>
      </w:hyperlink>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260" w:right="519"/>
        <w:spacing w:after="0" w:line="282" w:lineRule="auto"/>
        <w:rPr>
          <w:sz w:val="20"/>
          <w:szCs w:val="20"/>
          <w:color w:val="auto"/>
        </w:rPr>
      </w:pPr>
      <w:r>
        <w:rPr>
          <w:rFonts w:ascii="Arial" w:cs="Arial" w:eastAsia="Arial" w:hAnsi="Arial"/>
          <w:sz w:val="17"/>
          <w:szCs w:val="17"/>
          <w:color w:val="auto"/>
        </w:rPr>
        <w:t xml:space="preserve">You may request a copy of these filings at no cost by contacting our Investor Relations department by visiting our Web site at </w:t>
      </w:r>
      <w:r>
        <w:rPr>
          <w:rFonts w:ascii="Arial" w:cs="Arial" w:eastAsia="Arial" w:hAnsi="Arial"/>
          <w:sz w:val="17"/>
          <w:szCs w:val="17"/>
          <w:i w:val="1"/>
          <w:iCs w:val="1"/>
          <w:color w:val="auto"/>
        </w:rPr>
        <w:t>www.micron.com</w:t>
      </w:r>
      <w:r>
        <w:rPr>
          <w:rFonts w:ascii="Arial" w:cs="Arial" w:eastAsia="Arial" w:hAnsi="Arial"/>
          <w:sz w:val="17"/>
          <w:szCs w:val="17"/>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126365</wp:posOffset>
            </wp:positionV>
            <wp:extent cx="2468880" cy="685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auto"/>
        </w:rPr>
        <w:t>MICRON TECHNOLOGY, INC.</w:t>
      </w:r>
    </w:p>
    <w:p>
      <w:pPr>
        <w:spacing w:after="0" w:line="21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72" w:lineRule="exact"/>
        <w:rPr>
          <w:sz w:val="20"/>
          <w:szCs w:val="20"/>
          <w:color w:val="auto"/>
        </w:rPr>
      </w:pPr>
    </w:p>
    <w:p>
      <w:pPr>
        <w:ind w:left="1260" w:right="619"/>
        <w:spacing w:after="0" w:line="278"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96"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60" w:right="559"/>
        <w:spacing w:after="0" w:line="265" w:lineRule="auto"/>
        <w:rPr>
          <w:sz w:val="20"/>
          <w:szCs w:val="20"/>
          <w:color w:val="auto"/>
        </w:rPr>
      </w:pPr>
      <w:r>
        <w:rPr>
          <w:rFonts w:ascii="Arial" w:cs="Arial" w:eastAsia="Arial" w:hAnsi="Arial"/>
          <w:sz w:val="18"/>
          <w:szCs w:val="18"/>
          <w:b w:val="1"/>
          <w:bCs w:val="1"/>
          <w:color w:val="auto"/>
        </w:rPr>
        <w:t xml:space="preserve">INVESTING IN OUR SECURITIES INVOLVES RISKS. SEE “RISK FACTORS” ON PAGE </w:t>
      </w:r>
      <w:r>
        <w:rPr>
          <w:rFonts w:ascii="Arial" w:cs="Arial" w:eastAsia="Arial" w:hAnsi="Arial"/>
          <w:sz w:val="18"/>
          <w:szCs w:val="18"/>
          <w:b w:val="1"/>
          <w:bCs w:val="1"/>
          <w:u w:val="single" w:color="auto"/>
          <w:color w:val="0000EE"/>
        </w:rPr>
        <w:t>5</w:t>
      </w:r>
      <w:r>
        <w:rPr>
          <w:rFonts w:ascii="Arial" w:cs="Arial" w:eastAsia="Arial" w:hAnsi="Arial"/>
          <w:sz w:val="18"/>
          <w:szCs w:val="18"/>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60" w:right="659"/>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0" w:lineRule="exact"/>
        <w:rPr>
          <w:sz w:val="20"/>
          <w:szCs w:val="20"/>
          <w:color w:val="auto"/>
        </w:rPr>
      </w:pPr>
    </w:p>
    <w:p>
      <w:pPr>
        <w:ind w:left="1260" w:right="619"/>
        <w:spacing w:after="0" w:line="27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4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1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06"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1" w:lineRule="auto"/>
        <w:rPr>
          <w:sz w:val="20"/>
          <w:szCs w:val="20"/>
          <w:color w:val="auto"/>
        </w:rPr>
      </w:pPr>
      <w:r>
        <w:rPr>
          <w:rFonts w:ascii="Arial" w:cs="Arial" w:eastAsia="Arial" w:hAnsi="Arial"/>
          <w:sz w:val="40"/>
          <w:szCs w:val="40"/>
          <w:b w:val="1"/>
          <w:bCs w:val="1"/>
          <w:color w:val="auto"/>
        </w:rPr>
        <w:t>INFORMATION;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r>
        <w:rPr>
          <w:rFonts w:ascii="Times New Roman" w:cs="Times New Roman" w:eastAsia="Times New Roman" w:hAnsi="Times New Roman"/>
          <w:sz w:val="40"/>
          <w:szCs w:val="40"/>
          <w:color w:val="auto"/>
        </w:rPr>
        <w: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Available Information</w:t>
      </w:r>
    </w:p>
    <w:p>
      <w:pPr>
        <w:spacing w:after="0" w:line="162"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90"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8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CB7"/>
        </w:rPr>
        <w:t>Incorporation by Reference</w:t>
      </w:r>
    </w:p>
    <w:p>
      <w:pPr>
        <w:spacing w:after="0" w:line="14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15"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15" w:lineRule="exact"/>
        <w:rPr>
          <w:sz w:val="20"/>
          <w:szCs w:val="20"/>
          <w:color w:val="auto"/>
        </w:rPr>
      </w:pPr>
    </w:p>
    <w:p>
      <w:pPr>
        <w:ind w:left="1260" w:right="1279"/>
        <w:spacing w:after="0" w:line="28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45" w:lineRule="exact"/>
        <w:rPr>
          <w:sz w:val="20"/>
          <w:szCs w:val="20"/>
          <w:color w:val="auto"/>
        </w:rPr>
      </w:pPr>
    </w:p>
    <w:p>
      <w:pPr>
        <w:ind w:left="1800" w:right="819" w:hanging="180"/>
        <w:spacing w:after="0" w:line="287" w:lineRule="auto"/>
        <w:tabs>
          <w:tab w:leader="none" w:pos="1800" w:val="left"/>
        </w:tabs>
        <w:numPr>
          <w:ilvl w:val="0"/>
          <w:numId w:val="48"/>
        </w:numPr>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SEC on October 19, 2020.</w:t>
        </w:r>
      </w:hyperlink>
    </w:p>
    <w:p>
      <w:pPr>
        <w:spacing w:after="0" w:line="44"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8"/>
        </w:numPr>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jc w:val="both"/>
        <w:ind w:left="1800" w:right="619" w:hanging="180"/>
        <w:spacing w:after="0" w:line="268" w:lineRule="auto"/>
        <w:tabs>
          <w:tab w:leader="none" w:pos="1800" w:val="left"/>
        </w:tabs>
        <w:numPr>
          <w:ilvl w:val="0"/>
          <w:numId w:val="48"/>
        </w:numPr>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filed amendments and reports updating such description.</w:t>
        </w:r>
      </w:hyperlink>
    </w:p>
    <w:p>
      <w:pPr>
        <w:spacing w:after="0" w:line="103" w:lineRule="exact"/>
        <w:rPr>
          <w:rFonts w:ascii="Arial" w:cs="Arial" w:eastAsia="Arial" w:hAnsi="Arial"/>
          <w:sz w:val="18"/>
          <w:szCs w:val="18"/>
          <w:u w:val="single" w:color="auto"/>
          <w:color w:val="0000EE"/>
        </w:rPr>
      </w:pPr>
    </w:p>
    <w:p>
      <w:pPr>
        <w:ind w:left="1260" w:right="539"/>
        <w:spacing w:after="0" w:line="262"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97" w:right="1440" w:bottom="1440" w:gutter="0" w:footer="0" w:header="0"/>
        </w:sectPr>
      </w:pPr>
    </w:p>
    <w:p>
      <w:pPr>
        <w:spacing w:after="0" w:line="352"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40" w:lineRule="exact"/>
        <w:rPr>
          <w:sz w:val="20"/>
          <w:szCs w:val="20"/>
          <w:color w:val="auto"/>
        </w:rPr>
      </w:pPr>
    </w:p>
    <w:p>
      <w:pPr>
        <w:jc w:val="both"/>
        <w:ind w:left="1260" w:right="1439"/>
        <w:spacing w:after="0" w:line="31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49" w:lineRule="exact"/>
        <w:rPr>
          <w:sz w:val="20"/>
          <w:szCs w:val="20"/>
          <w:color w:val="auto"/>
        </w:rPr>
      </w:pPr>
    </w:p>
    <w:p>
      <w:pPr>
        <w:ind w:left="1260" w:right="1139"/>
        <w:spacing w:after="0" w:line="318"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49"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27" w:lineRule="exact"/>
        <w:rPr>
          <w:sz w:val="20"/>
          <w:szCs w:val="20"/>
          <w:color w:val="auto"/>
        </w:rPr>
      </w:pPr>
    </w:p>
    <w:p>
      <w:pPr>
        <w:jc w:val="both"/>
        <w:ind w:left="1260" w:right="719"/>
        <w:spacing w:after="0" w:line="291"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49" w:lineRule="exact"/>
        <w:rPr>
          <w:sz w:val="20"/>
          <w:szCs w:val="20"/>
          <w:color w:val="auto"/>
        </w:rPr>
      </w:pPr>
    </w:p>
    <w:p>
      <w:pPr>
        <w:ind w:left="1260" w:right="659"/>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90"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49" w:lineRule="exact"/>
        <w:rPr>
          <w:sz w:val="20"/>
          <w:szCs w:val="20"/>
          <w:color w:val="auto"/>
        </w:rPr>
      </w:pPr>
    </w:p>
    <w:p>
      <w:pPr>
        <w:jc w:val="both"/>
        <w:ind w:left="1260" w:right="899"/>
        <w:spacing w:after="0" w:line="282"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23">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-6985</wp:posOffset>
            </wp:positionV>
            <wp:extent cx="61893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43815</wp:posOffset>
            </wp:positionV>
            <wp:extent cx="61893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429260</wp:posOffset>
            </wp:positionV>
            <wp:extent cx="1705610" cy="4718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Micron Technology, Inc.</w:t>
      </w:r>
      <w:r>
        <w:rPr>
          <w:rFonts w:ascii="Times New Roman" w:cs="Times New Roman" w:eastAsia="Times New Roman" w:hAnsi="Times New Roman"/>
          <w:sz w:val="39"/>
          <w:szCs w:val="3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                      6.750% Senior Notes due 2029</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1183640</wp:posOffset>
            </wp:positionV>
            <wp:extent cx="12344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33" w:lineRule="exact"/>
        <w:rPr>
          <w:sz w:val="20"/>
          <w:szCs w:val="20"/>
          <w:color w:val="auto"/>
        </w:rPr>
      </w:pPr>
    </w:p>
    <w:p>
      <w:pPr>
        <w:ind w:left="500"/>
        <w:spacing w:after="0"/>
        <w:tabs>
          <w:tab w:leader="none" w:pos="3720" w:val="left"/>
          <w:tab w:leader="none" w:pos="7540" w:val="left"/>
        </w:tabs>
        <w:rPr>
          <w:sz w:val="20"/>
          <w:szCs w:val="20"/>
          <w:color w:val="auto"/>
        </w:rPr>
      </w:pP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        BofA Securities</w:t>
      </w:r>
      <w:r>
        <w:rPr>
          <w:sz w:val="20"/>
          <w:szCs w:val="20"/>
          <w:color w:val="auto"/>
        </w:rPr>
        <w:tab/>
      </w:r>
      <w:r>
        <w:rPr>
          <w:rFonts w:ascii="Arial" w:cs="Arial" w:eastAsia="Arial" w:hAnsi="Arial"/>
          <w:sz w:val="24"/>
          <w:szCs w:val="24"/>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1153160</wp:posOffset>
            </wp:positionV>
            <wp:extent cx="61893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sectPr>
      <w:pgSz w:w="11900" w:h="16838" w:orient="portrait"/>
      <w:cols w:equalWidth="0" w:num="1">
        <w:col w:w="10240"/>
      </w:cols>
      <w:pgMar w:left="580" w:top="97"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Letter"/>
      <w:start w:val="24"/>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lvl w:ilvl="1">
      <w:lvlJc w:val="left"/>
      <w:lvlText w:val="(%2)"/>
      <w:numFmt w:val="lowerRoman"/>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jpe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jpe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02" Type="http://schemas.openxmlformats.org/officeDocument/2006/relationships/hyperlink" Target="http://www.sec.gov/ix?doc=/Archives/edgar/data/723125/000072312522000048/mu-20220901.htm" TargetMode="External"/><Relationship Id="rId103" Type="http://schemas.openxmlformats.org/officeDocument/2006/relationships/hyperlink" Target="https://www.sec.gov/ix?doc=/Archives/edgar/data/723125/000072312522000072/mu-20221201.htm" TargetMode="External"/><Relationship Id="rId104" Type="http://schemas.openxmlformats.org/officeDocument/2006/relationships/hyperlink" Target="https://www.sec.gov/ix?doc=/Archives/edgar/data/723125/000072312521000065/mu-20210902.htm" TargetMode="External"/><Relationship Id="rId105" Type="http://schemas.openxmlformats.org/officeDocument/2006/relationships/hyperlink" Target="https://www.sec.gov/Archives/edgar/data/723125/000072312521000082/a2021definitiveproxy.htm" TargetMode="External"/><Relationship Id="rId106" Type="http://schemas.openxmlformats.org/officeDocument/2006/relationships/hyperlink" Target="http://www.sec.gov/ix?doc=/Archives/edgar/data/723125/000072312522000051/mu-20221031.htm" TargetMode="External"/><Relationship Id="rId107" Type="http://schemas.openxmlformats.org/officeDocument/2006/relationships/hyperlink" Target="http://www.sec.gov/ix?doc=/Archives/edgar/data/723125/000072312522000053/mu-20221103.htm" TargetMode="External"/><Relationship Id="rId108" Type="http://schemas.openxmlformats.org/officeDocument/2006/relationships/hyperlink" Target="https://www.sec.gov/ix?doc=/Archives/edgar/data/723125/000072312523000004/mu-20230105.htm" TargetMode="External"/><Relationship Id="rId109" Type="http://schemas.openxmlformats.org/officeDocument/2006/relationships/hyperlink" Target="https://www.sec.gov/ix?doc=/Archives/edgar/data/723125/000072312523000007/mu-20230112.htm" TargetMode="External"/><Relationship Id="rId123" Type="http://schemas.openxmlformats.org/officeDocument/2006/relationships/hyperlink" Target="http://www.sec.gov/ix?doc=/Archives/edgar/data/723125/000072312520000082/mu-20200903.htm" TargetMode="External"/><Relationship Id="rId124" Type="http://schemas.openxmlformats.org/officeDocument/2006/relationships/hyperlink" Target="http://www.sec.gov/ix?doc=/Archives/edgar/data/723125/000072312520000074/mu-20200921.htm" TargetMode="External"/><Relationship Id="rId125"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2023-02-06T07:55:52Z</dcterms:created>
  <dcterms:modified xsi:type="dcterms:W3CDTF">2023-02-06T07:55:52Z</dcterms:modified>
</cp:coreProperties>
</file>