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10-Q</w:t>
      </w:r>
    </w:p>
    <w:p>
      <w:pPr>
        <w:spacing w:after="0" w:line="87"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(Mark One)</w:t>
      </w:r>
    </w:p>
    <w:p>
      <w:pPr>
        <w:spacing w:after="0" w:line="46" w:lineRule="exact"/>
        <w:rPr>
          <w:sz w:val="24"/>
          <w:szCs w:val="24"/>
          <w:color w:val="auto"/>
        </w:rPr>
      </w:pPr>
    </w:p>
    <w:p>
      <w:pPr>
        <w:ind w:left="1700" w:hanging="92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February 26, 2026</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7" w:lineRule="exact"/>
        <w:rPr>
          <w:sz w:val="24"/>
          <w:szCs w:val="24"/>
          <w:color w:val="auto"/>
        </w:rPr>
      </w:pPr>
    </w:p>
    <w:p>
      <w:pPr>
        <w:ind w:left="1700" w:hanging="928"/>
        <w:spacing w:after="0"/>
        <w:tabs>
          <w:tab w:leader="none" w:pos="1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Micron Technology,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jc w:val="right"/>
              <w:ind w:right="1820"/>
              <w:spacing w:after="0"/>
              <w:rPr>
                <w:sz w:val="20"/>
                <w:szCs w:val="20"/>
                <w:color w:val="auto"/>
              </w:rPr>
            </w:pPr>
            <w:r>
              <w:rPr>
                <w:rFonts w:ascii="Arial" w:cs="Arial" w:eastAsia="Arial" w:hAnsi="Arial"/>
                <w:sz w:val="16"/>
                <w:szCs w:val="16"/>
                <w:b w:val="1"/>
                <w:bCs w:val="1"/>
                <w:color w:val="auto"/>
              </w:rPr>
              <w:t>75-1618004</w:t>
            </w:r>
          </w:p>
        </w:tc>
      </w:tr>
      <w:tr>
        <w:trPr>
          <w:trHeight w:val="193"/>
        </w:trPr>
        <w:tc>
          <w:tcPr>
            <w:tcW w:w="494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(State or other jurisdiction of incorporation or organization)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tcPr>
          <w:p>
            <w:pPr>
              <w:jc w:val="center"/>
              <w:spacing w:after="0"/>
              <w:rPr>
                <w:sz w:val="20"/>
                <w:szCs w:val="20"/>
                <w:color w:val="auto"/>
              </w:rPr>
            </w:pPr>
            <w:r>
              <w:rPr>
                <w:rFonts w:ascii="Arial" w:cs="Arial" w:eastAsia="Arial" w:hAnsi="Arial"/>
                <w:sz w:val="15"/>
                <w:szCs w:val="15"/>
                <w:color w:val="auto"/>
                <w:w w:val="98"/>
              </w:rPr>
              <w:t>(IRS Employer Identification No.)</w:t>
            </w:r>
          </w:p>
        </w:tc>
      </w:tr>
      <w:tr>
        <w:trPr>
          <w:trHeight w:val="215"/>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8000 S. Federal Way, Boise, Idaho 83716-9632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jc w:val="right"/>
              <w:ind w:right="1700"/>
              <w:spacing w:after="0"/>
              <w:rPr>
                <w:sz w:val="20"/>
                <w:szCs w:val="20"/>
                <w:color w:val="auto"/>
              </w:rPr>
            </w:pPr>
            <w:r>
              <w:rPr>
                <w:rFonts w:ascii="Arial" w:cs="Arial" w:eastAsia="Arial" w:hAnsi="Arial"/>
                <w:sz w:val="16"/>
                <w:szCs w:val="16"/>
                <w:b w:val="1"/>
                <w:bCs w:val="1"/>
                <w:color w:val="auto"/>
              </w:rPr>
              <w:t>(208) 368-4000</w:t>
            </w:r>
          </w:p>
        </w:tc>
      </w:tr>
      <w:tr>
        <w:trPr>
          <w:trHeight w:val="196"/>
        </w:trPr>
        <w:tc>
          <w:tcPr>
            <w:tcW w:w="494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Address of principal executive offices, including zip code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Pr>
          <w:p>
            <w:pPr>
              <w:jc w:val="center"/>
              <w:spacing w:after="0"/>
              <w:rPr>
                <w:sz w:val="20"/>
                <w:szCs w:val="20"/>
                <w:color w:val="auto"/>
              </w:rPr>
            </w:pPr>
            <w:r>
              <w:rPr>
                <w:rFonts w:ascii="Arial" w:cs="Arial" w:eastAsia="Arial" w:hAnsi="Arial"/>
                <w:sz w:val="15"/>
                <w:szCs w:val="15"/>
                <w:color w:val="auto"/>
                <w:w w:val="98"/>
              </w:rPr>
              <w:t>Registrant’s telephone number, including area code</w:t>
            </w:r>
          </w:p>
        </w:tc>
      </w:tr>
      <w:tr>
        <w:trPr>
          <w:trHeight w:val="45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5"/>
        </w:trPr>
        <w:tc>
          <w:tcPr>
            <w:tcW w:w="4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w:t>
            </w:r>
          </w:p>
        </w:tc>
        <w:tc>
          <w:tcPr>
            <w:tcW w:w="4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$0.10 per share</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MU</w:t>
            </w:r>
          </w:p>
        </w:tc>
        <w:tc>
          <w:tcPr>
            <w:tcW w:w="100" w:type="dxa"/>
            <w:vAlign w:val="bottom"/>
          </w:tcPr>
          <w:p>
            <w:pPr>
              <w:spacing w:after="0"/>
              <w:rPr>
                <w:sz w:val="18"/>
                <w:szCs w:val="18"/>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37" w:lineRule="exact"/>
        <w:rPr>
          <w:sz w:val="24"/>
          <w:szCs w:val="24"/>
          <w:color w:val="auto"/>
        </w:rPr>
      </w:pPr>
    </w:p>
    <w:p>
      <w:pPr>
        <w:sectPr>
          <w:pgSz w:w="11900" w:h="16838" w:orient="portrait"/>
          <w:cols w:equalWidth="0" w:num="1">
            <w:col w:w="11240"/>
          </w:cols>
          <w:pgMar w:left="320" w:top="958" w:right="339" w:bottom="1440" w:gutter="0" w:footer="0" w:header="0"/>
        </w:sectPr>
      </w:pPr>
    </w:p>
    <w:p>
      <w:pPr>
        <w:ind w:left="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p>
      <w:pPr>
        <w:spacing w:after="0" w:line="5" w:lineRule="exact"/>
        <w:rPr>
          <w:sz w:val="24"/>
          <w:szCs w:val="24"/>
          <w:color w:val="auto"/>
        </w:rPr>
      </w:pPr>
    </w:p>
    <w:p>
      <w:pPr>
        <w:ind w:left="80" w:right="380"/>
        <w:spacing w:after="0" w:line="236" w:lineRule="auto"/>
        <w:rPr>
          <w:sz w:val="20"/>
          <w:szCs w:val="20"/>
          <w:color w:val="auto"/>
        </w:rPr>
      </w:pPr>
      <w:r>
        <w:rPr>
          <w:rFonts w:ascii="Arial" w:cs="Arial" w:eastAsia="Arial" w:hAnsi="Arial"/>
          <w:sz w:val="16"/>
          <w:szCs w:val="16"/>
          <w:color w:val="auto"/>
        </w:rPr>
        <w:t>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80"/>
        <w:spacing w:after="0" w:line="27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9520" w:space="260"/>
            <w:col w:w="1460"/>
          </w:cols>
          <w:pgMar w:left="320" w:top="958" w:right="339" w:bottom="1440" w:gutter="0" w:footer="0" w:header="0"/>
          <w:type w:val="continuous"/>
        </w:sectPr>
      </w:pPr>
    </w:p>
    <w:p>
      <w:pPr>
        <w:spacing w:after="0" w:line="74" w:lineRule="exact"/>
        <w:rPr>
          <w:sz w:val="24"/>
          <w:szCs w:val="24"/>
          <w:color w:val="auto"/>
        </w:rPr>
      </w:pPr>
    </w:p>
    <w:p>
      <w:pPr>
        <w:ind w:left="80" w:right="120"/>
        <w:spacing w:after="0" w:line="27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80" w:type="dxa"/>
            <w:vAlign w:val="bottom"/>
          </w:tcPr>
          <w:p>
            <w:pPr>
              <w:jc w:val="center"/>
              <w:ind w:right="139"/>
              <w:spacing w:after="0"/>
              <w:rPr>
                <w:sz w:val="20"/>
                <w:szCs w:val="20"/>
                <w:color w:val="auto"/>
              </w:rPr>
            </w:pPr>
            <w:r>
              <w:rPr>
                <w:rFonts w:ascii="Arial" w:cs="Arial" w:eastAsia="Arial" w:hAnsi="Arial"/>
                <w:sz w:val="15"/>
                <w:szCs w:val="15"/>
                <w:color w:val="auto"/>
                <w:w w:val="99"/>
              </w:rPr>
              <w:t>Large Accelerated Filer</w:t>
            </w:r>
          </w:p>
        </w:tc>
        <w:tc>
          <w:tcPr>
            <w:tcW w:w="2000" w:type="dxa"/>
            <w:vAlign w:val="bottom"/>
          </w:tcPr>
          <w:p>
            <w:pPr>
              <w:jc w:val="center"/>
              <w:ind w:right="42"/>
              <w:spacing w:after="0"/>
              <w:rPr>
                <w:sz w:val="20"/>
                <w:szCs w:val="20"/>
                <w:color w:val="auto"/>
              </w:rPr>
            </w:pPr>
            <w:r>
              <w:rPr>
                <w:rFonts w:ascii="Arial" w:cs="Arial" w:eastAsia="Arial" w:hAnsi="Arial"/>
                <w:sz w:val="15"/>
                <w:szCs w:val="15"/>
                <w:color w:val="auto"/>
                <w:w w:val="99"/>
              </w:rPr>
              <w:t>Accelerated Filer</w:t>
            </w:r>
          </w:p>
        </w:tc>
        <w:tc>
          <w:tcPr>
            <w:tcW w:w="2260" w:type="dxa"/>
            <w:vAlign w:val="bottom"/>
          </w:tcPr>
          <w:p>
            <w:pPr>
              <w:jc w:val="center"/>
              <w:ind w:left="102"/>
              <w:spacing w:after="0"/>
              <w:rPr>
                <w:sz w:val="20"/>
                <w:szCs w:val="20"/>
                <w:color w:val="auto"/>
              </w:rPr>
            </w:pPr>
            <w:r>
              <w:rPr>
                <w:rFonts w:ascii="Arial" w:cs="Arial" w:eastAsia="Arial" w:hAnsi="Arial"/>
                <w:sz w:val="15"/>
                <w:szCs w:val="15"/>
                <w:color w:val="auto"/>
                <w:w w:val="99"/>
              </w:rPr>
              <w:t>Non-Accelerated Filer</w:t>
            </w:r>
          </w:p>
        </w:tc>
        <w:tc>
          <w:tcPr>
            <w:tcW w:w="2460" w:type="dxa"/>
            <w:vAlign w:val="bottom"/>
          </w:tcPr>
          <w:p>
            <w:pPr>
              <w:jc w:val="center"/>
              <w:ind w:left="2"/>
              <w:spacing w:after="0"/>
              <w:rPr>
                <w:sz w:val="20"/>
                <w:szCs w:val="20"/>
                <w:color w:val="auto"/>
              </w:rPr>
            </w:pPr>
            <w:r>
              <w:rPr>
                <w:rFonts w:ascii="Arial" w:cs="Arial" w:eastAsia="Arial" w:hAnsi="Arial"/>
                <w:sz w:val="15"/>
                <w:szCs w:val="15"/>
                <w:color w:val="auto"/>
                <w:w w:val="98"/>
              </w:rPr>
              <w:t>Smaller Reporting Company</w:t>
            </w:r>
          </w:p>
        </w:tc>
        <w:tc>
          <w:tcPr>
            <w:tcW w:w="2120" w:type="dxa"/>
            <w:vAlign w:val="bottom"/>
            <w:gridSpan w:val="2"/>
          </w:tcPr>
          <w:p>
            <w:pPr>
              <w:jc w:val="center"/>
              <w:ind w:left="100"/>
              <w:spacing w:after="0"/>
              <w:rPr>
                <w:sz w:val="20"/>
                <w:szCs w:val="20"/>
                <w:color w:val="auto"/>
              </w:rPr>
            </w:pPr>
            <w:r>
              <w:rPr>
                <w:rFonts w:ascii="Arial" w:cs="Arial" w:eastAsia="Arial" w:hAnsi="Arial"/>
                <w:sz w:val="15"/>
                <w:szCs w:val="15"/>
                <w:color w:val="auto"/>
                <w:w w:val="98"/>
              </w:rPr>
              <w:t>Emerging Growth Company</w:t>
            </w:r>
          </w:p>
        </w:tc>
        <w:tc>
          <w:tcPr>
            <w:tcW w:w="0" w:type="dxa"/>
            <w:vAlign w:val="bottom"/>
          </w:tcPr>
          <w:p>
            <w:pPr>
              <w:spacing w:after="0"/>
              <w:rPr>
                <w:sz w:val="1"/>
                <w:szCs w:val="1"/>
                <w:color w:val="auto"/>
              </w:rPr>
            </w:pPr>
          </w:p>
        </w:tc>
      </w:tr>
      <w:tr>
        <w:trPr>
          <w:trHeight w:val="279"/>
        </w:trPr>
        <w:tc>
          <w:tcPr>
            <w:tcW w:w="2080" w:type="dxa"/>
            <w:vAlign w:val="bottom"/>
          </w:tcPr>
          <w:p>
            <w:pPr>
              <w:jc w:val="center"/>
              <w:ind w:right="139"/>
              <w:spacing w:after="0" w:line="161" w:lineRule="exact"/>
              <w:rPr>
                <w:sz w:val="20"/>
                <w:szCs w:val="20"/>
                <w:color w:val="auto"/>
              </w:rPr>
            </w:pPr>
            <w:r>
              <w:rPr>
                <w:rFonts w:ascii="MS PGothic" w:cs="MS PGothic" w:eastAsia="MS PGothic" w:hAnsi="MS PGothic"/>
                <w:sz w:val="16"/>
                <w:szCs w:val="16"/>
                <w:color w:val="auto"/>
                <w:w w:val="87"/>
              </w:rPr>
              <w:t>☒</w:t>
            </w:r>
          </w:p>
        </w:tc>
        <w:tc>
          <w:tcPr>
            <w:tcW w:w="2000" w:type="dxa"/>
            <w:vAlign w:val="bottom"/>
          </w:tcPr>
          <w:p>
            <w:pPr>
              <w:jc w:val="center"/>
              <w:ind w:right="42"/>
              <w:spacing w:after="0" w:line="161" w:lineRule="exact"/>
              <w:rPr>
                <w:sz w:val="20"/>
                <w:szCs w:val="20"/>
                <w:color w:val="auto"/>
              </w:rPr>
            </w:pPr>
            <w:r>
              <w:rPr>
                <w:rFonts w:ascii="MS PGothic" w:cs="MS PGothic" w:eastAsia="MS PGothic" w:hAnsi="MS PGothic"/>
                <w:sz w:val="16"/>
                <w:szCs w:val="16"/>
                <w:color w:val="auto"/>
                <w:w w:val="99"/>
              </w:rPr>
              <w:t>☐</w:t>
            </w:r>
          </w:p>
        </w:tc>
        <w:tc>
          <w:tcPr>
            <w:tcW w:w="2260" w:type="dxa"/>
            <w:vAlign w:val="bottom"/>
          </w:tcPr>
          <w:p>
            <w:pPr>
              <w:jc w:val="center"/>
              <w:ind w:left="102"/>
              <w:spacing w:after="0" w:line="161" w:lineRule="exact"/>
              <w:rPr>
                <w:sz w:val="20"/>
                <w:szCs w:val="20"/>
                <w:color w:val="auto"/>
              </w:rPr>
            </w:pPr>
            <w:r>
              <w:rPr>
                <w:rFonts w:ascii="MS PGothic" w:cs="MS PGothic" w:eastAsia="MS PGothic" w:hAnsi="MS PGothic"/>
                <w:sz w:val="16"/>
                <w:szCs w:val="16"/>
                <w:color w:val="auto"/>
                <w:w w:val="99"/>
              </w:rPr>
              <w:t>☐</w:t>
            </w:r>
          </w:p>
        </w:tc>
        <w:tc>
          <w:tcPr>
            <w:tcW w:w="2460" w:type="dxa"/>
            <w:vAlign w:val="bottom"/>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680" w:type="dxa"/>
            <w:vAlign w:val="bottom"/>
          </w:tcPr>
          <w:p>
            <w:pPr>
              <w:jc w:val="center"/>
              <w:ind w:left="540"/>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48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0" w:type="dxa"/>
            <w:vAlign w:val="bottom"/>
            <w:gridSpan w:val="4"/>
          </w:tcPr>
          <w:p>
            <w:pPr>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1680" w:type="dxa"/>
            <w:vAlign w:val="bottom"/>
          </w:tcPr>
          <w:p>
            <w:pPr>
              <w:spacing w:after="0"/>
              <w:rPr>
                <w:sz w:val="18"/>
                <w:szCs w:val="18"/>
                <w:color w:val="auto"/>
              </w:rPr>
            </w:pPr>
          </w:p>
        </w:tc>
        <w:tc>
          <w:tcPr>
            <w:tcW w:w="440" w:type="dxa"/>
            <w:vAlign w:val="bottom"/>
            <w:vMerge w:val="restart"/>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6"/>
        </w:trPr>
        <w:tc>
          <w:tcPr>
            <w:tcW w:w="8800" w:type="dxa"/>
            <w:vAlign w:val="bottom"/>
            <w:gridSpan w:val="4"/>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680" w:type="dxa"/>
            <w:vAlign w:val="bottom"/>
            <w:vMerge w:val="restart"/>
          </w:tcPr>
          <w:p>
            <w:pPr>
              <w:ind w:left="9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440" w:type="dxa"/>
            <w:vAlign w:val="bottom"/>
            <w:vMerge w:val="restart"/>
          </w:tcPr>
          <w:p>
            <w:pPr>
              <w:jc w:val="right"/>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March 11, 2026 was 1,127,734,051.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572135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Introduction</w:t>
            </w:r>
          </w:p>
        </w:tc>
        <w:tc>
          <w:tcPr>
            <w:tcW w:w="8320" w:type="dxa"/>
            <w:vAlign w:val="bottom"/>
            <w:shd w:val="clear" w:color="auto" w:fill="D1D2D4"/>
          </w:tcPr>
          <w:p>
            <w:pPr>
              <w:spacing w:after="0"/>
              <w:rPr>
                <w:sz w:val="18"/>
                <w:szCs w:val="18"/>
                <w:color w:val="auto"/>
              </w:rPr>
            </w:pP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52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Financial Information</w:t>
            </w:r>
          </w:p>
        </w:tc>
        <w:tc>
          <w:tcPr>
            <w:tcW w:w="1720" w:type="dxa"/>
            <w:vAlign w:val="bottom"/>
          </w:tcPr>
          <w:p>
            <w:pPr>
              <w:spacing w:after="0"/>
              <w:rPr>
                <w:sz w:val="18"/>
                <w:szCs w:val="18"/>
                <w:color w:val="auto"/>
              </w:rPr>
            </w:pP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1.</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Financial Statements: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Statements of Operations</w:t>
            </w:r>
          </w:p>
        </w:tc>
        <w:tc>
          <w:tcPr>
            <w:tcW w:w="1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Consolidated Statements of Comprehensive Income (Loss)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Balance Sheets</w:t>
            </w:r>
          </w:p>
        </w:tc>
        <w:tc>
          <w:tcPr>
            <w:tcW w:w="1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Consolidated Statements of Changes in Equity</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Statements of Cash Flows</w:t>
            </w: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Notes to Consolidated Financial Statements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2.</w:t>
            </w:r>
          </w:p>
        </w:tc>
        <w:tc>
          <w:tcPr>
            <w:tcW w:w="832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Results of Operations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Liquidity and Capital Resources</w:t>
            </w:r>
          </w:p>
        </w:tc>
        <w:tc>
          <w:tcPr>
            <w:tcW w:w="17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3.</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4.</w:t>
            </w:r>
          </w:p>
        </w:tc>
        <w:tc>
          <w:tcPr>
            <w:tcW w:w="832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952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PART II. Other Information</w:t>
            </w:r>
          </w:p>
        </w:tc>
        <w:tc>
          <w:tcPr>
            <w:tcW w:w="1720" w:type="dxa"/>
            <w:vAlign w:val="bottom"/>
            <w:shd w:val="clear" w:color="auto" w:fill="D1D2D4"/>
          </w:tcPr>
          <w:p>
            <w:pPr>
              <w:spacing w:after="0"/>
              <w:rPr>
                <w:sz w:val="18"/>
                <w:szCs w:val="18"/>
                <w:color w:val="auto"/>
              </w:rPr>
            </w:pP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1.</w:t>
            </w:r>
          </w:p>
        </w:tc>
        <w:tc>
          <w:tcPr>
            <w:tcW w:w="832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17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1A.</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Risk Factors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2.</w:t>
            </w:r>
          </w:p>
        </w:tc>
        <w:tc>
          <w:tcPr>
            <w:tcW w:w="832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7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5.</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Other Information</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6.</w:t>
            </w:r>
          </w:p>
        </w:tc>
        <w:tc>
          <w:tcPr>
            <w:tcW w:w="8320" w:type="dxa"/>
            <w:vAlign w:val="bottom"/>
          </w:tcPr>
          <w:p>
            <w:pPr>
              <w:ind w:left="320"/>
              <w:spacing w:after="0"/>
              <w:rPr>
                <w:sz w:val="20"/>
                <w:szCs w:val="20"/>
                <w:color w:val="auto"/>
              </w:rPr>
            </w:pPr>
            <w:r>
              <w:rPr>
                <w:rFonts w:ascii="Arial" w:cs="Arial" w:eastAsia="Arial" w:hAnsi="Arial"/>
                <w:sz w:val="16"/>
                <w:szCs w:val="16"/>
                <w:color w:val="auto"/>
              </w:rPr>
              <w:t>Exhibits</w:t>
            </w: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1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Signatures</w:t>
            </w:r>
          </w:p>
        </w:tc>
        <w:tc>
          <w:tcPr>
            <w:tcW w:w="8320" w:type="dxa"/>
            <w:vAlign w:val="bottom"/>
            <w:shd w:val="clear" w:color="auto" w:fill="D1D2D4"/>
          </w:tcPr>
          <w:p>
            <w:pPr>
              <w:spacing w:after="0"/>
              <w:rPr>
                <w:sz w:val="18"/>
                <w:szCs w:val="18"/>
                <w:color w:val="auto"/>
              </w:rPr>
            </w:pP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Definitions of Commonly Used Terms</w:t>
      </w:r>
    </w:p>
    <w:p>
      <w:pPr>
        <w:spacing w:after="0" w:line="24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As used herein, “we,” “our,” “us,” and similar terms include Micron Technology, Inc. and its consolidated subsidiaries, unless the context indicates otherwise. All period references are to our fiscal periods unless otherwise indicated. Abbreviations, acronyms, or terms that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6"/>
                <w:szCs w:val="16"/>
                <w:b w:val="1"/>
                <w:bCs w:val="1"/>
                <w:color w:val="auto"/>
              </w:rPr>
              <w:t>Term</w:t>
            </w:r>
          </w:p>
        </w:tc>
        <w:tc>
          <w:tcPr>
            <w:tcW w:w="760" w:type="dxa"/>
            <w:vAlign w:val="bottom"/>
          </w:tcPr>
          <w:p>
            <w:pPr>
              <w:spacing w:after="0"/>
              <w:rPr>
                <w:sz w:val="18"/>
                <w:szCs w:val="18"/>
                <w:color w:val="auto"/>
              </w:rPr>
            </w:pPr>
          </w:p>
        </w:tc>
        <w:tc>
          <w:tcPr>
            <w:tcW w:w="3260" w:type="dxa"/>
            <w:vAlign w:val="bottom"/>
            <w:gridSpan w:val="2"/>
          </w:tcPr>
          <w:p>
            <w:pPr>
              <w:ind w:left="900"/>
              <w:spacing w:after="0"/>
              <w:rPr>
                <w:sz w:val="20"/>
                <w:szCs w:val="20"/>
                <w:color w:val="auto"/>
              </w:rPr>
            </w:pPr>
            <w:r>
              <w:rPr>
                <w:rFonts w:ascii="Arial" w:cs="Arial" w:eastAsia="Arial" w:hAnsi="Arial"/>
                <w:sz w:val="16"/>
                <w:szCs w:val="16"/>
                <w:b w:val="1"/>
                <w:bCs w:val="1"/>
                <w:color w:val="auto"/>
              </w:rPr>
              <w:t>Definition</w:t>
            </w:r>
          </w:p>
        </w:tc>
        <w:tc>
          <w:tcPr>
            <w:tcW w:w="150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120" w:type="dxa"/>
            <w:vAlign w:val="bottom"/>
          </w:tcPr>
          <w:p>
            <w:pPr>
              <w:ind w:left="1820"/>
              <w:spacing w:after="0"/>
              <w:rPr>
                <w:sz w:val="20"/>
                <w:szCs w:val="20"/>
                <w:color w:val="auto"/>
              </w:rPr>
            </w:pPr>
            <w:r>
              <w:rPr>
                <w:rFonts w:ascii="Arial" w:cs="Arial" w:eastAsia="Arial" w:hAnsi="Arial"/>
                <w:sz w:val="16"/>
                <w:szCs w:val="16"/>
                <w:b w:val="1"/>
                <w:bCs w:val="1"/>
                <w:color w:val="auto"/>
              </w:rPr>
              <w:t>Definition</w:t>
            </w:r>
          </w:p>
        </w:tc>
      </w:tr>
      <w:tr>
        <w:trPr>
          <w:trHeight w:val="29"/>
        </w:trPr>
        <w:tc>
          <w:tcPr>
            <w:tcW w:w="4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120" w:type="dxa"/>
            <w:vAlign w:val="bottom"/>
            <w:tcBorders>
              <w:top w:val="single" w:sz="8" w:color="auto"/>
            </w:tcBorders>
          </w:tcPr>
          <w:p>
            <w:pPr>
              <w:spacing w:after="0"/>
              <w:rPr>
                <w:sz w:val="2"/>
                <w:szCs w:val="2"/>
                <w:color w:val="auto"/>
              </w:rPr>
            </w:pPr>
          </w:p>
        </w:tc>
      </w:tr>
      <w:tr>
        <w:trPr>
          <w:trHeight w:val="161"/>
        </w:trPr>
        <w:tc>
          <w:tcPr>
            <w:tcW w:w="400" w:type="dxa"/>
            <w:vAlign w:val="bottom"/>
            <w:shd w:val="clear" w:color="auto" w:fill="DBDBDB"/>
          </w:tcPr>
          <w:p>
            <w:pPr>
              <w:jc w:val="right"/>
              <w:spacing w:after="0" w:line="161" w:lineRule="exact"/>
              <w:rPr>
                <w:sz w:val="20"/>
                <w:szCs w:val="20"/>
                <w:color w:val="auto"/>
              </w:rPr>
            </w:pPr>
            <w:r>
              <w:rPr>
                <w:rFonts w:ascii="Arial" w:cs="Arial" w:eastAsia="Arial" w:hAnsi="Arial"/>
                <w:sz w:val="16"/>
                <w:szCs w:val="16"/>
                <w:color w:val="auto"/>
              </w:rPr>
              <w:t>2028</w:t>
            </w:r>
          </w:p>
        </w:tc>
        <w:tc>
          <w:tcPr>
            <w:tcW w:w="1200" w:type="dxa"/>
            <w:vAlign w:val="bottom"/>
            <w:shd w:val="clear" w:color="auto" w:fill="DBDBDB"/>
          </w:tcPr>
          <w:p>
            <w:pPr>
              <w:ind w:left="20"/>
              <w:spacing w:after="0" w:line="161" w:lineRule="exact"/>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line="161" w:lineRule="exact"/>
              <w:rPr>
                <w:sz w:val="20"/>
                <w:szCs w:val="20"/>
                <w:color w:val="auto"/>
              </w:rPr>
            </w:pPr>
            <w:r>
              <w:rPr>
                <w:rFonts w:ascii="Arial" w:cs="Arial" w:eastAsia="Arial" w:hAnsi="Arial"/>
                <w:sz w:val="16"/>
                <w:szCs w:val="16"/>
                <w:color w:val="auto"/>
              </w:rPr>
              <w:t>5.375%</w:t>
            </w:r>
          </w:p>
        </w:tc>
        <w:tc>
          <w:tcPr>
            <w:tcW w:w="3260" w:type="dxa"/>
            <w:vAlign w:val="bottom"/>
            <w:gridSpan w:val="2"/>
            <w:shd w:val="clear" w:color="auto" w:fill="DBDBDB"/>
          </w:tcPr>
          <w:p>
            <w:pPr>
              <w:ind w:left="20"/>
              <w:spacing w:after="0" w:line="161" w:lineRule="exact"/>
              <w:rPr>
                <w:sz w:val="20"/>
                <w:szCs w:val="20"/>
                <w:color w:val="auto"/>
              </w:rPr>
            </w:pPr>
            <w:r>
              <w:rPr>
                <w:rFonts w:ascii="Arial" w:cs="Arial" w:eastAsia="Arial" w:hAnsi="Arial"/>
                <w:sz w:val="16"/>
                <w:szCs w:val="16"/>
                <w:color w:val="auto"/>
              </w:rPr>
              <w:t>Senior Notes due April 2028, repaid</w:t>
            </w:r>
          </w:p>
        </w:tc>
        <w:tc>
          <w:tcPr>
            <w:tcW w:w="1500" w:type="dxa"/>
            <w:vAlign w:val="bottom"/>
            <w:shd w:val="clear" w:color="auto" w:fill="DBDBDB"/>
          </w:tcPr>
          <w:p>
            <w:pPr>
              <w:spacing w:after="0" w:line="161" w:lineRule="exact"/>
              <w:rPr>
                <w:sz w:val="20"/>
                <w:szCs w:val="20"/>
                <w:color w:val="auto"/>
              </w:rPr>
            </w:pPr>
            <w:r>
              <w:rPr>
                <w:rFonts w:ascii="Arial" w:cs="Arial" w:eastAsia="Arial" w:hAnsi="Arial"/>
                <w:sz w:val="16"/>
                <w:szCs w:val="16"/>
                <w:color w:val="auto"/>
              </w:rPr>
              <w:t>AI</w:t>
            </w:r>
          </w:p>
        </w:tc>
        <w:tc>
          <w:tcPr>
            <w:tcW w:w="4120" w:type="dxa"/>
            <w:vAlign w:val="bottom"/>
            <w:shd w:val="clear" w:color="auto" w:fill="DBDBDB"/>
          </w:tcPr>
          <w:p>
            <w:pPr>
              <w:ind w:left="300"/>
              <w:spacing w:after="0" w:line="161" w:lineRule="exact"/>
              <w:rPr>
                <w:sz w:val="20"/>
                <w:szCs w:val="20"/>
                <w:color w:val="auto"/>
              </w:rPr>
            </w:pPr>
            <w:r>
              <w:rPr>
                <w:rFonts w:ascii="Arial" w:cs="Arial" w:eastAsia="Arial" w:hAnsi="Arial"/>
                <w:sz w:val="16"/>
                <w:szCs w:val="16"/>
                <w:color w:val="auto"/>
              </w:rPr>
              <w:t>Artificial intelligence</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spacing w:after="0"/>
              <w:rPr>
                <w:sz w:val="19"/>
                <w:szCs w:val="19"/>
                <w:color w:val="auto"/>
              </w:rPr>
            </w:pPr>
          </w:p>
        </w:tc>
      </w:tr>
      <w:tr>
        <w:trPr>
          <w:trHeight w:val="161"/>
        </w:trPr>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2029</w:t>
            </w:r>
          </w:p>
        </w:tc>
        <w:tc>
          <w:tcPr>
            <w:tcW w:w="1200" w:type="dxa"/>
            <w:vAlign w:val="bottom"/>
          </w:tcPr>
          <w:p>
            <w:pPr>
              <w:ind w:left="20"/>
              <w:spacing w:after="0" w:line="161" w:lineRule="exact"/>
              <w:rPr>
                <w:sz w:val="20"/>
                <w:szCs w:val="20"/>
                <w:color w:val="auto"/>
              </w:rPr>
            </w:pPr>
            <w:r>
              <w:rPr>
                <w:rFonts w:ascii="Arial" w:cs="Arial" w:eastAsia="Arial" w:hAnsi="Arial"/>
                <w:sz w:val="16"/>
                <w:szCs w:val="16"/>
                <w:color w:val="auto"/>
              </w:rPr>
              <w:t>A Notes</w:t>
            </w:r>
          </w:p>
        </w:tc>
        <w:tc>
          <w:tcPr>
            <w:tcW w:w="760" w:type="dxa"/>
            <w:vAlign w:val="bottom"/>
          </w:tcPr>
          <w:p>
            <w:pPr>
              <w:ind w:left="180"/>
              <w:spacing w:after="0" w:line="161" w:lineRule="exact"/>
              <w:rPr>
                <w:sz w:val="20"/>
                <w:szCs w:val="20"/>
                <w:color w:val="auto"/>
              </w:rPr>
            </w:pPr>
            <w:r>
              <w:rPr>
                <w:rFonts w:ascii="Arial" w:cs="Arial" w:eastAsia="Arial" w:hAnsi="Arial"/>
                <w:sz w:val="16"/>
                <w:szCs w:val="16"/>
                <w:color w:val="auto"/>
              </w:rPr>
              <w:t>5.327%</w:t>
            </w:r>
          </w:p>
        </w:tc>
        <w:tc>
          <w:tcPr>
            <w:tcW w:w="32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Senior Notes due February 2029, repaid</w:t>
            </w:r>
          </w:p>
        </w:tc>
        <w:tc>
          <w:tcPr>
            <w:tcW w:w="1500" w:type="dxa"/>
            <w:vAlign w:val="bottom"/>
          </w:tcPr>
          <w:p>
            <w:pPr>
              <w:spacing w:after="0" w:line="161" w:lineRule="exact"/>
              <w:rPr>
                <w:sz w:val="20"/>
                <w:szCs w:val="20"/>
                <w:color w:val="auto"/>
              </w:rPr>
            </w:pPr>
            <w:r>
              <w:rPr>
                <w:rFonts w:ascii="Arial" w:cs="Arial" w:eastAsia="Arial" w:hAnsi="Arial"/>
                <w:sz w:val="16"/>
                <w:szCs w:val="16"/>
                <w:color w:val="auto"/>
              </w:rPr>
              <w:t>CAC</w:t>
            </w:r>
          </w:p>
        </w:tc>
        <w:tc>
          <w:tcPr>
            <w:tcW w:w="4120" w:type="dxa"/>
            <w:vAlign w:val="bottom"/>
          </w:tcPr>
          <w:p>
            <w:pPr>
              <w:ind w:left="300"/>
              <w:spacing w:after="0" w:line="161" w:lineRule="exact"/>
              <w:rPr>
                <w:sz w:val="20"/>
                <w:szCs w:val="20"/>
                <w:color w:val="auto"/>
              </w:rPr>
            </w:pPr>
            <w:r>
              <w:rPr>
                <w:rFonts w:ascii="Arial" w:cs="Arial" w:eastAsia="Arial" w:hAnsi="Arial"/>
                <w:sz w:val="16"/>
                <w:szCs w:val="16"/>
                <w:color w:val="auto"/>
              </w:rPr>
              <w:t>China’s Cyberspace Administration</w:t>
            </w:r>
          </w:p>
        </w:tc>
      </w:tr>
      <w:tr>
        <w:trPr>
          <w:trHeight w:val="220"/>
        </w:trPr>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20" w:type="dxa"/>
            <w:vAlign w:val="bottom"/>
            <w:gridSpan w:val="3"/>
          </w:tcPr>
          <w:p>
            <w:pPr>
              <w:ind w:left="180"/>
              <w:spacing w:after="0"/>
              <w:rPr>
                <w:sz w:val="20"/>
                <w:szCs w:val="20"/>
                <w:color w:val="auto"/>
              </w:rPr>
            </w:pPr>
            <w:r>
              <w:rPr>
                <w:rFonts w:ascii="Arial" w:cs="Arial" w:eastAsia="Arial" w:hAnsi="Arial"/>
                <w:sz w:val="16"/>
                <w:szCs w:val="16"/>
                <w:color w:val="auto"/>
              </w:rPr>
              <w:t>February 2026</w:t>
            </w:r>
          </w:p>
        </w:tc>
        <w:tc>
          <w:tcPr>
            <w:tcW w:w="1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3"/>
        </w:trPr>
        <w:tc>
          <w:tcPr>
            <w:tcW w:w="400" w:type="dxa"/>
            <w:vAlign w:val="bottom"/>
            <w:shd w:val="clear" w:color="auto" w:fill="DBDBDB"/>
          </w:tcPr>
          <w:p>
            <w:pPr>
              <w:jc w:val="right"/>
              <w:spacing w:after="0" w:line="164" w:lineRule="exact"/>
              <w:rPr>
                <w:sz w:val="20"/>
                <w:szCs w:val="20"/>
                <w:color w:val="auto"/>
              </w:rPr>
            </w:pPr>
            <w:r>
              <w:rPr>
                <w:rFonts w:ascii="Arial" w:cs="Arial" w:eastAsia="Arial" w:hAnsi="Arial"/>
                <w:sz w:val="16"/>
                <w:szCs w:val="16"/>
                <w:color w:val="auto"/>
              </w:rPr>
              <w:t>2029</w:t>
            </w:r>
          </w:p>
        </w:tc>
        <w:tc>
          <w:tcPr>
            <w:tcW w:w="1200" w:type="dxa"/>
            <w:vAlign w:val="bottom"/>
            <w:shd w:val="clear" w:color="auto" w:fill="DBDBDB"/>
          </w:tcPr>
          <w:p>
            <w:pPr>
              <w:ind w:left="20"/>
              <w:spacing w:after="0" w:line="164" w:lineRule="exact"/>
              <w:rPr>
                <w:sz w:val="20"/>
                <w:szCs w:val="20"/>
                <w:color w:val="auto"/>
              </w:rPr>
            </w:pPr>
            <w:r>
              <w:rPr>
                <w:rFonts w:ascii="Arial" w:cs="Arial" w:eastAsia="Arial" w:hAnsi="Arial"/>
                <w:sz w:val="16"/>
                <w:szCs w:val="16"/>
                <w:color w:val="auto"/>
              </w:rPr>
              <w:t>B Notes</w:t>
            </w:r>
          </w:p>
        </w:tc>
        <w:tc>
          <w:tcPr>
            <w:tcW w:w="760" w:type="dxa"/>
            <w:vAlign w:val="bottom"/>
            <w:shd w:val="clear" w:color="auto" w:fill="DBDBDB"/>
          </w:tcPr>
          <w:p>
            <w:pPr>
              <w:ind w:left="180"/>
              <w:spacing w:after="0" w:line="164" w:lineRule="exact"/>
              <w:rPr>
                <w:sz w:val="20"/>
                <w:szCs w:val="20"/>
                <w:color w:val="auto"/>
              </w:rPr>
            </w:pPr>
            <w:r>
              <w:rPr>
                <w:rFonts w:ascii="Arial" w:cs="Arial" w:eastAsia="Arial" w:hAnsi="Arial"/>
                <w:sz w:val="16"/>
                <w:szCs w:val="16"/>
                <w:color w:val="auto"/>
              </w:rPr>
              <w:t>6.750%</w:t>
            </w:r>
          </w:p>
        </w:tc>
        <w:tc>
          <w:tcPr>
            <w:tcW w:w="3260" w:type="dxa"/>
            <w:vAlign w:val="bottom"/>
            <w:gridSpan w:val="2"/>
            <w:shd w:val="clear" w:color="auto" w:fill="DBDBDB"/>
          </w:tcPr>
          <w:p>
            <w:pPr>
              <w:ind w:left="20"/>
              <w:spacing w:after="0" w:line="164" w:lineRule="exact"/>
              <w:rPr>
                <w:sz w:val="20"/>
                <w:szCs w:val="20"/>
                <w:color w:val="auto"/>
              </w:rPr>
            </w:pPr>
            <w:r>
              <w:rPr>
                <w:rFonts w:ascii="Arial" w:cs="Arial" w:eastAsia="Arial" w:hAnsi="Arial"/>
                <w:sz w:val="16"/>
                <w:szCs w:val="16"/>
                <w:color w:val="auto"/>
              </w:rPr>
              <w:t>Senior Notes due November 2029, repaid</w:t>
            </w:r>
          </w:p>
        </w:tc>
        <w:tc>
          <w:tcPr>
            <w:tcW w:w="1500" w:type="dxa"/>
            <w:vAlign w:val="bottom"/>
            <w:shd w:val="clear" w:color="auto" w:fill="DBDBDB"/>
          </w:tcPr>
          <w:p>
            <w:pPr>
              <w:spacing w:after="0" w:line="164" w:lineRule="exact"/>
              <w:rPr>
                <w:sz w:val="20"/>
                <w:szCs w:val="20"/>
                <w:color w:val="auto"/>
              </w:rPr>
            </w:pPr>
            <w:r>
              <w:rPr>
                <w:rFonts w:ascii="Arial" w:cs="Arial" w:eastAsia="Arial" w:hAnsi="Arial"/>
                <w:sz w:val="16"/>
                <w:szCs w:val="16"/>
                <w:color w:val="auto"/>
              </w:rPr>
              <w:t>CHIPS Act</w:t>
            </w:r>
          </w:p>
        </w:tc>
        <w:tc>
          <w:tcPr>
            <w:tcW w:w="4120" w:type="dxa"/>
            <w:vAlign w:val="bottom"/>
            <w:shd w:val="clear" w:color="auto" w:fill="DBDBDB"/>
          </w:tcPr>
          <w:p>
            <w:pPr>
              <w:ind w:left="300"/>
              <w:spacing w:after="0" w:line="164" w:lineRule="exact"/>
              <w:rPr>
                <w:sz w:val="20"/>
                <w:szCs w:val="20"/>
                <w:color w:val="auto"/>
              </w:rPr>
            </w:pPr>
            <w:r>
              <w:rPr>
                <w:rFonts w:ascii="Arial" w:cs="Arial" w:eastAsia="Arial" w:hAnsi="Arial"/>
                <w:sz w:val="16"/>
                <w:szCs w:val="16"/>
                <w:color w:val="auto"/>
              </w:rPr>
              <w:t>U.S. CHIPS and Science Act of 2022</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spacing w:after="0"/>
              <w:rPr>
                <w:sz w:val="19"/>
                <w:szCs w:val="19"/>
                <w:color w:val="auto"/>
              </w:rPr>
            </w:pPr>
          </w:p>
        </w:tc>
      </w:tr>
      <w:tr>
        <w:trPr>
          <w:trHeight w:val="161"/>
        </w:trPr>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2029</w:t>
            </w:r>
          </w:p>
        </w:tc>
        <w:tc>
          <w:tcPr>
            <w:tcW w:w="1200" w:type="dxa"/>
            <w:vAlign w:val="bottom"/>
          </w:tcPr>
          <w:p>
            <w:pPr>
              <w:ind w:left="20"/>
              <w:spacing w:after="0" w:line="161" w:lineRule="exact"/>
              <w:rPr>
                <w:sz w:val="20"/>
                <w:szCs w:val="20"/>
                <w:color w:val="auto"/>
              </w:rPr>
            </w:pPr>
            <w:r>
              <w:rPr>
                <w:rFonts w:ascii="Arial" w:cs="Arial" w:eastAsia="Arial" w:hAnsi="Arial"/>
                <w:sz w:val="16"/>
                <w:szCs w:val="16"/>
                <w:color w:val="auto"/>
              </w:rPr>
              <w:t>Term Loan A</w:t>
            </w:r>
          </w:p>
        </w:tc>
        <w:tc>
          <w:tcPr>
            <w:tcW w:w="4020" w:type="dxa"/>
            <w:vAlign w:val="bottom"/>
            <w:gridSpan w:val="3"/>
          </w:tcPr>
          <w:p>
            <w:pPr>
              <w:ind w:left="180"/>
              <w:spacing w:after="0" w:line="161" w:lineRule="exact"/>
              <w:rPr>
                <w:sz w:val="20"/>
                <w:szCs w:val="20"/>
                <w:color w:val="auto"/>
              </w:rPr>
            </w:pPr>
            <w:r>
              <w:rPr>
                <w:rFonts w:ascii="Arial" w:cs="Arial" w:eastAsia="Arial" w:hAnsi="Arial"/>
                <w:sz w:val="16"/>
                <w:szCs w:val="16"/>
                <w:color w:val="auto"/>
              </w:rPr>
              <w:t>Senior Term Loan A due January 2029, repaid</w:t>
            </w:r>
          </w:p>
        </w:tc>
        <w:tc>
          <w:tcPr>
            <w:tcW w:w="1500" w:type="dxa"/>
            <w:vAlign w:val="bottom"/>
          </w:tcPr>
          <w:p>
            <w:pPr>
              <w:spacing w:after="0" w:line="161" w:lineRule="exact"/>
              <w:rPr>
                <w:sz w:val="20"/>
                <w:szCs w:val="20"/>
                <w:color w:val="auto"/>
              </w:rPr>
            </w:pPr>
            <w:r>
              <w:rPr>
                <w:rFonts w:ascii="Arial" w:cs="Arial" w:eastAsia="Arial" w:hAnsi="Arial"/>
                <w:sz w:val="16"/>
                <w:szCs w:val="16"/>
                <w:color w:val="auto"/>
              </w:rPr>
              <w:t>DDR</w:t>
            </w:r>
          </w:p>
        </w:tc>
        <w:tc>
          <w:tcPr>
            <w:tcW w:w="4120" w:type="dxa"/>
            <w:vAlign w:val="bottom"/>
          </w:tcPr>
          <w:p>
            <w:pPr>
              <w:ind w:left="300"/>
              <w:spacing w:after="0" w:line="161" w:lineRule="exact"/>
              <w:rPr>
                <w:sz w:val="20"/>
                <w:szCs w:val="20"/>
                <w:color w:val="auto"/>
              </w:rPr>
            </w:pPr>
            <w:r>
              <w:rPr>
                <w:rFonts w:ascii="Arial" w:cs="Arial" w:eastAsia="Arial" w:hAnsi="Arial"/>
                <w:sz w:val="16"/>
                <w:szCs w:val="16"/>
                <w:color w:val="auto"/>
              </w:rPr>
              <w:t>Double data rate DRAM</w:t>
            </w:r>
          </w:p>
        </w:tc>
      </w:tr>
      <w:tr>
        <w:trPr>
          <w:trHeight w:val="220"/>
        </w:trPr>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20" w:type="dxa"/>
            <w:vAlign w:val="bottom"/>
            <w:gridSpan w:val="3"/>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3"/>
        </w:trPr>
        <w:tc>
          <w:tcPr>
            <w:tcW w:w="400" w:type="dxa"/>
            <w:vAlign w:val="bottom"/>
            <w:shd w:val="clear" w:color="auto" w:fill="DBDBDB"/>
          </w:tcPr>
          <w:p>
            <w:pPr>
              <w:jc w:val="right"/>
              <w:spacing w:after="0" w:line="164" w:lineRule="exact"/>
              <w:rPr>
                <w:sz w:val="20"/>
                <w:szCs w:val="20"/>
                <w:color w:val="auto"/>
              </w:rPr>
            </w:pPr>
            <w:r>
              <w:rPr>
                <w:rFonts w:ascii="Arial" w:cs="Arial" w:eastAsia="Arial" w:hAnsi="Arial"/>
                <w:sz w:val="16"/>
                <w:szCs w:val="16"/>
                <w:color w:val="auto"/>
              </w:rPr>
              <w:t>2030</w:t>
            </w:r>
          </w:p>
        </w:tc>
        <w:tc>
          <w:tcPr>
            <w:tcW w:w="1200" w:type="dxa"/>
            <w:vAlign w:val="bottom"/>
            <w:shd w:val="clear" w:color="auto" w:fill="DBDBDB"/>
          </w:tcPr>
          <w:p>
            <w:pPr>
              <w:ind w:left="20"/>
              <w:spacing w:after="0" w:line="164" w:lineRule="exact"/>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line="164" w:lineRule="exact"/>
              <w:rPr>
                <w:sz w:val="20"/>
                <w:szCs w:val="20"/>
                <w:color w:val="auto"/>
              </w:rPr>
            </w:pPr>
            <w:r>
              <w:rPr>
                <w:rFonts w:ascii="Arial" w:cs="Arial" w:eastAsia="Arial" w:hAnsi="Arial"/>
                <w:sz w:val="16"/>
                <w:szCs w:val="16"/>
                <w:color w:val="auto"/>
              </w:rPr>
              <w:t>4.663%</w:t>
            </w:r>
          </w:p>
        </w:tc>
        <w:tc>
          <w:tcPr>
            <w:tcW w:w="3260" w:type="dxa"/>
            <w:vAlign w:val="bottom"/>
            <w:gridSpan w:val="2"/>
            <w:shd w:val="clear" w:color="auto" w:fill="DBDBDB"/>
          </w:tcPr>
          <w:p>
            <w:pPr>
              <w:ind w:left="20"/>
              <w:spacing w:after="0" w:line="164" w:lineRule="exact"/>
              <w:rPr>
                <w:sz w:val="20"/>
                <w:szCs w:val="20"/>
                <w:color w:val="auto"/>
              </w:rPr>
            </w:pPr>
            <w:r>
              <w:rPr>
                <w:rFonts w:ascii="Arial" w:cs="Arial" w:eastAsia="Arial" w:hAnsi="Arial"/>
                <w:sz w:val="16"/>
                <w:szCs w:val="16"/>
                <w:color w:val="auto"/>
              </w:rPr>
              <w:t>Senior Notes due February 2030, repaid</w:t>
            </w:r>
          </w:p>
        </w:tc>
        <w:tc>
          <w:tcPr>
            <w:tcW w:w="1500" w:type="dxa"/>
            <w:vAlign w:val="bottom"/>
            <w:shd w:val="clear" w:color="auto" w:fill="DBDBDB"/>
          </w:tcPr>
          <w:p>
            <w:pPr>
              <w:spacing w:after="0" w:line="164" w:lineRule="exact"/>
              <w:rPr>
                <w:sz w:val="20"/>
                <w:szCs w:val="20"/>
                <w:color w:val="auto"/>
              </w:rPr>
            </w:pPr>
            <w:r>
              <w:rPr>
                <w:rFonts w:ascii="Arial" w:cs="Arial" w:eastAsia="Arial" w:hAnsi="Arial"/>
                <w:sz w:val="16"/>
                <w:szCs w:val="16"/>
                <w:color w:val="auto"/>
              </w:rPr>
              <w:t>EBITDA</w:t>
            </w:r>
          </w:p>
        </w:tc>
        <w:tc>
          <w:tcPr>
            <w:tcW w:w="4120" w:type="dxa"/>
            <w:vAlign w:val="bottom"/>
            <w:shd w:val="clear" w:color="auto" w:fill="DBDBDB"/>
          </w:tcPr>
          <w:p>
            <w:pPr>
              <w:ind w:left="300"/>
              <w:spacing w:after="0" w:line="164" w:lineRule="exact"/>
              <w:rPr>
                <w:sz w:val="20"/>
                <w:szCs w:val="20"/>
                <w:color w:val="auto"/>
              </w:rPr>
            </w:pPr>
            <w:r>
              <w:rPr>
                <w:rFonts w:ascii="Arial" w:cs="Arial" w:eastAsia="Arial" w:hAnsi="Arial"/>
                <w:sz w:val="16"/>
                <w:szCs w:val="16"/>
                <w:color w:val="auto"/>
              </w:rPr>
              <w:t>Earnings before interest, taxes, depreciation, and</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February 2026</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amortization</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2031</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5.300%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January 2031</w:t>
            </w:r>
          </w:p>
        </w:tc>
        <w:tc>
          <w:tcPr>
            <w:tcW w:w="1500" w:type="dxa"/>
            <w:vAlign w:val="bottom"/>
          </w:tcPr>
          <w:p>
            <w:pPr>
              <w:spacing w:after="0"/>
              <w:rPr>
                <w:sz w:val="20"/>
                <w:szCs w:val="20"/>
                <w:color w:val="auto"/>
              </w:rPr>
            </w:pPr>
            <w:r>
              <w:rPr>
                <w:rFonts w:ascii="Arial" w:cs="Arial" w:eastAsia="Arial" w:hAnsi="Arial"/>
                <w:sz w:val="16"/>
                <w:szCs w:val="16"/>
                <w:color w:val="auto"/>
              </w:rPr>
              <w:t>EUV</w:t>
            </w:r>
          </w:p>
        </w:tc>
        <w:tc>
          <w:tcPr>
            <w:tcW w:w="4120" w:type="dxa"/>
            <w:vAlign w:val="bottom"/>
          </w:tcPr>
          <w:p>
            <w:pPr>
              <w:ind w:left="300"/>
              <w:spacing w:after="0"/>
              <w:rPr>
                <w:sz w:val="20"/>
                <w:szCs w:val="20"/>
                <w:color w:val="auto"/>
              </w:rPr>
            </w:pPr>
            <w:r>
              <w:rPr>
                <w:rFonts w:ascii="Arial" w:cs="Arial" w:eastAsia="Arial" w:hAnsi="Arial"/>
                <w:sz w:val="16"/>
                <w:szCs w:val="16"/>
                <w:color w:val="auto"/>
              </w:rPr>
              <w:t>Extreme ultraviolet lithography</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2032</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Green Bonds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2.703%</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April 2032</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HBM</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High-bandwidth memory</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2032</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5.650%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2032</w:t>
            </w:r>
          </w:p>
        </w:tc>
        <w:tc>
          <w:tcPr>
            <w:tcW w:w="1500" w:type="dxa"/>
            <w:vAlign w:val="bottom"/>
          </w:tcPr>
          <w:p>
            <w:pPr>
              <w:spacing w:after="0"/>
              <w:rPr>
                <w:sz w:val="20"/>
                <w:szCs w:val="20"/>
                <w:color w:val="auto"/>
              </w:rPr>
            </w:pPr>
            <w:r>
              <w:rPr>
                <w:rFonts w:ascii="Arial" w:cs="Arial" w:eastAsia="Arial" w:hAnsi="Arial"/>
                <w:sz w:val="16"/>
                <w:szCs w:val="16"/>
                <w:color w:val="auto"/>
              </w:rPr>
              <w:t>Micron</w:t>
            </w:r>
          </w:p>
        </w:tc>
        <w:tc>
          <w:tcPr>
            <w:tcW w:w="4120" w:type="dxa"/>
            <w:vAlign w:val="bottom"/>
          </w:tcPr>
          <w:p>
            <w:pPr>
              <w:ind w:left="300"/>
              <w:spacing w:after="0"/>
              <w:rPr>
                <w:sz w:val="20"/>
                <w:szCs w:val="20"/>
                <w:color w:val="auto"/>
              </w:rPr>
            </w:pPr>
            <w:r>
              <w:rPr>
                <w:rFonts w:ascii="Arial" w:cs="Arial" w:eastAsia="Arial" w:hAnsi="Arial"/>
                <w:sz w:val="16"/>
                <w:szCs w:val="16"/>
                <w:color w:val="auto"/>
              </w:rPr>
              <w:t>Micron Technology, Inc. (Parent Company)</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 Notes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5.875%</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February 2033</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OEM</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Original equipment manufacturer</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2033</w:t>
            </w:r>
          </w:p>
        </w:tc>
        <w:tc>
          <w:tcPr>
            <w:tcW w:w="1200" w:type="dxa"/>
            <w:vAlign w:val="bottom"/>
          </w:tcPr>
          <w:p>
            <w:pPr>
              <w:ind w:left="20"/>
              <w:spacing w:after="0"/>
              <w:rPr>
                <w:sz w:val="20"/>
                <w:szCs w:val="20"/>
                <w:color w:val="auto"/>
              </w:rPr>
            </w:pPr>
            <w:r>
              <w:rPr>
                <w:rFonts w:ascii="Arial" w:cs="Arial" w:eastAsia="Arial" w:hAnsi="Arial"/>
                <w:sz w:val="16"/>
                <w:szCs w:val="16"/>
                <w:color w:val="auto"/>
              </w:rPr>
              <w:t>B Notes</w:t>
            </w:r>
          </w:p>
        </w:tc>
        <w:tc>
          <w:tcPr>
            <w:tcW w:w="760" w:type="dxa"/>
            <w:vAlign w:val="bottom"/>
          </w:tcPr>
          <w:p>
            <w:pPr>
              <w:ind w:left="180"/>
              <w:spacing w:after="0"/>
              <w:rPr>
                <w:sz w:val="20"/>
                <w:szCs w:val="20"/>
                <w:color w:val="auto"/>
              </w:rPr>
            </w:pPr>
            <w:r>
              <w:rPr>
                <w:rFonts w:ascii="Arial" w:cs="Arial" w:eastAsia="Arial" w:hAnsi="Arial"/>
                <w:sz w:val="16"/>
                <w:szCs w:val="16"/>
                <w:color w:val="auto"/>
              </w:rPr>
              <w:t>5.875%</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September 2033</w:t>
            </w:r>
          </w:p>
        </w:tc>
        <w:tc>
          <w:tcPr>
            <w:tcW w:w="1500" w:type="dxa"/>
            <w:vAlign w:val="bottom"/>
          </w:tcPr>
          <w:p>
            <w:pPr>
              <w:spacing w:after="0"/>
              <w:rPr>
                <w:sz w:val="20"/>
                <w:szCs w:val="20"/>
                <w:color w:val="auto"/>
              </w:rPr>
            </w:pPr>
            <w:r>
              <w:rPr>
                <w:rFonts w:ascii="Arial" w:cs="Arial" w:eastAsia="Arial" w:hAnsi="Arial"/>
                <w:sz w:val="16"/>
                <w:szCs w:val="16"/>
                <w:color w:val="auto"/>
              </w:rPr>
              <w:t>R&amp;D</w:t>
            </w:r>
          </w:p>
        </w:tc>
        <w:tc>
          <w:tcPr>
            <w:tcW w:w="412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r>
      <w:tr>
        <w:trPr>
          <w:trHeight w:val="161"/>
        </w:trPr>
        <w:tc>
          <w:tcPr>
            <w:tcW w:w="400" w:type="dxa"/>
            <w:vAlign w:val="bottom"/>
            <w:shd w:val="clear" w:color="auto" w:fill="DBDBDB"/>
          </w:tcPr>
          <w:p>
            <w:pPr>
              <w:jc w:val="right"/>
              <w:spacing w:after="0" w:line="161" w:lineRule="exact"/>
              <w:rPr>
                <w:sz w:val="20"/>
                <w:szCs w:val="20"/>
                <w:color w:val="auto"/>
              </w:rPr>
            </w:pPr>
            <w:r>
              <w:rPr>
                <w:rFonts w:ascii="Arial" w:cs="Arial" w:eastAsia="Arial" w:hAnsi="Arial"/>
                <w:sz w:val="16"/>
                <w:szCs w:val="16"/>
                <w:color w:val="auto"/>
              </w:rPr>
              <w:t>2035</w:t>
            </w:r>
          </w:p>
        </w:tc>
        <w:tc>
          <w:tcPr>
            <w:tcW w:w="1200" w:type="dxa"/>
            <w:vAlign w:val="bottom"/>
            <w:shd w:val="clear" w:color="auto" w:fill="DBDBDB"/>
          </w:tcPr>
          <w:p>
            <w:pPr>
              <w:ind w:left="20"/>
              <w:spacing w:after="0" w:line="161" w:lineRule="exact"/>
              <w:rPr>
                <w:sz w:val="20"/>
                <w:szCs w:val="20"/>
                <w:color w:val="auto"/>
              </w:rPr>
            </w:pPr>
            <w:r>
              <w:rPr>
                <w:rFonts w:ascii="Arial" w:cs="Arial" w:eastAsia="Arial" w:hAnsi="Arial"/>
                <w:sz w:val="16"/>
                <w:szCs w:val="16"/>
                <w:color w:val="auto"/>
              </w:rPr>
              <w:t>A Notes</w:t>
            </w:r>
          </w:p>
        </w:tc>
        <w:tc>
          <w:tcPr>
            <w:tcW w:w="760" w:type="dxa"/>
            <w:vAlign w:val="bottom"/>
            <w:shd w:val="clear" w:color="auto" w:fill="DBDBDB"/>
          </w:tcPr>
          <w:p>
            <w:pPr>
              <w:ind w:left="180"/>
              <w:spacing w:after="0" w:line="161" w:lineRule="exact"/>
              <w:rPr>
                <w:sz w:val="20"/>
                <w:szCs w:val="20"/>
                <w:color w:val="auto"/>
              </w:rPr>
            </w:pPr>
            <w:r>
              <w:rPr>
                <w:rFonts w:ascii="Arial" w:cs="Arial" w:eastAsia="Arial" w:hAnsi="Arial"/>
                <w:sz w:val="16"/>
                <w:szCs w:val="16"/>
                <w:color w:val="auto"/>
              </w:rPr>
              <w:t>5.800%</w:t>
            </w:r>
          </w:p>
        </w:tc>
        <w:tc>
          <w:tcPr>
            <w:tcW w:w="3260" w:type="dxa"/>
            <w:vAlign w:val="bottom"/>
            <w:gridSpan w:val="2"/>
            <w:shd w:val="clear" w:color="auto" w:fill="DBDBDB"/>
          </w:tcPr>
          <w:p>
            <w:pPr>
              <w:ind w:left="20"/>
              <w:spacing w:after="0" w:line="161" w:lineRule="exact"/>
              <w:rPr>
                <w:sz w:val="20"/>
                <w:szCs w:val="20"/>
                <w:color w:val="auto"/>
              </w:rPr>
            </w:pPr>
            <w:r>
              <w:rPr>
                <w:rFonts w:ascii="Arial" w:cs="Arial" w:eastAsia="Arial" w:hAnsi="Arial"/>
                <w:sz w:val="16"/>
                <w:szCs w:val="16"/>
                <w:color w:val="auto"/>
              </w:rPr>
              <w:t>Senior Notes due January 2035</w:t>
            </w:r>
          </w:p>
        </w:tc>
        <w:tc>
          <w:tcPr>
            <w:tcW w:w="1500" w:type="dxa"/>
            <w:vAlign w:val="bottom"/>
            <w:shd w:val="clear" w:color="auto" w:fill="DBDBDB"/>
          </w:tcPr>
          <w:p>
            <w:pPr>
              <w:spacing w:after="0" w:line="161" w:lineRule="exact"/>
              <w:rPr>
                <w:sz w:val="20"/>
                <w:szCs w:val="20"/>
                <w:color w:val="auto"/>
              </w:rPr>
            </w:pPr>
            <w:r>
              <w:rPr>
                <w:rFonts w:ascii="Arial" w:cs="Arial" w:eastAsia="Arial" w:hAnsi="Arial"/>
                <w:sz w:val="16"/>
                <w:szCs w:val="16"/>
                <w:color w:val="auto"/>
              </w:rPr>
              <w:t>Revolving Credit</w:t>
            </w:r>
          </w:p>
        </w:tc>
        <w:tc>
          <w:tcPr>
            <w:tcW w:w="4120" w:type="dxa"/>
            <w:vAlign w:val="bottom"/>
            <w:shd w:val="clear" w:color="auto" w:fill="DBDBDB"/>
          </w:tcPr>
          <w:p>
            <w:pPr>
              <w:ind w:left="300"/>
              <w:spacing w:after="0" w:line="161" w:lineRule="exact"/>
              <w:rPr>
                <w:sz w:val="20"/>
                <w:szCs w:val="20"/>
                <w:color w:val="auto"/>
              </w:rPr>
            </w:pPr>
            <w:r>
              <w:rPr>
                <w:rFonts w:ascii="Arial" w:cs="Arial" w:eastAsia="Arial" w:hAnsi="Arial"/>
                <w:sz w:val="16"/>
                <w:szCs w:val="16"/>
                <w:color w:val="auto"/>
              </w:rPr>
              <w:t>$3.5 billion Revolving Credit Facility due March</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Facility</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2030</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2035</w:t>
            </w:r>
          </w:p>
        </w:tc>
        <w:tc>
          <w:tcPr>
            <w:tcW w:w="1200" w:type="dxa"/>
            <w:vAlign w:val="bottom"/>
          </w:tcPr>
          <w:p>
            <w:pPr>
              <w:ind w:left="20"/>
              <w:spacing w:after="0"/>
              <w:rPr>
                <w:sz w:val="20"/>
                <w:szCs w:val="20"/>
                <w:color w:val="auto"/>
              </w:rPr>
            </w:pPr>
            <w:r>
              <w:rPr>
                <w:rFonts w:ascii="Arial" w:cs="Arial" w:eastAsia="Arial" w:hAnsi="Arial"/>
                <w:sz w:val="16"/>
                <w:szCs w:val="16"/>
                <w:color w:val="auto"/>
              </w:rPr>
              <w:t>B Notes</w:t>
            </w:r>
          </w:p>
        </w:tc>
        <w:tc>
          <w:tcPr>
            <w:tcW w:w="760" w:type="dxa"/>
            <w:vAlign w:val="bottom"/>
          </w:tcPr>
          <w:p>
            <w:pPr>
              <w:ind w:left="180"/>
              <w:spacing w:after="0"/>
              <w:rPr>
                <w:sz w:val="20"/>
                <w:szCs w:val="20"/>
                <w:color w:val="auto"/>
              </w:rPr>
            </w:pPr>
            <w:r>
              <w:rPr>
                <w:rFonts w:ascii="Arial" w:cs="Arial" w:eastAsia="Arial" w:hAnsi="Arial"/>
                <w:sz w:val="16"/>
                <w:szCs w:val="16"/>
                <w:color w:val="auto"/>
              </w:rPr>
              <w:t>6.050%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2035</w:t>
            </w:r>
          </w:p>
        </w:tc>
        <w:tc>
          <w:tcPr>
            <w:tcW w:w="1500" w:type="dxa"/>
            <w:vAlign w:val="bottom"/>
          </w:tcPr>
          <w:p>
            <w:pPr>
              <w:spacing w:after="0"/>
              <w:rPr>
                <w:sz w:val="20"/>
                <w:szCs w:val="20"/>
                <w:color w:val="auto"/>
              </w:rPr>
            </w:pPr>
            <w:r>
              <w:rPr>
                <w:rFonts w:ascii="Arial" w:cs="Arial" w:eastAsia="Arial" w:hAnsi="Arial"/>
                <w:sz w:val="16"/>
                <w:szCs w:val="16"/>
                <w:color w:val="auto"/>
              </w:rPr>
              <w:t>SOFR</w:t>
            </w:r>
          </w:p>
        </w:tc>
        <w:tc>
          <w:tcPr>
            <w:tcW w:w="4120" w:type="dxa"/>
            <w:vAlign w:val="bottom"/>
          </w:tcPr>
          <w:p>
            <w:pPr>
              <w:ind w:left="300"/>
              <w:spacing w:after="0"/>
              <w:rPr>
                <w:sz w:val="20"/>
                <w:szCs w:val="20"/>
                <w:color w:val="auto"/>
              </w:rPr>
            </w:pPr>
            <w:r>
              <w:rPr>
                <w:rFonts w:ascii="Arial" w:cs="Arial" w:eastAsia="Arial" w:hAnsi="Arial"/>
                <w:sz w:val="16"/>
                <w:szCs w:val="16"/>
                <w:color w:val="auto"/>
              </w:rPr>
              <w:t>Secured Overnight Financing Rate</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2041</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3.366%</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November 2041</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SSD</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Solid state drive</w:t>
            </w:r>
          </w:p>
        </w:tc>
      </w:tr>
      <w:tr>
        <w:trPr>
          <w:trHeight w:val="217"/>
        </w:trPr>
        <w:tc>
          <w:tcPr>
            <w:tcW w:w="400" w:type="dxa"/>
            <w:vAlign w:val="bottom"/>
          </w:tcPr>
          <w:p>
            <w:pPr>
              <w:jc w:val="right"/>
              <w:spacing w:after="0"/>
              <w:rPr>
                <w:sz w:val="20"/>
                <w:szCs w:val="20"/>
                <w:color w:val="auto"/>
              </w:rPr>
            </w:pPr>
            <w:r>
              <w:rPr>
                <w:rFonts w:ascii="Arial" w:cs="Arial" w:eastAsia="Arial" w:hAnsi="Arial"/>
                <w:sz w:val="16"/>
                <w:szCs w:val="16"/>
                <w:color w:val="auto"/>
              </w:rPr>
              <w:t>2051</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3.477%</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2051</w:t>
            </w:r>
          </w:p>
        </w:tc>
        <w:tc>
          <w:tcPr>
            <w:tcW w:w="1500" w:type="dxa"/>
            <w:vAlign w:val="bottom"/>
          </w:tcPr>
          <w:p>
            <w:pPr>
              <w:spacing w:after="0"/>
              <w:rPr>
                <w:sz w:val="18"/>
                <w:szCs w:val="18"/>
                <w:color w:val="auto"/>
              </w:rPr>
            </w:pPr>
          </w:p>
        </w:tc>
        <w:tc>
          <w:tcPr>
            <w:tcW w:w="4120" w:type="dxa"/>
            <w:vAlign w:val="bottom"/>
          </w:tcPr>
          <w:p>
            <w:pPr>
              <w:spacing w:after="0"/>
              <w:rPr>
                <w:sz w:val="18"/>
                <w:szCs w:val="18"/>
                <w:color w:val="auto"/>
              </w:rPr>
            </w:pPr>
          </w:p>
        </w:tc>
      </w:tr>
    </w:tbl>
    <w:p>
      <w:pPr>
        <w:spacing w:after="0" w:line="37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83"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Micron®, any associated logos, and all other Micron trademarks are the property of Micron. Other product names or trademarks that are not owned by Micron are for identification purposes only and may be the trademarks of their respective owners.</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Available Information</w:t>
      </w:r>
    </w:p>
    <w:p>
      <w:pPr>
        <w:spacing w:after="0" w:line="25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Investors and others should note that we announce material, non-public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Forward-Looking Statements</w:t>
      </w:r>
    </w:p>
    <w:p>
      <w:pPr>
        <w:spacing w:after="0" w:line="24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regarding expected production ramp of certain products; plans to invest in research and development; anticipated technological developments and improvements in our products; potential change and impact in our effective tax rate; expectations related to construction, acquisition, expansion, and ramping of production and the contribution to our ability to supply customers of our facilities, including new memory manufacturing fabs in the United States; estimated capital expenditures; payment of purchase obligations; receipt, timing, and utilization of government incentives and our ability to satisfy conditions attached to these incentives; the payment of future cash dividends; market conditions, including anticipated supply and demand conditions, and profitability in our industry; future demand for our products and factors that may impact such demand, including developments in AI; the potential impact of business, economic, political, legal, and regulatory developments upon our global operations, including tariffs and trade regulations; our expectation to engage in financing transactions from time to time;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Item 1A. Risk Factors.</w:t>
      </w:r>
    </w:p>
    <w:p>
      <w:pPr>
        <w:spacing w:after="0" w:line="338"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PART I.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Operations</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61"/>
        </w:trPr>
        <w:tc>
          <w:tcPr>
            <w:tcW w:w="5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38"/>
              <w:spacing w:after="0" w:line="161" w:lineRule="exact"/>
              <w:rPr>
                <w:sz w:val="20"/>
                <w:szCs w:val="20"/>
                <w:color w:val="auto"/>
              </w:rPr>
            </w:pPr>
            <w:r>
              <w:rPr>
                <w:rFonts w:ascii="Arial" w:cs="Arial" w:eastAsia="Arial" w:hAnsi="Arial"/>
                <w:sz w:val="16"/>
                <w:szCs w:val="16"/>
                <w:b w:val="1"/>
                <w:bCs w:val="1"/>
                <w:color w:val="auto"/>
              </w:rPr>
              <w:t>February 26,</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58"/>
              <w:spacing w:after="0" w:line="161"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58"/>
              <w:spacing w:after="0" w:line="161" w:lineRule="exact"/>
              <w:rPr>
                <w:sz w:val="20"/>
                <w:szCs w:val="20"/>
                <w:color w:val="auto"/>
              </w:rPr>
            </w:pPr>
            <w:r>
              <w:rPr>
                <w:rFonts w:ascii="Arial" w:cs="Arial" w:eastAsia="Arial" w:hAnsi="Arial"/>
                <w:sz w:val="16"/>
                <w:szCs w:val="16"/>
                <w:b w:val="1"/>
                <w:bCs w:val="1"/>
                <w:color w:val="auto"/>
              </w:rPr>
              <w:t>February 26,</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38"/>
              <w:spacing w:after="0" w:line="161"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5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23,860</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8,053</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37,503</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16,762</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12,102</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10,451</w:t>
            </w:r>
          </w:p>
        </w:tc>
      </w:tr>
      <w:tr>
        <w:trPr>
          <w:trHeight w:val="203"/>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17,755</w:t>
            </w: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2,963</w:t>
            </w:r>
          </w:p>
        </w:tc>
        <w:tc>
          <w:tcPr>
            <w:tcW w:w="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25,401</w:t>
            </w:r>
          </w:p>
        </w:tc>
        <w:tc>
          <w:tcPr>
            <w:tcW w:w="1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6,311</w:t>
            </w:r>
          </w:p>
        </w:tc>
      </w:tr>
      <w:tr>
        <w:trPr>
          <w:trHeight w:val="235"/>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1,250</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898</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2,421</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1,786</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344</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18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542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16,135</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22,271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3,947</w:t>
            </w:r>
          </w:p>
        </w:tc>
      </w:tr>
      <w:tr>
        <w:trPr>
          <w:trHeight w:val="235"/>
        </w:trPr>
        <w:tc>
          <w:tcPr>
            <w:tcW w:w="542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8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(230)</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non-operating income (expense),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54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16,160</w:t>
            </w: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1,758</w:t>
            </w:r>
          </w:p>
        </w:tc>
        <w:tc>
          <w:tcPr>
            <w:tcW w:w="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22,221</w:t>
            </w:r>
          </w:p>
        </w:tc>
        <w:tc>
          <w:tcPr>
            <w:tcW w:w="1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3,910</w:t>
            </w:r>
          </w:p>
        </w:tc>
      </w:tr>
      <w:tr>
        <w:trPr>
          <w:trHeight w:val="235"/>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tax (provision) benefit</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(2,371)</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(3,200)</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(460)</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5420" w:type="dxa"/>
            <w:vAlign w:val="bottom"/>
            <w:tcBorders>
              <w:bottom w:val="single" w:sz="8" w:color="D1D2D4"/>
            </w:tcBorders>
            <w:shd w:val="clear" w:color="auto" w:fill="D1D2D4"/>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13,785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1,583</w:t>
            </w:r>
          </w:p>
        </w:tc>
        <w:tc>
          <w:tcPr>
            <w:tcW w:w="80" w:type="dxa"/>
            <w:vAlign w:val="bottom"/>
            <w:tcBorders>
              <w:bottom w:val="single" w:sz="8" w:color="D1D2D4"/>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19,025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3,453</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16.91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0"/>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12.07</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16.68</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3.08</w:t>
            </w:r>
          </w:p>
        </w:tc>
      </w:tr>
      <w:tr>
        <w:trPr>
          <w:trHeight w:val="235"/>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Number of shares used in per share calculations</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10"/>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1,142</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1,123</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1,140</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1,123</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Comprehensive Income (Loss)</w:t>
      </w:r>
    </w:p>
    <w:p>
      <w:pPr>
        <w:spacing w:after="0"/>
        <w:rPr>
          <w:sz w:val="20"/>
          <w:szCs w:val="20"/>
          <w:color w:val="auto"/>
        </w:rPr>
      </w:pPr>
      <w:r>
        <w:rPr>
          <w:rFonts w:ascii="Arial" w:cs="Arial" w:eastAsia="Arial" w:hAnsi="Arial"/>
          <w:sz w:val="16"/>
          <w:szCs w:val="16"/>
          <w:color w:val="auto"/>
        </w:rPr>
        <w:t>(In millions)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61"/>
        </w:trPr>
        <w:tc>
          <w:tcPr>
            <w:tcW w:w="5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8"/>
              <w:spacing w:after="0" w:line="161" w:lineRule="exact"/>
              <w:rPr>
                <w:sz w:val="20"/>
                <w:szCs w:val="20"/>
                <w:color w:val="auto"/>
              </w:rPr>
            </w:pPr>
            <w:r>
              <w:rPr>
                <w:rFonts w:ascii="Arial" w:cs="Arial" w:eastAsia="Arial" w:hAnsi="Arial"/>
                <w:sz w:val="16"/>
                <w:szCs w:val="16"/>
                <w:b w:val="1"/>
                <w:bCs w:val="1"/>
                <w:color w:val="auto"/>
              </w:rPr>
              <w:t>February 26,</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58"/>
              <w:spacing w:after="0" w:line="161"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58"/>
              <w:spacing w:after="0" w:line="161" w:lineRule="exact"/>
              <w:rPr>
                <w:sz w:val="20"/>
                <w:szCs w:val="20"/>
                <w:color w:val="auto"/>
              </w:rPr>
            </w:pPr>
            <w:r>
              <w:rPr>
                <w:rFonts w:ascii="Arial" w:cs="Arial" w:eastAsia="Arial" w:hAnsi="Arial"/>
                <w:sz w:val="16"/>
                <w:szCs w:val="16"/>
                <w:b w:val="1"/>
                <w:bCs w:val="1"/>
                <w:color w:val="auto"/>
              </w:rPr>
              <w:t>February 26,</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38"/>
              <w:spacing w:after="0" w:line="161"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5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13,785</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1,583</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19,025</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3,453</w:t>
            </w:r>
          </w:p>
        </w:tc>
      </w:tr>
      <w:tr>
        <w:trPr>
          <w:trHeight w:val="235"/>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Gains (losses) on derivative instruments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Pension liability adjustments</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42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Unrealized gains (losses) on investments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bottom w:val="single" w:sz="8" w:color="auto"/>
            </w:tcBorders>
            <w:shd w:val="clear" w:color="auto" w:fill="D1D2D4"/>
          </w:tcPr>
          <w:p>
            <w:pPr>
              <w:spacing w:after="0"/>
              <w:rPr>
                <w:sz w:val="17"/>
                <w:szCs w:val="17"/>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auto"/>
            </w:tcBorders>
            <w:shd w:val="clear" w:color="auto" w:fill="D1D2D4"/>
          </w:tcPr>
          <w:p>
            <w:pPr>
              <w:spacing w:after="0"/>
              <w:rPr>
                <w:sz w:val="17"/>
                <w:szCs w:val="17"/>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D1D2D4"/>
          </w:tcPr>
          <w:p>
            <w:pPr>
              <w:spacing w:after="0"/>
              <w:rPr>
                <w:sz w:val="17"/>
                <w:szCs w:val="17"/>
                <w:color w:val="auto"/>
              </w:rPr>
            </w:pPr>
          </w:p>
        </w:tc>
        <w:tc>
          <w:tcPr>
            <w:tcW w:w="160" w:type="dxa"/>
            <w:vAlign w:val="bottom"/>
            <w:tcBorders>
              <w:bottom w:val="single" w:sz="8" w:color="auto"/>
            </w:tcBorders>
            <w:shd w:val="clear" w:color="auto" w:fill="D1D2D4"/>
          </w:tcPr>
          <w:p>
            <w:pPr>
              <w:spacing w:after="0"/>
              <w:rPr>
                <w:sz w:val="17"/>
                <w:szCs w:val="17"/>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542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49"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9"/>
              </w:rPr>
              <w:t>Table of Contents</w:t>
            </w:r>
          </w:p>
        </w:tc>
        <w:tc>
          <w:tcPr>
            <w:tcW w:w="0" w:type="dxa"/>
            <w:vAlign w:val="bottom"/>
          </w:tcPr>
          <w:p>
            <w:pPr>
              <w:spacing w:after="0"/>
              <w:rPr>
                <w:sz w:val="1"/>
                <w:szCs w:val="1"/>
                <w:color w:val="auto"/>
              </w:rPr>
            </w:pPr>
          </w:p>
        </w:tc>
      </w:tr>
      <w:tr>
        <w:trPr>
          <w:trHeight w:val="986"/>
        </w:trPr>
        <w:tc>
          <w:tcPr>
            <w:tcW w:w="8380" w:type="dxa"/>
            <w:vAlign w:val="bottom"/>
          </w:tcPr>
          <w:p>
            <w:pPr>
              <w:spacing w:after="0"/>
              <w:rPr>
                <w:sz w:val="20"/>
                <w:szCs w:val="20"/>
                <w:color w:val="auto"/>
              </w:rPr>
            </w:pPr>
            <w:r>
              <w:rPr>
                <w:rFonts w:ascii="Arial" w:cs="Arial" w:eastAsia="Arial" w:hAnsi="Arial"/>
                <w:sz w:val="36"/>
                <w:szCs w:val="36"/>
                <w:b w:val="1"/>
                <w:bCs w:val="1"/>
                <w:color w:val="auto"/>
              </w:rPr>
              <w:t>Micron Technology, Inc.</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380" w:type="dxa"/>
            <w:vAlign w:val="bottom"/>
          </w:tcPr>
          <w:p>
            <w:pPr>
              <w:spacing w:after="0"/>
              <w:rPr>
                <w:sz w:val="20"/>
                <w:szCs w:val="20"/>
                <w:color w:val="auto"/>
              </w:rPr>
            </w:pPr>
            <w:r>
              <w:rPr>
                <w:rFonts w:ascii="Arial" w:cs="Arial" w:eastAsia="Arial" w:hAnsi="Arial"/>
                <w:sz w:val="36"/>
                <w:szCs w:val="36"/>
                <w:b w:val="1"/>
                <w:bCs w:val="1"/>
                <w:color w:val="auto"/>
              </w:rPr>
              <w:t>Consolidated Balance Sheets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380" w:type="dxa"/>
            <w:vAlign w:val="bottom"/>
          </w:tcPr>
          <w:p>
            <w:pPr>
              <w:spacing w:after="0"/>
              <w:rPr>
                <w:sz w:val="20"/>
                <w:szCs w:val="20"/>
                <w:color w:val="auto"/>
              </w:rPr>
            </w:pPr>
            <w:r>
              <w:rPr>
                <w:rFonts w:ascii="Arial" w:cs="Arial" w:eastAsia="Arial" w:hAnsi="Arial"/>
                <w:sz w:val="16"/>
                <w:szCs w:val="16"/>
                <w:color w:val="auto"/>
              </w:rPr>
              <w:t>(In millions, except par value amounts)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6"/>
                <w:szCs w:val="16"/>
                <w:color w:val="auto"/>
              </w:rPr>
            </w:pPr>
          </w:p>
        </w:tc>
        <w:tc>
          <w:tcPr>
            <w:tcW w:w="1280" w:type="dxa"/>
            <w:vAlign w:val="bottom"/>
          </w:tcPr>
          <w:p>
            <w:pPr>
              <w:jc w:val="right"/>
              <w:ind w:right="158"/>
              <w:spacing w:after="0"/>
              <w:rPr>
                <w:sz w:val="20"/>
                <w:szCs w:val="20"/>
                <w:color w:val="auto"/>
              </w:rPr>
            </w:pPr>
            <w:r>
              <w:rPr>
                <w:rFonts w:ascii="Arial" w:cs="Arial" w:eastAsia="Arial" w:hAnsi="Arial"/>
                <w:sz w:val="16"/>
                <w:szCs w:val="16"/>
                <w:b w:val="1"/>
                <w:bCs w:val="1"/>
                <w:color w:val="auto"/>
              </w:rPr>
              <w:t>February 26,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13,908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9,642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Short-term investments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681</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17,314</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8,267</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8,355</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3"/>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41,413</w:t>
            </w:r>
          </w:p>
        </w:tc>
        <w:tc>
          <w:tcPr>
            <w:tcW w:w="140" w:type="dxa"/>
            <w:vAlign w:val="bottom"/>
            <w:shd w:val="clear" w:color="auto" w:fill="D1D2D4"/>
          </w:tcPr>
          <w:p>
            <w:pPr>
              <w:spacing w:after="0"/>
              <w:rPr>
                <w:sz w:val="17"/>
                <w:szCs w:val="17"/>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28,841</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Long-term marketable investments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2,038</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51,408</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684</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Intangible assets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680</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101,509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82,798</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10,997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Current debt</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585</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3"/>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D1D2D4"/>
          </w:tcPr>
          <w:p>
            <w:pPr>
              <w:spacing w:after="0"/>
              <w:rPr>
                <w:sz w:val="17"/>
                <w:szCs w:val="17"/>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14,296</w:t>
            </w:r>
          </w:p>
        </w:tc>
        <w:tc>
          <w:tcPr>
            <w:tcW w:w="140" w:type="dxa"/>
            <w:vAlign w:val="bottom"/>
            <w:shd w:val="clear" w:color="auto" w:fill="D1D2D4"/>
          </w:tcPr>
          <w:p>
            <w:pPr>
              <w:spacing w:after="0"/>
              <w:rPr>
                <w:sz w:val="17"/>
                <w:szCs w:val="17"/>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11,454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9,557</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14,017</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656</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Noncurrent unearned government incentives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3,539</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D1D2D4"/>
            </w:tcBorders>
          </w:tcPr>
          <w:p>
            <w:pPr>
              <w:ind w:left="3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29,050</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28,633</w:t>
            </w:r>
          </w:p>
        </w:tc>
        <w:tc>
          <w:tcPr>
            <w:tcW w:w="0" w:type="dxa"/>
            <w:vAlign w:val="bottom"/>
          </w:tcPr>
          <w:p>
            <w:pPr>
              <w:spacing w:after="0"/>
              <w:rPr>
                <w:sz w:val="1"/>
                <w:szCs w:val="1"/>
                <w:color w:val="auto"/>
              </w:rPr>
            </w:pPr>
          </w:p>
        </w:tc>
      </w:tr>
      <w:tr>
        <w:trPr>
          <w:trHeight w:val="215"/>
        </w:trPr>
        <w:tc>
          <w:tcPr>
            <w:tcW w:w="83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3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8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40" w:type="dxa"/>
            <w:vAlign w:val="bottom"/>
            <w:shd w:val="clear" w:color="auto" w:fill="D1D2D4"/>
          </w:tcPr>
          <w:p>
            <w:pPr>
              <w:spacing w:after="0"/>
              <w:rPr>
                <w:sz w:val="20"/>
                <w:szCs w:val="20"/>
                <w:color w:val="auto"/>
              </w:rPr>
            </w:pPr>
          </w:p>
        </w:tc>
        <w:tc>
          <w:tcPr>
            <w:tcW w:w="124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380" w:type="dxa"/>
            <w:vAlign w:val="bottom"/>
            <w:shd w:val="clear" w:color="auto" w:fill="D1D2D4"/>
          </w:tcPr>
          <w:p>
            <w:pPr>
              <w:ind w:left="200"/>
              <w:spacing w:after="0" w:line="169" w:lineRule="exact"/>
              <w:rPr>
                <w:sz w:val="20"/>
                <w:szCs w:val="20"/>
                <w:color w:val="auto"/>
              </w:rPr>
            </w:pPr>
            <w:r>
              <w:rPr>
                <w:rFonts w:ascii="Arial" w:cs="Arial" w:eastAsia="Arial" w:hAnsi="Arial"/>
                <w:sz w:val="16"/>
                <w:szCs w:val="16"/>
                <w:color w:val="auto"/>
              </w:rPr>
              <w:t>Common stock, $0.10 par value, 3,000 shares authorized, 1,274 shares issued and 1,128 outstanding</w:t>
            </w:r>
          </w:p>
        </w:tc>
        <w:tc>
          <w:tcPr>
            <w:tcW w:w="160" w:type="dxa"/>
            <w:vAlign w:val="bottom"/>
            <w:shd w:val="clear" w:color="auto" w:fill="D1D2D4"/>
          </w:tcPr>
          <w:p>
            <w:pPr>
              <w:spacing w:after="0"/>
              <w:rPr>
                <w:sz w:val="14"/>
                <w:szCs w:val="14"/>
                <w:color w:val="auto"/>
              </w:rPr>
            </w:pPr>
          </w:p>
        </w:tc>
        <w:tc>
          <w:tcPr>
            <w:tcW w:w="12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D1D2D4"/>
          </w:tcPr>
          <w:p>
            <w:pPr>
              <w:spacing w:after="0"/>
              <w:rPr>
                <w:sz w:val="14"/>
                <w:szCs w:val="14"/>
                <w:color w:val="auto"/>
              </w:rPr>
            </w:pPr>
          </w:p>
        </w:tc>
        <w:tc>
          <w:tcPr>
            <w:tcW w:w="1280" w:type="dxa"/>
            <w:vAlign w:val="bottom"/>
            <w:gridSpan w:val="2"/>
            <w:vMerge w:val="restart"/>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(1,266 shares issued and 1,122 outstanding as of August 28, 2025)</w:t>
            </w:r>
          </w:p>
        </w:tc>
        <w:tc>
          <w:tcPr>
            <w:tcW w:w="160" w:type="dxa"/>
            <w:vAlign w:val="bottom"/>
            <w:shd w:val="clear" w:color="auto" w:fill="D1D2D4"/>
          </w:tcPr>
          <w:p>
            <w:pPr>
              <w:spacing w:after="0"/>
              <w:rPr>
                <w:sz w:val="18"/>
                <w:szCs w:val="18"/>
                <w:color w:val="auto"/>
              </w:rPr>
            </w:pPr>
          </w:p>
        </w:tc>
        <w:tc>
          <w:tcPr>
            <w:tcW w:w="12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80" w:type="dxa"/>
            <w:vAlign w:val="bottom"/>
            <w:gridSpan w:val="2"/>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0"/>
              <w:spacing w:after="0"/>
              <w:rPr>
                <w:sz w:val="20"/>
                <w:szCs w:val="20"/>
                <w:color w:val="auto"/>
              </w:rPr>
            </w:pPr>
            <w:r>
              <w:rPr>
                <w:rFonts w:ascii="Arial" w:cs="Arial" w:eastAsia="Arial" w:hAnsi="Arial"/>
                <w:sz w:val="16"/>
                <w:szCs w:val="16"/>
                <w:color w:val="auto"/>
              </w:rPr>
              <w:t>Additional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14,092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13,339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66,824</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48,583</w:t>
            </w:r>
          </w:p>
        </w:tc>
        <w:tc>
          <w:tcPr>
            <w:tcW w:w="0" w:type="dxa"/>
            <w:vAlign w:val="bottom"/>
          </w:tcPr>
          <w:p>
            <w:pPr>
              <w:spacing w:after="0"/>
              <w:rPr>
                <w:sz w:val="1"/>
                <w:szCs w:val="1"/>
                <w:color w:val="auto"/>
              </w:rPr>
            </w:pPr>
          </w:p>
        </w:tc>
      </w:tr>
      <w:tr>
        <w:trPr>
          <w:trHeight w:val="210"/>
        </w:trPr>
        <w:tc>
          <w:tcPr>
            <w:tcW w:w="8380" w:type="dxa"/>
            <w:vAlign w:val="bottom"/>
          </w:tcPr>
          <w:p>
            <w:pPr>
              <w:ind w:left="200"/>
              <w:spacing w:after="0"/>
              <w:rPr>
                <w:sz w:val="20"/>
                <w:szCs w:val="20"/>
                <w:color w:val="auto"/>
              </w:rPr>
            </w:pPr>
            <w:r>
              <w:rPr>
                <w:rFonts w:ascii="Arial" w:cs="Arial" w:eastAsia="Arial" w:hAnsi="Arial"/>
                <w:sz w:val="16"/>
                <w:szCs w:val="16"/>
                <w:color w:val="auto"/>
              </w:rPr>
              <w:t>Treasury stock, 146 shares held (144 shares as of August 28, 2025)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D1D2D4"/>
            </w:tcBorders>
          </w:tcPr>
          <w:p>
            <w:pPr>
              <w:ind w:left="3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72,459</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54,165</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101,509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82,798</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Changes in Equity</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7"/>
          </w:tcPr>
          <w:p>
            <w:pPr>
              <w:jc w:val="right"/>
              <w:ind w:right="1118"/>
              <w:spacing w:after="0"/>
              <w:rPr>
                <w:sz w:val="20"/>
                <w:szCs w:val="20"/>
                <w:color w:val="auto"/>
              </w:rPr>
            </w:pPr>
            <w:r>
              <w:rPr>
                <w:rFonts w:ascii="Arial" w:cs="Arial" w:eastAsia="Arial" w:hAnsi="Arial"/>
                <w:sz w:val="16"/>
                <w:szCs w:val="16"/>
                <w:b w:val="1"/>
                <w:bCs w:val="1"/>
                <w:color w:val="auto"/>
              </w:rPr>
              <w:t>Quarter Ended February 26, 2026</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2"/>
                <w:szCs w:val="12"/>
                <w:color w:val="auto"/>
              </w:rPr>
            </w:pPr>
          </w:p>
        </w:tc>
        <w:tc>
          <w:tcPr>
            <w:tcW w:w="1340" w:type="dxa"/>
            <w:vAlign w:val="bottom"/>
          </w:tcPr>
          <w:p>
            <w:pPr>
              <w:jc w:val="center"/>
              <w:ind w:right="18"/>
              <w:spacing w:after="0" w:line="141" w:lineRule="exact"/>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18"/>
              <w:spacing w:after="0" w:line="161"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b w:val="1"/>
                <w:bCs w:val="1"/>
                <w:color w:val="auto"/>
              </w:rPr>
              <w:t>Balance as of November 27, 2025</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1,271</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13,610</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53,344</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58,806</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13,785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309</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Repurchase of stock – repurchase program</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shd w:val="clear" w:color="auto" w:fill="D1D2D4"/>
          </w:tcPr>
          <w:p>
            <w:pPr>
              <w:spacing w:after="0" w:line="169"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4"/>
                <w:szCs w:val="14"/>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4"/>
                <w:szCs w:val="14"/>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4"/>
                <w:szCs w:val="14"/>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4"/>
                <w:szCs w:val="14"/>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(178)</w:t>
            </w:r>
          </w:p>
        </w:tc>
        <w:tc>
          <w:tcPr>
            <w:tcW w:w="2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80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34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000" w:type="dxa"/>
            <w:vAlign w:val="bottom"/>
            <w:vMerge w:val="continue"/>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tcPr>
          <w:p>
            <w:pPr>
              <w:spacing w:after="0" w:line="169"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Borders>
              <w:bottom w:val="single" w:sz="8" w:color="D1D2D4"/>
            </w:tcBorders>
            <w:gridSpan w:val="2"/>
          </w:tcPr>
          <w:p>
            <w:pPr>
              <w:spacing w:after="0"/>
              <w:rPr>
                <w:sz w:val="20"/>
                <w:szCs w:val="20"/>
                <w:color w:val="auto"/>
              </w:rPr>
            </w:pPr>
            <w:r>
              <w:rPr>
                <w:rFonts w:ascii="Arial" w:cs="Arial" w:eastAsia="Arial" w:hAnsi="Arial"/>
                <w:sz w:val="16"/>
                <w:szCs w:val="16"/>
                <w:color w:val="auto"/>
              </w:rPr>
              <w:t>($0.115 per share)</w:t>
            </w: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D1D2D4"/>
            </w:tcBorders>
            <w:gridSpan w:val="2"/>
            <w:shd w:val="clear" w:color="auto" w:fill="D1D2D4"/>
          </w:tcPr>
          <w:p>
            <w:pPr>
              <w:spacing w:after="0"/>
              <w:rPr>
                <w:sz w:val="20"/>
                <w:szCs w:val="20"/>
                <w:color w:val="auto"/>
              </w:rPr>
            </w:pPr>
            <w:r>
              <w:rPr>
                <w:rFonts w:ascii="Arial" w:cs="Arial" w:eastAsia="Arial" w:hAnsi="Arial"/>
                <w:sz w:val="16"/>
                <w:szCs w:val="16"/>
                <w:b w:val="1"/>
                <w:bCs w:val="1"/>
                <w:color w:val="auto"/>
              </w:rPr>
              <w:t>Balance as of February 26, 2026</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1,274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14,092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66,824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72,459</w:t>
            </w:r>
          </w:p>
        </w:tc>
        <w:tc>
          <w:tcPr>
            <w:tcW w:w="20" w:type="dxa"/>
            <w:vAlign w:val="bottom"/>
            <w:tcBorders>
              <w:bottom w:val="single" w:sz="8" w:color="auto"/>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D1D2D4"/>
            </w:tcBorders>
          </w:tcPr>
          <w:p>
            <w:pPr>
              <w:spacing w:after="0" w:line="20" w:lineRule="exact"/>
              <w:rPr>
                <w:sz w:val="1"/>
                <w:szCs w:val="1"/>
                <w:color w:val="auto"/>
              </w:rPr>
            </w:pPr>
          </w:p>
        </w:tc>
        <w:tc>
          <w:tcPr>
            <w:tcW w:w="2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4180" w:type="dxa"/>
            <w:vAlign w:val="bottom"/>
            <w:tcBorders>
              <w:top w:val="single" w:sz="8" w:color="D1D2D4"/>
              <w:bottom w:val="single" w:sz="8" w:color="auto"/>
            </w:tcBorders>
            <w:gridSpan w:val="7"/>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right"/>
              <w:ind w:right="1138"/>
              <w:spacing w:after="0"/>
              <w:rPr>
                <w:sz w:val="20"/>
                <w:szCs w:val="20"/>
                <w:color w:val="auto"/>
              </w:rPr>
            </w:pPr>
            <w:r>
              <w:rPr>
                <w:rFonts w:ascii="Arial" w:cs="Arial" w:eastAsia="Arial" w:hAnsi="Arial"/>
                <w:sz w:val="16"/>
                <w:szCs w:val="16"/>
                <w:b w:val="1"/>
                <w:bCs w:val="1"/>
                <w:color w:val="auto"/>
              </w:rPr>
              <w:t>Quarter Ended February 27, 2025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1"/>
                <w:szCs w:val="11"/>
                <w:color w:val="auto"/>
              </w:rPr>
            </w:pPr>
          </w:p>
        </w:tc>
        <w:tc>
          <w:tcPr>
            <w:tcW w:w="1340" w:type="dxa"/>
            <w:vAlign w:val="bottom"/>
          </w:tcPr>
          <w:p>
            <w:pPr>
              <w:jc w:val="center"/>
              <w:ind w:right="18"/>
              <w:spacing w:after="0" w:line="136" w:lineRule="exact"/>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1"/>
                <w:szCs w:val="11"/>
                <w:color w:val="auto"/>
              </w:rPr>
            </w:pPr>
          </w:p>
        </w:tc>
        <w:tc>
          <w:tcPr>
            <w:tcW w:w="1020" w:type="dxa"/>
            <w:vAlign w:val="bottom"/>
            <w:gridSpan w:val="2"/>
          </w:tcPr>
          <w:p>
            <w:pPr>
              <w:jc w:val="center"/>
              <w:ind w:right="280"/>
              <w:spacing w:after="0" w:line="13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3"/>
          </w:tcPr>
          <w:p>
            <w:pPr>
              <w:jc w:val="center"/>
              <w:ind w:right="20"/>
              <w:spacing w:after="0" w:line="173"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8"/>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840" w:type="dxa"/>
            <w:vAlign w:val="bottom"/>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20" w:type="dxa"/>
            <w:vAlign w:val="bottom"/>
            <w:tcBorders>
              <w:top w:val="single" w:sz="8" w:color="auto"/>
            </w:tcBorders>
          </w:tcPr>
          <w:p>
            <w:pPr>
              <w:spacing w:after="0"/>
              <w:rPr>
                <w:sz w:val="2"/>
                <w:szCs w:val="2"/>
                <w:color w:val="auto"/>
              </w:rPr>
            </w:pPr>
          </w:p>
        </w:tc>
        <w:tc>
          <w:tcPr>
            <w:tcW w:w="3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b w:val="1"/>
                <w:bCs w:val="1"/>
                <w:color w:val="auto"/>
              </w:rPr>
              <w:t>Balance as of November 28, 2024</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1,258</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12,317</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42,427</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(221)</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80" w:type="dxa"/>
            <w:vAlign w:val="bottom"/>
            <w:gridSpan w:val="2"/>
          </w:tcPr>
          <w:p>
            <w:pPr>
              <w:spacing w:after="0" w:line="161"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D1D2D4"/>
          </w:tcPr>
          <w:p>
            <w:pPr>
              <w:spacing w:after="0"/>
              <w:rPr>
                <w:sz w:val="13"/>
                <w:szCs w:val="13"/>
                <w:color w:val="auto"/>
              </w:rPr>
            </w:pPr>
          </w:p>
        </w:tc>
        <w:tc>
          <w:tcPr>
            <w:tcW w:w="3680" w:type="dxa"/>
            <w:vAlign w:val="bottom"/>
            <w:gridSpan w:val="2"/>
            <w:shd w:val="clear" w:color="auto" w:fill="D1D2D4"/>
          </w:tcPr>
          <w:p>
            <w:pPr>
              <w:spacing w:after="0" w:line="161"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3"/>
                <w:szCs w:val="13"/>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1D2D4"/>
          </w:tcPr>
          <w:p>
            <w:pPr>
              <w:spacing w:after="0"/>
              <w:rPr>
                <w:sz w:val="19"/>
                <w:szCs w:val="19"/>
                <w:color w:val="auto"/>
              </w:rPr>
            </w:pPr>
          </w:p>
        </w:tc>
        <w:tc>
          <w:tcPr>
            <w:tcW w:w="3660" w:type="dxa"/>
            <w:vAlign w:val="bottom"/>
            <w:shd w:val="clear" w:color="auto" w:fill="D1D2D4"/>
          </w:tcPr>
          <w:p>
            <w:pPr>
              <w:spacing w:after="0"/>
              <w:rPr>
                <w:sz w:val="20"/>
                <w:szCs w:val="20"/>
                <w:color w:val="auto"/>
              </w:rPr>
            </w:pPr>
            <w:r>
              <w:rPr>
                <w:rFonts w:ascii="Arial" w:cs="Arial" w:eastAsia="Arial" w:hAnsi="Arial"/>
                <w:sz w:val="16"/>
                <w:szCs w:val="16"/>
                <w:color w:val="auto"/>
              </w:rPr>
              <w:t>($0.115 per share)</w:t>
            </w:r>
          </w:p>
        </w:tc>
        <w:tc>
          <w:tcPr>
            <w:tcW w:w="2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vMerge w:val="continue"/>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40" w:type="dxa"/>
            <w:vAlign w:val="bottom"/>
            <w:tcBorders>
              <w:bottom w:val="single" w:sz="8" w:color="auto"/>
            </w:tcBorders>
            <w:vMerge w:val="continue"/>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vMerge w:val="continue"/>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b w:val="1"/>
                <w:bCs w:val="1"/>
                <w:color w:val="auto"/>
              </w:rPr>
              <w:t>Balance as of February 27, 2025</w:t>
            </w: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99"/>
        </w:trPr>
        <w:tc>
          <w:tcPr>
            <w:tcW w:w="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-281940</wp:posOffset>
            </wp:positionV>
            <wp:extent cx="714375" cy="14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 cy="14922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Changes in Equity</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jc w:val="right"/>
              <w:ind w:right="998"/>
              <w:spacing w:after="0"/>
              <w:rPr>
                <w:sz w:val="20"/>
                <w:szCs w:val="20"/>
                <w:color w:val="auto"/>
              </w:rPr>
            </w:pPr>
            <w:r>
              <w:rPr>
                <w:rFonts w:ascii="Arial" w:cs="Arial" w:eastAsia="Arial" w:hAnsi="Arial"/>
                <w:sz w:val="16"/>
                <w:szCs w:val="16"/>
                <w:b w:val="1"/>
                <w:bCs w:val="1"/>
                <w:color w:val="auto"/>
              </w:rPr>
              <w:t>Six Months Ended February 26, 2026</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020" w:type="dxa"/>
            <w:vAlign w:val="bottom"/>
            <w:vMerge w:val="restart"/>
          </w:tcPr>
          <w:p>
            <w:pPr>
              <w:jc w:val="center"/>
              <w:ind w:right="158"/>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2"/>
                <w:szCs w:val="12"/>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2"/>
                <w:szCs w:val="12"/>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2"/>
                <w:szCs w:val="12"/>
                <w:color w:val="auto"/>
              </w:rPr>
            </w:pPr>
          </w:p>
        </w:tc>
        <w:tc>
          <w:tcPr>
            <w:tcW w:w="1340" w:type="dxa"/>
            <w:vAlign w:val="bottom"/>
          </w:tcPr>
          <w:p>
            <w:pPr>
              <w:jc w:val="center"/>
              <w:ind w:right="18"/>
              <w:spacing w:after="0" w:line="141" w:lineRule="exact"/>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18"/>
              <w:spacing w:after="0" w:line="161" w:lineRule="exact"/>
              <w:rPr>
                <w:sz w:val="20"/>
                <w:szCs w:val="20"/>
                <w:color w:val="auto"/>
              </w:rPr>
            </w:pPr>
            <w:r>
              <w:rPr>
                <w:rFonts w:ascii="Arial" w:cs="Arial" w:eastAsia="Arial" w:hAnsi="Arial"/>
                <w:sz w:val="16"/>
                <w:szCs w:val="16"/>
                <w:b w:val="1"/>
                <w:bCs w:val="1"/>
                <w:color w:val="auto"/>
              </w:rPr>
              <w:t>Comprehensive</w:t>
            </w:r>
          </w:p>
        </w:tc>
        <w:tc>
          <w:tcPr>
            <w:tcW w:w="12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28, 2025</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13,339</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48,583</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54,165</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19,025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19,025</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Repurchase of stock – repurchase program</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69"/>
        </w:trPr>
        <w:tc>
          <w:tcPr>
            <w:tcW w:w="368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shd w:val="clear" w:color="auto" w:fill="D1D2D4"/>
          </w:tcPr>
          <w:p>
            <w:pPr>
              <w:ind w:left="740"/>
              <w:spacing w:after="0"/>
              <w:rPr>
                <w:sz w:val="20"/>
                <w:szCs w:val="20"/>
                <w:color w:val="auto"/>
              </w:rPr>
            </w:pPr>
            <w:r>
              <w:rPr>
                <w:rFonts w:ascii="Arial" w:cs="Arial" w:eastAsia="Arial" w:hAnsi="Arial"/>
                <w:sz w:val="16"/>
                <w:szCs w:val="16"/>
                <w:color w:val="auto"/>
              </w:rPr>
              <w:t>(2)</w:t>
            </w:r>
          </w:p>
        </w:tc>
        <w:tc>
          <w:tcPr>
            <w:tcW w:w="14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4"/>
                <w:szCs w:val="14"/>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4"/>
                <w:szCs w:val="14"/>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4"/>
                <w:szCs w:val="14"/>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5"/>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34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02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line="169"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36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($0.23 per share)</w:t>
            </w: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February 26, 2026</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1,274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14,092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66,824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auto"/>
            </w:tcBorders>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72,459</w:t>
            </w:r>
          </w:p>
        </w:tc>
        <w:tc>
          <w:tcPr>
            <w:tcW w:w="0" w:type="dxa"/>
            <w:vAlign w:val="bottom"/>
          </w:tcPr>
          <w:p>
            <w:pPr>
              <w:spacing w:after="0"/>
              <w:rPr>
                <w:sz w:val="1"/>
                <w:szCs w:val="1"/>
                <w:color w:val="auto"/>
              </w:rPr>
            </w:pPr>
          </w:p>
        </w:tc>
      </w:tr>
      <w:tr>
        <w:trPr>
          <w:trHeight w:val="20"/>
        </w:trPr>
        <w:tc>
          <w:tcPr>
            <w:tcW w:w="368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200" w:type="dxa"/>
            <w:vAlign w:val="bottom"/>
            <w:tcBorders>
              <w:top w:val="single" w:sz="8" w:color="D1D2D4"/>
              <w:bottom w:val="single" w:sz="8" w:color="auto"/>
            </w:tcBorders>
            <w:gridSpan w:val="7"/>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3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right"/>
              <w:ind w:right="998"/>
              <w:spacing w:after="0"/>
              <w:rPr>
                <w:sz w:val="20"/>
                <w:szCs w:val="20"/>
                <w:color w:val="auto"/>
              </w:rPr>
            </w:pPr>
            <w:r>
              <w:rPr>
                <w:rFonts w:ascii="Arial" w:cs="Arial" w:eastAsia="Arial" w:hAnsi="Arial"/>
                <w:sz w:val="16"/>
                <w:szCs w:val="16"/>
                <w:b w:val="1"/>
                <w:bCs w:val="1"/>
                <w:color w:val="auto"/>
              </w:rPr>
              <w:t>Six Months Ended February 27, 2025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6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1"/>
                <w:szCs w:val="11"/>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1"/>
                <w:szCs w:val="11"/>
                <w:color w:val="auto"/>
              </w:rPr>
            </w:pPr>
          </w:p>
        </w:tc>
        <w:tc>
          <w:tcPr>
            <w:tcW w:w="1340" w:type="dxa"/>
            <w:vAlign w:val="bottom"/>
          </w:tcPr>
          <w:p>
            <w:pPr>
              <w:jc w:val="center"/>
              <w:ind w:right="18"/>
              <w:spacing w:after="0" w:line="136" w:lineRule="exact"/>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11"/>
                <w:szCs w:val="11"/>
                <w:color w:val="auto"/>
              </w:rPr>
            </w:pPr>
          </w:p>
        </w:tc>
        <w:tc>
          <w:tcPr>
            <w:tcW w:w="1020" w:type="dxa"/>
            <w:vAlign w:val="bottom"/>
          </w:tcPr>
          <w:p>
            <w:pPr>
              <w:jc w:val="center"/>
              <w:ind w:right="158"/>
              <w:spacing w:after="0" w:line="13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8"/>
              <w:spacing w:after="0" w:line="173" w:lineRule="exact"/>
              <w:rPr>
                <w:sz w:val="20"/>
                <w:szCs w:val="20"/>
                <w:color w:val="auto"/>
              </w:rPr>
            </w:pPr>
            <w:r>
              <w:rPr>
                <w:rFonts w:ascii="Arial" w:cs="Arial" w:eastAsia="Arial" w:hAnsi="Arial"/>
                <w:sz w:val="16"/>
                <w:szCs w:val="16"/>
                <w:b w:val="1"/>
                <w:bCs w:val="1"/>
                <w:color w:val="auto"/>
              </w:rPr>
              <w:t>Comprehensive</w:t>
            </w:r>
          </w:p>
        </w:tc>
        <w:tc>
          <w:tcPr>
            <w:tcW w:w="12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1,253</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12,115</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40,877</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45,131</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61"/>
        </w:trPr>
        <w:tc>
          <w:tcPr>
            <w:tcW w:w="3680" w:type="dxa"/>
            <w:vAlign w:val="bottom"/>
          </w:tcPr>
          <w:p>
            <w:pPr>
              <w:ind w:left="20"/>
              <w:spacing w:after="0" w:line="161"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tcPr>
          <w:p>
            <w:pPr>
              <w:ind w:left="7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680" w:type="dxa"/>
            <w:vAlign w:val="bottom"/>
            <w:shd w:val="clear" w:color="auto" w:fill="D1D2D4"/>
          </w:tcPr>
          <w:p>
            <w:pPr>
              <w:ind w:left="20"/>
              <w:spacing w:after="0" w:line="161"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3"/>
                <w:szCs w:val="13"/>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3"/>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($0.23 per share)</w:t>
            </w: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4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Balance as of February 27,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48,633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7"/>
              </w:rPr>
              <w:t>Table of Contents</w:t>
            </w:r>
          </w:p>
        </w:tc>
        <w:tc>
          <w:tcPr>
            <w:tcW w:w="0" w:type="dxa"/>
            <w:vAlign w:val="bottom"/>
          </w:tcPr>
          <w:p>
            <w:pPr>
              <w:spacing w:after="0"/>
              <w:rPr>
                <w:sz w:val="1"/>
                <w:szCs w:val="1"/>
                <w:color w:val="auto"/>
              </w:rPr>
            </w:pPr>
          </w:p>
        </w:tc>
      </w:tr>
      <w:tr>
        <w:trPr>
          <w:trHeight w:val="986"/>
        </w:trPr>
        <w:tc>
          <w:tcPr>
            <w:tcW w:w="8400" w:type="dxa"/>
            <w:vAlign w:val="bottom"/>
          </w:tcPr>
          <w:p>
            <w:pPr>
              <w:spacing w:after="0"/>
              <w:rPr>
                <w:sz w:val="20"/>
                <w:szCs w:val="20"/>
                <w:color w:val="auto"/>
              </w:rPr>
            </w:pPr>
            <w:r>
              <w:rPr>
                <w:rFonts w:ascii="Arial" w:cs="Arial" w:eastAsia="Arial" w:hAnsi="Arial"/>
                <w:sz w:val="36"/>
                <w:szCs w:val="36"/>
                <w:b w:val="1"/>
                <w:bCs w:val="1"/>
                <w:color w:val="auto"/>
              </w:rPr>
              <w:t>Micron Technology,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00" w:type="dxa"/>
            <w:vAlign w:val="bottom"/>
          </w:tcPr>
          <w:p>
            <w:pPr>
              <w:spacing w:after="0"/>
              <w:rPr>
                <w:sz w:val="20"/>
                <w:szCs w:val="20"/>
                <w:color w:val="auto"/>
              </w:rPr>
            </w:pPr>
            <w:r>
              <w:rPr>
                <w:rFonts w:ascii="Arial" w:cs="Arial" w:eastAsia="Arial" w:hAnsi="Arial"/>
                <w:sz w:val="36"/>
                <w:szCs w:val="36"/>
                <w:b w:val="1"/>
                <w:bCs w:val="1"/>
                <w:color w:val="auto"/>
              </w:rPr>
              <w:t>Consolidated Statements of Cash Flows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40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00" w:type="dxa"/>
            <w:vAlign w:val="bottom"/>
          </w:tcPr>
          <w:p>
            <w:pPr>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6"/>
                <w:szCs w:val="16"/>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ind w:right="138"/>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0"/>
              <w:spacing w:after="0"/>
              <w:rPr>
                <w:sz w:val="20"/>
                <w:szCs w:val="20"/>
                <w:color w:val="auto"/>
              </w:rPr>
            </w:pPr>
            <w:r>
              <w:rPr>
                <w:rFonts w:ascii="Arial" w:cs="Arial" w:eastAsia="Arial" w:hAnsi="Arial"/>
                <w:sz w:val="16"/>
                <w:szCs w:val="16"/>
                <w:color w:val="auto"/>
              </w:rPr>
              <w:t>Depreciation expense and amortization of intangible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4,498</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599</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0"/>
        </w:trPr>
        <w:tc>
          <w:tcPr>
            <w:tcW w:w="840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Receivables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(8,298)</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0"/>
        </w:trPr>
        <w:tc>
          <w:tcPr>
            <w:tcW w:w="84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0"/>
        </w:trPr>
        <w:tc>
          <w:tcPr>
            <w:tcW w:w="840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1,469</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2,106</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D1D2D4"/>
            </w:tcBorders>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84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20,314</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178"/>
        </w:trPr>
        <w:tc>
          <w:tcPr>
            <w:tcW w:w="8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Expenditures for property, plant, and equipment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(11,776)</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(7,261)</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(1,120)</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Proceeds from government incentives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2,256</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maturities and sales of available-for-sale securities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701</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84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(10,119)</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178"/>
        </w:trPr>
        <w:tc>
          <w:tcPr>
            <w:tcW w:w="8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(4,626)</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Repurchases of common stock - repurchase program</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Repurchases of common stock - withholdings on employee equity awards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(545)</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Payments of dividends to shareholders</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(266)</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Proceeds from issuance of debt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840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Net cash used for financing activities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(5,912)</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78"/>
        </w:trPr>
        <w:tc>
          <w:tcPr>
            <w:tcW w:w="840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126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12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8"/>
        </w:trPr>
        <w:tc>
          <w:tcPr>
            <w:tcW w:w="84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6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60" w:type="dxa"/>
            <w:vAlign w:val="bottom"/>
            <w:gridSpan w:val="2"/>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4,288</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9,646</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7,052</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7,563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126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20" w:type="dxa"/>
            <w:vAlign w:val="bottom"/>
            <w:shd w:val="clear" w:color="auto" w:fill="D1D2D4"/>
          </w:tcPr>
          <w:p>
            <w:pPr>
              <w:spacing w:after="0"/>
              <w:rPr>
                <w:sz w:val="14"/>
                <w:szCs w:val="14"/>
                <w:color w:val="auto"/>
              </w:rPr>
            </w:pPr>
          </w:p>
        </w:tc>
        <w:tc>
          <w:tcPr>
            <w:tcW w:w="12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Non-cash acquisitions of finance lease right-of-use assets</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4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(All tabular amounts 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 Significant Accounting Policies</w:t>
      </w:r>
    </w:p>
    <w:p>
      <w:pPr>
        <w:spacing w:after="0" w:line="244"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For a discussion of our significant accounting policies, see Part II, Item 8. Financial Statements and Supplementary Data, Notes to Consolidated Financial Statements, Note 1. Significant Accounting Policies of our Annual Report on Form 10-K for the year ended August 28, 2025. There have been no changes to our significant accounting policies since our Annual Report on Form 10-K for the year ended August 28, 2025.</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12"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28, 2025.</w:t>
      </w:r>
    </w:p>
    <w:p>
      <w:pPr>
        <w:spacing w:after="0" w:line="174" w:lineRule="exact"/>
        <w:rPr>
          <w:sz w:val="20"/>
          <w:szCs w:val="20"/>
          <w:color w:val="auto"/>
        </w:rPr>
      </w:pPr>
    </w:p>
    <w:p>
      <w:pPr>
        <w:ind w:right="440"/>
        <w:spacing w:after="0" w:line="263" w:lineRule="auto"/>
        <w:rPr>
          <w:sz w:val="20"/>
          <w:szCs w:val="20"/>
          <w:color w:val="auto"/>
        </w:rPr>
      </w:pPr>
      <w:r>
        <w:rPr>
          <w:rFonts w:ascii="Arial" w:cs="Arial" w:eastAsia="Arial" w:hAnsi="Arial"/>
          <w:sz w:val="16"/>
          <w:szCs w:val="16"/>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prior-period amounts to conform to current-period presentation.</w:t>
      </w:r>
    </w:p>
    <w:p>
      <w:pPr>
        <w:spacing w:after="0" w:line="174"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Our fiscal year is the 52- or 53-week period ending on the Thursday closest to August 31. Fiscal year 2026 contains 53 weeks and fiscal year 2025 contains 52 weeks. Our fourth quarter of fiscal year 2026 contains 14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28, 2025.</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2. Recently Issued Accounting Standards</w:t>
      </w:r>
    </w:p>
    <w:p>
      <w:pPr>
        <w:spacing w:after="0" w:line="25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In December 2023, the FASB issued ASU 2023-09 (ASC Topic 740),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expanded disclosures in the Notes to Consolidated Financial Statements.</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 xml:space="preserve">In November 2024, the FASB issued ASU 2024-03 (ASC Topic 220), </w:t>
      </w: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This ASU requires disclosure of certain expenses in the notes to the financial statements. This ASU will be effective for our annual reporting for 2028 on a prospective basis, with retrospective application permitted. Adoption of this new guidance will result in expanded disclosures in the Notes to Consolidated Financial Statements.</w:t>
      </w:r>
    </w:p>
    <w:p>
      <w:pPr>
        <w:spacing w:after="0" w:line="174"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 xml:space="preserve">In September 2025, the FASB issued ASU 2025-06 (ASC Topic 350), </w:t>
      </w: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This ASU makes targeted improvements to the accounting for internal-use software and will be effective for the first quarter of 2029, with early adoption permitted. This ASU provides for adoption on a prospective basis, with retrospective or modified retrospective application permitted. We are evaluating the timing and effects of our adoption of this new guidance on our financial statements.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 xml:space="preserve">In December 2025, the FASB issued ASU 2025-10 (ASC Topic 832), </w:t>
      </w:r>
      <w:r>
        <w:rPr>
          <w:rFonts w:ascii="Arial" w:cs="Arial" w:eastAsia="Arial" w:hAnsi="Arial"/>
          <w:sz w:val="16"/>
          <w:szCs w:val="16"/>
          <w:i w:val="1"/>
          <w:iCs w:val="1"/>
          <w:color w:val="auto"/>
        </w:rPr>
        <w:t>Accounting for Government Grants Received by Business Entities</w:t>
      </w:r>
      <w:r>
        <w:rPr>
          <w:rFonts w:ascii="Arial" w:cs="Arial" w:eastAsia="Arial" w:hAnsi="Arial"/>
          <w:sz w:val="16"/>
          <w:szCs w:val="16"/>
          <w:color w:val="auto"/>
        </w:rPr>
        <w:t>. This ASU establishes the accounting and presentation for government grants received by a business entity. The ASU will be effective for the first quarter of 2030, with early adoption permitted. This ASU provides for adoption either on a modified prospective, modified retrospective, or retrospective basis. We are evaluating the timing and effects of our adoption of this new guidance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3. Variable Interest Entities</w:t>
      </w:r>
    </w:p>
    <w:p>
      <w:pPr>
        <w:spacing w:after="0" w:line="244" w:lineRule="exact"/>
        <w:rPr>
          <w:sz w:val="20"/>
          <w:szCs w:val="20"/>
          <w:color w:val="auto"/>
        </w:rPr>
      </w:pPr>
    </w:p>
    <w:p>
      <w:pPr>
        <w:ind w:left="1"/>
        <w:spacing w:after="0" w:line="268" w:lineRule="auto"/>
        <w:rPr>
          <w:sz w:val="20"/>
          <w:szCs w:val="20"/>
          <w:color w:val="auto"/>
        </w:rPr>
      </w:pPr>
      <w:r>
        <w:rPr>
          <w:rFonts w:ascii="Arial" w:cs="Arial" w:eastAsia="Arial" w:hAnsi="Arial"/>
          <w:sz w:val="16"/>
          <w:szCs w:val="16"/>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have the power to direct the activities of the Lease SPEs that most significantly impact their economic performance and, as such, we do not consolidate them. We had approximately $1.42 billion and $1.58 billion of financial lease liabilities and right-of-use assets under these arrangements as of February 26, 2026 and August 28, 2025, respectively.</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4. Cash and Investments</w:t>
      </w:r>
    </w:p>
    <w:p>
      <w:pPr>
        <w:spacing w:after="0" w:line="244" w:lineRule="exact"/>
        <w:rPr>
          <w:sz w:val="20"/>
          <w:szCs w:val="20"/>
          <w:color w:val="auto"/>
        </w:rPr>
      </w:pPr>
    </w:p>
    <w:p>
      <w:pPr>
        <w:ind w:left="1" w:right="140"/>
        <w:spacing w:after="0" w:line="282" w:lineRule="auto"/>
        <w:rPr>
          <w:sz w:val="20"/>
          <w:szCs w:val="20"/>
          <w:color w:val="auto"/>
        </w:rPr>
      </w:pPr>
      <w:r>
        <w:rPr>
          <w:rFonts w:ascii="Arial" w:cs="Arial" w:eastAsia="Arial" w:hAnsi="Arial"/>
          <w:sz w:val="16"/>
          <w:szCs w:val="16"/>
          <w:color w:val="auto"/>
        </w:rPr>
        <w:t>All of our short-term investments and long-term marketable investments were classified as available for sale as of the dates noted below. Cash and cash equivalents and the fair values of our available-for-sale securities, which approximated amortized costs, were as follows:</w:t>
      </w:r>
    </w:p>
    <w:p>
      <w:pPr>
        <w:sectPr>
          <w:pgSz w:w="11900" w:h="16838" w:orient="portrait"/>
          <w:cols w:equalWidth="0" w:num="1">
            <w:col w:w="11241"/>
          </w:cols>
          <w:pgMar w:left="319" w:top="127" w:right="339" w:bottom="1440" w:gutter="0" w:footer="0" w:header="0"/>
        </w:sectPr>
      </w:pPr>
    </w:p>
    <w:p>
      <w:pPr>
        <w:ind w:left="3381"/>
        <w:spacing w:after="0"/>
        <w:rPr>
          <w:sz w:val="20"/>
          <w:szCs w:val="20"/>
          <w:color w:val="auto"/>
        </w:rPr>
      </w:pPr>
      <w:r>
        <w:rPr>
          <w:rFonts w:ascii="Arial" w:cs="Arial" w:eastAsia="Arial" w:hAnsi="Arial"/>
          <w:sz w:val="16"/>
          <w:szCs w:val="16"/>
          <w:b w:val="1"/>
          <w:bCs w:val="1"/>
          <w:color w:val="auto"/>
        </w:rPr>
        <w:t>As of February 26, 2026</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11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Cash</w:t>
            </w:r>
          </w:p>
        </w:tc>
        <w:tc>
          <w:tcPr>
            <w:tcW w:w="1200" w:type="dxa"/>
            <w:vAlign w:val="bottom"/>
            <w:vMerge w:val="continue"/>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Marketable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3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Investments</w:t>
            </w:r>
            <w:r>
              <w:rPr>
                <w:rFonts w:ascii="Arial" w:cs="Arial" w:eastAsia="Arial" w:hAnsi="Arial"/>
                <w:sz w:val="21"/>
                <w:szCs w:val="21"/>
                <w:color w:val="auto"/>
                <w:w w:val="99"/>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6"/>
          <w:szCs w:val="16"/>
          <w:b w:val="1"/>
          <w:bCs w:val="1"/>
          <w:color w:val="auto"/>
        </w:rPr>
        <w:t>As of August 28,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165"/>
        </w:trPr>
        <w:tc>
          <w:tcPr>
            <w:tcW w:w="11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Cash</w:t>
            </w:r>
          </w:p>
        </w:tc>
        <w:tc>
          <w:tcPr>
            <w:tcW w:w="1200" w:type="dxa"/>
            <w:vAlign w:val="bottom"/>
            <w:vMerge w:val="continue"/>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Marketable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3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Investments</w:t>
            </w:r>
            <w:r>
              <w:rPr>
                <w:rFonts w:ascii="Arial" w:cs="Arial" w:eastAsia="Arial" w:hAnsi="Arial"/>
                <w:sz w:val="21"/>
                <w:szCs w:val="21"/>
                <w:color w:val="auto"/>
                <w:w w:val="99"/>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2">
            <w:col w:w="6581" w:space="100"/>
            <w:col w:w="4560"/>
          </w:cols>
          <w:pgMar w:left="319" w:top="127" w:right="339" w:bottom="1440" w:gutter="0" w:footer="0" w:header="0"/>
          <w:type w:val="continuous"/>
        </w:sectPr>
      </w:pPr>
    </w:p>
    <w:tbl>
      <w:tblPr>
        <w:tblLayout w:type="fixed"/>
        <w:tblInd w:w="1" w:type="dxa"/>
        <w:tblCellMar>
          <w:top w:w="0" w:type="dxa"/>
          <w:left w:w="0" w:type="dxa"/>
          <w:bottom w:w="0" w:type="dxa"/>
          <w:right w:w="0" w:type="dxa"/>
        </w:tblCellMar>
      </w:tblPr>
      <w:tr>
        <w:trPr>
          <w:trHeight w:val="210"/>
        </w:trPr>
        <w:tc>
          <w:tcPr>
            <w:tcW w:w="2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11,470</w:t>
            </w:r>
          </w:p>
        </w:tc>
        <w:tc>
          <w:tcPr>
            <w:tcW w:w="480" w:type="dxa"/>
            <w:vAlign w:val="bottom"/>
            <w:shd w:val="clear" w:color="auto" w:fill="D1D2D4"/>
          </w:tcPr>
          <w:p>
            <w:pPr>
              <w:jc w:val="right"/>
              <w:ind w:right="278"/>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1D2D4"/>
          </w:tcPr>
          <w:p>
            <w:pPr>
              <w:jc w:val="right"/>
              <w:ind w:right="318"/>
              <w:spacing w:after="0"/>
              <w:rPr>
                <w:sz w:val="20"/>
                <w:szCs w:val="20"/>
                <w:color w:val="auto"/>
              </w:rPr>
            </w:pPr>
            <w:r>
              <w:rPr>
                <w:rFonts w:ascii="Arial" w:cs="Arial" w:eastAsia="Arial" w:hAnsi="Arial"/>
                <w:sz w:val="16"/>
                <w:szCs w:val="16"/>
                <w:color w:val="auto"/>
              </w:rPr>
              <w:t>— $</w:t>
            </w:r>
          </w:p>
        </w:tc>
        <w:tc>
          <w:tcPr>
            <w:tcW w:w="10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11,470</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jc w:val="right"/>
              <w:ind w:right="178"/>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7,875</w:t>
            </w:r>
          </w:p>
        </w:tc>
        <w:tc>
          <w:tcPr>
            <w:tcW w:w="480" w:type="dxa"/>
            <w:vAlign w:val="bottom"/>
            <w:shd w:val="clear" w:color="auto" w:fill="D1D2D4"/>
          </w:tcPr>
          <w:p>
            <w:pPr>
              <w:jc w:val="right"/>
              <w:ind w:right="278"/>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1D2D4"/>
          </w:tcPr>
          <w:p>
            <w:pPr>
              <w:jc w:val="right"/>
              <w:ind w:right="318"/>
              <w:spacing w:after="0"/>
              <w:rPr>
                <w:sz w:val="20"/>
                <w:szCs w:val="20"/>
                <w:color w:val="auto"/>
              </w:rPr>
            </w:pPr>
            <w:r>
              <w:rPr>
                <w:rFonts w:ascii="Arial" w:cs="Arial" w:eastAsia="Arial" w:hAnsi="Arial"/>
                <w:sz w:val="16"/>
                <w:szCs w:val="16"/>
                <w:color w:val="auto"/>
              </w:rPr>
              <w:t>— $</w:t>
            </w:r>
          </w:p>
        </w:tc>
        <w:tc>
          <w:tcPr>
            <w:tcW w:w="10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line="210" w:lineRule="exact"/>
              <w:rPr>
                <w:sz w:val="20"/>
                <w:szCs w:val="20"/>
                <w:color w:val="auto"/>
              </w:rPr>
            </w:pPr>
            <w:r>
              <w:rPr>
                <w:rFonts w:ascii="Arial" w:cs="Arial" w:eastAsia="Arial" w:hAnsi="Arial"/>
                <w:sz w:val="16"/>
                <w:szCs w:val="16"/>
                <w:color w:val="auto"/>
              </w:rPr>
              <w:t>Level 1</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894</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line="210" w:lineRule="exact"/>
              <w:rPr>
                <w:sz w:val="20"/>
                <w:szCs w:val="20"/>
                <w:color w:val="auto"/>
              </w:rPr>
            </w:pPr>
            <w:r>
              <w:rPr>
                <w:rFonts w:ascii="Arial" w:cs="Arial" w:eastAsia="Arial" w:hAnsi="Arial"/>
                <w:sz w:val="16"/>
                <w:szCs w:val="16"/>
                <w:color w:val="auto"/>
              </w:rPr>
              <w:t>Level 2</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Certificates of deposit</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1,394</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1,292</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6"/>
                <w:szCs w:val="16"/>
                <w:color w:val="auto"/>
              </w:rPr>
              <w:t>Corporate bonds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Asset-backed securities</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626</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521</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6"/>
                <w:szCs w:val="16"/>
                <w:color w:val="auto"/>
              </w:rPr>
              <w:t>Government securities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auto"/>
            </w:tcBorders>
            <w:shd w:val="clear" w:color="auto" w:fill="D1D2D4"/>
          </w:tcPr>
          <w:p>
            <w:pPr>
              <w:spacing w:after="0"/>
              <w:rPr>
                <w:sz w:val="18"/>
                <w:szCs w:val="18"/>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w:t>
            </w:r>
          </w:p>
        </w:tc>
        <w:tc>
          <w:tcPr>
            <w:tcW w:w="48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1D2D4"/>
          </w:tcPr>
          <w:p>
            <w:pPr>
              <w:spacing w:after="0"/>
              <w:rPr>
                <w:sz w:val="18"/>
                <w:szCs w:val="18"/>
                <w:color w:val="auto"/>
              </w:rPr>
            </w:pPr>
          </w:p>
        </w:tc>
        <w:tc>
          <w:tcPr>
            <w:tcW w:w="380" w:type="dxa"/>
            <w:vAlign w:val="bottom"/>
            <w:tcBorders>
              <w:bottom w:val="single" w:sz="8" w:color="auto"/>
            </w:tcBorders>
            <w:shd w:val="clear" w:color="auto" w:fill="D1D2D4"/>
          </w:tcPr>
          <w:p>
            <w:pPr>
              <w:spacing w:after="0"/>
              <w:rPr>
                <w:sz w:val="18"/>
                <w:szCs w:val="18"/>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33</w:t>
            </w:r>
          </w:p>
        </w:tc>
        <w:tc>
          <w:tcPr>
            <w:tcW w:w="48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5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13,908</w:t>
            </w:r>
          </w:p>
        </w:tc>
        <w:tc>
          <w:tcPr>
            <w:tcW w:w="4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9,642</w:t>
            </w:r>
          </w:p>
        </w:tc>
        <w:tc>
          <w:tcPr>
            <w:tcW w:w="4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11,936</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340" w:type="dxa"/>
            <w:vAlign w:val="bottom"/>
            <w:tcBorders>
              <w:bottom w:val="single" w:sz="8" w:color="D1D2D4"/>
            </w:tcBorders>
          </w:tcPr>
          <w:p>
            <w:pPr>
              <w:spacing w:after="0" w:line="20" w:lineRule="exact"/>
              <w:rPr>
                <w:sz w:val="1"/>
                <w:szCs w:val="1"/>
                <w:color w:val="auto"/>
              </w:rPr>
            </w:pPr>
          </w:p>
        </w:tc>
        <w:tc>
          <w:tcPr>
            <w:tcW w:w="800" w:type="dxa"/>
            <w:vAlign w:val="bottom"/>
            <w:tcBorders>
              <w:bottom w:val="single" w:sz="8" w:color="D1D2D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20" w:type="dxa"/>
            <w:vAlign w:val="bottom"/>
            <w:shd w:val="clear" w:color="auto" w:fill="D1D2D4"/>
          </w:tcPr>
          <w:p>
            <w:pPr>
              <w:ind w:left="20"/>
              <w:spacing w:after="0" w:line="175" w:lineRule="exact"/>
              <w:rPr>
                <w:sz w:val="20"/>
                <w:szCs w:val="20"/>
                <w:color w:val="auto"/>
              </w:rPr>
            </w:pPr>
            <w:r>
              <w:rPr>
                <w:rFonts w:ascii="Arial" w:cs="Arial" w:eastAsia="Arial" w:hAnsi="Arial"/>
                <w:sz w:val="16"/>
                <w:szCs w:val="16"/>
                <w:color w:val="auto"/>
              </w:rPr>
              <w:t>Restricted cash</w:t>
            </w:r>
            <w:r>
              <w:rPr>
                <w:rFonts w:ascii="Arial" w:cs="Arial" w:eastAsia="Arial" w:hAnsi="Arial"/>
                <w:sz w:val="20"/>
                <w:szCs w:val="20"/>
                <w:color w:val="auto"/>
                <w:vertAlign w:val="superscript"/>
              </w:rPr>
              <w:t>(4)</w:t>
            </w:r>
          </w:p>
        </w:tc>
        <w:tc>
          <w:tcPr>
            <w:tcW w:w="340" w:type="dxa"/>
            <w:vAlign w:val="bottom"/>
            <w:tcBorders>
              <w:bottom w:val="single" w:sz="8" w:color="auto"/>
            </w:tcBorders>
            <w:shd w:val="clear" w:color="auto" w:fill="D1D2D4"/>
          </w:tcPr>
          <w:p>
            <w:pPr>
              <w:spacing w:after="0"/>
              <w:rPr>
                <w:sz w:val="15"/>
                <w:szCs w:val="15"/>
                <w:color w:val="auto"/>
              </w:rPr>
            </w:pPr>
          </w:p>
        </w:tc>
        <w:tc>
          <w:tcPr>
            <w:tcW w:w="800" w:type="dxa"/>
            <w:vAlign w:val="bottom"/>
            <w:tcBorders>
              <w:bottom w:val="single" w:sz="8" w:color="auto"/>
            </w:tcBorders>
            <w:shd w:val="clear" w:color="auto" w:fill="D1D2D4"/>
          </w:tcPr>
          <w:p>
            <w:pPr>
              <w:jc w:val="right"/>
              <w:spacing w:after="0" w:line="175" w:lineRule="exact"/>
              <w:rPr>
                <w:sz w:val="20"/>
                <w:szCs w:val="20"/>
                <w:color w:val="auto"/>
              </w:rPr>
            </w:pPr>
            <w:r>
              <w:rPr>
                <w:rFonts w:ascii="Arial" w:cs="Arial" w:eastAsia="Arial" w:hAnsi="Arial"/>
                <w:sz w:val="16"/>
                <w:szCs w:val="16"/>
                <w:color w:val="auto"/>
              </w:rPr>
              <w:t>26</w:t>
            </w:r>
          </w:p>
        </w:tc>
        <w:tc>
          <w:tcPr>
            <w:tcW w:w="4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520" w:type="dxa"/>
            <w:vAlign w:val="bottom"/>
            <w:shd w:val="clear" w:color="auto" w:fill="D1D2D4"/>
          </w:tcPr>
          <w:p>
            <w:pPr>
              <w:spacing w:after="0"/>
              <w:rPr>
                <w:sz w:val="15"/>
                <w:szCs w:val="15"/>
                <w:color w:val="auto"/>
              </w:rPr>
            </w:pPr>
          </w:p>
        </w:tc>
        <w:tc>
          <w:tcPr>
            <w:tcW w:w="8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66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380" w:type="dxa"/>
            <w:vAlign w:val="bottom"/>
            <w:tcBorders>
              <w:bottom w:val="single" w:sz="8" w:color="auto"/>
            </w:tcBorders>
            <w:shd w:val="clear" w:color="auto" w:fill="D1D2D4"/>
          </w:tcPr>
          <w:p>
            <w:pPr>
              <w:spacing w:after="0"/>
              <w:rPr>
                <w:sz w:val="15"/>
                <w:szCs w:val="15"/>
                <w:color w:val="auto"/>
              </w:rPr>
            </w:pPr>
          </w:p>
        </w:tc>
        <w:tc>
          <w:tcPr>
            <w:tcW w:w="760" w:type="dxa"/>
            <w:vAlign w:val="bottom"/>
            <w:tcBorders>
              <w:bottom w:val="single" w:sz="8" w:color="auto"/>
            </w:tcBorders>
            <w:shd w:val="clear" w:color="auto" w:fill="D1D2D4"/>
          </w:tcPr>
          <w:p>
            <w:pPr>
              <w:jc w:val="right"/>
              <w:spacing w:after="0" w:line="175" w:lineRule="exact"/>
              <w:rPr>
                <w:sz w:val="20"/>
                <w:szCs w:val="20"/>
                <w:color w:val="auto"/>
              </w:rPr>
            </w:pPr>
            <w:r>
              <w:rPr>
                <w:rFonts w:ascii="Arial" w:cs="Arial" w:eastAsia="Arial" w:hAnsi="Arial"/>
                <w:sz w:val="16"/>
                <w:szCs w:val="16"/>
                <w:color w:val="auto"/>
              </w:rPr>
              <w:t>4</w:t>
            </w:r>
          </w:p>
        </w:tc>
        <w:tc>
          <w:tcPr>
            <w:tcW w:w="4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520" w:type="dxa"/>
            <w:vAlign w:val="bottom"/>
            <w:shd w:val="clear" w:color="auto" w:fill="D1D2D4"/>
          </w:tcPr>
          <w:p>
            <w:pPr>
              <w:spacing w:after="0"/>
              <w:rPr>
                <w:sz w:val="15"/>
                <w:szCs w:val="15"/>
                <w:color w:val="auto"/>
              </w:rPr>
            </w:pPr>
          </w:p>
        </w:tc>
        <w:tc>
          <w:tcPr>
            <w:tcW w:w="8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6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20" w:type="dxa"/>
            <w:vAlign w:val="bottom"/>
          </w:tcPr>
          <w:p>
            <w:pPr>
              <w:ind w:left="20"/>
              <w:spacing w:after="0" w:line="148" w:lineRule="exact"/>
              <w:rPr>
                <w:sz w:val="20"/>
                <w:szCs w:val="20"/>
                <w:color w:val="auto"/>
              </w:rPr>
            </w:pPr>
            <w:r>
              <w:rPr>
                <w:rFonts w:ascii="Arial" w:cs="Arial" w:eastAsia="Arial" w:hAnsi="Arial"/>
                <w:sz w:val="16"/>
                <w:szCs w:val="16"/>
                <w:color w:val="auto"/>
              </w:rPr>
              <w:t>Cash, cash equivalents,</w:t>
            </w:r>
          </w:p>
        </w:tc>
        <w:tc>
          <w:tcPr>
            <w:tcW w:w="340" w:type="dxa"/>
            <w:vAlign w:val="bottom"/>
            <w:vMerge w:val="restart"/>
          </w:tcPr>
          <w:p>
            <w:pPr>
              <w:jc w:val="right"/>
              <w:ind w:right="138"/>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13,934</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ind w:right="178"/>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9,646</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rPr>
                <w:sz w:val="20"/>
                <w:szCs w:val="20"/>
                <w:color w:val="auto"/>
              </w:rPr>
            </w:pPr>
            <w:r>
              <w:rPr>
                <w:rFonts w:ascii="Arial" w:cs="Arial" w:eastAsia="Arial" w:hAnsi="Arial"/>
                <w:sz w:val="16"/>
                <w:szCs w:val="16"/>
                <w:color w:val="auto"/>
              </w:rPr>
              <w:t>and restricted cash</w:t>
            </w: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1" w:right="260" w:hanging="221"/>
        <w:spacing w:after="0" w:line="231" w:lineRule="auto"/>
        <w:tabs>
          <w:tab w:leader="none" w:pos="216"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maturities of long-term marketable investments primarily range from one to five years, except for asset-backed securities which are not due at a single maturity date.</w:t>
      </w:r>
    </w:p>
    <w:p>
      <w:pPr>
        <w:ind w:left="221" w:hanging="221"/>
        <w:spacing w:after="0" w:line="196" w:lineRule="auto"/>
        <w:tabs>
          <w:tab w:leader="none" w:pos="221"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i w:val="1"/>
          <w:iCs w:val="1"/>
          <w:color w:val="auto"/>
        </w:rPr>
        <w:t>The fair value of Level 1 securities is measured based on quoted prices in active markets for identical assets.</w:t>
      </w:r>
    </w:p>
    <w:p>
      <w:pPr>
        <w:ind w:left="221" w:right="140" w:hanging="221"/>
        <w:spacing w:after="0" w:line="239" w:lineRule="auto"/>
        <w:tabs>
          <w:tab w:leader="none" w:pos="216"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February 26, 2026 or August 28, 2025.</w:t>
      </w:r>
    </w:p>
    <w:p>
      <w:pPr>
        <w:spacing w:after="0" w:line="1" w:lineRule="exact"/>
        <w:rPr>
          <w:rFonts w:ascii="Arial" w:cs="Arial" w:eastAsia="Arial" w:hAnsi="Arial"/>
          <w:sz w:val="21"/>
          <w:szCs w:val="21"/>
          <w:i w:val="1"/>
          <w:iCs w:val="1"/>
          <w:color w:val="auto"/>
          <w:vertAlign w:val="superscript"/>
        </w:rPr>
      </w:pPr>
    </w:p>
    <w:p>
      <w:pPr>
        <w:ind w:left="221" w:hanging="221"/>
        <w:spacing w:after="0" w:line="199" w:lineRule="auto"/>
        <w:tabs>
          <w:tab w:leader="none" w:pos="221"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Restricted cash is included in other current assets.</w:t>
      </w:r>
    </w:p>
    <w:p>
      <w:pPr>
        <w:spacing w:after="0" w:line="204" w:lineRule="exact"/>
        <w:rPr>
          <w:sz w:val="20"/>
          <w:szCs w:val="20"/>
          <w:color w:val="auto"/>
        </w:rPr>
      </w:pPr>
    </w:p>
    <w:p>
      <w:pPr>
        <w:ind w:left="1"/>
        <w:spacing w:after="0"/>
        <w:rPr>
          <w:sz w:val="20"/>
          <w:szCs w:val="20"/>
          <w:color w:val="auto"/>
        </w:rPr>
      </w:pPr>
      <w:r>
        <w:rPr>
          <w:rFonts w:ascii="Arial" w:cs="Arial" w:eastAsia="Arial" w:hAnsi="Arial"/>
          <w:sz w:val="16"/>
          <w:szCs w:val="16"/>
          <w:color w:val="auto"/>
        </w:rPr>
        <w:t>Gross realized gains and losses from sales of available-for-sale securities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921"/>
        <w:spacing w:after="0"/>
        <w:rPr>
          <w:sz w:val="20"/>
          <w:szCs w:val="20"/>
          <w:color w:val="auto"/>
        </w:rPr>
      </w:pPr>
      <w:r>
        <w:rPr>
          <w:sz w:val="1"/>
          <w:szCs w:val="1"/>
          <w:color w:val="auto"/>
        </w:rPr>
        <w:drawing>
          <wp:inline distT="0" distB="0" distL="0" distR="0">
            <wp:extent cx="714375" cy="1492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9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type w:val="continuous"/>
        </w:sectPr>
      </w:pPr>
    </w:p>
    <w:bookmarkStart w:id="12" w:name="page13"/>
    <w:bookmarkEnd w:id="12"/>
    <w:tbl>
      <w:tblPr>
        <w:tblLayout w:type="fixed"/>
        <w:tblInd w:w="1"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9"/>
              </w:rPr>
              <w:t>Table of Contents</w:t>
            </w:r>
          </w:p>
        </w:tc>
        <w:tc>
          <w:tcPr>
            <w:tcW w:w="0" w:type="dxa"/>
            <w:vAlign w:val="bottom"/>
          </w:tcPr>
          <w:p>
            <w:pPr>
              <w:spacing w:after="0"/>
              <w:rPr>
                <w:sz w:val="1"/>
                <w:szCs w:val="1"/>
                <w:color w:val="auto"/>
              </w:rPr>
            </w:pPr>
          </w:p>
        </w:tc>
      </w:tr>
      <w:tr>
        <w:trPr>
          <w:trHeight w:val="1054"/>
        </w:trPr>
        <w:tc>
          <w:tcPr>
            <w:tcW w:w="8380" w:type="dxa"/>
            <w:vAlign w:val="bottom"/>
          </w:tcPr>
          <w:p>
            <w:pPr>
              <w:spacing w:after="0"/>
              <w:rPr>
                <w:sz w:val="20"/>
                <w:szCs w:val="20"/>
                <w:color w:val="auto"/>
              </w:rPr>
            </w:pPr>
            <w:r>
              <w:rPr>
                <w:rFonts w:ascii="Arial" w:cs="Arial" w:eastAsia="Arial" w:hAnsi="Arial"/>
                <w:sz w:val="36"/>
                <w:szCs w:val="36"/>
                <w:b w:val="1"/>
                <w:bCs w:val="1"/>
                <w:color w:val="auto"/>
              </w:rPr>
              <w:t>Note 5. Receivables</w:t>
            </w:r>
          </w:p>
        </w:tc>
        <w:tc>
          <w:tcPr>
            <w:tcW w:w="160" w:type="dxa"/>
            <w:vAlign w:val="bottom"/>
          </w:tcPr>
          <w:p>
            <w:pPr>
              <w:spacing w:after="0"/>
              <w:rPr>
                <w:sz w:val="24"/>
                <w:szCs w:val="24"/>
                <w:color w:val="auto"/>
              </w:rPr>
            </w:pPr>
          </w:p>
        </w:tc>
        <w:tc>
          <w:tcPr>
            <w:tcW w:w="1280" w:type="dxa"/>
            <w:vAlign w:val="bottom"/>
            <w:vMerge w:val="restart"/>
          </w:tcPr>
          <w:p>
            <w:pPr>
              <w:jc w:val="center"/>
              <w:ind w:right="98"/>
              <w:spacing w:after="0"/>
              <w:rPr>
                <w:sz w:val="20"/>
                <w:szCs w:val="20"/>
                <w:color w:val="auto"/>
              </w:rPr>
            </w:pPr>
            <w:r>
              <w:rPr>
                <w:rFonts w:ascii="Arial" w:cs="Arial" w:eastAsia="Arial" w:hAnsi="Arial"/>
                <w:sz w:val="16"/>
                <w:szCs w:val="16"/>
                <w:b w:val="1"/>
                <w:bCs w:val="1"/>
                <w:color w:val="auto"/>
              </w:rPr>
              <w:t>February 26,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BD03F7"/>
            </w:tcBorders>
            <w:vMerge w:val="restart"/>
          </w:tcPr>
          <w:p>
            <w:pPr>
              <w:jc w:val="center"/>
              <w:ind w:right="7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146"/>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5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Trade receivables</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15,389</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7,163</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Government incentives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1,359</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and other taxes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470</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17,314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36"/>
                <w:szCs w:val="36"/>
                <w:b w:val="1"/>
                <w:bCs w:val="1"/>
                <w:color w:val="auto"/>
              </w:rPr>
              <w:t>Note 6. Inventories</w:t>
            </w: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8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center"/>
              <w:ind w:right="98"/>
              <w:spacing w:after="0"/>
              <w:rPr>
                <w:sz w:val="20"/>
                <w:szCs w:val="20"/>
                <w:color w:val="auto"/>
              </w:rPr>
            </w:pPr>
            <w:r>
              <w:rPr>
                <w:rFonts w:ascii="Arial" w:cs="Arial" w:eastAsia="Arial" w:hAnsi="Arial"/>
                <w:sz w:val="16"/>
                <w:szCs w:val="16"/>
                <w:b w:val="1"/>
                <w:bCs w:val="1"/>
                <w:color w:val="auto"/>
              </w:rPr>
              <w:t>February 26,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vMerge w:val="restart"/>
          </w:tcPr>
          <w:p>
            <w:pPr>
              <w:jc w:val="center"/>
              <w:ind w:right="7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138"/>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5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6,514</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941</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8,355</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36"/>
                <w:szCs w:val="36"/>
                <w:b w:val="1"/>
                <w:bCs w:val="1"/>
                <w:color w:val="auto"/>
              </w:rPr>
              <w:t>Note 7. Property, Plant, and Equipment</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8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center"/>
              <w:ind w:right="98"/>
              <w:spacing w:after="0"/>
              <w:rPr>
                <w:sz w:val="20"/>
                <w:szCs w:val="20"/>
                <w:color w:val="auto"/>
              </w:rPr>
            </w:pPr>
            <w:r>
              <w:rPr>
                <w:rFonts w:ascii="Arial" w:cs="Arial" w:eastAsia="Arial" w:hAnsi="Arial"/>
                <w:sz w:val="16"/>
                <w:szCs w:val="16"/>
                <w:b w:val="1"/>
                <w:bCs w:val="1"/>
                <w:color w:val="auto"/>
              </w:rPr>
              <w:t>February 26,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vMerge w:val="restart"/>
          </w:tcPr>
          <w:p>
            <w:pPr>
              <w:jc w:val="center"/>
              <w:ind w:right="7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138"/>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5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420</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23,305</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22,173</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line="210" w:lineRule="exact"/>
              <w:rPr>
                <w:sz w:val="20"/>
                <w:szCs w:val="20"/>
                <w:color w:val="auto"/>
              </w:rPr>
            </w:pPr>
            <w:r>
              <w:rPr>
                <w:rFonts w:ascii="Arial" w:cs="Arial" w:eastAsia="Arial" w:hAnsi="Arial"/>
                <w:sz w:val="16"/>
                <w:szCs w:val="16"/>
                <w:color w:val="auto"/>
              </w:rPr>
              <w:t>Equipment</w:t>
            </w:r>
            <w:r>
              <w:rPr>
                <w:rFonts w:ascii="Arial" w:cs="Arial" w:eastAsia="Arial" w:hAnsi="Arial"/>
                <w:sz w:val="21"/>
                <w:szCs w:val="21"/>
                <w:color w:val="auto"/>
                <w:vertAlign w:val="superscript"/>
              </w:rPr>
              <w:t>(1)</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85,321</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79,934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line="210" w:lineRule="exact"/>
              <w:rPr>
                <w:sz w:val="20"/>
                <w:szCs w:val="20"/>
                <w:color w:val="auto"/>
              </w:rPr>
            </w:pPr>
            <w:r>
              <w:rPr>
                <w:rFonts w:ascii="Arial" w:cs="Arial" w:eastAsia="Arial" w:hAnsi="Arial"/>
                <w:sz w:val="16"/>
                <w:szCs w:val="16"/>
                <w:color w:val="auto"/>
              </w:rPr>
              <w:t>Construction in progress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7,485</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Software</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1,764</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118,295</w:t>
            </w:r>
          </w:p>
        </w:tc>
        <w:tc>
          <w:tcPr>
            <w:tcW w:w="1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109,696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(66,887)</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(63,106)</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221" w:hanging="221"/>
        <w:spacing w:after="0"/>
        <w:tabs>
          <w:tab w:leader="none" w:pos="221"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costs related to equipment not placed into service of $3.93 billion as of February 26, 2026 and $4.05 billion as of August 28, 2025.</w:t>
      </w:r>
    </w:p>
    <w:p>
      <w:pPr>
        <w:ind w:left="221" w:hanging="221"/>
        <w:spacing w:after="0" w:line="199" w:lineRule="auto"/>
        <w:tabs>
          <w:tab w:leader="none" w:pos="221"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Primarily includes building-related construction and tool installation.</w:t>
      </w:r>
    </w:p>
    <w:p>
      <w:pPr>
        <w:spacing w:after="0" w:line="204" w:lineRule="exact"/>
        <w:rPr>
          <w:sz w:val="20"/>
          <w:szCs w:val="20"/>
          <w:color w:val="auto"/>
        </w:rPr>
      </w:pPr>
    </w:p>
    <w:p>
      <w:pPr>
        <w:ind w:left="1" w:right="140"/>
        <w:spacing w:after="0" w:line="279" w:lineRule="auto"/>
        <w:rPr>
          <w:sz w:val="20"/>
          <w:szCs w:val="20"/>
          <w:color w:val="auto"/>
        </w:rPr>
      </w:pPr>
      <w:r>
        <w:rPr>
          <w:rFonts w:ascii="Arial" w:cs="Arial" w:eastAsia="Arial" w:hAnsi="Arial"/>
          <w:sz w:val="16"/>
          <w:szCs w:val="16"/>
          <w:color w:val="auto"/>
        </w:rPr>
        <w:t>On November 19, 2025, we finalized an incentive arrangement for the enhancement and modernization of our Singapore manufacturing facilities, under which we will receive government support for qualified capital spending and labor costs. The incentive arrangement may be subject to reduction, recapture, or termination if certain conditions are not met. Terms and conditions are subject to the confidentiality provisions of the incentive arrangement.</w:t>
      </w:r>
    </w:p>
    <w:p>
      <w:pPr>
        <w:spacing w:after="0" w:line="174" w:lineRule="exact"/>
        <w:rPr>
          <w:sz w:val="20"/>
          <w:szCs w:val="20"/>
          <w:color w:val="auto"/>
        </w:rPr>
      </w:pPr>
    </w:p>
    <w:p>
      <w:pPr>
        <w:ind w:left="1" w:right="680"/>
        <w:spacing w:after="0" w:line="301" w:lineRule="auto"/>
        <w:rPr>
          <w:sz w:val="20"/>
          <w:szCs w:val="20"/>
          <w:color w:val="auto"/>
        </w:rPr>
      </w:pPr>
      <w:r>
        <w:rPr>
          <w:rFonts w:ascii="Arial" w:cs="Arial" w:eastAsia="Arial" w:hAnsi="Arial"/>
          <w:sz w:val="16"/>
          <w:szCs w:val="16"/>
          <w:color w:val="auto"/>
        </w:rPr>
        <w:t>On March 15, 2026, we completed the acquisition of a wafer fabrication facility in Tongluo, Miaoli County, Taiwan, from Powerchip Semiconductor Manufacturing Corporation for cash consideration to be paid in installments totaling $1.8 billion.</w:t>
      </w: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13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69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8. Accounts Payable and Accrued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3,387</w:t>
            </w:r>
          </w:p>
        </w:tc>
        <w:tc>
          <w:tcPr>
            <w:tcW w:w="2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Salaries, wages, and benefits</w:t>
            </w: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1,089</w:t>
            </w:r>
          </w:p>
        </w:tc>
        <w:tc>
          <w:tcPr>
            <w:tcW w:w="24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Income and other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282</w:t>
            </w:r>
          </w:p>
        </w:tc>
        <w:tc>
          <w:tcPr>
            <w:tcW w:w="240" w:type="dxa"/>
            <w:vAlign w:val="bottom"/>
            <w:tcBorders>
              <w:bottom w:val="single" w:sz="8" w:color="auto"/>
            </w:tcBorders>
            <w:shd w:val="clear" w:color="auto" w:fill="D1D2D4"/>
          </w:tcPr>
          <w:p>
            <w:pPr>
              <w:spacing w:after="0"/>
              <w:rPr>
                <w:sz w:val="18"/>
                <w:szCs w:val="18"/>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10,997</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9.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As of February 26, 2026</w:t>
            </w: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38"/>
              <w:spacing w:after="0"/>
              <w:rPr>
                <w:sz w:val="20"/>
                <w:szCs w:val="20"/>
                <w:color w:val="auto"/>
              </w:rPr>
            </w:pPr>
            <w:r>
              <w:rPr>
                <w:rFonts w:ascii="Arial" w:cs="Arial" w:eastAsia="Arial" w:hAnsi="Arial"/>
                <w:sz w:val="16"/>
                <w:szCs w:val="16"/>
                <w:b w:val="1"/>
                <w:bCs w:val="1"/>
                <w:color w:val="auto"/>
              </w:rPr>
              <w:t>As of August 28, 2025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Effective</w:t>
            </w: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438"/>
              <w:spacing w:after="0"/>
              <w:rPr>
                <w:sz w:val="20"/>
                <w:szCs w:val="20"/>
                <w:color w:val="auto"/>
              </w:rPr>
            </w:pPr>
            <w:r>
              <w:rPr>
                <w:rFonts w:ascii="Arial" w:cs="Arial" w:eastAsia="Arial" w:hAnsi="Arial"/>
                <w:sz w:val="16"/>
                <w:szCs w:val="16"/>
                <w:b w:val="1"/>
                <w:bCs w:val="1"/>
                <w:color w:val="auto"/>
              </w:rPr>
              <w:t>Net Carrying 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58"/>
              <w:spacing w:after="0"/>
              <w:rPr>
                <w:sz w:val="20"/>
                <w:szCs w:val="20"/>
                <w:color w:val="auto"/>
              </w:rPr>
            </w:pPr>
            <w:r>
              <w:rPr>
                <w:rFonts w:ascii="Arial" w:cs="Arial" w:eastAsia="Arial" w:hAnsi="Arial"/>
                <w:sz w:val="16"/>
                <w:szCs w:val="16"/>
                <w:b w:val="1"/>
                <w:bCs w:val="1"/>
                <w:color w:val="auto"/>
              </w:rPr>
              <w:t>Net Carrying Amount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4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Stated Rate</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rPr>
              <w:t>Current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Long-Term</w:t>
            </w:r>
          </w:p>
        </w:tc>
        <w:tc>
          <w:tcPr>
            <w:tcW w:w="18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2"/>
                <w:szCs w:val="12"/>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rPr>
              <w:t>Current</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2"/>
                <w:szCs w:val="12"/>
                <w:color w:val="auto"/>
              </w:rPr>
            </w:pPr>
          </w:p>
        </w:tc>
        <w:tc>
          <w:tcPr>
            <w:tcW w:w="70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8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Rate</w:t>
            </w:r>
          </w:p>
        </w:tc>
        <w:tc>
          <w:tcPr>
            <w:tcW w:w="7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2031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5.300 %</w:t>
            </w: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5.41 % $</w:t>
            </w:r>
          </w:p>
        </w:tc>
        <w:tc>
          <w:tcPr>
            <w:tcW w:w="1160" w:type="dxa"/>
            <w:vAlign w:val="bottom"/>
            <w:gridSpan w:val="2"/>
            <w:shd w:val="clear" w:color="auto" w:fill="D1D2D4"/>
          </w:tcPr>
          <w:p>
            <w:pPr>
              <w:jc w:val="right"/>
              <w:ind w:right="198"/>
              <w:spacing w:after="0"/>
              <w:rPr>
                <w:sz w:val="20"/>
                <w:szCs w:val="20"/>
                <w:color w:val="auto"/>
              </w:rPr>
            </w:pPr>
            <w:r>
              <w:rPr>
                <w:rFonts w:ascii="Arial" w:cs="Arial" w:eastAsia="Arial" w:hAnsi="Arial"/>
                <w:sz w:val="16"/>
                <w:szCs w:val="16"/>
                <w:color w:val="auto"/>
              </w:rPr>
              <w:t>— $</w:t>
            </w: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2032 Green Bonds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2.703 %</w:t>
            </w:r>
          </w:p>
        </w:tc>
        <w:tc>
          <w:tcPr>
            <w:tcW w:w="940" w:type="dxa"/>
            <w:vAlign w:val="bottom"/>
          </w:tcPr>
          <w:p>
            <w:pPr>
              <w:jc w:val="right"/>
              <w:spacing w:after="0"/>
              <w:rPr>
                <w:sz w:val="20"/>
                <w:szCs w:val="20"/>
                <w:color w:val="auto"/>
              </w:rPr>
            </w:pPr>
            <w:r>
              <w:rPr>
                <w:rFonts w:ascii="Arial" w:cs="Arial" w:eastAsia="Arial" w:hAnsi="Arial"/>
                <w:sz w:val="16"/>
                <w:szCs w:val="16"/>
                <w:color w:val="auto"/>
              </w:rPr>
              <w:t>2.77 %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2032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5.650 %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5.79 %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2033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5.875 %</w:t>
            </w:r>
          </w:p>
        </w:tc>
        <w:tc>
          <w:tcPr>
            <w:tcW w:w="940" w:type="dxa"/>
            <w:vAlign w:val="bottom"/>
          </w:tcPr>
          <w:p>
            <w:pPr>
              <w:jc w:val="right"/>
              <w:spacing w:after="0"/>
              <w:rPr>
                <w:sz w:val="20"/>
                <w:szCs w:val="20"/>
                <w:color w:val="auto"/>
              </w:rPr>
            </w:pPr>
            <w:r>
              <w:rPr>
                <w:rFonts w:ascii="Arial" w:cs="Arial" w:eastAsia="Arial" w:hAnsi="Arial"/>
                <w:sz w:val="16"/>
                <w:szCs w:val="16"/>
                <w:color w:val="auto"/>
              </w:rPr>
              <w:t>5.96 %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2033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5.875 %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6.01 %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2035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5.800 %</w:t>
            </w:r>
          </w:p>
        </w:tc>
        <w:tc>
          <w:tcPr>
            <w:tcW w:w="940" w:type="dxa"/>
            <w:vAlign w:val="bottom"/>
          </w:tcPr>
          <w:p>
            <w:pPr>
              <w:jc w:val="right"/>
              <w:spacing w:after="0"/>
              <w:rPr>
                <w:sz w:val="20"/>
                <w:szCs w:val="20"/>
                <w:color w:val="auto"/>
              </w:rPr>
            </w:pPr>
            <w:r>
              <w:rPr>
                <w:rFonts w:ascii="Arial" w:cs="Arial" w:eastAsia="Arial" w:hAnsi="Arial"/>
                <w:sz w:val="16"/>
                <w:szCs w:val="16"/>
                <w:color w:val="auto"/>
              </w:rPr>
              <w:t>5.90 %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2035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6.050 %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6.14 %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99"/>
              </w:rPr>
              <w:t>1,241</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2041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3.366 %</w:t>
            </w:r>
          </w:p>
        </w:tc>
        <w:tc>
          <w:tcPr>
            <w:tcW w:w="940" w:type="dxa"/>
            <w:vAlign w:val="bottom"/>
          </w:tcPr>
          <w:p>
            <w:pPr>
              <w:jc w:val="right"/>
              <w:spacing w:after="0"/>
              <w:rPr>
                <w:sz w:val="20"/>
                <w:szCs w:val="20"/>
                <w:color w:val="auto"/>
              </w:rPr>
            </w:pPr>
            <w:r>
              <w:rPr>
                <w:rFonts w:ascii="Arial" w:cs="Arial" w:eastAsia="Arial" w:hAnsi="Arial"/>
                <w:sz w:val="16"/>
                <w:szCs w:val="16"/>
                <w:color w:val="auto"/>
              </w:rPr>
              <w:t>3.41 %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2051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3.477 %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3.52 %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486</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2028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5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2029 Term Loan A</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N/A</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8"/>
                <w:szCs w:val="18"/>
                <w:color w:val="auto"/>
              </w:rPr>
            </w:pP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982</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2029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5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2029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N/A</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1D2D4"/>
          </w:tcPr>
          <w:p>
            <w:pPr>
              <w:spacing w:after="0"/>
              <w:rPr>
                <w:sz w:val="18"/>
                <w:szCs w:val="18"/>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8"/>
                <w:szCs w:val="18"/>
                <w:color w:val="auto"/>
              </w:rPr>
            </w:pP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2030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5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0"/>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Finance lease obligations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4.73 %</w:t>
            </w:r>
          </w:p>
        </w:tc>
        <w:tc>
          <w:tcPr>
            <w:tcW w:w="140" w:type="dxa"/>
            <w:vAlign w:val="bottom"/>
            <w:tcBorders>
              <w:bottom w:val="single" w:sz="8" w:color="auto"/>
            </w:tcBorders>
            <w:shd w:val="clear" w:color="auto" w:fill="D1D2D4"/>
          </w:tcPr>
          <w:p>
            <w:pPr>
              <w:spacing w:after="0"/>
              <w:rPr>
                <w:sz w:val="18"/>
                <w:szCs w:val="18"/>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585</w:t>
            </w:r>
          </w:p>
        </w:tc>
        <w:tc>
          <w:tcPr>
            <w:tcW w:w="420" w:type="dxa"/>
            <w:vAlign w:val="bottom"/>
            <w:tcBorders>
              <w:bottom w:val="single" w:sz="8" w:color="auto"/>
            </w:tcBorders>
            <w:shd w:val="clear" w:color="auto" w:fill="D1D2D4"/>
          </w:tcPr>
          <w:p>
            <w:pPr>
              <w:spacing w:after="0"/>
              <w:rPr>
                <w:sz w:val="18"/>
                <w:szCs w:val="18"/>
                <w:color w:val="auto"/>
              </w:rPr>
            </w:pPr>
          </w:p>
        </w:tc>
        <w:tc>
          <w:tcPr>
            <w:tcW w:w="5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99"/>
              </w:rPr>
              <w:t>2,215</w:t>
            </w:r>
          </w:p>
        </w:tc>
        <w:tc>
          <w:tcPr>
            <w:tcW w:w="180" w:type="dxa"/>
            <w:vAlign w:val="bottom"/>
            <w:tcBorders>
              <w:bottom w:val="single" w:sz="8" w:color="auto"/>
            </w:tcBorders>
            <w:shd w:val="clear" w:color="auto" w:fill="D1D2D4"/>
          </w:tcPr>
          <w:p>
            <w:pPr>
              <w:spacing w:after="0"/>
              <w:rPr>
                <w:sz w:val="18"/>
                <w:szCs w:val="18"/>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2,800</w:t>
            </w:r>
          </w:p>
        </w:tc>
        <w:tc>
          <w:tcPr>
            <w:tcW w:w="100" w:type="dxa"/>
            <w:vAlign w:val="bottom"/>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2,484</w:t>
            </w:r>
          </w:p>
        </w:tc>
        <w:tc>
          <w:tcPr>
            <w:tcW w:w="200" w:type="dxa"/>
            <w:vAlign w:val="bottom"/>
            <w:tcBorders>
              <w:bottom w:val="single" w:sz="8" w:color="auto"/>
            </w:tcBorders>
            <w:shd w:val="clear" w:color="auto" w:fill="D1D2D4"/>
          </w:tcPr>
          <w:p>
            <w:pPr>
              <w:spacing w:after="0"/>
              <w:rPr>
                <w:sz w:val="18"/>
                <w:szCs w:val="18"/>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3,044</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4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9,557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As of February 26, 2026, the fair value of our outstanding debt instruments approximated the carrying value of our debt. The fair value of our debt instruments was estimated based on Level 2 inputs, including the trading price of our notes when available, discounted cash flows, and interest rates based on similar debt issued by parties with credit ratings similar to ours.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Activity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effects of debt prepayment activity in the first six months of 2026: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76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Transaction Date</w:t>
            </w:r>
          </w:p>
        </w:tc>
        <w:tc>
          <w:tcPr>
            <w:tcW w:w="180" w:type="dxa"/>
            <w:vAlign w:val="bottom"/>
          </w:tcPr>
          <w:p>
            <w:pPr>
              <w:spacing w:after="0"/>
              <w:rPr>
                <w:sz w:val="16"/>
                <w:szCs w:val="16"/>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b w:val="1"/>
                <w:bCs w:val="1"/>
                <w:color w:val="auto"/>
              </w:rPr>
              <w:t>Decrease in</w:t>
            </w:r>
          </w:p>
        </w:tc>
        <w:tc>
          <w:tcPr>
            <w:tcW w:w="120" w:type="dxa"/>
            <w:vAlign w:val="bottom"/>
          </w:tcPr>
          <w:p>
            <w:pPr>
              <w:spacing w:after="0"/>
              <w:rPr>
                <w:sz w:val="16"/>
                <w:szCs w:val="16"/>
                <w:color w:val="auto"/>
              </w:rPr>
            </w:pPr>
          </w:p>
        </w:tc>
        <w:tc>
          <w:tcPr>
            <w:tcW w:w="1320" w:type="dxa"/>
            <w:vAlign w:val="bottom"/>
          </w:tcPr>
          <w:p>
            <w:pPr>
              <w:jc w:val="right"/>
              <w:ind w:right="178"/>
              <w:spacing w:after="0"/>
              <w:rPr>
                <w:sz w:val="20"/>
                <w:szCs w:val="20"/>
                <w:color w:val="auto"/>
              </w:rPr>
            </w:pPr>
            <w:r>
              <w:rPr>
                <w:rFonts w:ascii="Arial" w:cs="Arial" w:eastAsia="Arial" w:hAnsi="Arial"/>
                <w:sz w:val="16"/>
                <w:szCs w:val="16"/>
                <w:b w:val="1"/>
                <w:bCs w:val="1"/>
                <w:color w:val="auto"/>
              </w:rPr>
              <w:t>Decrease in</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Decrease in Cash</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Principal</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Carrying Value</w:t>
            </w:r>
          </w:p>
        </w:tc>
        <w:tc>
          <w:tcPr>
            <w:tcW w:w="14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Prepayments</w:t>
            </w:r>
          </w:p>
        </w:tc>
        <w:tc>
          <w:tcPr>
            <w:tcW w:w="37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spacing w:after="0"/>
              <w:rPr>
                <w:sz w:val="18"/>
                <w:szCs w:val="18"/>
                <w:color w:val="auto"/>
              </w:rPr>
            </w:pPr>
          </w:p>
        </w:tc>
        <w:tc>
          <w:tcPr>
            <w:tcW w:w="50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2028</w:t>
            </w:r>
          </w:p>
        </w:tc>
        <w:tc>
          <w:tcPr>
            <w:tcW w:w="2680" w:type="dxa"/>
            <w:vAlign w:val="bottom"/>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October 24, 2025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(541)</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B 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October 24, 2025</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50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tcPr>
          <w:p>
            <w:pPr>
              <w:ind w:left="20"/>
              <w:spacing w:after="0"/>
              <w:rPr>
                <w:sz w:val="20"/>
                <w:szCs w:val="20"/>
                <w:color w:val="auto"/>
              </w:rPr>
            </w:pPr>
            <w:r>
              <w:rPr>
                <w:rFonts w:ascii="Arial" w:cs="Arial" w:eastAsia="Arial" w:hAnsi="Arial"/>
                <w:sz w:val="16"/>
                <w:szCs w:val="16"/>
                <w:color w:val="auto"/>
              </w:rPr>
              <w:t>Term Loan A</w:t>
            </w:r>
          </w:p>
        </w:tc>
        <w:tc>
          <w:tcPr>
            <w:tcW w:w="3760" w:type="dxa"/>
            <w:vAlign w:val="bottom"/>
          </w:tcPr>
          <w:p>
            <w:pPr>
              <w:ind w:left="1740"/>
              <w:spacing w:after="0"/>
              <w:rPr>
                <w:sz w:val="20"/>
                <w:szCs w:val="20"/>
                <w:color w:val="auto"/>
              </w:rPr>
            </w:pPr>
            <w:r>
              <w:rPr>
                <w:rFonts w:ascii="Arial" w:cs="Arial" w:eastAsia="Arial" w:hAnsi="Arial"/>
                <w:sz w:val="16"/>
                <w:szCs w:val="16"/>
                <w:color w:val="auto"/>
              </w:rPr>
              <w:t>October 27, 2025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(982)</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2051</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January 23, 2026</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50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tcPr>
          <w:p>
            <w:pPr>
              <w:ind w:left="20"/>
              <w:spacing w:after="0"/>
              <w:rPr>
                <w:sz w:val="20"/>
                <w:szCs w:val="20"/>
                <w:color w:val="auto"/>
              </w:rPr>
            </w:pPr>
            <w:r>
              <w:rPr>
                <w:rFonts w:ascii="Arial" w:cs="Arial" w:eastAsia="Arial" w:hAnsi="Arial"/>
                <w:sz w:val="16"/>
                <w:szCs w:val="16"/>
                <w:color w:val="auto"/>
              </w:rPr>
              <w:t>A 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February 20,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(698)</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2030</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February 23, 2026</w:t>
            </w:r>
          </w:p>
        </w:tc>
        <w:tc>
          <w:tcPr>
            <w:tcW w:w="18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auto"/>
            </w:tcBorders>
            <w:shd w:val="clear" w:color="auto" w:fill="D1D2D4"/>
          </w:tcPr>
          <w:p>
            <w:pPr>
              <w:spacing w:after="0"/>
              <w:rPr>
                <w:sz w:val="18"/>
                <w:szCs w:val="18"/>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(794)</w:t>
            </w:r>
          </w:p>
        </w:tc>
        <w:tc>
          <w:tcPr>
            <w:tcW w:w="50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In connection with these prepayments, we recognized losses in other non-operating income (expense) of $47 million and $177 million for the second quarter and first six months of 2026,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Facility</w:t>
      </w:r>
    </w:p>
    <w:p>
      <w:pPr>
        <w:spacing w:after="0" w:line="224"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As of February 26, 2026, no amounts were outstanding under the Revolving Credit Facility, and $3.50 billion was available to us. Under the Revolving Credit Facility, borrowing would generally bear interest at a rate equal to adjusted term SOFR plus 0.875% to 1.50%, depending on our corporate credit ratings. Any amounts outstanding under the Revolving Credit Facility would mature on March 12, 2030 and amounts borrowed may be prepaid without penalty. Any obligations under the Revolving Credit Facility would be unsecured.</w:t>
      </w:r>
    </w:p>
    <w:p>
      <w:pPr>
        <w:spacing w:after="0" w:line="180"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The Revolving Credit Facility requires us to maintain, on a consolidated basis, a net leverage ratio of total net indebtedness to adjusted EBITDA, as defined in the Revolving Credit Facility agreement and calculated as of the last day of each fiscal quarter, not to exceed 3.25 to 1.00, subject to a temporary four fiscal quarter increase in such maximum ratio to 3.75 to 1.00 following certain material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10. Contingencies</w:t>
      </w:r>
    </w:p>
    <w:p>
      <w:pPr>
        <w:spacing w:after="0" w:line="2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Matters</w:t>
      </w:r>
    </w:p>
    <w:p>
      <w:pPr>
        <w:spacing w:after="0" w:line="23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April 28, 2021, Netlist, Inc. (“Netlist”) filed two patent infringement actions against Micron, Micron Semiconductor Products, Inc. (“MSP”), and Micron Technology Texas, LLC (“MTEC”) in the U.S. District Court for the Western District of Texas (“W.D. Tex.”).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(Deutschland) GmbH (“MSG”) in Düsseldorf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patents—U.S. Patent No. 7,619,912 (“the ‘912 patent”) and U.S. Patent No. 11,093,417 (“the ‘417 patent”)—and found that Micron should pay $ 425 million for infringement of the ‘912 patent and $20 million for infringement of the ‘417 patent. On July 9, 2025, Micron filed a notice that it will appeal the judgment.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May 19, 2025, Netlist filed a complaint against Micron, MSP, and MTEC in E.D. Tex. alleging that one U.S. patent is infringed by our HBM products. On July 8, 2025, Netlist amended the complaint to allege that one additional U.S. patent is infringed by certain of our DIMMs. On March 6, 2026, the E.D. Tex. transferred the case to the United States District Court for the District of Delaware (“D. Del.”) pursuant to a motion by Micron to dismiss or transfer for improper venue. On July 28, 2025, Netlist filed an additional complaint against Micron, MSP, and MTEC in E.D. Tex. alleging that one U.S. patent is infringed by certain of our DIMMs. These complaints seek damages, attorneys’ fees, and other equitable relief.</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On January 23, 2023, Besang Inc. filed a patent infringement complaint against Micron in E.D. Tex. The complaint alleges that one U.S. patent is infringed by certain of our 3D NAND and SSD products. The complaint seeks an injunction, damages, attorneys’ fees, and costs. On September 17, 2025, the District Court issued a judgment that the accused products do not infringe the asserted patent. On October 17, 2025, Besang filed a notice that it will appeal the District Court’s judgment.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2023, Yangtze Memory Technologies Company, Ltd. (“YMTC”) filed a patent infringement complaint against Micron and one of its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the U.S. District Court for the Northern District of California (“N.D. Cal.”). The complaint alleges that eight U.S. patents are infringed by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3D NAND products. The complaint seeks an injunction, damages, attorneys’ fees, and costs. On January 22, 2024, Micron Semiconductor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(Shanghai) Co., Ltd. (“MSS”) was served with three patent infringement complaints filed by YMTC in Beijing Intellectual Property Court and 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2024, Micron was served with the same complaints. The complaints assert that Micron and MSS infringed three Chinese patents owned by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YMTC by importing, selling, offering for sale, and assisting others to sell certain 3D NAND products and SSDs in China. The complaint seeks 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injunction, damages, attorneys’ fees, and costs. On July 12, 2024, YMTC filed a second complaint against Micron and its subsidiary in N.D. Cal.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complaint alleges that eleven U.S. patents are infringed by certain of our 3D NAND and DDR5 DRAM products. The complaint seeks 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injunction, damages, attorneys’ fees, and costs. On September 11, 2024, MSS was served with five patent infringement complaints filed by YMTC in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Shanghai Intellectual Property Court. The complaints assert that Micron and MSS infringed five Chinese patents owned by YMTC by importing, selling,</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offering for sale, and assisting others to sell certain 3D NAND products and SSDs in China. The complaint seeks an injunction, damages, attorneys’ fees,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and costs.</w:t>
      </w:r>
    </w:p>
    <w:p>
      <w:pPr>
        <w:spacing w:after="0" w:line="22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On October 6, 2025, YMTC filed several patent infringement complaints against Micron and certain of its subsidiaries alleging that the Company’s manufacture, importation, sale, offering for sale, and/or assisting others to sell certain NAND and DRAM products infringe certain patents owned by YMTC. Specifically, YMTC filed the following complaints: A patent infringement complaint against Micron, MSP, and MTEC in E.D. Tex. alleging that seven patents are infringed by certain of our 3D NAND products and one patent is infringed by certain of our LPDRAM products; a patent infringement complaint in the London Chancery Division of the English High Court against Micron and Micron Europe Limited (“MEL”) alleging that three patents are infringed by certain of our NAND and DRAM products; three complaints against Micron and various combinations of subsidiaries, including MEL, MSP, MSG, and Micron Semiconductor France SAS in the Unified Patent Court in Dusseldorf, Germany, alleging that three patents are infringed by certain of our 3D NAND and LPDRAM products; and five complaints against Micron, MEL, and MSG in Munich Regional Court in Munich, Germany, alleging that five patents are infringed by certain of our 3D NAND products. Each of the complaints filed against us by YMTC on October 6, 2025, seeks an injunction, attorneys’ fees, damages, and costs.</w:t>
      </w:r>
    </w:p>
    <w:p>
      <w:pPr>
        <w:spacing w:after="0" w:line="192" w:lineRule="exact"/>
        <w:rPr>
          <w:sz w:val="20"/>
          <w:szCs w:val="20"/>
          <w:color w:val="auto"/>
        </w:rPr>
      </w:pPr>
    </w:p>
    <w:p>
      <w:pPr>
        <w:jc w:val="both"/>
        <w:ind w:right="160"/>
        <w:spacing w:after="0" w:line="279" w:lineRule="auto"/>
        <w:rPr>
          <w:sz w:val="20"/>
          <w:szCs w:val="20"/>
          <w:color w:val="auto"/>
        </w:rPr>
      </w:pPr>
      <w:r>
        <w:rPr>
          <w:rFonts w:ascii="Arial" w:cs="Arial" w:eastAsia="Arial" w:hAnsi="Arial"/>
          <w:sz w:val="16"/>
          <w:szCs w:val="16"/>
          <w:color w:val="auto"/>
        </w:rPr>
        <w:t>On October 16, 2024, Palisade Technologies, LLP (“Palisade”) filed a patent infringement complaint against Micron and MSP in W.D. Tex. The complaint alleges that five U.S. patents are infringed by certain of our DRAM, NAND, 3D NAND, and SSD products. The complaint seeks an injunction, damages, attorneys’ fees, and costs. On January 26, 2026, the complaint was dismissed by the court pursuant to a joint request by Palisade and Micron.</w:t>
      </w:r>
    </w:p>
    <w:p>
      <w:pPr>
        <w:spacing w:after="0" w:line="17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June 30, 2025, Advanced Memory Technologies, LLC (“AMT”) filed a patent infringement complaint against Micron in W.D. Tex. alleging that four U.S. patents are infringed by certain of our DRAM and NAND products. On November 4, 2025, AMT amended the complaint to allege that a fifth patent is infringed by certain of our DRAM products. The complaint seeks an injunction, damages, attorneys’ fees, and costs.</w:t>
      </w:r>
    </w:p>
    <w:p>
      <w:pPr>
        <w:spacing w:after="0" w:line="17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March 6, 2026, Nextech Semiconductor, LLC (“Nextech”) filed a patent infringement complaint against Micron and MSP in W.D. Tex. alleging that six U.S. patents are infringed by certain of our DRAM, NAND, and SSD products. The complaint seeks an injunction, damages, attorneys’ fees and costs.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760"/>
        <w:spacing w:after="0" w:line="301" w:lineRule="auto"/>
        <w:rPr>
          <w:sz w:val="20"/>
          <w:szCs w:val="20"/>
          <w:color w:val="auto"/>
        </w:rPr>
      </w:pPr>
      <w:r>
        <w:rPr>
          <w:rFonts w:ascii="Arial" w:cs="Arial" w:eastAsia="Arial" w:hAnsi="Arial"/>
          <w:sz w:val="16"/>
          <w:szCs w:val="16"/>
          <w:color w:val="auto"/>
        </w:rPr>
        <w:t>The above lawsuits pertain to substantially all of our DRAM, NAND, and other memory and storage products we manufacture, which account for substantially all of our revenue.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 Matters</w:t>
      </w:r>
    </w:p>
    <w:p>
      <w:pPr>
        <w:spacing w:after="0" w:line="2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January 9, 2025, a putative class action complaint was filed against Micron and certain individual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alleges defendants made materially false or misleading statements during a putative class period from March 29, 2023 to December 18, 2024, regarding industry supply and demand dynamics and the demand for Micron's products. The amended complaint seeks unspecified compensatory damages, attorneys’ fees and costs. On February 3, 2026, the court dismissed the amended complaint but granted plaintiffs leave to file a further amended complaint.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Derivative Matters</w:t>
      </w:r>
    </w:p>
    <w:p>
      <w:pPr>
        <w:spacing w:after="0" w:line="22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February 20, 2025, a shareholder derivative complaint was filed by a purported shareholder against certain individual directors and officers of Micron, allegedly on behalf of and for the benefit of Micron, in D. Idaho. On February 21, 2025, a similar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putative class action. The complaints seek various unspecified damages allegedly suffered by Micron, restitution, attorneys’ fees and costs and other relief. On April 28, 2025, the complaints were consolidated and on May 14, 2025, the action was stayed until the earlier of the issuance of a final decision on all motions to dismiss the securities putative class action matter or a final resolution of the putative class action matter.</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September 8, 2025, a shareholder derivative complaint was filed by a purported shareholder against certain individual directors and officers of Micron, allegedly on behalf of and for the benefit of Micron, in D. Del. The complaint is substantially similar to the derivative suits pending in D. Idaho. The action is stayed until the earlier of the issuance of a final decision on all motions to dismiss the securities putative class action matter or a final resolution of the putative class action matter.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37"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On January 16, 2026, Neighbors for a Better Micron and Jobs to Move America filed a petition in the Supreme Court of New York against Micron, one of our subsidiaries, Onondaga County Industrial Development Agency (“OCIDA”), and certain other state and local government entities. The petition challenges certain aspects of OCIDA’s environmental review of the Company’s planned construction of up to four fabs in Clay, New York, and seeks a judgment to annul, vacate, and void all permits, approvals, and findings issued by the named government entities related to the project. The petition further seeks costs and attorneys’ fees.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Contingency Assessment</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11. Equity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Repurchases</w:t>
      </w:r>
    </w:p>
    <w:p>
      <w:pPr>
        <w:spacing w:after="0" w:line="23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In the second quarter and first six months of 2026, we repurchased 1.2 million shares of our common stock for $350 million, and 2.5 million shares of our common stock for $650 million, respectively. Through February 26, 2026, we had repurchased an aggregate of $7.84 billion under the authorization. Amounts repurchased are included in treasury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We declared and paid dividends of $0.115 per share in the first and second quarters of 2026. On March 18, 2026, our Board of Directors declared a quarterly dividend of $0.15 per share, payable in cash on April 15, 2026, to shareholders of record as of the close of business on March 30, 2026.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tbl>
      <w:tblPr>
        <w:tblLayout w:type="fixed"/>
        <w:tblInd w:w="1"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9"/>
              </w:rPr>
              <w:t>Table of Contents</w:t>
            </w:r>
          </w:p>
        </w:tc>
        <w:tc>
          <w:tcPr>
            <w:tcW w:w="0" w:type="dxa"/>
            <w:vAlign w:val="bottom"/>
          </w:tcPr>
          <w:p>
            <w:pPr>
              <w:spacing w:after="0"/>
              <w:rPr>
                <w:sz w:val="1"/>
                <w:szCs w:val="1"/>
                <w:color w:val="auto"/>
              </w:rPr>
            </w:pPr>
          </w:p>
        </w:tc>
      </w:tr>
      <w:tr>
        <w:trPr>
          <w:trHeight w:val="1054"/>
        </w:trPr>
        <w:tc>
          <w:tcPr>
            <w:tcW w:w="6200" w:type="dxa"/>
            <w:vAlign w:val="bottom"/>
          </w:tcPr>
          <w:p>
            <w:pPr>
              <w:spacing w:after="0"/>
              <w:rPr>
                <w:sz w:val="20"/>
                <w:szCs w:val="20"/>
                <w:color w:val="auto"/>
              </w:rPr>
            </w:pPr>
            <w:r>
              <w:rPr>
                <w:rFonts w:ascii="Arial" w:cs="Arial" w:eastAsia="Arial" w:hAnsi="Arial"/>
                <w:sz w:val="36"/>
                <w:szCs w:val="36"/>
                <w:b w:val="1"/>
                <w:bCs w:val="1"/>
                <w:color w:val="auto"/>
              </w:rPr>
              <w:t>Note 12. Derivative Instruments</w:t>
            </w:r>
          </w:p>
        </w:tc>
        <w:tc>
          <w:tcPr>
            <w:tcW w:w="940" w:type="dxa"/>
            <w:vAlign w:val="bottom"/>
          </w:tcPr>
          <w:p>
            <w:pPr>
              <w:spacing w:after="0"/>
              <w:rPr>
                <w:sz w:val="24"/>
                <w:szCs w:val="24"/>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Notional or</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4"/>
          </w:tcPr>
          <w:p>
            <w:pPr>
              <w:jc w:val="right"/>
              <w:ind w:right="778"/>
              <w:spacing w:after="0" w:line="212" w:lineRule="exact"/>
              <w:rPr>
                <w:sz w:val="20"/>
                <w:szCs w:val="20"/>
                <w:color w:val="auto"/>
              </w:rPr>
            </w:pPr>
            <w:r>
              <w:rPr>
                <w:rFonts w:ascii="Arial" w:cs="Arial" w:eastAsia="Arial" w:hAnsi="Arial"/>
                <w:sz w:val="16"/>
                <w:szCs w:val="16"/>
                <w:b w:val="1"/>
                <w:bCs w:val="1"/>
                <w:color w:val="auto"/>
              </w:rPr>
              <w:t>Fair Value</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of</w:t>
            </w:r>
          </w:p>
        </w:tc>
        <w:tc>
          <w:tcPr>
            <w:tcW w:w="0" w:type="dxa"/>
            <w:vAlign w:val="bottom"/>
          </w:tcPr>
          <w:p>
            <w:pPr>
              <w:spacing w:after="0"/>
              <w:rPr>
                <w:sz w:val="1"/>
                <w:szCs w:val="1"/>
                <w:color w:val="auto"/>
              </w:rPr>
            </w:pPr>
          </w:p>
        </w:tc>
      </w:tr>
      <w:tr>
        <w:trPr>
          <w:trHeight w:val="49"/>
        </w:trPr>
        <w:tc>
          <w:tcPr>
            <w:tcW w:w="6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vMerge w:val="restart"/>
          </w:tcPr>
          <w:p>
            <w:pPr>
              <w:jc w:val="center"/>
              <w:ind w:right="119"/>
              <w:spacing w:after="0" w:line="124" w:lineRule="exact"/>
              <w:rPr>
                <w:sz w:val="20"/>
                <w:szCs w:val="20"/>
                <w:color w:val="auto"/>
              </w:rPr>
            </w:pPr>
            <w:r>
              <w:rPr>
                <w:rFonts w:ascii="Arial" w:cs="Arial" w:eastAsia="Arial" w:hAnsi="Arial"/>
                <w:sz w:val="14"/>
                <w:szCs w:val="14"/>
                <w:b w:val="1"/>
                <w:bCs w:val="1"/>
                <w:color w:val="auto"/>
              </w:rPr>
              <w:t>Contractual</w:t>
            </w: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1"/>
                <w:szCs w:val="21"/>
                <w:b w:val="1"/>
                <w:bCs w:val="1"/>
                <w:color w:val="auto"/>
                <w:vertAlign w:val="superscript"/>
              </w:rPr>
              <w:t>(2)</w:t>
            </w: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Liabilities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February 26, 2026</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4,106</w:t>
            </w:r>
          </w:p>
        </w:tc>
        <w:tc>
          <w:tcPr>
            <w:tcW w:w="24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620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4,598</w:t>
            </w: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Non-designated currency hedges</w:t>
            </w:r>
          </w:p>
        </w:tc>
        <w:tc>
          <w:tcPr>
            <w:tcW w:w="940" w:type="dxa"/>
            <w:vAlign w:val="bottom"/>
            <w:tcBorders>
              <w:bottom w:val="single" w:sz="8" w:color="D1D2D4"/>
            </w:tcBorders>
          </w:tcPr>
          <w:p>
            <w:pPr>
              <w:spacing w:after="0"/>
              <w:rPr>
                <w:sz w:val="18"/>
                <w:szCs w:val="18"/>
                <w:color w:val="auto"/>
              </w:rPr>
            </w:pPr>
          </w:p>
        </w:tc>
        <w:tc>
          <w:tcPr>
            <w:tcW w:w="12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6,942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D1D2D4"/>
            </w:tcBorders>
            <w:shd w:val="clear" w:color="auto" w:fill="D1D2D4"/>
          </w:tcPr>
          <w:p>
            <w:pPr>
              <w:spacing w:after="0"/>
              <w:rPr>
                <w:sz w:val="19"/>
                <w:szCs w:val="19"/>
                <w:color w:val="auto"/>
              </w:rPr>
            </w:pPr>
          </w:p>
        </w:tc>
        <w:tc>
          <w:tcPr>
            <w:tcW w:w="940" w:type="dxa"/>
            <w:vAlign w:val="bottom"/>
            <w:tcBorders>
              <w:bottom w:val="single" w:sz="8" w:color="D1D2D4"/>
            </w:tcBorders>
            <w:shd w:val="clear" w:color="auto" w:fill="D1D2D4"/>
          </w:tcPr>
          <w:p>
            <w:pPr>
              <w:spacing w:after="0"/>
              <w:rPr>
                <w:sz w:val="19"/>
                <w:szCs w:val="19"/>
                <w:color w:val="auto"/>
              </w:rPr>
            </w:pPr>
          </w:p>
        </w:tc>
        <w:tc>
          <w:tcPr>
            <w:tcW w:w="1240" w:type="dxa"/>
            <w:vAlign w:val="bottom"/>
            <w:tcBorders>
              <w:bottom w:val="single" w:sz="8" w:color="D1D2D4"/>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6200" w:type="dxa"/>
            <w:vAlign w:val="bottom"/>
            <w:tcBorders>
              <w:top w:val="single" w:sz="8" w:color="D1D2D4"/>
            </w:tcBorders>
          </w:tcPr>
          <w:p>
            <w:pPr>
              <w:spacing w:after="0" w:line="20" w:lineRule="exact"/>
              <w:rPr>
                <w:sz w:val="1"/>
                <w:szCs w:val="1"/>
                <w:color w:val="auto"/>
              </w:rPr>
            </w:pPr>
          </w:p>
        </w:tc>
        <w:tc>
          <w:tcPr>
            <w:tcW w:w="940" w:type="dxa"/>
            <w:vAlign w:val="bottom"/>
            <w:tcBorders>
              <w:top w:val="single" w:sz="8" w:color="D1D2D4"/>
            </w:tcBorders>
          </w:tcPr>
          <w:p>
            <w:pPr>
              <w:spacing w:after="0" w:line="20" w:lineRule="exact"/>
              <w:rPr>
                <w:sz w:val="1"/>
                <w:szCs w:val="1"/>
                <w:color w:val="auto"/>
              </w:rPr>
            </w:pPr>
          </w:p>
        </w:tc>
        <w:tc>
          <w:tcPr>
            <w:tcW w:w="1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August 28, 2025</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3,271</w:t>
            </w:r>
          </w:p>
        </w:tc>
        <w:tc>
          <w:tcPr>
            <w:tcW w:w="24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620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3,049</w:t>
            </w: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Non-designated currency hedges</w:t>
            </w:r>
          </w:p>
        </w:tc>
        <w:tc>
          <w:tcPr>
            <w:tcW w:w="940" w:type="dxa"/>
            <w:vAlign w:val="bottom"/>
            <w:tcBorders>
              <w:bottom w:val="single" w:sz="8" w:color="D1D2D4"/>
            </w:tcBorders>
          </w:tcPr>
          <w:p>
            <w:pPr>
              <w:spacing w:after="0"/>
              <w:rPr>
                <w:sz w:val="18"/>
                <w:szCs w:val="18"/>
                <w:color w:val="auto"/>
              </w:rPr>
            </w:pPr>
          </w:p>
        </w:tc>
        <w:tc>
          <w:tcPr>
            <w:tcW w:w="12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3,477</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D1D2D4"/>
            </w:tcBorders>
            <w:shd w:val="clear" w:color="auto" w:fill="D1D2D4"/>
          </w:tcPr>
          <w:p>
            <w:pPr>
              <w:spacing w:after="0"/>
              <w:rPr>
                <w:sz w:val="19"/>
                <w:szCs w:val="19"/>
                <w:color w:val="auto"/>
              </w:rPr>
            </w:pPr>
          </w:p>
        </w:tc>
        <w:tc>
          <w:tcPr>
            <w:tcW w:w="940" w:type="dxa"/>
            <w:vAlign w:val="bottom"/>
            <w:tcBorders>
              <w:bottom w:val="single" w:sz="8" w:color="D1D2D4"/>
            </w:tcBorders>
            <w:shd w:val="clear" w:color="auto" w:fill="D1D2D4"/>
          </w:tcPr>
          <w:p>
            <w:pPr>
              <w:spacing w:after="0"/>
              <w:rPr>
                <w:sz w:val="19"/>
                <w:szCs w:val="19"/>
                <w:color w:val="auto"/>
              </w:rPr>
            </w:pPr>
          </w:p>
        </w:tc>
        <w:tc>
          <w:tcPr>
            <w:tcW w:w="1240" w:type="dxa"/>
            <w:vAlign w:val="bottom"/>
            <w:tcBorders>
              <w:bottom w:val="single" w:sz="8" w:color="D1D2D4"/>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6200" w:type="dxa"/>
            <w:vAlign w:val="bottom"/>
            <w:tcBorders>
              <w:top w:val="single" w:sz="8" w:color="D1D2D4"/>
            </w:tcBorders>
          </w:tcPr>
          <w:p>
            <w:pPr>
              <w:spacing w:after="0" w:line="20" w:lineRule="exact"/>
              <w:rPr>
                <w:sz w:val="1"/>
                <w:szCs w:val="1"/>
                <w:color w:val="auto"/>
              </w:rPr>
            </w:pPr>
          </w:p>
        </w:tc>
        <w:tc>
          <w:tcPr>
            <w:tcW w:w="940" w:type="dxa"/>
            <w:vAlign w:val="bottom"/>
            <w:tcBorders>
              <w:top w:val="single" w:sz="8" w:color="D1D2D4"/>
            </w:tcBorders>
          </w:tcPr>
          <w:p>
            <w:pPr>
              <w:spacing w:after="0" w:line="20" w:lineRule="exact"/>
              <w:rPr>
                <w:sz w:val="1"/>
                <w:szCs w:val="1"/>
                <w:color w:val="auto"/>
              </w:rPr>
            </w:pPr>
          </w:p>
        </w:tc>
        <w:tc>
          <w:tcPr>
            <w:tcW w:w="1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1" w:right="280" w:hanging="221"/>
        <w:spacing w:after="0" w:line="231" w:lineRule="auto"/>
        <w:tabs>
          <w:tab w:leader="none" w:pos="216"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Forward and swap contracts are measured at fair value based on market-based observable inputs, including market spot and forward rates, interest rates, and credit-risk spreads (Level 2).</w:t>
      </w:r>
    </w:p>
    <w:p>
      <w:pPr>
        <w:ind w:left="221" w:hanging="221"/>
        <w:spacing w:after="0" w:line="196" w:lineRule="auto"/>
        <w:tabs>
          <w:tab w:leader="none" w:pos="221"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Included in receivables and other noncurrent assets.</w:t>
      </w:r>
    </w:p>
    <w:p>
      <w:pPr>
        <w:ind w:left="221" w:hanging="221"/>
        <w:spacing w:after="0" w:line="199" w:lineRule="auto"/>
        <w:tabs>
          <w:tab w:leader="none" w:pos="221"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Included in accounts payable and accrued expenses and other noncurrent liabilities.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Derivative Instruments with Hedge Accounting Designation</w:t>
      </w:r>
    </w:p>
    <w:p>
      <w:pPr>
        <w:spacing w:after="0" w:line="224" w:lineRule="exact"/>
        <w:rPr>
          <w:sz w:val="20"/>
          <w:szCs w:val="20"/>
          <w:color w:val="auto"/>
        </w:rPr>
      </w:pPr>
    </w:p>
    <w:p>
      <w:pPr>
        <w:ind w:left="1" w:right="380"/>
        <w:spacing w:after="0" w:line="301"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We utilize forward contracts that generally mature within two years designated as cash flow hedges to minimize our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currency exchange rates or commodity prices for certain capital expenditures and manufacturing costs.</w:t>
      </w:r>
    </w:p>
    <w:p>
      <w:pPr>
        <w:spacing w:after="0" w:line="157" w:lineRule="exact"/>
        <w:rPr>
          <w:sz w:val="20"/>
          <w:szCs w:val="20"/>
          <w:color w:val="auto"/>
        </w:rPr>
      </w:pPr>
    </w:p>
    <w:p>
      <w:pPr>
        <w:ind w:left="1" w:right="20"/>
        <w:spacing w:after="0" w:line="270" w:lineRule="auto"/>
        <w:rPr>
          <w:sz w:val="20"/>
          <w:szCs w:val="20"/>
          <w:color w:val="auto"/>
        </w:rPr>
      </w:pPr>
      <w:r>
        <w:rPr>
          <w:rFonts w:ascii="Arial" w:cs="Arial" w:eastAsia="Arial" w:hAnsi="Arial"/>
          <w:sz w:val="16"/>
          <w:szCs w:val="16"/>
          <w:b w:val="1"/>
          <w:bCs w:val="1"/>
          <w:i w:val="1"/>
          <w:iCs w:val="1"/>
          <w:color w:val="auto"/>
        </w:rPr>
        <w:t xml:space="preserve">Fair Value Hedges: </w:t>
      </w:r>
      <w:r>
        <w:rPr>
          <w:rFonts w:ascii="Arial" w:cs="Arial" w:eastAsia="Arial" w:hAnsi="Arial"/>
          <w:sz w:val="16"/>
          <w:szCs w:val="16"/>
          <w:color w:val="auto"/>
        </w:rPr>
        <w:t>We utilize currency forward contracts that generally mature within one year designated as fair value hedges to minimize our exposure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changes in currency exchange rates for non-U.S.-dollar-denominated cash and investments in debt securities. The fair value of our hedged cash and investments in debt securities was $4.61 billion and $ 3.05 billion as of February 26, 2026 and August 28, 2025, respectively. The changes in the fair values of derivatives designated as fair value hedges and the offsetting changes in the underlying fair values of the hedged items are both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921"/>
        <w:spacing w:after="0"/>
        <w:rPr>
          <w:sz w:val="20"/>
          <w:szCs w:val="20"/>
          <w:color w:val="auto"/>
        </w:rPr>
      </w:pPr>
      <w:r>
        <w:rPr>
          <w:sz w:val="1"/>
          <w:szCs w:val="1"/>
          <w:color w:val="auto"/>
        </w:rPr>
        <w:drawing>
          <wp:inline distT="0" distB="0" distL="0" distR="0">
            <wp:extent cx="714375" cy="149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915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 without Hedge Accounting Designation</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b w:val="1"/>
          <w:bCs w:val="1"/>
          <w:i w:val="1"/>
          <w:iCs w:val="1"/>
          <w:color w:val="auto"/>
        </w:rPr>
        <w:t xml:space="preserve">Currency Derivatives: </w:t>
      </w:r>
      <w:r>
        <w:rPr>
          <w:rFonts w:ascii="Arial" w:cs="Arial" w:eastAsia="Arial" w:hAnsi="Arial"/>
          <w:sz w:val="16"/>
          <w:szCs w:val="16"/>
          <w:color w:val="auto"/>
        </w:rPr>
        <w:t>We generally utilize a rolling hedge strategy with currency forward contracts that mature within one year to hedge our exposures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from our derivative instruments were not material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13. Equity Compensation Plans</w:t>
      </w:r>
    </w:p>
    <w:p>
      <w:pPr>
        <w:spacing w:after="0" w:line="24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of February 26, 2026, 48 million shares of our common stock were available for future awards under our equity compensation plans, including 7 million shares approved for issuance under our employee stock purchase plan (“ESPP”).</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and Restricted Stock Units (“Restricted Stock Awards”)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Six Months Ended</w:t>
            </w:r>
          </w:p>
        </w:tc>
        <w:tc>
          <w:tcPr>
            <w:tcW w:w="2540" w:type="dxa"/>
            <w:vAlign w:val="bottom"/>
          </w:tcPr>
          <w:p>
            <w:pPr>
              <w:spacing w:after="0"/>
              <w:rPr>
                <w:sz w:val="16"/>
                <w:szCs w:val="16"/>
                <w:color w:val="auto"/>
              </w:rPr>
            </w:pPr>
          </w:p>
        </w:tc>
        <w:tc>
          <w:tcPr>
            <w:tcW w:w="1280" w:type="dxa"/>
            <w:vAlign w:val="bottom"/>
          </w:tcPr>
          <w:p>
            <w:pPr>
              <w:jc w:val="center"/>
              <w:ind w:right="98"/>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260" w:type="dxa"/>
            <w:vAlign w:val="bottom"/>
          </w:tcPr>
          <w:p>
            <w:pPr>
              <w:jc w:val="center"/>
              <w:ind w:right="78"/>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Restricted stock award shares granted</w:t>
            </w:r>
          </w:p>
        </w:tc>
        <w:tc>
          <w:tcPr>
            <w:tcW w:w="254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6000" w:type="dxa"/>
            <w:vAlign w:val="bottom"/>
          </w:tcPr>
          <w:p>
            <w:pPr>
              <w:ind w:left="20"/>
              <w:spacing w:after="0"/>
              <w:rPr>
                <w:sz w:val="20"/>
                <w:szCs w:val="20"/>
                <w:color w:val="auto"/>
              </w:rPr>
            </w:pPr>
            <w:r>
              <w:rPr>
                <w:rFonts w:ascii="Arial" w:cs="Arial" w:eastAsia="Arial" w:hAnsi="Arial"/>
                <w:sz w:val="16"/>
                <w:szCs w:val="16"/>
                <w:color w:val="auto"/>
              </w:rPr>
              <w:t>Weighted-average grant-date fair value per share</w:t>
            </w:r>
          </w:p>
        </w:tc>
        <w:tc>
          <w:tcPr>
            <w:tcW w:w="25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211.33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100.65</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 (“ESPP”)</w:t>
      </w:r>
    </w:p>
    <w:p>
      <w:pPr>
        <w:spacing w:after="0" w:line="22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Employees purchased 2 million shares in each six-month ESPP offering period that ended in the second quarter of 2026 and 2025 at a share price of $92.77 and $78.63,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23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Stock-based compensation expense recognized in our statements of operations is presented below. Stock-based compensation expense of $118 million and $96 million was capitalized and remained in inventory as of February 26, 2026 and August 28, 2025,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53"/>
        </w:trPr>
        <w:tc>
          <w:tcPr>
            <w:tcW w:w="5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58"/>
              <w:spacing w:after="0" w:line="153"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38"/>
              <w:spacing w:after="0" w:line="153" w:lineRule="exact"/>
              <w:rPr>
                <w:sz w:val="20"/>
                <w:szCs w:val="20"/>
                <w:color w:val="auto"/>
              </w:rPr>
            </w:pPr>
            <w:r>
              <w:rPr>
                <w:rFonts w:ascii="Arial" w:cs="Arial" w:eastAsia="Arial" w:hAnsi="Arial"/>
                <w:sz w:val="16"/>
                <w:szCs w:val="16"/>
                <w:b w:val="1"/>
                <w:bCs w:val="1"/>
                <w:color w:val="auto"/>
              </w:rPr>
              <w:t>February 27,</w:t>
            </w:r>
          </w:p>
        </w:tc>
      </w:tr>
      <w:tr>
        <w:trPr>
          <w:trHeight w:val="223"/>
        </w:trPr>
        <w:tc>
          <w:tcPr>
            <w:tcW w:w="5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 by caption</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542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28"/>
        </w:trPr>
        <w:tc>
          <w:tcPr>
            <w:tcW w:w="5420" w:type="dxa"/>
            <w:vAlign w:val="bottom"/>
            <w:tcBorders>
              <w:bottom w:val="single" w:sz="8" w:color="D1D2D4"/>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D1D2D4"/>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577</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450</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 by type of award</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Restricted stock awards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ESPP</w:t>
            </w:r>
          </w:p>
        </w:tc>
        <w:tc>
          <w:tcPr>
            <w:tcW w:w="18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20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54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As of February 26, 2026, $ 2.31 billion of total unrecognized compensation costs for unvested awards, before the effect of any future forfeitures, was expected to be recognized through the second quarter of 2030, resulting in a weighted-average period of 1.3 years.</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14. Revenue and Customer Contract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Technology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61"/>
        </w:trPr>
        <w:tc>
          <w:tcPr>
            <w:tcW w:w="5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8"/>
              <w:spacing w:after="0" w:line="161" w:lineRule="exact"/>
              <w:rPr>
                <w:sz w:val="20"/>
                <w:szCs w:val="20"/>
                <w:color w:val="auto"/>
              </w:rPr>
            </w:pPr>
            <w:r>
              <w:rPr>
                <w:rFonts w:ascii="Arial" w:cs="Arial" w:eastAsia="Arial" w:hAnsi="Arial"/>
                <w:sz w:val="16"/>
                <w:szCs w:val="16"/>
                <w:b w:val="1"/>
                <w:bCs w:val="1"/>
                <w:color w:val="auto"/>
              </w:rPr>
              <w:t>February 26,</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58"/>
              <w:spacing w:after="0" w:line="161"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8"/>
              <w:spacing w:after="0" w:line="161"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38"/>
              <w:spacing w:after="0" w:line="161"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5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DRAM</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18,768</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6,123</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29,580</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12,523</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NAND</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4,997</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7,740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4,096</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(primarily NOR)</w:t>
            </w:r>
          </w:p>
        </w:tc>
        <w:tc>
          <w:tcPr>
            <w:tcW w:w="18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54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16,762</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See Item 1. Financial Statements, Notes to Consolidated Financial Statements, Note 17. Segment and Other Information for disclosure of disaggregated revenue by market segment.</w:t>
      </w:r>
    </w:p>
    <w:p>
      <w:pPr>
        <w:spacing w:after="0" w:line="157"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February 26, 2026 and August 28, 2025, our future performance obligations beyond one year, which included customer prepayments and other contract liabilities, were not material.</w:t>
      </w:r>
    </w:p>
    <w:p>
      <w:pPr>
        <w:spacing w:after="0" w:line="18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of February 26, 2026 and August 28, 2025, other current liabilities included $2.55 billion and $1.19 billion, respectively, for estimates of consideration payable to customers, including estimates for pricing adjustments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5"/>
                <w:szCs w:val="15"/>
                <w:b w:val="1"/>
                <w:bCs w:val="1"/>
                <w:color w:val="BD03F7"/>
                <w:w w:val="97"/>
              </w:rPr>
              <w:t>Table of Contents</w:t>
            </w:r>
          </w:p>
        </w:tc>
      </w:tr>
      <w:tr>
        <w:trPr>
          <w:trHeight w:val="1054"/>
        </w:trPr>
        <w:tc>
          <w:tcPr>
            <w:tcW w:w="5060" w:type="dxa"/>
            <w:vAlign w:val="bottom"/>
          </w:tcPr>
          <w:p>
            <w:pPr>
              <w:spacing w:after="0"/>
              <w:rPr>
                <w:sz w:val="20"/>
                <w:szCs w:val="20"/>
                <w:color w:val="auto"/>
              </w:rPr>
            </w:pPr>
            <w:r>
              <w:rPr>
                <w:rFonts w:ascii="Arial" w:cs="Arial" w:eastAsia="Arial" w:hAnsi="Arial"/>
                <w:sz w:val="36"/>
                <w:szCs w:val="36"/>
                <w:b w:val="1"/>
                <w:bCs w:val="1"/>
                <w:color w:val="auto"/>
              </w:rPr>
              <w:t>Note 15. Income Taxes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375"/>
        </w:trPr>
        <w:tc>
          <w:tcPr>
            <w:tcW w:w="5060" w:type="dxa"/>
            <w:vAlign w:val="bottom"/>
          </w:tcPr>
          <w:p>
            <w:pPr>
              <w:spacing w:after="0"/>
              <w:rPr>
                <w:sz w:val="20"/>
                <w:szCs w:val="20"/>
                <w:color w:val="auto"/>
              </w:rPr>
            </w:pPr>
            <w:r>
              <w:rPr>
                <w:rFonts w:ascii="Arial" w:cs="Arial" w:eastAsia="Arial" w:hAnsi="Arial"/>
                <w:sz w:val="16"/>
                <w:szCs w:val="16"/>
                <w:color w:val="auto"/>
              </w:rPr>
              <w:t>Our income tax (provision) benefit consisted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4"/>
          </w:tcPr>
          <w:p>
            <w:pPr>
              <w:ind w:left="76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20"/>
                <w:szCs w:val="20"/>
                <w:color w:val="auto"/>
              </w:rPr>
            </w:pPr>
          </w:p>
        </w:tc>
        <w:tc>
          <w:tcPr>
            <w:tcW w:w="288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w:t>
            </w:r>
          </w:p>
        </w:tc>
      </w:tr>
      <w:tr>
        <w:trPr>
          <w:trHeight w:val="161"/>
        </w:trPr>
        <w:tc>
          <w:tcPr>
            <w:tcW w:w="50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78"/>
              <w:spacing w:after="0" w:line="161"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78"/>
              <w:spacing w:after="0" w:line="161" w:lineRule="exact"/>
              <w:rPr>
                <w:sz w:val="20"/>
                <w:szCs w:val="20"/>
                <w:color w:val="auto"/>
              </w:rPr>
            </w:pPr>
            <w:r>
              <w:rPr>
                <w:rFonts w:ascii="Arial" w:cs="Arial" w:eastAsia="Arial" w:hAnsi="Arial"/>
                <w:sz w:val="16"/>
                <w:szCs w:val="16"/>
                <w:b w:val="1"/>
                <w:bCs w:val="1"/>
                <w:color w:val="auto"/>
              </w:rPr>
              <w:t>February 27,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78"/>
              <w:spacing w:after="0" w:line="161"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260"/>
              <w:spacing w:after="0" w:line="161" w:lineRule="exact"/>
              <w:rPr>
                <w:sz w:val="20"/>
                <w:szCs w:val="20"/>
                <w:color w:val="auto"/>
              </w:rPr>
            </w:pPr>
            <w:r>
              <w:rPr>
                <w:rFonts w:ascii="Arial" w:cs="Arial" w:eastAsia="Arial" w:hAnsi="Arial"/>
                <w:sz w:val="16"/>
                <w:szCs w:val="16"/>
                <w:b w:val="1"/>
                <w:bCs w:val="1"/>
                <w:color w:val="auto"/>
              </w:rPr>
              <w:t>February 27,</w:t>
            </w:r>
          </w:p>
        </w:tc>
        <w:tc>
          <w:tcPr>
            <w:tcW w:w="20" w:type="dxa"/>
            <w:vAlign w:val="bottom"/>
          </w:tcPr>
          <w:p>
            <w:pPr>
              <w:spacing w:after="0"/>
              <w:rPr>
                <w:sz w:val="14"/>
                <w:szCs w:val="14"/>
                <w:color w:val="auto"/>
              </w:rPr>
            </w:pPr>
          </w:p>
        </w:tc>
      </w:tr>
      <w:tr>
        <w:trPr>
          <w:trHeight w:val="215"/>
        </w:trPr>
        <w:tc>
          <w:tcPr>
            <w:tcW w:w="5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r>
      <w:tr>
        <w:trPr>
          <w:trHeight w:val="29"/>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06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before taxes</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16,160</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1D2D4"/>
          </w:tcPr>
          <w:p>
            <w:pPr>
              <w:jc w:val="right"/>
              <w:ind w:right="118"/>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D1D2D4"/>
          </w:tcPr>
          <w:p>
            <w:pPr>
              <w:spacing w:after="0"/>
              <w:rPr>
                <w:sz w:val="18"/>
                <w:szCs w:val="18"/>
                <w:color w:val="auto"/>
              </w:rPr>
            </w:pP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22,221</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1D2D4"/>
          </w:tcPr>
          <w:p>
            <w:pPr>
              <w:jc w:val="right"/>
              <w:ind w:right="200"/>
              <w:spacing w:after="0"/>
              <w:rPr>
                <w:sz w:val="20"/>
                <w:szCs w:val="20"/>
                <w:color w:val="auto"/>
              </w:rPr>
            </w:pPr>
            <w:r>
              <w:rPr>
                <w:rFonts w:ascii="Arial" w:cs="Arial" w:eastAsia="Arial" w:hAnsi="Arial"/>
                <w:sz w:val="16"/>
                <w:szCs w:val="16"/>
                <w:color w:val="auto"/>
              </w:rPr>
              <w:t>3,910</w:t>
            </w:r>
          </w:p>
        </w:tc>
        <w:tc>
          <w:tcPr>
            <w:tcW w:w="20" w:type="dxa"/>
            <w:vAlign w:val="bottom"/>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Pr>
          <w:p>
            <w:pPr>
              <w:spacing w:after="0"/>
              <w:rPr>
                <w:sz w:val="18"/>
                <w:szCs w:val="18"/>
                <w:color w:val="auto"/>
              </w:rPr>
            </w:pPr>
          </w:p>
        </w:tc>
        <w:tc>
          <w:tcPr>
            <w:tcW w:w="1320" w:type="dxa"/>
            <w:vAlign w:val="bottom"/>
          </w:tcPr>
          <w:p>
            <w:pPr>
              <w:jc w:val="right"/>
              <w:ind w:right="78"/>
              <w:spacing w:after="0"/>
              <w:rPr>
                <w:sz w:val="20"/>
                <w:szCs w:val="20"/>
                <w:color w:val="auto"/>
              </w:rPr>
            </w:pPr>
            <w:r>
              <w:rPr>
                <w:rFonts w:ascii="Arial" w:cs="Arial" w:eastAsia="Arial" w:hAnsi="Arial"/>
                <w:sz w:val="16"/>
                <w:szCs w:val="16"/>
                <w:color w:val="auto"/>
              </w:rPr>
              <w:t>(2,371)</w:t>
            </w:r>
          </w:p>
        </w:tc>
        <w:tc>
          <w:tcPr>
            <w:tcW w:w="200" w:type="dxa"/>
            <w:vAlign w:val="bottom"/>
          </w:tcPr>
          <w:p>
            <w:pPr>
              <w:spacing w:after="0"/>
              <w:rPr>
                <w:sz w:val="18"/>
                <w:szCs w:val="18"/>
                <w:color w:val="auto"/>
              </w:rPr>
            </w:pPr>
          </w:p>
        </w:tc>
        <w:tc>
          <w:tcPr>
            <w:tcW w:w="1320" w:type="dxa"/>
            <w:vAlign w:val="bottom"/>
          </w:tcPr>
          <w:p>
            <w:pPr>
              <w:jc w:val="right"/>
              <w:ind w:right="78"/>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(3,200)</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(460)</w:t>
            </w:r>
          </w:p>
        </w:tc>
        <w:tc>
          <w:tcPr>
            <w:tcW w:w="20" w:type="dxa"/>
            <w:vAlign w:val="bottom"/>
          </w:tcPr>
          <w:p>
            <w:pPr>
              <w:spacing w:after="0"/>
              <w:rPr>
                <w:sz w:val="18"/>
                <w:szCs w:val="18"/>
                <w:color w:val="auto"/>
              </w:rPr>
            </w:pPr>
          </w:p>
        </w:tc>
      </w:tr>
      <w:tr>
        <w:trPr>
          <w:trHeight w:val="210"/>
        </w:trPr>
        <w:tc>
          <w:tcPr>
            <w:tcW w:w="50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14.7 %</w:t>
            </w:r>
          </w:p>
        </w:tc>
        <w:tc>
          <w:tcPr>
            <w:tcW w:w="20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14.4 %</w:t>
            </w:r>
          </w:p>
        </w:tc>
        <w:tc>
          <w:tcPr>
            <w:tcW w:w="200" w:type="dxa"/>
            <w:vAlign w:val="bottom"/>
            <w:shd w:val="clear" w:color="auto" w:fill="D1D2D4"/>
          </w:tcPr>
          <w:p>
            <w:pPr>
              <w:spacing w:after="0"/>
              <w:rPr>
                <w:sz w:val="18"/>
                <w:szCs w:val="18"/>
                <w:color w:val="auto"/>
              </w:rPr>
            </w:pPr>
          </w:p>
        </w:tc>
        <w:tc>
          <w:tcPr>
            <w:tcW w:w="13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11.8 %</w:t>
            </w:r>
          </w:p>
        </w:tc>
        <w:tc>
          <w:tcPr>
            <w:tcW w:w="20" w:type="dxa"/>
            <w:vAlign w:val="bottom"/>
          </w:tcPr>
          <w:p>
            <w:pPr>
              <w:spacing w:after="0"/>
              <w:rPr>
                <w:sz w:val="18"/>
                <w:szCs w:val="18"/>
                <w:color w:val="auto"/>
              </w:rPr>
            </w:pPr>
          </w:p>
        </w:tc>
      </w:tr>
    </w:tbl>
    <w:p>
      <w:pPr>
        <w:spacing w:after="0" w:line="2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The change in our effective tax rate for the second quarter and first six months of 2026, as compared to the corresponding periods of 2025, was primarily due to the 15% minimum tax Pillar Two Model Rules (“Pillar Two”). Singapore enacted legislation to implement Pillar Two, effective for us in 2026, which largely offsets the benefit from our Singapore tax incentive arrangements.</w:t>
      </w:r>
    </w:p>
    <w:p>
      <w:pPr>
        <w:spacing w:after="0" w:line="18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w:t>
      </w:r>
    </w:p>
    <w:p>
      <w:pPr>
        <w:spacing w:after="0" w:line="180" w:lineRule="exact"/>
        <w:rPr>
          <w:sz w:val="20"/>
          <w:szCs w:val="20"/>
          <w:color w:val="auto"/>
        </w:rPr>
      </w:pPr>
    </w:p>
    <w:p>
      <w:pPr>
        <w:ind w:right="720"/>
        <w:spacing w:after="0" w:line="301" w:lineRule="auto"/>
        <w:rPr>
          <w:sz w:val="20"/>
          <w:szCs w:val="20"/>
          <w:color w:val="auto"/>
        </w:rPr>
      </w:pPr>
      <w:r>
        <w:rPr>
          <w:rFonts w:ascii="Arial" w:cs="Arial" w:eastAsia="Arial" w:hAnsi="Arial"/>
          <w:sz w:val="16"/>
          <w:szCs w:val="16"/>
          <w:color w:val="auto"/>
        </w:rPr>
        <w:t>Other noncurrent liabilities included $2.72 billion and $648 million related to income taxes payable as of February 26, 2026 and August 28, 2025,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16. Earnings Per Share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7"/>
                <w:szCs w:val="17"/>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53"/>
        </w:trPr>
        <w:tc>
          <w:tcPr>
            <w:tcW w:w="5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58"/>
              <w:spacing w:after="0" w:line="153"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38"/>
              <w:spacing w:after="0" w:line="153" w:lineRule="exact"/>
              <w:rPr>
                <w:sz w:val="20"/>
                <w:szCs w:val="20"/>
                <w:color w:val="auto"/>
              </w:rPr>
            </w:pPr>
            <w:r>
              <w:rPr>
                <w:rFonts w:ascii="Arial" w:cs="Arial" w:eastAsia="Arial" w:hAnsi="Arial"/>
                <w:sz w:val="16"/>
                <w:szCs w:val="16"/>
                <w:b w:val="1"/>
                <w:bCs w:val="1"/>
                <w:color w:val="auto"/>
              </w:rPr>
              <w:t>February 27,</w:t>
            </w:r>
          </w:p>
        </w:tc>
      </w:tr>
      <w:tr>
        <w:trPr>
          <w:trHeight w:val="223"/>
        </w:trPr>
        <w:tc>
          <w:tcPr>
            <w:tcW w:w="5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 – Basic and Diluted</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13,785</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1,583</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19,025</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3,453</w:t>
            </w:r>
          </w:p>
        </w:tc>
      </w:tr>
      <w:tr>
        <w:trPr>
          <w:trHeight w:val="235"/>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1,126</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1,115</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1,125</w:t>
            </w: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1,113</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Dilutive effect of equity compensation plans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D1D2D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8"/>
        </w:trPr>
        <w:tc>
          <w:tcPr>
            <w:tcW w:w="54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18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1,142</w:t>
            </w:r>
          </w:p>
        </w:tc>
        <w:tc>
          <w:tcPr>
            <w:tcW w:w="1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1,123</w:t>
            </w:r>
          </w:p>
        </w:tc>
        <w:tc>
          <w:tcPr>
            <w:tcW w:w="80" w:type="dxa"/>
            <w:vAlign w:val="bottom"/>
            <w:tcBorders>
              <w:bottom w:val="single" w:sz="8" w:color="D1D2D4"/>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1,140</w:t>
            </w:r>
          </w:p>
        </w:tc>
        <w:tc>
          <w:tcPr>
            <w:tcW w:w="2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1,123</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r>
      <w:tr>
        <w:trPr>
          <w:trHeight w:val="210"/>
        </w:trPr>
        <w:tc>
          <w:tcPr>
            <w:tcW w:w="5420" w:type="dxa"/>
            <w:vAlign w:val="bottom"/>
          </w:tcPr>
          <w:p>
            <w:pPr>
              <w:ind w:left="28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0"/>
        </w:trPr>
        <w:tc>
          <w:tcPr>
            <w:tcW w:w="5420" w:type="dxa"/>
            <w:vAlign w:val="bottom"/>
            <w:shd w:val="clear" w:color="auto" w:fill="D1D2D4"/>
          </w:tcPr>
          <w:p>
            <w:pPr>
              <w:ind w:left="28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12.07</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16.68</w:t>
            </w: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3.08</w:t>
            </w:r>
          </w:p>
        </w:tc>
      </w:tr>
    </w:tbl>
    <w:p>
      <w:pPr>
        <w:spacing w:after="0" w:line="28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Antidilutive potential common shares excluded from the computation of diluted earnings per share, that could dilute basic earnings per share in the future, were not material for the second quarter or first six months of 2026 and were 9 million shares and 6 million shares for the second quarter and first six months of 2025,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17. Segment and Other Information</w:t>
      </w:r>
    </w:p>
    <w:p>
      <w:pPr>
        <w:spacing w:after="0" w:line="244"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Segment information reported herein is consistent with the way our Chief Executive Officer, who is our Chief Operating Decision Maker (“CODM”), assesses the performance of our segments based on segment revenue, cost of goods sold, operating expenses, and operating income. The segment information reported herein is regularly provided to and reviewed and evaluated by our CODM to budget, forecast, and decide how to allocate resources for capital investments, human capital, and other strategic investments across 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four business units, which are based on market segments and our reportable segments:</w:t>
      </w:r>
    </w:p>
    <w:p>
      <w:pPr>
        <w:spacing w:after="0" w:line="249" w:lineRule="exact"/>
        <w:rPr>
          <w:sz w:val="20"/>
          <w:szCs w:val="20"/>
          <w:color w:val="auto"/>
        </w:rPr>
      </w:pPr>
    </w:p>
    <w:p>
      <w:pPr>
        <w:ind w:left="600" w:right="420" w:hanging="304"/>
        <w:spacing w:after="0" w:line="278"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Cloud Memory Business Unit (“CMBU”): </w:t>
      </w:r>
      <w:r>
        <w:rPr>
          <w:rFonts w:ascii="Arial" w:cs="Arial" w:eastAsia="Arial" w:hAnsi="Arial"/>
          <w:sz w:val="16"/>
          <w:szCs w:val="16"/>
          <w:color w:val="auto"/>
        </w:rPr>
        <w:t>Focused on memory solutions for large hyperscale cloud customers, and HBM for all data center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w:t>
      </w:r>
    </w:p>
    <w:p>
      <w:pPr>
        <w:spacing w:after="0" w:line="16" w:lineRule="exact"/>
        <w:rPr>
          <w:rFonts w:ascii="Arial" w:cs="Arial" w:eastAsia="Arial" w:hAnsi="Arial"/>
          <w:sz w:val="18"/>
          <w:szCs w:val="18"/>
          <w:color w:val="auto"/>
        </w:rPr>
      </w:pPr>
    </w:p>
    <w:p>
      <w:pPr>
        <w:ind w:left="600" w:right="200" w:hanging="304"/>
        <w:spacing w:after="0" w:line="270"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Core Data Center Business Unit (“CDBU”): </w:t>
      </w:r>
      <w:r>
        <w:rPr>
          <w:rFonts w:ascii="Arial" w:cs="Arial" w:eastAsia="Arial" w:hAnsi="Arial"/>
          <w:sz w:val="16"/>
          <w:szCs w:val="16"/>
          <w:color w:val="auto"/>
        </w:rPr>
        <w:t>Focused on memory solutions for mid-tier cloud, enterprise, and OEM data center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solutions for all data center customers.</w:t>
      </w:r>
    </w:p>
    <w:p>
      <w:pPr>
        <w:spacing w:after="0" w:line="17" w:lineRule="exact"/>
        <w:rPr>
          <w:rFonts w:ascii="Arial" w:cs="Arial" w:eastAsia="Arial" w:hAnsi="Arial"/>
          <w:sz w:val="18"/>
          <w:szCs w:val="18"/>
          <w:color w:val="auto"/>
        </w:rPr>
      </w:pPr>
    </w:p>
    <w:p>
      <w:pPr>
        <w:ind w:left="580" w:hanging="28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Mobile and Client Business Unit (“MCBU”): </w:t>
      </w:r>
      <w:r>
        <w:rPr>
          <w:rFonts w:ascii="Arial" w:cs="Arial" w:eastAsia="Arial" w:hAnsi="Arial"/>
          <w:sz w:val="16"/>
          <w:szCs w:val="16"/>
          <w:color w:val="auto"/>
        </w:rPr>
        <w:t>Focused on memory and storage solutions for the mobile and client segments.</w:t>
      </w:r>
    </w:p>
    <w:p>
      <w:pPr>
        <w:spacing w:after="0" w:line="64" w:lineRule="exact"/>
        <w:rPr>
          <w:rFonts w:ascii="Arial" w:cs="Arial" w:eastAsia="Arial" w:hAnsi="Arial"/>
          <w:sz w:val="18"/>
          <w:szCs w:val="18"/>
          <w:color w:val="auto"/>
        </w:rPr>
      </w:pPr>
    </w:p>
    <w:p>
      <w:pPr>
        <w:ind w:left="600" w:right="120" w:hanging="304"/>
        <w:spacing w:after="0" w:line="287"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Automotive and Embedded Business Unit (“AEBU”): </w:t>
      </w:r>
      <w:r>
        <w:rPr>
          <w:rFonts w:ascii="Arial" w:cs="Arial" w:eastAsia="Arial" w:hAnsi="Arial"/>
          <w:sz w:val="16"/>
          <w:szCs w:val="16"/>
          <w:color w:val="auto"/>
        </w:rPr>
        <w:t>Focused on memory and storage solutions for the automotive, industrial,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w:t>
      </w:r>
    </w:p>
    <w:p>
      <w:pPr>
        <w:spacing w:after="0" w:line="20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Our other operations do not meet the thresholds of a reportable segment and are reported under All Other. Certain operating expenses directly associated with the activities of a specific segment are charged to that segment. Other indirect operating income and expenses are generally allocated to segments</w:t>
      </w:r>
    </w:p>
    <w:p>
      <w:pPr>
        <w:ind w:right="20"/>
        <w:spacing w:after="0" w:line="249" w:lineRule="auto"/>
        <w:rPr>
          <w:sz w:val="20"/>
          <w:szCs w:val="20"/>
          <w:color w:val="auto"/>
        </w:rPr>
      </w:pPr>
      <w:r>
        <w:rPr>
          <w:rFonts w:ascii="Arial" w:cs="Arial" w:eastAsia="Arial" w:hAnsi="Arial"/>
          <w:sz w:val="16"/>
          <w:szCs w:val="16"/>
          <w:color w:val="auto"/>
        </w:rPr>
        <w:t>based on their respective percentage of cost of goods sold or forecasted wafer production. Certain income and expenses are not allocated to segments because our CODM does not consider these amounts in the assessment of the performance of our segments. Substantially all of the unallocated amounts are related to stock-based compensation.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12"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 Ended February 26, 2026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CMBU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7,749</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5,687</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7,711</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2,708</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23,860</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5,747</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4,226</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6,054</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1,849</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17,755</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536</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358</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1,250</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16,135</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 Ended February 27, 2025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CMBU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2,947</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1,830</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2,236</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1,034</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center"/>
              <w:ind w:left="678"/>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8,053</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78"/>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1,630</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863</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342</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center"/>
              <w:ind w:left="678"/>
              <w:spacing w:after="0"/>
              <w:rPr>
                <w:sz w:val="20"/>
                <w:szCs w:val="20"/>
                <w:color w:val="auto"/>
              </w:rPr>
            </w:pPr>
            <w:r>
              <w:rPr>
                <w:rFonts w:ascii="Arial" w:cs="Arial" w:eastAsia="Arial" w:hAnsi="Arial"/>
                <w:sz w:val="16"/>
                <w:szCs w:val="16"/>
                <w:color w:val="auto"/>
                <w:w w:val="89"/>
              </w:rPr>
              <w:t>4</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2,963</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236</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center"/>
              <w:ind w:left="678"/>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898</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1000" w:type="dxa"/>
            <w:vAlign w:val="bottom"/>
          </w:tcPr>
          <w:p>
            <w:pPr>
              <w:jc w:val="center"/>
              <w:ind w:left="65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center"/>
              <w:ind w:left="678"/>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658"/>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February 26, 2026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CMBU</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13,033</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8,066</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11,966</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4,428</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37,503</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12,102</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9,214</w:t>
            </w:r>
          </w:p>
        </w:tc>
        <w:tc>
          <w:tcPr>
            <w:tcW w:w="26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5,448</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8,339</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2,627</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(228)</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25,401</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1,036</w:t>
            </w:r>
          </w:p>
        </w:tc>
        <w:tc>
          <w:tcPr>
            <w:tcW w:w="260" w:type="dxa"/>
            <w:vAlign w:val="bottom"/>
            <w:shd w:val="clear" w:color="auto" w:fill="D1D2D4"/>
          </w:tcPr>
          <w:p>
            <w:pPr>
              <w:spacing w:after="0"/>
              <w:rPr>
                <w:sz w:val="18"/>
                <w:szCs w:val="18"/>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649</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302</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228</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2,421</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4,699</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22,271</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February 27, 2025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CMBU</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5,595</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4,122</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4,844</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2,192</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16,762</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10,451</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2,985</w:t>
            </w:r>
          </w:p>
        </w:tc>
        <w:tc>
          <w:tcPr>
            <w:tcW w:w="26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2,006</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1,051</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450</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(183)</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6,311</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514</w:t>
            </w:r>
          </w:p>
        </w:tc>
        <w:tc>
          <w:tcPr>
            <w:tcW w:w="260" w:type="dxa"/>
            <w:vAlign w:val="bottom"/>
            <w:shd w:val="clear" w:color="auto" w:fill="D1D2D4"/>
          </w:tcPr>
          <w:p>
            <w:pPr>
              <w:spacing w:after="0"/>
              <w:rPr>
                <w:sz w:val="18"/>
                <w:szCs w:val="18"/>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421</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470</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216</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165</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1,786</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in operating income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00" w:type="dxa"/>
            <w:vAlign w:val="bottom"/>
            <w:gridSpan w:val="3"/>
          </w:tcPr>
          <w:p>
            <w:pPr>
              <w:jc w:val="right"/>
              <w:ind w:right="638"/>
              <w:spacing w:after="0"/>
              <w:rPr>
                <w:sz w:val="20"/>
                <w:szCs w:val="20"/>
                <w:color w:val="auto"/>
              </w:rPr>
            </w:pPr>
            <w:r>
              <w:rPr>
                <w:rFonts w:ascii="Arial" w:cs="Arial" w:eastAsia="Arial" w:hAnsi="Arial"/>
                <w:sz w:val="16"/>
                <w:szCs w:val="16"/>
                <w:b w:val="1"/>
                <w:bCs w:val="1"/>
                <w:color w:val="auto"/>
              </w:rPr>
              <w:t>Six Months Ended</w:t>
            </w:r>
          </w:p>
        </w:tc>
      </w:tr>
      <w:tr>
        <w:trPr>
          <w:trHeight w:val="153"/>
        </w:trPr>
        <w:tc>
          <w:tcPr>
            <w:tcW w:w="5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58"/>
              <w:spacing w:after="0" w:line="153"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38"/>
              <w:spacing w:after="0" w:line="153" w:lineRule="exact"/>
              <w:rPr>
                <w:sz w:val="20"/>
                <w:szCs w:val="20"/>
                <w:color w:val="auto"/>
              </w:rPr>
            </w:pPr>
            <w:r>
              <w:rPr>
                <w:rFonts w:ascii="Arial" w:cs="Arial" w:eastAsia="Arial" w:hAnsi="Arial"/>
                <w:sz w:val="16"/>
                <w:szCs w:val="16"/>
                <w:b w:val="1"/>
                <w:bCs w:val="1"/>
                <w:color w:val="auto"/>
              </w:rPr>
              <w:t>February 27,</w:t>
            </w:r>
          </w:p>
        </w:tc>
      </w:tr>
      <w:tr>
        <w:trPr>
          <w:trHeight w:val="223"/>
        </w:trPr>
        <w:tc>
          <w:tcPr>
            <w:tcW w:w="5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786</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1,511</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1,052</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CDBU</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552</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618</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776</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1,327</w:t>
            </w: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1,484</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AEBU</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Unallocated</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8"/>
        </w:trPr>
        <w:tc>
          <w:tcPr>
            <w:tcW w:w="5420" w:type="dxa"/>
            <w:vAlign w:val="bottom"/>
            <w:tcBorders>
              <w:top w:val="single" w:sz="8" w:color="D1D2D4"/>
              <w:bottom w:val="single" w:sz="8" w:color="D1D2D4"/>
            </w:tcBorders>
            <w:shd w:val="clear" w:color="auto" w:fill="D1D2D4"/>
          </w:tcPr>
          <w:p>
            <w:pPr>
              <w:spacing w:after="0"/>
              <w:rPr>
                <w:sz w:val="19"/>
                <w:szCs w:val="19"/>
                <w:color w:val="auto"/>
              </w:rPr>
            </w:pP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2,286</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2,079</w:t>
            </w:r>
          </w:p>
        </w:tc>
        <w:tc>
          <w:tcPr>
            <w:tcW w:w="80" w:type="dxa"/>
            <w:vAlign w:val="bottom"/>
            <w:tcBorders>
              <w:top w:val="single" w:sz="8" w:color="D1D2D4"/>
              <w:bottom w:val="single" w:sz="8" w:color="D1D2D4"/>
            </w:tcBorders>
            <w:shd w:val="clear" w:color="auto" w:fill="D1D2D4"/>
          </w:tcPr>
          <w:p>
            <w:pPr>
              <w:spacing w:after="0"/>
              <w:rPr>
                <w:sz w:val="19"/>
                <w:szCs w:val="19"/>
                <w:color w:val="auto"/>
              </w:rPr>
            </w:pP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4,498</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4,109</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Revenue from one customer was 13% and 15% (primarily included in the CMBU segment) of total revenue for the first six months of 2026 and 2025, respectively.</w:t>
      </w:r>
    </w:p>
    <w:p>
      <w:pPr>
        <w:spacing w:after="0" w:line="157" w:lineRule="exact"/>
        <w:rPr>
          <w:sz w:val="20"/>
          <w:szCs w:val="20"/>
          <w:color w:val="auto"/>
        </w:rPr>
      </w:pPr>
    </w:p>
    <w:p>
      <w:pPr>
        <w:ind w:right="960"/>
        <w:spacing w:after="0" w:line="301" w:lineRule="auto"/>
        <w:rPr>
          <w:sz w:val="20"/>
          <w:szCs w:val="20"/>
          <w:color w:val="auto"/>
        </w:rPr>
      </w:pPr>
      <w:r>
        <w:rPr>
          <w:rFonts w:ascii="Arial" w:cs="Arial" w:eastAsia="Arial" w:hAnsi="Arial"/>
          <w:sz w:val="16"/>
          <w:szCs w:val="16"/>
          <w:color w:val="auto"/>
        </w:rPr>
        <w:t>As of February 26, 2026 and August 28, 2025, CMBU, CDBU, MCBU, and AEBU had goodwill of $654 million, $109 million, $284 million, and $103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6295390</wp:posOffset>
            </wp:positionH>
            <wp:positionV relativeFrom="paragraph">
              <wp:posOffset>235585</wp:posOffset>
            </wp:positionV>
            <wp:extent cx="714375" cy="149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 cy="149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08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73660</wp:posOffset>
            </wp:positionV>
            <wp:extent cx="71691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ind w:right="80"/>
        <w:spacing w:after="0" w:line="296" w:lineRule="auto"/>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13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28, 2025. All period references are to our fiscal periods unless otherwise indicated. Our fiscal year is the 52</w:t>
      </w:r>
      <w:r>
        <w:rPr>
          <w:rFonts w:ascii="Arial" w:cs="Arial" w:eastAsia="Arial" w:hAnsi="Arial"/>
          <w:sz w:val="16"/>
          <w:szCs w:val="16"/>
          <w:color w:val="auto"/>
        </w:rPr>
        <w:t>-</w:t>
      </w:r>
      <w:r>
        <w:rPr>
          <w:rFonts w:ascii="Arial" w:cs="Arial" w:eastAsia="Arial" w:hAnsi="Arial"/>
          <w:sz w:val="16"/>
          <w:szCs w:val="16"/>
          <w:i w:val="1"/>
          <w:iCs w:val="1"/>
          <w:color w:val="auto"/>
        </w:rPr>
        <w:t xml:space="preserve"> or 53-week period ending on the Thursday closest to August 31. Fiscal 2026 contains 53 weeks and fiscal 2025 contains 52 weeks. All tabular dollar amounts are in millions, except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Overview</w:t>
      </w:r>
    </w:p>
    <w:p>
      <w:pPr>
        <w:spacing w:after="0" w:line="24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R&amp;D, product development, human resources, procurement, and supply chain. For our locations in Singapore and Taiwan, this is also a combination of bringing fabrication and back-end manufacturing together. We continue to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88"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face intense competition in the semiconductor memory and storage markets. To remain competitive, we must continuously develop and implement new products and technologies and decrease manufacturing costs in spite of inflationary pressures, changing technologies, rapid market changes,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Technologies</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i w:val="1"/>
          <w:iCs w:val="1"/>
          <w:color w:val="auto"/>
        </w:rPr>
        <w:t xml:space="preserve">DRAM: </w:t>
      </w:r>
      <w:r>
        <w:rPr>
          <w:rFonts w:ascii="Arial" w:cs="Arial" w:eastAsia="Arial" w:hAnsi="Arial"/>
          <w:sz w:val="16"/>
          <w:szCs w:val="16"/>
          <w:color w:val="auto"/>
        </w:rPr>
        <w:t>DRAM products are dynamic random access memory semiconductor devices with low latency that provide high-speed data retrieval with a variety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performance characteristics. DRAM products lose content when power is turned off (“volatile”) and are most commonly used in the data center, client PC, graphics, industrial, mobile, and automotive markets.</w:t>
      </w:r>
    </w:p>
    <w:p>
      <w:pPr>
        <w:spacing w:after="0" w:line="17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b w:val="1"/>
          <w:bCs w:val="1"/>
          <w:i w:val="1"/>
          <w:iCs w:val="1"/>
          <w:color w:val="auto"/>
        </w:rPr>
        <w:t xml:space="preserve">NAND: </w:t>
      </w:r>
      <w:r>
        <w:rPr>
          <w:rFonts w:ascii="Arial" w:cs="Arial" w:eastAsia="Arial" w:hAnsi="Arial"/>
          <w:sz w:val="16"/>
          <w:szCs w:val="16"/>
          <w:color w:val="auto"/>
        </w:rPr>
        <w:t>NAND products are non-volatile, re-writeable semiconductor storage devices that provide high-capacity, low-cost storage with a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characteristics. NAND is used in SSDs for the data center, client PC, consumer, and automotive markets, and in removable storage markets. Managed NAND is used in smartphones and other mobile devices, and in the consumer, automotive, and embedded markets. Low-density NAND is ideal for applications like automotive, surveillance, machine-to-machine, automation, printer, and home networking.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 xml:space="preserve">NOR: </w:t>
      </w:r>
      <w:r>
        <w:rPr>
          <w:rFonts w:ascii="Arial" w:cs="Arial" w:eastAsia="Arial" w:hAnsi="Arial"/>
          <w:sz w:val="16"/>
          <w:szCs w:val="16"/>
          <w:color w:val="auto"/>
        </w:rPr>
        <w:t>NOR products are non-volatile, re-writable semiconductor memory devices that provide fast read speeds. NOR is most commonly used for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 storage (e.g., boot, application, operating system, and execute-in-place code in an embedded system) and for frequently changing small data storage and is ideal for automotive, industrial, and consumer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Conditions</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AI-driven memory and storage growth is outpacing industry supply. In the second quarter of 2026, we continued to benefit from substantial improvements in pricing and margins, reflecting strong demand growth, driven in part by the continued advancement of AI. The AI-driven growth in the data center has accelerated demand for memory and storage at a rate greater than our ability and the industry’s ability to increase supply. This has led to decisions on supply allocation that may impact certain customers and end markets as the overall market demand for memory and storage exceeds overall industry supply. Robust overall industry DRAM and NAND demand, and constrained supply, has led to improved profitability in our portfolio.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Second Quarter</w:t>
            </w:r>
          </w:p>
        </w:tc>
        <w:tc>
          <w:tcPr>
            <w:tcW w:w="170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First Quarter</w:t>
            </w:r>
          </w:p>
        </w:tc>
        <w:tc>
          <w:tcPr>
            <w:tcW w:w="174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Second Quarter</w:t>
            </w:r>
          </w:p>
        </w:tc>
        <w:tc>
          <w:tcPr>
            <w:tcW w:w="660" w:type="dxa"/>
            <w:vAlign w:val="bottom"/>
          </w:tcPr>
          <w:p>
            <w:pPr>
              <w:spacing w:after="0"/>
              <w:rPr>
                <w:sz w:val="18"/>
                <w:szCs w:val="18"/>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23,860</w:t>
            </w:r>
          </w:p>
        </w:tc>
        <w:tc>
          <w:tcPr>
            <w:tcW w:w="28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13,643</w:t>
            </w:r>
          </w:p>
        </w:tc>
        <w:tc>
          <w:tcPr>
            <w:tcW w:w="280" w:type="dxa"/>
            <w:vAlign w:val="bottom"/>
            <w:shd w:val="clear" w:color="auto" w:fill="D1D2D4"/>
          </w:tcPr>
          <w:p>
            <w:pPr>
              <w:spacing w:after="0"/>
              <w:rPr>
                <w:sz w:val="18"/>
                <w:szCs w:val="18"/>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8,053</w:t>
            </w:r>
          </w:p>
        </w:tc>
        <w:tc>
          <w:tcPr>
            <w:tcW w:w="30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37,503</w:t>
            </w:r>
          </w:p>
        </w:tc>
        <w:tc>
          <w:tcPr>
            <w:tcW w:w="30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16,762</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w:t>
            </w:r>
          </w:p>
        </w:tc>
        <w:tc>
          <w:tcPr>
            <w:tcW w:w="28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26 %</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w:t>
            </w:r>
          </w:p>
        </w:tc>
        <w:tc>
          <w:tcPr>
            <w:tcW w:w="2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44 %</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c>
          <w:tcPr>
            <w:tcW w:w="30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63 %</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12,102</w:t>
            </w:r>
          </w:p>
        </w:tc>
        <w:tc>
          <w:tcPr>
            <w:tcW w:w="30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32 %</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10,451</w:t>
            </w:r>
          </w:p>
        </w:tc>
        <w:tc>
          <w:tcPr>
            <w:tcW w:w="2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3"/>
        </w:trPr>
        <w:tc>
          <w:tcPr>
            <w:tcW w:w="2640" w:type="dxa"/>
            <w:vAlign w:val="bottom"/>
            <w:shd w:val="clear" w:color="auto" w:fill="D1D2D4"/>
          </w:tcPr>
          <w:p>
            <w:pPr>
              <w:ind w:left="240"/>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17,755</w:t>
            </w:r>
          </w:p>
        </w:tc>
        <w:tc>
          <w:tcPr>
            <w:tcW w:w="280" w:type="dxa"/>
            <w:vAlign w:val="bottom"/>
            <w:shd w:val="clear" w:color="auto" w:fill="D1D2D4"/>
          </w:tcPr>
          <w:p>
            <w:pPr>
              <w:spacing w:after="0"/>
              <w:rPr>
                <w:sz w:val="17"/>
                <w:szCs w:val="17"/>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74 %</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7,646</w:t>
            </w:r>
          </w:p>
        </w:tc>
        <w:tc>
          <w:tcPr>
            <w:tcW w:w="28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56 %</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2,963</w:t>
            </w:r>
          </w:p>
        </w:tc>
        <w:tc>
          <w:tcPr>
            <w:tcW w:w="3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37 %</w:t>
            </w:r>
          </w:p>
        </w:tc>
        <w:tc>
          <w:tcPr>
            <w:tcW w:w="20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25,401</w:t>
            </w:r>
          </w:p>
        </w:tc>
        <w:tc>
          <w:tcPr>
            <w:tcW w:w="3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68 %</w:t>
            </w:r>
          </w:p>
        </w:tc>
        <w:tc>
          <w:tcPr>
            <w:tcW w:w="20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6,311</w:t>
            </w:r>
          </w:p>
        </w:tc>
        <w:tc>
          <w:tcPr>
            <w:tcW w:w="28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35"/>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1,250</w:t>
            </w:r>
          </w:p>
        </w:tc>
        <w:tc>
          <w:tcPr>
            <w:tcW w:w="28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1,171</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898</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2,421</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1,786</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Other operating (income) expense,</w:t>
            </w:r>
          </w:p>
        </w:tc>
        <w:tc>
          <w:tcPr>
            <w:tcW w:w="160" w:type="dxa"/>
            <w:vAlign w:val="bottom"/>
            <w:shd w:val="clear" w:color="auto" w:fill="D1D2D4"/>
          </w:tcPr>
          <w:p>
            <w:pPr>
              <w:spacing w:after="0"/>
              <w:rPr>
                <w:sz w:val="14"/>
                <w:szCs w:val="14"/>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D1D2D4"/>
          </w:tcPr>
          <w:p>
            <w:pPr>
              <w:spacing w:after="0"/>
              <w:rPr>
                <w:sz w:val="14"/>
                <w:szCs w:val="14"/>
                <w:color w:val="auto"/>
              </w:rPr>
            </w:pPr>
          </w:p>
        </w:tc>
        <w:tc>
          <w:tcPr>
            <w:tcW w:w="760" w:type="dxa"/>
            <w:vAlign w:val="bottom"/>
            <w:gridSpan w:val="2"/>
            <w:vMerge w:val="restart"/>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28</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160" w:type="dxa"/>
            <w:vAlign w:val="bottom"/>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6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4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16,135</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68 %</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6,136</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45 %</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22 %</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22,271</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59 %</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5"/>
        </w:trPr>
        <w:tc>
          <w:tcPr>
            <w:tcW w:w="264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68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8"/>
                <w:szCs w:val="18"/>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Other non-operating income</w:t>
            </w:r>
          </w:p>
        </w:tc>
        <w:tc>
          <w:tcPr>
            <w:tcW w:w="160" w:type="dxa"/>
            <w:vAlign w:val="bottom"/>
            <w:shd w:val="clear" w:color="auto" w:fill="D1D2D4"/>
          </w:tcPr>
          <w:p>
            <w:pPr>
              <w:spacing w:after="0"/>
              <w:rPr>
                <w:sz w:val="14"/>
                <w:szCs w:val="14"/>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(98)</w:t>
            </w:r>
          </w:p>
        </w:tc>
        <w:tc>
          <w:tcPr>
            <w:tcW w:w="28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(expense), net</w:t>
            </w:r>
          </w:p>
        </w:tc>
        <w:tc>
          <w:tcPr>
            <w:tcW w:w="160" w:type="dxa"/>
            <w:vAlign w:val="bottom"/>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(2,371)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Equity in net income (loss) of</w:t>
            </w:r>
          </w:p>
        </w:tc>
        <w:tc>
          <w:tcPr>
            <w:tcW w:w="160" w:type="dxa"/>
            <w:vAlign w:val="bottom"/>
            <w:shd w:val="clear" w:color="auto" w:fill="D1D2D4"/>
          </w:tcPr>
          <w:p>
            <w:pPr>
              <w:spacing w:after="0"/>
              <w:rPr>
                <w:sz w:val="14"/>
                <w:szCs w:val="14"/>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D1D2D4"/>
          </w:tcPr>
          <w:p>
            <w:pPr>
              <w:spacing w:after="0"/>
              <w:rPr>
                <w:sz w:val="14"/>
                <w:szCs w:val="14"/>
                <w:color w:val="auto"/>
              </w:rPr>
            </w:pPr>
          </w:p>
        </w:tc>
        <w:tc>
          <w:tcPr>
            <w:tcW w:w="760" w:type="dxa"/>
            <w:vAlign w:val="bottom"/>
            <w:gridSpan w:val="2"/>
            <w:vMerge w:val="restart"/>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method investees</w:t>
            </w:r>
          </w:p>
        </w:tc>
        <w:tc>
          <w:tcPr>
            <w:tcW w:w="160" w:type="dxa"/>
            <w:vAlign w:val="bottom"/>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6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13,785</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5,240</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51 %</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b w:val="1"/>
          <w:bCs w:val="1"/>
          <w:i w:val="1"/>
          <w:iCs w:val="1"/>
          <w:color w:val="auto"/>
        </w:rPr>
        <w:t xml:space="preserve">Total Revenue: </w:t>
      </w:r>
      <w:r>
        <w:rPr>
          <w:rFonts w:ascii="Arial" w:cs="Arial" w:eastAsia="Arial" w:hAnsi="Arial"/>
          <w:sz w:val="16"/>
          <w:szCs w:val="16"/>
          <w:color w:val="auto"/>
        </w:rPr>
        <w:t>Total revenue for the second quarter and first six months of 2026 was impacted by the factors described in the section titled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above.</w:t>
      </w:r>
    </w:p>
    <w:p>
      <w:pPr>
        <w:spacing w:after="0" w:line="18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Total revenue for the second quarter of 2026 increased 75% as compared to the first quarter of 2026, primarily due to increases in sales of both DRAM and NAND products.</w:t>
      </w:r>
    </w:p>
    <w:p>
      <w:pPr>
        <w:spacing w:after="0" w:line="157" w:lineRule="exact"/>
        <w:rPr>
          <w:sz w:val="20"/>
          <w:szCs w:val="20"/>
          <w:color w:val="auto"/>
        </w:rPr>
      </w:pPr>
    </w:p>
    <w:p>
      <w:pPr>
        <w:ind w:left="600" w:right="220" w:hanging="304"/>
        <w:spacing w:after="0" w:line="268" w:lineRule="auto"/>
        <w:tabs>
          <w:tab w:leader="none" w:pos="596"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of DRAM products increased 74%, primarily due to a mid-60% range increase in average selling prices and a mid-single-digit percentage range increase in bit shipments driven by tight industry conditions and favorable mix.</w:t>
      </w:r>
    </w:p>
    <w:p>
      <w:pPr>
        <w:ind w:left="600" w:right="220" w:hanging="304"/>
        <w:spacing w:after="0" w:line="280" w:lineRule="auto"/>
        <w:tabs>
          <w:tab w:leader="none" w:pos="596"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of NAND products increased 82%, primarily due to a high-70% range increase in average selling prices and a low-single-digit percentage range increase in bit shipments driven by tight industry conditions and favorable mix.</w:t>
      </w:r>
    </w:p>
    <w:p>
      <w:pPr>
        <w:spacing w:after="0" w:line="173"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Total revenue for the second quarter of 2026 increased 196% as compared to the second quarter of 2025, primarily due to increases in sales of both DRAM and NAND products.</w:t>
      </w:r>
    </w:p>
    <w:p>
      <w:pPr>
        <w:spacing w:after="0" w:line="157" w:lineRule="exact"/>
        <w:rPr>
          <w:sz w:val="20"/>
          <w:szCs w:val="20"/>
          <w:color w:val="auto"/>
        </w:rPr>
      </w:pPr>
    </w:p>
    <w:p>
      <w:pPr>
        <w:ind w:left="600" w:right="80" w:hanging="304"/>
        <w:spacing w:after="0" w:line="268"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of DRAM products increased 207%, primarily due to a mid-110% range increase in average selling prices and a mid-40% range increase in bit shipments.</w:t>
      </w:r>
    </w:p>
    <w:p>
      <w:pPr>
        <w:ind w:left="600" w:right="120" w:hanging="304"/>
        <w:spacing w:after="0" w:line="28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of NAND products increased 169%, primarily due to a slightly more than 100% increase in average selling prices and an approximate 30% increase in bit shipments.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Total revenue for the first six months of 2026 increased 124% as compared to the first six months of 2025, primarily due to increases in sales of both DRAM and NAND products.</w:t>
      </w:r>
    </w:p>
    <w:p>
      <w:pPr>
        <w:spacing w:after="0" w:line="157" w:lineRule="exact"/>
        <w:rPr>
          <w:sz w:val="20"/>
          <w:szCs w:val="20"/>
          <w:color w:val="auto"/>
        </w:rPr>
      </w:pPr>
    </w:p>
    <w:p>
      <w:pPr>
        <w:ind w:left="600" w:right="160" w:hanging="304"/>
        <w:spacing w:after="0" w:line="268" w:lineRule="auto"/>
        <w:tabs>
          <w:tab w:leader="none" w:pos="596"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DRAM products increased 136%, primarily due to a mid-70% range increase in average selling prices and a mid-30% range increase in bit shipments.</w:t>
      </w:r>
    </w:p>
    <w:p>
      <w:pPr>
        <w:ind w:left="600" w:hanging="304"/>
        <w:spacing w:after="0" w:line="280" w:lineRule="auto"/>
        <w:tabs>
          <w:tab w:leader="none" w:pos="596"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NAND products increased 89%, primarily due to a mid-40% range increase in average selling prices and an approximate 30% increase in bit shipments.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 xml:space="preserve">Consolidated Gross Margin: </w:t>
      </w:r>
      <w:r>
        <w:rPr>
          <w:rFonts w:ascii="Arial" w:cs="Arial" w:eastAsia="Arial" w:hAnsi="Arial"/>
          <w:sz w:val="16"/>
          <w:szCs w:val="16"/>
          <w:color w:val="auto"/>
        </w:rPr>
        <w:t>Our consolidated gross margin has been impacted by the factors described in the section titled “Industry Conditions.”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gross margin percentage increased to 74% for the second quarter of 2026 from 56% for the first quarter of 2026 as a result of improvements in margins for both DRAM and NAND products. Margins improved primarily due to increases in average selling prices, favorable mix, and manufacturing cost reductions driven by improvements in product and process technology.</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consolidated gross margin percentage improved to 74% for the second quarter of 2026 from 37% for the second quarter of 2025 and improved to 68% for the first six months of 2026 from 38% for the first six months of 2025. Improvements in our consolidated gross margins for the second quarter and first six months of 2026 as compared to corresponding periods of 2025 were primarily due to improvements in margins for both DRAM and NAND products. Margins improved, primarily due to increases in average selling prices, favorable mix, and manufacturing cost reductions.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Second Quarter</w:t>
            </w:r>
          </w:p>
        </w:tc>
        <w:tc>
          <w:tcPr>
            <w:tcW w:w="168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First Quarter</w:t>
            </w:r>
          </w:p>
        </w:tc>
        <w:tc>
          <w:tcPr>
            <w:tcW w:w="174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Second Quarter</w:t>
            </w:r>
          </w:p>
        </w:tc>
        <w:tc>
          <w:tcPr>
            <w:tcW w:w="660" w:type="dxa"/>
            <w:vAlign w:val="bottom"/>
          </w:tcPr>
          <w:p>
            <w:pPr>
              <w:spacing w:after="0"/>
              <w:rPr>
                <w:sz w:val="18"/>
                <w:szCs w:val="18"/>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Six Months Ended</w:t>
            </w:r>
          </w:p>
        </w:tc>
        <w:tc>
          <w:tcPr>
            <w:tcW w:w="540" w:type="dxa"/>
            <w:vAlign w:val="bottom"/>
          </w:tcPr>
          <w:p>
            <w:pPr>
              <w:spacing w:after="0"/>
              <w:rPr>
                <w:sz w:val="18"/>
                <w:szCs w:val="18"/>
                <w:color w:val="auto"/>
              </w:rPr>
            </w:pPr>
          </w:p>
        </w:tc>
      </w:tr>
      <w:tr>
        <w:trPr>
          <w:trHeight w:val="203"/>
        </w:trPr>
        <w:tc>
          <w:tcPr>
            <w:tcW w:w="2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r>
      <w:tr>
        <w:trPr>
          <w:trHeight w:val="29"/>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7,749</w:t>
            </w:r>
          </w:p>
        </w:tc>
        <w:tc>
          <w:tcPr>
            <w:tcW w:w="32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32 %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5,284</w:t>
            </w:r>
          </w:p>
        </w:tc>
        <w:tc>
          <w:tcPr>
            <w:tcW w:w="320" w:type="dxa"/>
            <w:vAlign w:val="bottom"/>
            <w:shd w:val="clear" w:color="auto" w:fill="D1D2D4"/>
          </w:tcPr>
          <w:p>
            <w:pPr>
              <w:spacing w:after="0"/>
              <w:rPr>
                <w:sz w:val="18"/>
                <w:szCs w:val="18"/>
                <w:color w:val="auto"/>
              </w:rPr>
            </w:pP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39 %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2,947</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37 %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13,033</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35 %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5,595</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CDBU</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5,687</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1,830</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8,066</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4,122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6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7,711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4,255</w:t>
            </w:r>
          </w:p>
        </w:tc>
        <w:tc>
          <w:tcPr>
            <w:tcW w:w="320" w:type="dxa"/>
            <w:vAlign w:val="bottom"/>
            <w:shd w:val="clear" w:color="auto" w:fill="D1D2D4"/>
          </w:tcPr>
          <w:p>
            <w:pPr>
              <w:spacing w:after="0"/>
              <w:rPr>
                <w:sz w:val="18"/>
                <w:szCs w:val="18"/>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2,236</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11,966</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4,844</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AEBU</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2,708</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1,034</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4,428</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6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D1D2D4"/>
          </w:tcPr>
          <w:p>
            <w:pPr>
              <w:spacing w:after="0"/>
              <w:rPr>
                <w:sz w:val="18"/>
                <w:szCs w:val="18"/>
                <w:color w:val="auto"/>
              </w:rPr>
            </w:pPr>
          </w:p>
        </w:tc>
        <w:tc>
          <w:tcPr>
            <w:tcW w:w="700" w:type="dxa"/>
            <w:vAlign w:val="bottom"/>
            <w:gridSpan w:val="2"/>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26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23,860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13,643</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8,053</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37,503</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16,762</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of total revenue may not total 100% due to rounding.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Changes in revenue for each business unit for the second quarter of 2026 as compared to the first quarter of 2026 were as follows:</w:t>
      </w:r>
    </w:p>
    <w:p>
      <w:pPr>
        <w:spacing w:after="0" w:line="236" w:lineRule="exact"/>
        <w:rPr>
          <w:sz w:val="20"/>
          <w:szCs w:val="20"/>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CMBU revenue increased 47%, primarily due to increases in average selling prices and favorable mix.</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CDBU revenue increased 139%, primarily due to increases in average selling prices and bit shipments.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MCBU revenue increased 81%, primarily due to increases in average selling prices, partially offset by lower bit shipments.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AEBU revenue increased 57%, primarily due to increases in average selling prices, partially offset by lower bit shipments.</w:t>
      </w:r>
    </w:p>
    <w:p>
      <w:pPr>
        <w:spacing w:after="0" w:line="22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Revenue for each business unit increased for the second quarter and first six months of 2026 as compared to the corresponding periods of 2025, primarily due to increases in average selling prices and higher bit shipments. Increases were as follows:</w:t>
      </w:r>
    </w:p>
    <w:p>
      <w:pPr>
        <w:spacing w:after="0" w:line="157" w:lineRule="exact"/>
        <w:rPr>
          <w:sz w:val="20"/>
          <w:szCs w:val="20"/>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CMBU revenue increased 163% and 133%, respectively.</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CDBU revenue increased 211% and 96%, respectively.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MCBU revenue increased 245% and 147%, respectively.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AEBU revenue increased 162% and 102%,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center"/>
              <w:ind w:right="318"/>
              <w:spacing w:after="0"/>
              <w:rPr>
                <w:sz w:val="20"/>
                <w:szCs w:val="20"/>
                <w:color w:val="auto"/>
              </w:rPr>
            </w:pPr>
            <w:r>
              <w:rPr>
                <w:rFonts w:ascii="Arial" w:cs="Arial" w:eastAsia="Arial" w:hAnsi="Arial"/>
                <w:sz w:val="16"/>
                <w:szCs w:val="16"/>
                <w:b w:val="1"/>
                <w:bCs w:val="1"/>
                <w:color w:val="auto"/>
              </w:rPr>
              <w:t>Second Quarter</w:t>
            </w:r>
          </w:p>
        </w:tc>
        <w:tc>
          <w:tcPr>
            <w:tcW w:w="1660" w:type="dxa"/>
            <w:vAlign w:val="bottom"/>
            <w:gridSpan w:val="4"/>
          </w:tcPr>
          <w:p>
            <w:pPr>
              <w:jc w:val="center"/>
              <w:ind w:right="338"/>
              <w:spacing w:after="0"/>
              <w:rPr>
                <w:sz w:val="20"/>
                <w:szCs w:val="20"/>
                <w:color w:val="auto"/>
              </w:rPr>
            </w:pPr>
            <w:r>
              <w:rPr>
                <w:rFonts w:ascii="Arial" w:cs="Arial" w:eastAsia="Arial" w:hAnsi="Arial"/>
                <w:sz w:val="16"/>
                <w:szCs w:val="16"/>
                <w:b w:val="1"/>
                <w:bCs w:val="1"/>
                <w:color w:val="auto"/>
              </w:rPr>
              <w:t>First Quarter</w:t>
            </w:r>
          </w:p>
        </w:tc>
        <w:tc>
          <w:tcPr>
            <w:tcW w:w="172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Second Quarter</w:t>
            </w:r>
          </w:p>
        </w:tc>
        <w:tc>
          <w:tcPr>
            <w:tcW w:w="660" w:type="dxa"/>
            <w:vAlign w:val="bottom"/>
          </w:tcPr>
          <w:p>
            <w:pPr>
              <w:spacing w:after="0"/>
              <w:rPr>
                <w:sz w:val="18"/>
                <w:szCs w:val="18"/>
                <w:color w:val="auto"/>
              </w:rPr>
            </w:pPr>
          </w:p>
        </w:tc>
        <w:tc>
          <w:tcPr>
            <w:tcW w:w="19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Six Months Ended</w:t>
            </w:r>
          </w:p>
        </w:tc>
        <w:tc>
          <w:tcPr>
            <w:tcW w:w="540" w:type="dxa"/>
            <w:vAlign w:val="bottom"/>
          </w:tcPr>
          <w:p>
            <w:pPr>
              <w:spacing w:after="0"/>
              <w:rPr>
                <w:sz w:val="18"/>
                <w:szCs w:val="18"/>
                <w:color w:val="auto"/>
              </w:rPr>
            </w:pPr>
          </w:p>
        </w:tc>
      </w:tr>
      <w:tr>
        <w:trPr>
          <w:trHeight w:val="203"/>
        </w:trPr>
        <w:tc>
          <w:tcPr>
            <w:tcW w:w="2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r>
      <w:tr>
        <w:trPr>
          <w:trHeight w:val="29"/>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5,127</w:t>
            </w:r>
          </w:p>
        </w:tc>
        <w:tc>
          <w:tcPr>
            <w:tcW w:w="36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ind w:right="38"/>
              <w:spacing w:after="0"/>
              <w:rPr>
                <w:sz w:val="20"/>
                <w:szCs w:val="20"/>
                <w:color w:val="auto"/>
              </w:rPr>
            </w:pPr>
            <w:r>
              <w:rPr>
                <w:rFonts w:ascii="Arial" w:cs="Arial" w:eastAsia="Arial" w:hAnsi="Arial"/>
                <w:sz w:val="16"/>
                <w:szCs w:val="16"/>
                <w:color w:val="auto"/>
              </w:rPr>
              <w:t>66 %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2,884</w:t>
            </w:r>
          </w:p>
        </w:tc>
        <w:tc>
          <w:tcPr>
            <w:tcW w:w="32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55 %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1,320</w:t>
            </w:r>
          </w:p>
        </w:tc>
        <w:tc>
          <w:tcPr>
            <w:tcW w:w="300" w:type="dxa"/>
            <w:vAlign w:val="bottom"/>
            <w:shd w:val="clear" w:color="auto" w:fill="D1D2D4"/>
          </w:tcPr>
          <w:p>
            <w:pPr>
              <w:spacing w:after="0"/>
              <w:rPr>
                <w:sz w:val="18"/>
                <w:szCs w:val="18"/>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45 %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8,011</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61 % $</w:t>
            </w: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2,386</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CDBU</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3,809</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67 %</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890</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4,699</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5,836</w:t>
            </w:r>
          </w:p>
        </w:tc>
        <w:tc>
          <w:tcPr>
            <w:tcW w:w="36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76 %</w:t>
            </w:r>
          </w:p>
        </w:tc>
        <w:tc>
          <w:tcPr>
            <w:tcW w:w="240" w:type="dxa"/>
            <w:vAlign w:val="bottom"/>
            <w:shd w:val="clear" w:color="auto" w:fill="D1D2D4"/>
          </w:tcPr>
          <w:p>
            <w:pPr>
              <w:spacing w:after="0"/>
              <w:rPr>
                <w:sz w:val="18"/>
                <w:szCs w:val="18"/>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2,017</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7,853</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66 %</w:t>
            </w:r>
          </w:p>
        </w:tc>
        <w:tc>
          <w:tcPr>
            <w:tcW w:w="2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395</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AEBU</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1,682</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62 %</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2,309</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20 %</w:t>
            </w:r>
          </w:p>
        </w:tc>
        <w:tc>
          <w:tcPr>
            <w:tcW w:w="240" w:type="dxa"/>
            <w:vAlign w:val="bottom"/>
            <w:tcBorders>
              <w:bottom w:val="single" w:sz="8" w:color="auto"/>
            </w:tcBorders>
            <w:shd w:val="clear" w:color="auto" w:fill="D1D2D4"/>
          </w:tcPr>
          <w:p>
            <w:pPr>
              <w:spacing w:after="0"/>
              <w:rPr>
                <w:sz w:val="18"/>
                <w:szCs w:val="18"/>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20 %</w:t>
            </w:r>
          </w:p>
        </w:tc>
        <w:tc>
          <w:tcPr>
            <w:tcW w:w="18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Borders>
              <w:bottom w:val="single" w:sz="8" w:color="auto"/>
            </w:tcBorders>
            <w:shd w:val="clear" w:color="auto" w:fill="D1D2D4"/>
          </w:tcPr>
          <w:p>
            <w:pPr>
              <w:spacing w:after="0"/>
              <w:rPr>
                <w:sz w:val="18"/>
                <w:szCs w:val="18"/>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27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16,455</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22,874</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reflect operating income as a percentage of revenue for each business unit.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income for each business unit for the second quarter of 2026 as compared to the first quarter of 2026 were as follows:</w:t>
      </w:r>
    </w:p>
    <w:p>
      <w:pPr>
        <w:spacing w:after="0" w:line="245" w:lineRule="exact"/>
        <w:rPr>
          <w:sz w:val="20"/>
          <w:szCs w:val="20"/>
          <w:color w:val="auto"/>
        </w:rPr>
      </w:pPr>
    </w:p>
    <w:p>
      <w:pPr>
        <w:ind w:left="560" w:hanging="264"/>
        <w:spacing w:after="0"/>
        <w:tabs>
          <w:tab w:leader="none" w:pos="560" w:val="left"/>
        </w:tabs>
        <w:numPr>
          <w:ilvl w:val="0"/>
          <w:numId w:val="12"/>
        </w:numPr>
        <w:rPr>
          <w:rFonts w:ascii="Arial" w:cs="Arial" w:eastAsia="Arial" w:hAnsi="Arial"/>
          <w:sz w:val="20"/>
          <w:szCs w:val="20"/>
          <w:color w:val="auto"/>
        </w:rPr>
      </w:pPr>
      <w:r>
        <w:rPr>
          <w:rFonts w:ascii="Arial" w:cs="Arial" w:eastAsia="Arial" w:hAnsi="Arial"/>
          <w:sz w:val="16"/>
          <w:szCs w:val="16"/>
          <w:color w:val="auto"/>
        </w:rPr>
        <w:t>CMBU operating income was higher, primarily due to increases in average selling prices and manufacturing cost reductions.</w:t>
      </w: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CDBU operating income was higher, primarily due to increases in average selling prices, higher bit shipments, and favorable mix.</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MCBU operating income was higher, primarily due to increases in average selling prices and favorable mix, partially offset by lower bit shipments.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AEBU operating income was higher, primarily due to increases in average selling prices, partially offset by lower bit shipments.</w:t>
      </w:r>
    </w:p>
    <w:p>
      <w:pPr>
        <w:spacing w:after="0" w:line="220"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Our operating income increased for the second quarter and first six months of 2026 as compared to the corresponding periods of 2025 for all of our business units primarily due to increases in average selling prices, higher bit shipments, and manufacturing cost reductions.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 and Other</w:t>
      </w:r>
    </w:p>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expenses vary primarily with the number of development and pre -qualification wafers processed and end-product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developed, personnel costs, and the cost of advanced equipment dedicated to new product and process development.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184"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R&amp;D expenses for the second quarter of 2026 increased 7% as compared to the first quarter of 2026, primarily due to an increase in employee compensation. R&amp;D expenses for the second quarter and first six months of 2026 increased 39% and 36%, respectively, as compared to the corresponding periods of 2025, primarily due to higher volumes of development and pre-qualification wafers, as we ramp R&amp;D investments in support of long-term opportunities in memory and storage, and increases in employee compensation.</w:t>
      </w:r>
    </w:p>
    <w:p>
      <w:pPr>
        <w:spacing w:after="0" w:line="180"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SG&amp;A expenses for the second quarter of 2026 were relatively unchanged as compared to the first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SG&amp;A expenses for the second quarter and first six months of 2026 increased 21% and 19%, respectively, as compared to the corresponding periods of 2025, primarily due to increases in employee compensation.</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i w:val="1"/>
          <w:iCs w:val="1"/>
          <w:color w:val="auto"/>
        </w:rPr>
        <w:t xml:space="preserve">Interest Income (Expense), Net: </w:t>
      </w:r>
      <w:r>
        <w:rPr>
          <w:rFonts w:ascii="Arial" w:cs="Arial" w:eastAsia="Arial" w:hAnsi="Arial"/>
          <w:sz w:val="16"/>
          <w:szCs w:val="16"/>
          <w:color w:val="auto"/>
        </w:rPr>
        <w:t>Interest income (expense) improved in the second quarter of 2026 as compared to the first quarter of 2026 and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and first six months of 2026 as compared to the corresponding periods of 2025, primarily due to a decrease in interest expense due to lower debt balances and an increase in interest income due to higher cash and investments balances.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Our income tax (provision) benefit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Second Quarter</w:t>
            </w:r>
          </w:p>
        </w:tc>
        <w:tc>
          <w:tcPr>
            <w:tcW w:w="180" w:type="dxa"/>
            <w:vAlign w:val="bottom"/>
          </w:tcPr>
          <w:p>
            <w:pPr>
              <w:spacing w:after="0"/>
              <w:rPr>
                <w:sz w:val="18"/>
                <w:szCs w:val="18"/>
                <w:color w:val="auto"/>
              </w:rPr>
            </w:pPr>
          </w:p>
        </w:tc>
        <w:tc>
          <w:tcPr>
            <w:tcW w:w="1340" w:type="dxa"/>
            <w:vAlign w:val="bottom"/>
          </w:tcPr>
          <w:p>
            <w:pPr>
              <w:jc w:val="right"/>
              <w:ind w:right="178"/>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18"/>
                <w:szCs w:val="18"/>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Second Quarter</w:t>
            </w: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29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2025</w:t>
            </w:r>
          </w:p>
        </w:tc>
      </w:tr>
      <w:tr>
        <w:trPr>
          <w:trHeight w:val="29"/>
        </w:trPr>
        <w:tc>
          <w:tcPr>
            <w:tcW w:w="2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294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before taxes</w:t>
            </w: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16,160</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6,061</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1,758</w:t>
            </w:r>
          </w:p>
        </w:tc>
        <w:tc>
          <w:tcPr>
            <w:tcW w:w="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22,221</w:t>
            </w:r>
          </w:p>
        </w:tc>
        <w:tc>
          <w:tcPr>
            <w:tcW w:w="32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ind w:right="118"/>
              <w:spacing w:after="0"/>
              <w:rPr>
                <w:sz w:val="20"/>
                <w:szCs w:val="20"/>
                <w:color w:val="auto"/>
              </w:rPr>
            </w:pPr>
            <w:r>
              <w:rPr>
                <w:rFonts w:ascii="Arial" w:cs="Arial" w:eastAsia="Arial" w:hAnsi="Arial"/>
                <w:sz w:val="16"/>
                <w:szCs w:val="16"/>
                <w:color w:val="auto"/>
              </w:rPr>
              <w:t>3,910</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860" w:type="dxa"/>
            <w:vAlign w:val="bottom"/>
          </w:tcPr>
          <w:p>
            <w:pPr>
              <w:spacing w:after="0"/>
              <w:rPr>
                <w:sz w:val="18"/>
                <w:szCs w:val="18"/>
                <w:color w:val="auto"/>
              </w:rPr>
            </w:pP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(2,371)</w:t>
            </w:r>
          </w:p>
        </w:tc>
        <w:tc>
          <w:tcPr>
            <w:tcW w:w="180" w:type="dxa"/>
            <w:vAlign w:val="bottom"/>
          </w:tcPr>
          <w:p>
            <w:pPr>
              <w:spacing w:after="0"/>
              <w:rPr>
                <w:sz w:val="18"/>
                <w:szCs w:val="18"/>
                <w:color w:val="auto"/>
              </w:rPr>
            </w:pP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8"/>
                <w:szCs w:val="18"/>
                <w:color w:val="auto"/>
              </w:rPr>
            </w:pP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(177)</w:t>
            </w:r>
          </w:p>
        </w:tc>
        <w:tc>
          <w:tcPr>
            <w:tcW w:w="340" w:type="dxa"/>
            <w:vAlign w:val="bottom"/>
          </w:tcPr>
          <w:p>
            <w:pPr>
              <w:spacing w:after="0"/>
              <w:rPr>
                <w:sz w:val="18"/>
                <w:szCs w:val="18"/>
                <w:color w:val="auto"/>
              </w:rPr>
            </w:pPr>
          </w:p>
        </w:tc>
        <w:tc>
          <w:tcPr>
            <w:tcW w:w="1180" w:type="dxa"/>
            <w:vAlign w:val="bottom"/>
          </w:tcPr>
          <w:p>
            <w:pPr>
              <w:jc w:val="right"/>
              <w:ind w:right="98"/>
              <w:spacing w:after="0"/>
              <w:rPr>
                <w:sz w:val="20"/>
                <w:szCs w:val="20"/>
                <w:color w:val="auto"/>
              </w:rPr>
            </w:pPr>
            <w:r>
              <w:rPr>
                <w:rFonts w:ascii="Arial" w:cs="Arial" w:eastAsia="Arial" w:hAnsi="Arial"/>
                <w:sz w:val="16"/>
                <w:szCs w:val="16"/>
                <w:color w:val="auto"/>
              </w:rPr>
              <w:t>(3,200)</w:t>
            </w:r>
          </w:p>
        </w:tc>
        <w:tc>
          <w:tcPr>
            <w:tcW w:w="320" w:type="dxa"/>
            <w:vAlign w:val="bottom"/>
          </w:tcPr>
          <w:p>
            <w:pPr>
              <w:spacing w:after="0"/>
              <w:rPr>
                <w:sz w:val="18"/>
                <w:szCs w:val="18"/>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(460)</w:t>
            </w:r>
          </w:p>
        </w:tc>
      </w:tr>
      <w:tr>
        <w:trPr>
          <w:trHeight w:val="210"/>
        </w:trPr>
        <w:tc>
          <w:tcPr>
            <w:tcW w:w="29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Effective tax rate</w:t>
            </w:r>
          </w:p>
        </w:tc>
        <w:tc>
          <w:tcPr>
            <w:tcW w:w="860" w:type="dxa"/>
            <w:vAlign w:val="bottom"/>
            <w:shd w:val="clear" w:color="auto" w:fill="D1D2D4"/>
          </w:tcPr>
          <w:p>
            <w:pPr>
              <w:spacing w:after="0"/>
              <w:rPr>
                <w:sz w:val="18"/>
                <w:szCs w:val="18"/>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14.7 %</w:t>
            </w:r>
          </w:p>
        </w:tc>
        <w:tc>
          <w:tcPr>
            <w:tcW w:w="18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13.7 %</w:t>
            </w:r>
          </w:p>
        </w:tc>
        <w:tc>
          <w:tcPr>
            <w:tcW w:w="120" w:type="dxa"/>
            <w:vAlign w:val="bottom"/>
            <w:shd w:val="clear" w:color="auto" w:fill="D1D2D4"/>
          </w:tcPr>
          <w:p>
            <w:pPr>
              <w:spacing w:after="0"/>
              <w:rPr>
                <w:sz w:val="18"/>
                <w:szCs w:val="18"/>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10.1 %</w:t>
            </w:r>
          </w:p>
        </w:tc>
        <w:tc>
          <w:tcPr>
            <w:tcW w:w="34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14.4 %</w:t>
            </w:r>
          </w:p>
        </w:tc>
        <w:tc>
          <w:tcPr>
            <w:tcW w:w="32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11.8 %</w:t>
            </w:r>
          </w:p>
        </w:tc>
      </w:tr>
    </w:tbl>
    <w:p>
      <w:pPr>
        <w:spacing w:after="0" w:line="280"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change in our effective tax rate for the second quarter of 2026, as compared to the first quarter of 2026 was primarily due to changes in profitability, which reduced the relative impact of discrete tax benefits. The change in our effective tax rate for the second quarter and first six months of 2026, as</w:t>
      </w:r>
    </w:p>
    <w:p>
      <w:pPr>
        <w:spacing w:after="0" w:line="1"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compared to the corresponding periods of 2025, was primarily due to the 15% minimum tax Pillar Two Model Rules (“Pillar Two”). Singapore enacted legislation to implement Pillar Two, effective for us in 2026, which largely offsets the benefit from our Singapore tax incentive arrangements.</w:t>
      </w:r>
    </w:p>
    <w:p>
      <w:pPr>
        <w:spacing w:after="0" w:line="19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undertaken by the Organisation for Economic Co-operation and Development. We continue to monitor for additional guidance and legislative changes related to Pillar Two in the jurisdictions where we operate.</w:t>
      </w:r>
    </w:p>
    <w:p>
      <w:pPr>
        <w:spacing w:after="0" w:line="186"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Further information can be found in the following notes contained in Item 1. Financial Statements, Notes to Consolidated Financial Statements:</w:t>
      </w:r>
    </w:p>
    <w:p>
      <w:pPr>
        <w:spacing w:after="0" w:line="236" w:lineRule="exact"/>
        <w:rPr>
          <w:sz w:val="20"/>
          <w:szCs w:val="20"/>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Note 9. Debt</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Note 13. Equity Compensation Plans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Note 15. 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$16.63 billion as of February 26, 2026, and $11.94 billion as of August 28, 2025.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February 26, 2026, $6.43 billion of our cash and marketable investments was held by our foreign subsidiaries.</w:t>
      </w:r>
    </w:p>
    <w:p>
      <w:pPr>
        <w:spacing w:after="0" w:line="38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February 26, 2026, $3.50 billion was available to draw under our Revolving Credit Facility. Funding of certain significant capital projects is also dependent on the receipt of government incentives. Our incentives are conditioned upon achieving or maintaining certain outcomes and satisfying compliance requirements and are subject to reduction, termination, or clawback.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97790</wp:posOffset>
            </wp:positionV>
            <wp:extent cx="716915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To develop new product and process technology, support future growth, achieve operating efficiencies, and maintain product quality, we must continue to invest in manufacturing technologies, facilities and equipment, and R&amp;D. We estimate capital expenditures for property, plant, and equipment, net of proceeds from government incentives, to be above $25 billion in 2026. Actual amounts for 2026 will vary depending on market conditions and may vary from quarter to quarter due to the timing of expenditures and proceeds from government incentives. As of February 26, 2026, we had purchase obligations of approximately $2.10 billion for the acquisition of property, plant, and equipment, substantially all of which is expected to be paid within one year. For a description of other contractual obligations, such as finance leases and debt, see Item 1. Financial Statements, Notes to Consolidated Financial Statements, Note 9. Debt.</w:t>
      </w:r>
    </w:p>
    <w:p>
      <w:pPr>
        <w:spacing w:after="0" w:line="36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w:t>
      </w:r>
    </w:p>
    <w:p>
      <w:pPr>
        <w:spacing w:after="0" w:line="37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As part of this plan, in September 2022, we broke ground on a leading-edge memory manufacturing fab in Boise, Idaho. Construction of the fab began in October 2023, with first DRAM wafer output projected in mid-calendar 2027. In June 2025, in connection with certain amendments to our CHIPS Act agreements, we announced plans for a second leading-edge memory manufacturing fab in Idaho to serve growing market demand fueled by AI. We plan to begin construction of the second Idaho fab in 2026, and expect it to be operational by the end of 2028.</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announced plan for New York includes construction of a leading-edge DRAM memory manufacturing site, consisting of up to four fabs to be built over the next 20-plus years, in Clay, New York. In January 2026, we broke ground on our first New York fab, which will provide supply in 2030 and beyond. We expect these new fabs to be key to meeting our requirements for additional wafer capacity, in line with industry demand trends and our objective of maintaining stable bit share.</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to the second planned Idaho fab from the $6.1 billion grants previously awarded under the December 2024 direct funding agreements.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United States.</w:t>
      </w:r>
    </w:p>
    <w:p>
      <w:pPr>
        <w:spacing w:after="0" w:line="18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addition to the CHIPS Act direct funding, we receive a 35% investment tax credit on qualified investments in U.S. semiconductor manufacturing under the CHIPS Act. We have also signed a non-binding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17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Outside the United States,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86" w:lineRule="exact"/>
        <w:rPr>
          <w:sz w:val="20"/>
          <w:szCs w:val="20"/>
          <w:color w:val="auto"/>
        </w:rPr>
      </w:pPr>
    </w:p>
    <w:p>
      <w:pPr>
        <w:ind w:left="560" w:hanging="264"/>
        <w:spacing w:after="0"/>
        <w:tabs>
          <w:tab w:leader="none" w:pos="560" w:val="left"/>
        </w:tabs>
        <w:numPr>
          <w:ilvl w:val="0"/>
          <w:numId w:val="14"/>
        </w:numPr>
        <w:rPr>
          <w:rFonts w:ascii="Arial" w:cs="Arial" w:eastAsia="Arial" w:hAnsi="Arial"/>
          <w:sz w:val="20"/>
          <w:szCs w:val="20"/>
          <w:color w:val="auto"/>
        </w:rPr>
      </w:pPr>
      <w:r>
        <w:rPr>
          <w:rFonts w:ascii="Arial" w:cs="Arial" w:eastAsia="Arial" w:hAnsi="Arial"/>
          <w:sz w:val="16"/>
          <w:szCs w:val="16"/>
          <w:b w:val="1"/>
          <w:bCs w:val="1"/>
          <w:i w:val="1"/>
          <w:iCs w:val="1"/>
          <w:color w:val="auto"/>
        </w:rPr>
        <w:t xml:space="preserve">India: </w:t>
      </w:r>
      <w:r>
        <w:rPr>
          <w:rFonts w:ascii="Arial" w:cs="Arial" w:eastAsia="Arial" w:hAnsi="Arial"/>
          <w:sz w:val="16"/>
          <w:szCs w:val="16"/>
          <w:color w:val="auto"/>
        </w:rPr>
        <w:t>Our assembly and test facility in Gujarat commenced commercial shipments and will start ramping production in 2026;</w:t>
      </w: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Japan: </w:t>
      </w:r>
      <w:r>
        <w:rPr>
          <w:rFonts w:ascii="Arial" w:cs="Arial" w:eastAsia="Arial" w:hAnsi="Arial"/>
          <w:sz w:val="16"/>
          <w:szCs w:val="16"/>
          <w:color w:val="auto"/>
        </w:rPr>
        <w:t>We are modernizing our Hiroshima manufacturing facility to support future DRAM nodes and AI memory production;</w:t>
      </w:r>
    </w:p>
    <w:p>
      <w:pPr>
        <w:spacing w:after="0" w:line="25" w:lineRule="exact"/>
        <w:rPr>
          <w:rFonts w:ascii="Arial" w:cs="Arial" w:eastAsia="Arial" w:hAnsi="Arial"/>
          <w:sz w:val="16"/>
          <w:szCs w:val="16"/>
          <w:color w:val="auto"/>
        </w:rPr>
      </w:pPr>
    </w:p>
    <w:p>
      <w:pPr>
        <w:ind w:left="600" w:right="280" w:hanging="304"/>
        <w:spacing w:after="0" w:line="255" w:lineRule="auto"/>
        <w:tabs>
          <w:tab w:leader="none" w:pos="564" w:val="left"/>
        </w:tabs>
        <w:numPr>
          <w:ilvl w:val="0"/>
          <w:numId w:val="1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We broke ground in January 2025 on an HBM advanced packaging facility to meaningfully expand our total advanced packaging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beginning in calendar 2027. In January 2026, we broke ground on an additional advanced wafer fab facility located within our existing NAND manufacturing complex. This facility will provide additional cleanroom space when it becomes operational in the second half of calendar 2028, helping address growing market demand for NAND technology driven by the rapid expansion of AI and data-centric applications; and</w:t>
      </w:r>
    </w:p>
    <w:p>
      <w:pPr>
        <w:spacing w:after="0" w:line="1" w:lineRule="exact"/>
        <w:rPr>
          <w:rFonts w:ascii="Arial" w:cs="Arial" w:eastAsia="Arial" w:hAnsi="Arial"/>
          <w:sz w:val="18"/>
          <w:szCs w:val="18"/>
          <w:color w:val="auto"/>
        </w:rPr>
      </w:pPr>
    </w:p>
    <w:p>
      <w:pPr>
        <w:ind w:left="600" w:right="180" w:hanging="304"/>
        <w:spacing w:after="0" w:line="258" w:lineRule="auto"/>
        <w:tabs>
          <w:tab w:leader="none" w:pos="577" w:val="left"/>
        </w:tabs>
        <w:numPr>
          <w:ilvl w:val="0"/>
          <w:numId w:val="1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Taiwan: </w:t>
      </w:r>
      <w:r>
        <w:rPr>
          <w:rFonts w:ascii="Arial" w:cs="Arial" w:eastAsia="Arial" w:hAnsi="Arial"/>
          <w:sz w:val="16"/>
          <w:szCs w:val="16"/>
          <w:color w:val="auto"/>
        </w:rPr>
        <w:t>We are modernizing our production capacity for DRAM and HBM products to meet rising market demand. On March 15, 2026,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completed the acquisition of a wafer fabrication facility in Tongluo, Miaoli County, Taiwan, from Powerchip Semiconductor Manufacturing Corporation for cash consideration to be paid in installments totaling $1.8 billion. We expect this site to support meaningful product shipments from the existing fab beginning in 2028. Adding to the existing fab, we plan to begin construction of a similar-sized second cleanroom at this site by the end of 2026.</w:t>
      </w:r>
    </w:p>
    <w:p>
      <w:pPr>
        <w:spacing w:after="0" w:line="19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certain countries outside of the U.S, we receive or expect to receive, government incentives related to our investments. The amounts of these government incentives generally offset a portion of our planned investments and require us to meet certain conditions in order to receive such incentives.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February 26, 2026, we had repurchased an aggregate of $7.84 billion under the authorization. See Item 1. Financial Statements, Notes to Consolidated Financial Statements, Note 11. Equity.</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March 18, 2026, our Board of Directors declared a quarterly dividend of $ 0.15 per share, payable in cash on April 15, 2026, to shareholders of record as of the close of business on March 30, 2026.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8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expect that our cash and investments, cash flows from operations, funding from government incentives, and available financing will be sufficient to meet our requirements at least through the next 12 months and thereafter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6"/>
                <w:szCs w:val="16"/>
                <w:color w:val="auto"/>
              </w:rPr>
            </w:pPr>
          </w:p>
        </w:tc>
        <w:tc>
          <w:tcPr>
            <w:tcW w:w="1280" w:type="dxa"/>
            <w:vAlign w:val="bottom"/>
          </w:tcPr>
          <w:p>
            <w:pPr>
              <w:jc w:val="right"/>
              <w:ind w:right="158"/>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20,314</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(10,119)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used for financing activities</w:t>
            </w:r>
          </w:p>
        </w:tc>
        <w:tc>
          <w:tcPr>
            <w:tcW w:w="160" w:type="dxa"/>
            <w:vAlign w:val="bottom"/>
            <w:shd w:val="clear" w:color="auto" w:fill="D1D2D4"/>
          </w:tcPr>
          <w:p>
            <w:pPr>
              <w:spacing w:after="0"/>
              <w:rPr>
                <w:sz w:val="18"/>
                <w:szCs w:val="18"/>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(5,912)</w:t>
            </w:r>
          </w:p>
        </w:tc>
        <w:tc>
          <w:tcPr>
            <w:tcW w:w="16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4,288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provided by operating activities reflects net income adjusted for certain non-cash items, including depreciation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intangible assets, and stock-based compensation, and the effects of changes in operating assets and liabilities.</w:t>
      </w:r>
    </w:p>
    <w:p>
      <w:pPr>
        <w:spacing w:after="0" w:line="200" w:lineRule="exact"/>
        <w:rPr>
          <w:sz w:val="20"/>
          <w:szCs w:val="20"/>
          <w:color w:val="auto"/>
        </w:rPr>
      </w:pPr>
    </w:p>
    <w:p>
      <w:pPr>
        <w:spacing w:after="0" w:line="394"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increase in cash provided by operating activities for the first six months of 2026 as compared to the first six months of 2025 was primarily due to higher net income in the current year adjusted for non-cash items, an increase in other current liabilities resulting mainly from higher consideration payable to customers for pricing adjustments, and an increase in noncurrent liabilities largely due to higher noncurrent income taxes payable related to the implementation of Pillar Two. These increases were partially offset by a significant increase in receivables due to higher revenue in the first six months of 2026.</w:t>
      </w:r>
    </w:p>
    <w:p>
      <w:pPr>
        <w:spacing w:after="0" w:line="384"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For the first six months of 2026, net cash used for investing activities consisted primarily of $11.78 billion of expenditures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plant, and equipment and $419 million of net outflows from purchases, maturities, and sales of available-for-sale securities, partially offset by $2.26 billion of proceeds from government incentives to offset capital expenditures.</w:t>
      </w:r>
    </w:p>
    <w:p>
      <w:pPr>
        <w:spacing w:after="0" w:line="17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the first six months of 2025, net cash used for investing activities consisted primarily of $7.26 billion of expenditures for property, plant, and equipment, partially offset by $1.03 billion received from government incentives to offset capital expenditures.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For the first six months of 2026, net cash used for financing activities consisted primarily of $4.63 billion of repayments of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included the prepayment in full of the 2028 Notes, 2029 Term Loan A, 2029 A Notes, 2029 B Notes, and 2030 Notes; $650 million for the acquisition of 2.5 million shares of our common stock under our share repurchase authorization; $545 million for the repurchases of common stock for withholdings on employee equity awards; and $266 million for payments of dividends to shareholders. See Item 1. Financial Statements, Notes to Consolidated Financial Statements, Note 9. Debt.</w:t>
      </w:r>
    </w:p>
    <w:p>
      <w:pPr>
        <w:spacing w:after="0" w:line="184"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color w:val="auto"/>
        </w:rPr>
        <w:t>For the first six months of 2025, net cash used for financing activities consisted primarily of $ 2.63 billion of repayments of debt, which included the prepayment of the 2026 Notes, 2026 Term Loan A, and 2027 Term Loan A borrowings; $261 million for payments of dividends to shareholders; and $252 million for the repurchases of common stock for withholdings on employee equity awards; partially offset by $1.68 billion of proceeds from the issuance of the 2029 Term Loan A and approximately $1.00 billion of proceeds from the issuance of the 2035 A Notes.</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Critical Accounting Estimates</w:t>
      </w:r>
    </w:p>
    <w:p>
      <w:pPr>
        <w:spacing w:after="0" w:line="244"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For a discussion of our critical accounting estimates, see Part II, Item 7. Management’s Discussion and Analysis of Financial Condition and Results of Operations, Critical Accounting Estimates of our Annual Report on Form 10-K for the year ended August 28, 2025. There have been no significant changes to our critical accounting estimates since our Annual Report on Form 10-K for the year ended August 28, 2025.</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Recently Issued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See Part I, Item 1. Financial Statements, Notes to Consolidated Financial Statements, Note 2. Recently Issued Accounting Standards.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For further discussion about market risk and sensitivity analysis related to changes in interest rates and currency exchange rates, see Part II, Item 7A. Quantitative and Qualitative Disclosures About Market Risk in our Annual Report on Form 10-K for the year ended August 28, 2025. There have been no material changes to our market risk during the six months ended February 26, 2026.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23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18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second quarter of 2026, there were no changes in our internal control over financial reporting that have materially affected, or are reasonably likely to materially affect, our internal control over financial reporting.</w:t>
      </w:r>
    </w:p>
    <w:p>
      <w:pPr>
        <w:spacing w:after="0" w:line="37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236"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For a discussion of legal proceedings, see Part I. Financial Information, Item 1. Financial Statements, Notes to Consolidated Financial Statements, Note 10. Contingencies and Item 1A. Risk Factors in this Quarterly Report on Form 10-Q.</w:t>
      </w:r>
    </w:p>
    <w:p>
      <w:pPr>
        <w:spacing w:after="0" w:line="157"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23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 Factor Summary</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Operations, and Industry</w:t>
      </w:r>
    </w:p>
    <w:p>
      <w:pPr>
        <w:spacing w:after="0" w:line="28" w:lineRule="exact"/>
        <w:rPr>
          <w:sz w:val="20"/>
          <w:szCs w:val="20"/>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volatility in average selling prices of our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range of factors that may adversely affect our gross margins;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international operations, including geopolitical risks;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highly competitive nature of our industry;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develop, produce, and supply new and competitive memory and storage technologies and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realizing expected returns from capacity expansions;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achieving or maintaining certain outcomes and the compliance requirements associated with incentives from various governments;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and quality of materials, supplies, electrical power, gas, water, and capital equipment, or dependency on third-party service providers;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downturn or ongoing adverse conditions in regional or worldwide economies;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disruptions to our manufacturing processes from operational issues, natural disasters, or other events;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dependency on certain customers, including international customers, and end markets;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products that fail to meet specifications, are defective, or are incompatible with end uses;</w:t>
      </w:r>
    </w:p>
    <w:p>
      <w:pPr>
        <w:spacing w:after="0" w:line="13" w:lineRule="exact"/>
        <w:rPr>
          <w:rFonts w:ascii="Arial" w:cs="Arial" w:eastAsia="Arial" w:hAnsi="Arial"/>
          <w:sz w:val="16"/>
          <w:szCs w:val="16"/>
          <w:color w:val="auto"/>
        </w:rPr>
      </w:pPr>
    </w:p>
    <w:p>
      <w:pPr>
        <w:ind w:left="600" w:right="120" w:hanging="304"/>
        <w:spacing w:after="0" w:line="258" w:lineRule="auto"/>
        <w:tabs>
          <w:tab w:leader="none" w:pos="5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breaches of our security systems or products, systems failures, interruptions, delays in service, catastrophic events, and resulting interruptions of our systems or those of our customers, suppliers, or business partners;</w:t>
      </w: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uncertainties and outcomes associated with the use and evolution of AI;</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employees;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responsible sourcing requirements and related regulations;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sustainability and governance expectations or standards;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acquisitions and/or strategic transactions;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restructure plans may not realize expected savings or other benefits.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Intellectual Property and Litigation</w:t>
      </w:r>
    </w:p>
    <w:p>
      <w:pPr>
        <w:spacing w:after="0" w:line="28" w:lineRule="exact"/>
        <w:rPr>
          <w:sz w:val="20"/>
          <w:szCs w:val="20"/>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protecting our intellectual property and retaining key employees who are knowledgeable about and develop our intellectual property;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legal, regulatory and administrative investigations, inquiries, proceedings, and claims; and</w:t>
      </w:r>
    </w:p>
    <w:p>
      <w:pPr>
        <w:spacing w:after="0" w:line="13" w:lineRule="exact"/>
        <w:rPr>
          <w:rFonts w:ascii="Arial" w:cs="Arial" w:eastAsia="Arial" w:hAnsi="Arial"/>
          <w:sz w:val="16"/>
          <w:szCs w:val="16"/>
          <w:color w:val="auto"/>
        </w:rPr>
      </w:pPr>
    </w:p>
    <w:p>
      <w:pPr>
        <w:ind w:left="600" w:right="320" w:hanging="304"/>
        <w:spacing w:after="0" w:line="280"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claims that our products or manufacturing processes infringe or otherwise violate the intellectual property rights of others or failure to obtain or renew license agreements covering such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Laws and Regulations</w:t>
      </w:r>
    </w:p>
    <w:p>
      <w:pPr>
        <w:spacing w:after="0" w:line="28" w:lineRule="exact"/>
        <w:rPr>
          <w:sz w:val="20"/>
          <w:szCs w:val="20"/>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impacts of government actions and compliance with tariffs, trade restrictions, and/or trade regulations;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tax expense and tax laws in key jurisdictions;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laws, regulations, or industry standards, including environmental considerations.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Capitalization and Financial Markets</w:t>
      </w:r>
    </w:p>
    <w:p>
      <w:pPr>
        <w:spacing w:after="0" w:line="28" w:lineRule="exact"/>
        <w:rPr>
          <w:sz w:val="20"/>
          <w:szCs w:val="20"/>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generate sufficient cash flows or obtain access to external financing;</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debt obligations;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foreign currency exchange rates;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counterparty default risk;</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volatility in the trading price of our common stock;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the amount and frequency of our common stock repurchases and payment of cash dividends and resulting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6295390</wp:posOffset>
            </wp:positionH>
            <wp:positionV relativeFrom="paragraph">
              <wp:posOffset>276225</wp:posOffset>
            </wp:positionV>
            <wp:extent cx="714375" cy="149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 cy="14922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08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73660</wp:posOffset>
            </wp:positionV>
            <wp:extent cx="716915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Our Business, Operations, and Industry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in average selling prices for our semiconductor memory and storage products may adversely affect our business.</w:t>
      </w:r>
    </w:p>
    <w:p>
      <w:pPr>
        <w:spacing w:after="0" w:line="23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We have experienced significant volatility in our average selling prices and may continue to experience such volatility in the future. In the past five fiscal years, annual percentage changes in DRAM average selling prices have ranged from plus low 40% to a minus high 40% range. In the past five fiscal years, annual percentage changes in NAND average selling prices have ranged from plus low 30% to a minus low 50% range. In some prior periods, average selling prices for our products have been below our manufacturing costs, and we may experience such circumstances in the future. Significant declines in average selling prices in future periods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gross margins may be adversely affected by a range of factors.</w:t>
      </w:r>
    </w:p>
    <w:p>
      <w:pPr>
        <w:spacing w:after="0" w:line="236"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74" w:lineRule="exact"/>
        <w:rPr>
          <w:sz w:val="20"/>
          <w:szCs w:val="20"/>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strategic product diversification decisions affecting product mix;</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increasing complexity of our product portfolio, which may impact operational costs;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increasing complexity of manufacturing processes;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transitioning to smaller line-width process technologies or additional 3D memory layers or NAND cell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process complexity, including number of mask layers and fabrication steps;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manufacturing yield and defect density;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technological barriers;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process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products that may require relatively larger die sizes or advanced packaging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start-up or other costs associated with capacity expansions;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regional cost differences that may become more pronounced when we transition the manufacture of certain products within our global network;</w:t>
      </w:r>
    </w:p>
    <w:p>
      <w:pPr>
        <w:spacing w:after="0" w:line="13" w:lineRule="exact"/>
        <w:rPr>
          <w:rFonts w:ascii="Arial" w:cs="Arial" w:eastAsia="Arial" w:hAnsi="Arial"/>
          <w:sz w:val="16"/>
          <w:szCs w:val="16"/>
          <w:color w:val="auto"/>
        </w:rPr>
      </w:pPr>
    </w:p>
    <w:p>
      <w:pPr>
        <w:ind w:left="600" w:right="360" w:hanging="304"/>
        <w:spacing w:after="0" w:line="258" w:lineRule="auto"/>
        <w:tabs>
          <w:tab w:leader="none" w:pos="5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costs of goods and services due to, among other things, inflationary pressures, regulatory actions, including tariffs or trade restrictions, increased input costs, or market conditions; and</w:t>
      </w:r>
    </w:p>
    <w:p>
      <w:pPr>
        <w:ind w:left="600" w:right="40" w:hanging="304"/>
        <w:spacing w:after="0" w:line="280" w:lineRule="auto"/>
        <w:tabs>
          <w:tab w:leader="none" w:pos="5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manufacturing costs per gigabit due to fabrication facility underutilization, lower wafer output, and insufficient volume to run new technology nodes to achieve cost optimization.</w:t>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18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We operate in a dynamic and rapidly evolving industry where the timeframes for product transitions, facility expansions, production ramps, and supply chain shifts are increasingly compressed. To remain competitive, we must continuously develop and implement new products and technologies and decrease manufacturing costs in spite of inflationary pressures and regulatory uncertainty. As we streamline our production and shift capacity to leading-edge nodes, we face execution risks that could impact our ability to meet customer demand and maintain market coverage.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we will be able to do the following:</w:t>
      </w:r>
    </w:p>
    <w:p>
      <w:pPr>
        <w:spacing w:after="0" w:line="236" w:lineRule="exact"/>
        <w:rPr>
          <w:sz w:val="20"/>
          <w:szCs w:val="20"/>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timely identify and address technology inflections and market changes;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accurately forecast demand and inventory levels of our customers or distributors;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timely ramp production as we transition our operations footprint to new fabrication facilities;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operational flexibility in response to unforeseen changes in customer demand; and</w:t>
      </w:r>
    </w:p>
    <w:p>
      <w:pPr>
        <w:spacing w:after="0" w:line="13" w:lineRule="exact"/>
        <w:rPr>
          <w:rFonts w:ascii="Arial" w:cs="Arial" w:eastAsia="Arial" w:hAnsi="Arial"/>
          <w:sz w:val="16"/>
          <w:szCs w:val="16"/>
          <w:color w:val="auto"/>
        </w:rPr>
      </w:pPr>
    </w:p>
    <w:p>
      <w:pPr>
        <w:ind w:left="600" w:right="280" w:hanging="304"/>
        <w:spacing w:after="0" w:line="280"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supply scalability during downturns in the semiconductor markets in which we compete as we streamline our product portfolio to drive further fabrication efficiencies.</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ability to execute on multiple transitions simultaneously, while maintaining supply continuity, quality standards, and cost competitiveness, is critical to sustaining our market position. If we do not successfully anticipate technology inflections and respond to changes in customer requirements and market changes, our business, results of operations, or financial condition could be materially adversely affected. Any misalignment between forecasted and actual demand, or delays in ramping new technologies, could result in elevated inventory levels, underutilized capacity, and gross margin pressure.</w:t>
      </w:r>
    </w:p>
    <w:p>
      <w:pPr>
        <w:spacing w:after="0" w:line="18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In addition, due to the customized nature of certain products we manufacture, we may be unable to sell certain finished goods inventories to alternative customers or manufacture in-process inventory to different specifications, which may result in excess and obsolescence charges or loss of revenue in future periods.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62"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Our industry goes through cycles with demand changes that are not fully aligned to the available supply in the market. We may not be able to predict or quickly respond to trends in the dynamics of our markets and our customers or changes in customer demand, which could negatively impact our gross margin. Although AI is a relatively new demand driver for our products, it is evolving rapidly, and the expected timing and amount of demand related to AI can change significantly. As a result, it may be difficult to accurately forecast such demand, and we have incurred and may continue to incur costs in anticipation of demand that ultimately may not materialize or may not be sustained. Additionally, periods of sustained higher prices for memory and storage products may reduce demand or result in our customers modifying product designs to reduce memory and storage content or seeking alternative</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technologies and solutions. If demand for our products materializes but is lower than expected, we may not be able to reduce our costs in response, which would adversely impact our gross margins. If demand exceeds our forecast, we may be unable to increase supply sufficiently to meet such demand, which</w:t>
      </w:r>
    </w:p>
    <w:p>
      <w:pPr>
        <w:spacing w:after="0" w:line="1"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could result in a loss of revenue or damage to customer relationships. Our inability to align supply with demand could have a material adverse effect on our business, results of operations, or financial condition.</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color w:val="auto"/>
        </w:rPr>
        <w:t>We face geopolitical and other risks associated with our international operations that could materially adversely affect our business, results of operations, or financial condition.</w:t>
      </w:r>
    </w:p>
    <w:p>
      <w:pPr>
        <w:spacing w:after="0" w:line="14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our U.S. operations, a substantial portion of our operations are conducted in Taiwan, Singapore, Japan, Malaysia, China, and India, and many of our customers, suppliers, and vendors also operate internationally. In 2025, approximately one-third of our revenue was from sales to customers who have headquarters located outside the United States, while approximately 80% of our revenue in 2025 was from products shipped to customer locations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operations are subject to a number of risks, including:</w:t>
      </w:r>
    </w:p>
    <w:p>
      <w:pPr>
        <w:spacing w:after="0" w:line="236" w:lineRule="exact"/>
        <w:rPr>
          <w:sz w:val="20"/>
          <w:szCs w:val="20"/>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on sales of goods or services to one or more of our significant foreign customers;</w:t>
      </w:r>
    </w:p>
    <w:p>
      <w:pPr>
        <w:spacing w:after="0" w:line="29" w:lineRule="exact"/>
        <w:rPr>
          <w:rFonts w:ascii="Arial" w:cs="Arial" w:eastAsia="Arial" w:hAnsi="Arial"/>
          <w:sz w:val="16"/>
          <w:szCs w:val="16"/>
          <w:color w:val="auto"/>
        </w:rPr>
      </w:pPr>
    </w:p>
    <w:p>
      <w:pPr>
        <w:jc w:val="both"/>
        <w:ind w:left="600" w:right="80" w:hanging="304"/>
        <w:spacing w:after="0" w:line="258" w:lineRule="auto"/>
        <w:tabs>
          <w:tab w:leader="none" w:pos="5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 including currency controls and global tariffs, which could negatively affect the amount and timing of payments from certain of our customers and, as a result, our cash flows;</w:t>
      </w:r>
    </w:p>
    <w:p>
      <w:pPr>
        <w:ind w:left="600" w:right="160" w:hanging="304"/>
        <w:spacing w:after="0" w:line="258" w:lineRule="auto"/>
        <w:tabs>
          <w:tab w:leader="none" w:pos="5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U.S. and international laws involving international operations, including the Foreign Corrupt Practices Act of 1977, as amended, sanctions and anti-corruption laws, export and import laws, intellectual property, cybersecurity and data privacy laws, and similar rules and regulations;</w:t>
      </w: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theft of intellectual property;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political and economic instability, including instability resulting from domestic and international conflicts;</w:t>
      </w:r>
    </w:p>
    <w:p>
      <w:pPr>
        <w:spacing w:after="0" w:line="13" w:lineRule="exact"/>
        <w:rPr>
          <w:rFonts w:ascii="Arial" w:cs="Arial" w:eastAsia="Arial" w:hAnsi="Arial"/>
          <w:sz w:val="16"/>
          <w:szCs w:val="16"/>
          <w:color w:val="auto"/>
        </w:rPr>
      </w:pPr>
    </w:p>
    <w:p>
      <w:pPr>
        <w:ind w:left="600" w:right="60" w:hanging="304"/>
        <w:spacing w:after="0" w:line="258" w:lineRule="auto"/>
        <w:tabs>
          <w:tab w:leader="none" w:pos="5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government actions, civil unrest, or international conflicts preventing the flow of products and materials, including delays in shipping and obtaining products and materials, cancellation of orders, or loss or damage of products;</w:t>
      </w: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perception of governments in the regions where we operate;</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problems with the transportation or delivery of products and materials;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issues arising from cultural or language differences and labor unrest;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longer payment cycles and greater difficulty in collecting accounts receivable;</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trade, technical standards, and other laws in a variety of jurisdictions;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contractual and regulatory limitations on the ability to maintain flexibility with staffing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disruptions to manufacturing or R&amp;D activities as a result of actions imposed by governments;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economic policies of foreign governments;</w:t>
      </w:r>
    </w:p>
    <w:p>
      <w:pPr>
        <w:spacing w:after="0" w:line="13" w:lineRule="exact"/>
        <w:rPr>
          <w:rFonts w:ascii="Arial" w:cs="Arial" w:eastAsia="Arial" w:hAnsi="Arial"/>
          <w:sz w:val="16"/>
          <w:szCs w:val="16"/>
          <w:color w:val="auto"/>
        </w:rPr>
      </w:pPr>
    </w:p>
    <w:p>
      <w:pPr>
        <w:ind w:left="600" w:right="540" w:hanging="304"/>
        <w:spacing w:after="0" w:line="258" w:lineRule="auto"/>
        <w:tabs>
          <w:tab w:leader="none" w:pos="5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of market share in foreign jurisdictions resulting from political and regulatory uncertainty regarding possible trade restrictions, domestic sourcing initiatives, or other government actions;</w:t>
      </w: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in staffing and managing international operations;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health issues.</w:t>
      </w:r>
    </w:p>
    <w:p>
      <w:pPr>
        <w:spacing w:after="0" w:line="220"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auto"/>
        </w:rPr>
        <w:t>If we or our customers, suppliers, or vendors are impacted by any of these risks, it could have a material adverse effect on our business, results of operations, or financial condition.</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We may not be able to fully prevent the unauthorized resale, diversion, or misuse of our products by third parties. These restrictions may not prohibit our competitors from selling similar products to our customers, which may result in a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38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Political, economic, or other actions may adversely affect our operations in Taiwan. A majority of our DRAM production output in 2025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semiconductor memory and storage markets are highly competitive.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Samsung Electronics Co., Ltd.;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SK hynix Inc.; Kioxia Holdings Corporation; Sandisk Corporation; ChangXin Memory Technologies, Inc. (“CXMT”); and Yangtze Memory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Technologies Co., Ltd. (“YMTC”). Our competitors may use aggressive pricing to obtain market share. Some of our competitors are large corporations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conglomerates that may operate in jurisdictions with lower labor and compliance costs and may have a larger market share and greater resources to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invest in technology, capitalize on growth opportunities, and withstand downturns in the semiconductor markets in which we compete. Consolidation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industry competitors could put us at a competitive disadvantage as our competitors may benefit from increased manufacturing scale and a stronger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product portfolio. Alternatively, new entrants into the memory and storage market could have a significant adverse impact on our competitive position. We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operate in different jurisdictions than our competitors and may be impacted by unfavorable changes in currency exchange rates, import/export restrictions,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and other trade regulations, including tariffs.</w:t>
      </w:r>
    </w:p>
    <w:p>
      <w:pPr>
        <w:spacing w:after="0" w:line="220"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CAC’s decision that critical information infrastructure operators in China may not purchase Micron products had an adverse impact on our ability to compete effectively in China and elsewhere.</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competitive nature of our industry could have a material adverse effect on our business, results of operations, or financial condition.</w:t>
      </w:r>
    </w:p>
    <w:p>
      <w:pPr>
        <w:spacing w:after="0" w:line="236"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b w:val="1"/>
          <w:bCs w:val="1"/>
          <w:color w:val="auto"/>
        </w:rPr>
        <w:t>Our future success depends on our ability to develop, produce, and supply new and competitive memory and storage technologies and products in a dynamic market environment.</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our ability to successfully introduce new products often requires us to make product specification decisions multiple years in advance of when new products enter the market. Recent technologies, such as generative AI models have emerged, and while they have driven increased demand for HBM and other advanced products in the data center and other markets, the long-term trajectory is unknown and associated demand may fluctuate. Due to the higher performance and more complex manufacturing process, HBM requires a higher number of wafers and more cleanroom space to produce the same number of bits as conventional DRAM in the same technology node. If demand for HBM weakens and suppliers shift capacity from HBM to conventional DRAM, this could result in a significant increase in conventional DRAM supply. An oversupplied DRAM market may lead to downward pressure on pricing, which could adversely impact our financial results. Conversely, as the demand for DRAM, HBM, or any of our other products has increased and may continue to increase, we may be unable to increase supply sufficiently to meet such demand. Our ability to meet demand is influenced by numerous factors, including changes in product development cycles, cleanroom capacity, ramping technologies, and evolving customer requirements. When demand exceeds our supply, we have been and may be unable to scale supply sufficiently, requiring us to make decisions about manufacturing priorities, as well as customer and market supply allocations. Periods of constrained supply, insufficient customer supply allocations, or elevated pricing for memory and storage products may strain long-term customer relationships, result in disruptions to downstream markets and supply chains and, where such products are viewed as critical inputs to certain industries, lead to legal or other disputes or government and regulatory focus. If these conditions persist, they could limit or severely restrict our ability to sell our product into certain end markets in the future.</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Our product demand may also be impacted significantly by the strategic actions of our customers. It is important that we deliver products in a timely manner that meet customer requirements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 times, requiring us to place orders up to a year in advance of anticipated demand. Such long lead times increase the risk of excess inventory or loss of sales in the event our forecasts vary substantially from actual demand.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of the following:</w:t>
      </w:r>
    </w:p>
    <w:p>
      <w:pPr>
        <w:spacing w:after="0" w:line="236" w:lineRule="exact"/>
        <w:rPr>
          <w:sz w:val="20"/>
          <w:szCs w:val="20"/>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be successful in developing competitive new semiconductor memory and storage technologies and products;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be able to cost-effectively manufacture new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be able to successfully achieve revenue targets for these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margins and cash flows generated from sales of these products will allow us to recover costs of development efforts;</w:t>
      </w:r>
    </w:p>
    <w:p>
      <w:pPr>
        <w:spacing w:after="0" w:line="13" w:lineRule="exact"/>
        <w:rPr>
          <w:rFonts w:ascii="Arial" w:cs="Arial" w:eastAsia="Arial" w:hAnsi="Arial"/>
          <w:sz w:val="16"/>
          <w:szCs w:val="16"/>
          <w:color w:val="auto"/>
        </w:rPr>
      </w:pPr>
    </w:p>
    <w:p>
      <w:pPr>
        <w:ind w:left="600" w:right="100" w:hanging="304"/>
        <w:spacing w:after="0" w:line="258"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be able to establish or maintain key relationships with customers, or that we will not be prohibited from working with certain customers, for specific chip set or design requirements;</w:t>
      </w: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accurately predict and design products that meet our customers’ specifications; or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be able to introduce new products into the market and qualify them with our customers on a timely basis.</w:t>
      </w:r>
    </w:p>
    <w:p>
      <w:pPr>
        <w:spacing w:after="0" w:line="220"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achieve expected returns from capacity expansions.</w:t>
      </w:r>
    </w:p>
    <w:p>
      <w:pPr>
        <w:spacing w:after="0" w:line="23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1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these expansions involve several risks, including the following:</w:t>
      </w:r>
    </w:p>
    <w:p>
      <w:pPr>
        <w:spacing w:after="0" w:line="236" w:lineRule="exact"/>
        <w:rPr>
          <w:sz w:val="20"/>
          <w:szCs w:val="20"/>
          <w:color w:val="auto"/>
        </w:rPr>
      </w:pPr>
    </w:p>
    <w:p>
      <w:pPr>
        <w:ind w:left="600" w:right="360" w:hanging="304"/>
        <w:spacing w:after="0" w:line="268"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meet capital expenditure requirements for capacity expansions, including during periods of relatively low free cash flow generation, resulting from challenging memory and storage industry conditions;</w:t>
      </w: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unavailability of necessary funding, which may include external sources;</w:t>
      </w:r>
    </w:p>
    <w:p>
      <w:pPr>
        <w:spacing w:after="0" w:line="13" w:lineRule="exact"/>
        <w:rPr>
          <w:rFonts w:ascii="Arial" w:cs="Arial" w:eastAsia="Arial" w:hAnsi="Arial"/>
          <w:sz w:val="16"/>
          <w:szCs w:val="16"/>
          <w:color w:val="auto"/>
        </w:rPr>
      </w:pPr>
    </w:p>
    <w:p>
      <w:pPr>
        <w:ind w:left="600" w:right="140" w:hanging="304"/>
        <w:spacing w:after="0" w:line="258"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realize expected grants, investment tax credits, and other government incentives, including through the CHIPS Act and other national, international, state, and local grants;</w:t>
      </w: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changes in laws or provisions of grants, investment tax credits, and other government incentives, including the CHIPS Act;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and potential restrictions related to environmental and other government regulations or permits;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restrictions on expanding in certain geographies;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complete construction as scheduled and within budget;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attract, retain and motivate key talent;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timely ramp production in a cost-effective manner;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increases to our cost structure until new production is ramped to adequate scale;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insufficient customer demand to utilize our increased capacity.</w:t>
      </w:r>
    </w:p>
    <w:p>
      <w:pPr>
        <w:spacing w:after="0" w:line="22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construction projects and increased costs, including costs to operate these facilities.</w:t>
      </w: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Our strategic decision-making process involves careful evaluation and prioritization of investments to ensure alignment with our long-term goals. Additionally, we may choose to exit business or market segments that do not provide us with optimal returns. As we streamline our product portfolio, we may face execution risks that could impact our ability to support demand and maintain share in certain markets. Further, as we continue to optimize the efficiency of our fabrication facilities to support demand from leading edge notes, any delays in completion and ramping of new production facilities, or failure to optimize our investment choices, could significantly impact our ability to realize expected returns on our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received, and expect to receive in the future,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fail to achieve these milestones, in a timely manner or at all, due to a variety of factors, some of which may be outside of our control, including a cyclical downturn in our business or global downturn.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spacing w:after="0" w:line="38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In June 2025, such agreements were subsequently amended to expand our investments, and we entered into a direct funding agreement to provide funds to expand and modernize our fab in Virginia. The awards under the direct funding agreements are subject to various conditions, and we may not receive the funding expected on the same terms or at all. We cannot guarantee that we will successfully achieve or maintain outcomes or satisfy the compliance requirements to qualify for these incentives or that the granting agencies will provide or continue to provide such funding.</w:t>
      </w:r>
    </w:p>
    <w:p>
      <w:pPr>
        <w:spacing w:after="0" w:line="186"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38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not be able to obtain the needed supply in a timely manner or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74"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180"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8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Downturns or ongoing adverse conditions in regional or worldwide economies may harm our business.</w:t>
      </w:r>
    </w:p>
    <w:p>
      <w:pPr>
        <w:spacing w:after="0" w:line="2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Downturns or ongoing adverse conditions in regional or worldwide economies, due to inflation, geopolitics, changes in government borrowing or spending, trade disputes, war,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b w:val="1"/>
          <w:bCs w:val="1"/>
          <w:color w:val="auto"/>
        </w:rPr>
        <w:t>If our manufacturing process is disrupted by operational issues, natural disasters, or other events, our business, results of operations, or financial condition could be materially adversely affected.</w:t>
      </w:r>
    </w:p>
    <w:p>
      <w:pPr>
        <w:spacing w:after="0" w:line="14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186"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portion of our revenue is concentrated with certain customers and end markets.</w:t>
      </w:r>
    </w:p>
    <w:p>
      <w:pPr>
        <w:spacing w:after="0" w:line="23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2025, over half of our total revenue came from our top ten customers. Among our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Additionally, any commitments made under longer-term supply arrangements could constrain our available supply and limit our flexibility to respond to changes in market conditions, including shifts in demand, pricing, or product mix. Further, if we are unable to satisfy customer demand and customers are required to purchase products from our competitors, they may shift immediate and future purchases to such competitors, which could harm our customer relationships and adversely impact our access to certain end markets.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Item 1. Financial Statements, Notes to Consolidated Financial Statements, Note 17. Segment and Other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860"/>
        <w:spacing w:after="0" w:line="311" w:lineRule="auto"/>
        <w:rPr>
          <w:sz w:val="20"/>
          <w:szCs w:val="20"/>
          <w:color w:val="auto"/>
        </w:rPr>
      </w:pPr>
      <w:r>
        <w:rPr>
          <w:rFonts w:ascii="Arial" w:cs="Arial" w:eastAsia="Arial" w:hAnsi="Arial"/>
          <w:sz w:val="16"/>
          <w:szCs w:val="16"/>
          <w:b w:val="1"/>
          <w:bCs w:val="1"/>
          <w:color w:val="auto"/>
        </w:rPr>
        <w:t>Increases in sales of system solutions may increase our dependency upon specific customers and our costs to develop, qualify, and manufacture our system solutions.</w:t>
      </w:r>
    </w:p>
    <w:p>
      <w:pPr>
        <w:spacing w:after="0" w:line="12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Our development of system-level memory and storage products is dependent, in part, upon successfully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w:t>
      </w:r>
    </w:p>
    <w:p>
      <w:pPr>
        <w:spacing w:after="0" w:line="2" w:lineRule="exact"/>
        <w:rPr>
          <w:sz w:val="20"/>
          <w:szCs w:val="20"/>
          <w:color w:val="auto"/>
        </w:rPr>
      </w:pPr>
    </w:p>
    <w:p>
      <w:pPr>
        <w:ind w:right="620"/>
        <w:spacing w:after="0" w:line="248" w:lineRule="auto"/>
        <w:rPr>
          <w:sz w:val="20"/>
          <w:szCs w:val="20"/>
          <w:color w:val="auto"/>
        </w:rPr>
      </w:pPr>
      <w:r>
        <w:rPr>
          <w:rFonts w:ascii="Arial" w:cs="Arial" w:eastAsia="Arial" w:hAnsi="Arial"/>
          <w:sz w:val="16"/>
          <w:szCs w:val="16"/>
          <w:color w:val="auto"/>
        </w:rPr>
        <w:t>system-level solutions at sufficient volumes and prices in a timely manner. If we fail to successfully develop and market system-level products, our business, results of operations, or financial condition may be materially adversely affected.</w:t>
      </w:r>
    </w:p>
    <w:p>
      <w:pPr>
        <w:spacing w:after="0" w:line="19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are otherwise incompatible with end uses could impose significant costs on us.</w:t>
      </w:r>
    </w:p>
    <w:p>
      <w:pPr>
        <w:spacing w:after="0" w:line="23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386" w:lineRule="exact"/>
        <w:rPr>
          <w:sz w:val="20"/>
          <w:szCs w:val="20"/>
          <w:color w:val="auto"/>
        </w:rPr>
      </w:pPr>
    </w:p>
    <w:p>
      <w:pPr>
        <w:ind w:left="600" w:right="540" w:hanging="304"/>
        <w:spacing w:after="0" w:line="270"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or agree to compensate customers for costs incurred or damages caused by defective or incompatible products and to replace products;</w:t>
      </w: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could incur a decrease in revenue or adjustment to pricing commensurate with the reimbursement of such costs or alleged damages;</w:t>
      </w:r>
    </w:p>
    <w:p>
      <w:pPr>
        <w:spacing w:after="0" w:line="22" w:lineRule="exact"/>
        <w:rPr>
          <w:rFonts w:ascii="Arial" w:cs="Arial" w:eastAsia="Arial" w:hAnsi="Arial"/>
          <w:sz w:val="16"/>
          <w:szCs w:val="16"/>
          <w:color w:val="auto"/>
        </w:rPr>
      </w:pPr>
    </w:p>
    <w:p>
      <w:pPr>
        <w:ind w:left="600" w:right="320" w:hanging="304"/>
        <w:spacing w:after="0" w:line="258"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could be required to indemnify our customers or end users or we may face other claims, including litigation, which could result in increased costs in defending ourselves and/or paying resulting damages; and</w:t>
      </w:r>
    </w:p>
    <w:p>
      <w:pPr>
        <w:ind w:left="600" w:right="20" w:hanging="304"/>
        <w:spacing w:after="0" w:line="280"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encounter adverse publicity, which could cause a decrease in sales of our products or harm our reputation or relationships with existing or potential customers.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20"/>
        <w:spacing w:after="0" w:line="311" w:lineRule="auto"/>
        <w:rPr>
          <w:sz w:val="20"/>
          <w:szCs w:val="20"/>
          <w:color w:val="auto"/>
        </w:rPr>
      </w:pPr>
      <w:r>
        <w:rPr>
          <w:rFonts w:ascii="Arial" w:cs="Arial" w:eastAsia="Arial" w:hAnsi="Arial"/>
          <w:sz w:val="16"/>
          <w:szCs w:val="16"/>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suppliers,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387"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Any such event, or the perception it has occurred, may result in significant losses and damage our reputation with customers and suppliers and may expose us to claims, demands, and litigation.</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third-party service providers, cloud solution providers, or sub-processors are breached or attacked, this could harm our business by requiring us to employ additional resources to remediate the errors or defects, and could expose us to litigation, claims, and harm to our reputation.</w:t>
      </w:r>
    </w:p>
    <w:p>
      <w:pPr>
        <w:spacing w:after="0" w:line="3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New and evolving laws and regulations relating to cybersecurity, data privacy, digital products, and AI impose requirements for information confidentiality, integrity, availability, personal and proprietary data collection, storage, use, sharing, deletion, and AI systems to be appropriately transparent, fair, secure, responsibly deployed, and accountable. Along with these laws and regulations, standards and market expectations could cause us to incur additional direct costs for compliance, as well as increased indirect costs resulting from our customers’, suppliers’, or partners’ reluctance to share information or solutions due to actual or perceived inadequate controls. As a result of these considerations, we could experience a reduction of production or sales of our products; remediation costs and activities; increased compliance costs; regulatory penalties, fines, civil or criminal sanctions, and other legal liabilities; and reputational challenges. 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adversely impacted by any of the multiple uncertainties and outcomes associated with the use and evolution of AI.</w:t>
      </w:r>
    </w:p>
    <w:p>
      <w:pPr>
        <w:spacing w:after="0" w:line="23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continue to increase or change the competitive environment in our markets. Our competitors may be more successful in their AI strategy or they may have access to greater AI resources or technology and develop superior products and services.</w:t>
      </w:r>
    </w:p>
    <w:p>
      <w:pPr>
        <w:spacing w:after="0" w:line="184"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Additionally, AI algorithms or training methodologies may be flawed, and datasets may contain irrelevant, insufficient or biased information, which can cause errors in outputs. The use of AI in the development of our products could also cause loss of intellectual property, as well as subject us to risks related to intellectual property infringement or misappropriation, data privacy, and cybersecurity.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attract, retain, and motivate highly skilled employees.</w:t>
      </w:r>
    </w:p>
    <w:p>
      <w:pPr>
        <w:spacing w:after="0" w:line="236"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To stay competitive, we need a highly skilled, global workforce and effective succession management for key roles. Hiring, retaining, and motivating qualified executives and other skilled talent is critical to our business, and competition can be intense. If our total compensation programs, benefits, and workplace culture are not seen as competitive and inclusive, our ability to attract and retain talent could be compromised.</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Intense competition for talent can lead to increased compensation costs. Significant attrition and delays in replacing employees can result in a loss of critical skills, reduced morale, business disruptions, inefficiencies during transitions, and increased expenses. Additionally, changes to immigration policies and travel restrictions due to public health crises or other causes may limit our ability to hire, retain, or transfer talent to specific locations.</w:t>
      </w:r>
    </w:p>
    <w:p>
      <w:pPr>
        <w:spacing w:after="0" w:line="174"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Our business success depends on our ability to attract, retain, and motivate key talent. Failure to do so could inhibit our ability to maintain or expand operations and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3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Such risks and uncertainties include:</w:t>
      </w:r>
    </w:p>
    <w:p>
      <w:pPr>
        <w:spacing w:after="0" w:line="236" w:lineRule="exact"/>
        <w:rPr>
          <w:sz w:val="20"/>
          <w:szCs w:val="20"/>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reputational harm, including damage to our relationships with customers, suppliers, investors, governments, or other stakeholders;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impacts on our ability to manufacture and sell products and maintain our market share;</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our collaborations with third parties;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 of business due to failure to meet our customers’ sustainability targets;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risk of litigation, investigations, or regulatory enforcement action;</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unfavorable sustainability and governance ratings or investor sentiment;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diversion of resources and increased costs to control, assess, and report on sustainability and governance metrics;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achieve our goals, commitments, and targets within timeframes announced;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costs to achieve our goals, commitments, and targets;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unforeseen operational and technological difficulties;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access to and increased cost of capital;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impacts on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6295390</wp:posOffset>
            </wp:positionH>
            <wp:positionV relativeFrom="paragraph">
              <wp:posOffset>276225</wp:posOffset>
            </wp:positionV>
            <wp:extent cx="714375" cy="149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 cy="14922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15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addition, external standards for measuring and reporting sustainability metrics may change over time and may result in cost increases, significant revisions to our strategies and targets, or impact our ability to achieve them. We also are or may become subject to new sustainability laws and regulations, such as the State of California’s new climate change disclosure rules. Compliance with these laws and regulations, as well as increased scrutiny from regulators, customers, and other stakeholders on our sustainability practices, could result in additional costs and expose us to new risks. Any scrutiny of our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result in penalties, fines, or other adverse consequences.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and/or strategic transactions involve numerous risks.</w:t>
      </w:r>
    </w:p>
    <w:p>
      <w:pPr>
        <w:spacing w:after="0" w:line="23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Acquisitions of businesses, enterprises or assets, and strategic transactions, such as joint ventures and other partnering arrangements, involve numerous risks, including the following:</w:t>
      </w:r>
    </w:p>
    <w:p>
      <w:pPr>
        <w:spacing w:after="0" w:line="157" w:lineRule="exact"/>
        <w:rPr>
          <w:sz w:val="20"/>
          <w:szCs w:val="20"/>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integrating the operations, technologies, and products of acquired or newly formed entities or strategic partnerships into our operations;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increasing capital expenditures to upgrade and maintain facilities;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debt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assumption of unknown or underestimated liabilities;</w:t>
      </w:r>
    </w:p>
    <w:p>
      <w:pPr>
        <w:spacing w:after="0" w:line="13" w:lineRule="exact"/>
        <w:rPr>
          <w:rFonts w:ascii="Arial" w:cs="Arial" w:eastAsia="Arial" w:hAnsi="Arial"/>
          <w:sz w:val="16"/>
          <w:szCs w:val="16"/>
          <w:color w:val="auto"/>
        </w:rPr>
      </w:pPr>
    </w:p>
    <w:p>
      <w:pPr>
        <w:ind w:left="600" w:right="1020" w:hanging="304"/>
        <w:spacing w:after="0" w:line="258"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use of cash to finance a transaction, which may reduce the availability of cash to fund working capital, capital expenditures, R&amp;D expenditures, and other business activities;</w:t>
      </w: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diverting management’s attention from daily operations;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managing larger or more complex operations and facilities and employees in separate and diverse geographic areas;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hiring and retaining key employees;</w:t>
      </w:r>
    </w:p>
    <w:p>
      <w:pPr>
        <w:spacing w:after="0" w:line="13" w:lineRule="exact"/>
        <w:rPr>
          <w:rFonts w:ascii="Arial" w:cs="Arial" w:eastAsia="Arial" w:hAnsi="Arial"/>
          <w:sz w:val="16"/>
          <w:szCs w:val="16"/>
          <w:color w:val="auto"/>
        </w:rPr>
      </w:pPr>
    </w:p>
    <w:p>
      <w:pPr>
        <w:ind w:left="600" w:right="520" w:hanging="304"/>
        <w:spacing w:after="0" w:line="258"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 or assets;</w:t>
      </w:r>
    </w:p>
    <w:p>
      <w:pPr>
        <w:ind w:left="600" w:right="220" w:hanging="304"/>
        <w:spacing w:after="0" w:line="258"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underestimating the costs or overestimating the benefits, including product, revenue, cost and other synergies and growth opportunities that we expect to realize, and we may not achieve those benefits;</w:t>
      </w: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maintain customer, vendor, and other relationships;</w:t>
      </w:r>
    </w:p>
    <w:p>
      <w:pPr>
        <w:spacing w:after="0" w:line="13" w:lineRule="exact"/>
        <w:rPr>
          <w:rFonts w:ascii="Arial" w:cs="Arial" w:eastAsia="Arial" w:hAnsi="Arial"/>
          <w:sz w:val="16"/>
          <w:szCs w:val="16"/>
          <w:color w:val="auto"/>
        </w:rPr>
      </w:pPr>
    </w:p>
    <w:p>
      <w:pPr>
        <w:ind w:left="600" w:right="340" w:hanging="304"/>
        <w:spacing w:after="0" w:line="258"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inadequacy or ineffectiveness of an acquired company’s internal financial controls, disclosure controls and procedures, compliance programs, and/or environmental, health and safety, anti-corruption, human resources, or other policies or practices; and</w:t>
      </w: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impairment of acquired intangible assets, goodwill, or other assets as a result of changing business conditions or technological advancements.</w:t>
      </w:r>
    </w:p>
    <w:p>
      <w:pPr>
        <w:spacing w:after="0" w:line="220"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strategic transactions with, technology companies or assets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restructure charges in future periods and may not realize expected savings or other benefits from restructure plans.</w:t>
      </w: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or sufficient customer demand to maintain scale,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3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Intellectual Property and Litigation</w:t>
      </w:r>
    </w:p>
    <w:p>
      <w:pPr>
        <w:spacing w:after="0" w:line="244"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about and develop our intellectual property.</w:t>
      </w:r>
    </w:p>
    <w:p>
      <w:pPr>
        <w:spacing w:after="0" w:line="14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7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inability to protect our intellectual property or retain key employees who are knowledgeable about and develop our intellectual property could have a material adverse effect on our business, results of operations, or financial condition.</w:t>
      </w:r>
    </w:p>
    <w:p>
      <w:pPr>
        <w:spacing w:after="0" w:line="15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color w:val="auto"/>
        </w:rPr>
        <w:t>Legal, regulatory, and administrative investigations, inquiries, proceedings, and claims could have a material adverse effect on our business, results of operations, or financial condition.</w:t>
      </w:r>
    </w:p>
    <w:p>
      <w:pPr>
        <w:spacing w:after="0" w:line="14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infringement of intellectual property, and claims related to our compliance with securities and other laws. See Part I. Financial Information, Item 1. Financial Statements, Notes to Consolidated Financial Statements, Note 10.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may be associated with and subject to litigation, claims, inquiries, investigations, or disputes arising from or as a result of:</w:t>
      </w:r>
    </w:p>
    <w:p>
      <w:pPr>
        <w:spacing w:after="0" w:line="273" w:lineRule="exact"/>
        <w:rPr>
          <w:sz w:val="20"/>
          <w:szCs w:val="20"/>
          <w:color w:val="auto"/>
        </w:rPr>
      </w:pPr>
    </w:p>
    <w:p>
      <w:pPr>
        <w:ind w:left="600" w:right="200" w:hanging="304"/>
        <w:spacing w:after="0" w:line="238" w:lineRule="auto"/>
        <w:tabs>
          <w:tab w:leader="none" w:pos="570" w:val="left"/>
        </w:tabs>
        <w:numPr>
          <w:ilvl w:val="0"/>
          <w:numId w:val="27"/>
        </w:numPr>
        <w:rPr>
          <w:rFonts w:ascii="Arial" w:cs="Arial" w:eastAsia="Arial" w:hAnsi="Arial"/>
          <w:sz w:val="20"/>
          <w:szCs w:val="20"/>
          <w:color w:val="auto"/>
        </w:rPr>
      </w:pPr>
      <w:r>
        <w:rPr>
          <w:rFonts w:ascii="Arial" w:cs="Arial" w:eastAsia="Arial" w:hAnsi="Arial"/>
          <w:sz w:val="16"/>
          <w:szCs w:val="16"/>
          <w:color w:val="auto"/>
        </w:rPr>
        <w:t>our relationships with vendors or customers, supply agreements and our capacity to supply, or contractual obligations with our subcontractors or business partners;</w:t>
      </w:r>
    </w:p>
    <w:p>
      <w:pPr>
        <w:spacing w:after="0" w:line="1" w:lineRule="exact"/>
        <w:rPr>
          <w:rFonts w:ascii="Arial" w:cs="Arial" w:eastAsia="Arial" w:hAnsi="Arial"/>
          <w:sz w:val="20"/>
          <w:szCs w:val="20"/>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actions of our vendors, subcontractors, or business partners;</w:t>
      </w:r>
    </w:p>
    <w:p>
      <w:pPr>
        <w:spacing w:after="0" w:line="13" w:lineRule="exact"/>
        <w:rPr>
          <w:rFonts w:ascii="Arial" w:cs="Arial" w:eastAsia="Arial" w:hAnsi="Arial"/>
          <w:sz w:val="16"/>
          <w:szCs w:val="16"/>
          <w:color w:val="auto"/>
        </w:rPr>
      </w:pPr>
    </w:p>
    <w:p>
      <w:pPr>
        <w:ind w:left="600" w:right="760" w:hanging="304"/>
        <w:spacing w:after="0" w:line="258" w:lineRule="auto"/>
        <w:tabs>
          <w:tab w:leader="none" w:pos="5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indemnification obligations, including obligations to defend our customers against third-party claims asserting infringement of certain intellectual property rights, which may include patents, trademarks, copyrights, or trade secrets;</w:t>
      </w: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compliance with regulatory requirements, including defending against related third-party claims;</w:t>
      </w:r>
    </w:p>
    <w:p>
      <w:pPr>
        <w:spacing w:after="0" w:line="200" w:lineRule="exact"/>
        <w:rPr>
          <w:sz w:val="20"/>
          <w:szCs w:val="20"/>
          <w:color w:val="auto"/>
        </w:rPr>
      </w:pPr>
    </w:p>
    <w:p>
      <w:pPr>
        <w:spacing w:after="0" w:line="235"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alleged violations of laws or regulations relating to antitrust/competition requirements;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fluctuations in stock price;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terms of our product warranties or from product liability claims.</w:t>
      </w:r>
    </w:p>
    <w:p>
      <w:pPr>
        <w:spacing w:after="0" w:line="220"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Additionally, while we maintain insurance coverage for certain claims and liabilities, there can be no assurance that we are adequately insured to protect against all claims and potential liabilities, and we may elect to self-insure with respect to certain matters.</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7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80" w:lineRule="exact"/>
        <w:rPr>
          <w:sz w:val="20"/>
          <w:szCs w:val="20"/>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 significant monetary damages, fines, royalties, or penalties;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enter into license or settlement agreements covering such intellectual property rights;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material changes to or redesign our products and/or manufacturing processes; and/or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cease manufacturing, selling, offering for sale, importing, marketing, or using products and/or manufacturing processes in certain jurisdictions.</w:t>
      </w:r>
    </w:p>
    <w:p>
      <w:pPr>
        <w:spacing w:after="0" w:line="22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Item 1. Financial Statements, Notes to Consolidated Financial Statements, Note 10. Contingencies.</w:t>
      </w:r>
    </w:p>
    <w:p>
      <w:pPr>
        <w:spacing w:after="0" w:line="17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55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Laws and Regulations</w:t>
      </w:r>
    </w:p>
    <w:p>
      <w:pPr>
        <w:spacing w:after="0" w:line="244"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International trade disputes, geopolitical tensions, and military conflicts have led, and continue to lead, to new and increasing export restrictions, trade barriers, tariffs, and other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around the world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reduce customer demand for our products, or inhibit our ability to sell products or purchase necessary equipment and supplies. For example, increasing geopolitical tensions have resulted in new and proposed export controls associated with products, including those that support or enable AI applications, which could, in turn, restrict future sales of certain products to China or other markets, or restrict our ability to obtain equipment, components, and raw materials. Similarly, new and proposed tariffs in the United States, China, or other markets on products, materials, and equipment may increase our selling costs, thus impacting demand for our products. On April 14, 2025, the U.S. Bureau of Industry and Security announced the initiation of investigations into the industry on the effects on U.S. national security of imports of semiconductors under Section 232 of the Trade Expansion Act of 1962. The scope of the industry-wide investigation includes semiconductors, semiconductor manufacturing equipment, and their derivative products, including semiconductor substrates and bare wafers, legacy chips, leading-edge chips, microelectronics, and other components. While the results of this investigation are currently unknown, the investigation may result in industry-wide additional tariffs and trade restrictions, which may adversely impact our business. Such changes may also result in reputational harm to us, the development or adoption of technologies that compete with our products, long-term changes in global trade and technology supply chains, or negative impacts on our customers’ products which incorporate our solutions. On February 20, 2026, the administration announced they would initiate new trade investigations under Section 301 of the Trade Act of 1974. While the scope of any such investigations is currently unknown, these proposed investigations may also result in additional tariffs or trade restrictions, which could adversely impact our business. We may take actions to mitigate the impact of increases in tariffs and changes in trade policies, and any such actions could result in additional costs, manufacturing delays, or other difficulties, as well as additional risks, and may not be effective. Any of the effects described in this risk factor could have a material adverse effect on our business, results of operations, or financial condition.</w:t>
      </w:r>
    </w:p>
    <w:p>
      <w:pPr>
        <w:spacing w:after="0" w:line="19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technology industry is subject to intense media, political, and regulatory scrutiny, which can increase our exposure to reputational hazards, government investigations and measures aimed at addressing market and other challenges,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39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Tax-related matters could have a material adverse effect on our business, results of operations, or financial condition.</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expansion of our operations in various countries, fluctuations in foreign currency exchange rates, adverse resolution of audits and examinations of previously filed tax returns, and changes in tax laws and regulations.</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Model Rules (“Pillar Two”), undertaken by the Organisation for Economic Co-operation and Development. We continue to monitor for additional guidance and legislative changes related to Pillar Two in the jurisdictions where we operate.</w:t>
      </w:r>
    </w:p>
    <w:p>
      <w:pPr>
        <w:spacing w:after="0" w:line="18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6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require us to alter our product design, manufacturing, and operations and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57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considerations detailed in this risk factor, we could experience the following:</w:t>
      </w:r>
    </w:p>
    <w:p>
      <w:pPr>
        <w:spacing w:after="0" w:line="236" w:lineRule="exact"/>
        <w:rPr>
          <w:sz w:val="20"/>
          <w:szCs w:val="20"/>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suspension of production or sales of our products;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limited supplies of chemicals or materials used to make our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remediation costs and activities;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compliance costs;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alteration of our manufacturing processes;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penalties, fines, civil or criminal sanctions, litigation and other legal liabilities;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reputational challenges.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While we maintain insurance for certain potential liabilities, such insurance does not cover all types and amounts of potential liabilities and is subject to</w:t>
      </w:r>
    </w:p>
    <w:p>
      <w:pPr>
        <w:spacing w:after="0" w:line="5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various exclusions, as well as caps on recoverable amounts. Our insurance may not be adequate or otherwise cover all claims, penalties, fines, expenses, regulatory actions, litigation, sanctions, other liabilities or losses, and may not continue to be available on acceptable terms or at all.</w:t>
      </w:r>
    </w:p>
    <w:p>
      <w:pPr>
        <w:spacing w:after="0" w:line="1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Capitalization and Financial Markets</w:t>
      </w:r>
    </w:p>
    <w:p>
      <w:pPr>
        <w:spacing w:after="0" w:line="24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4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From time to time, we utilize external sources of financing when needed. As a result of our debt levels, expected debt amortization, prevailing interest rates, general capital market, changes in government borrowing or spending,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obligations could adversely affect our financial condition.</w:t>
      </w:r>
    </w:p>
    <w:p>
      <w:pPr>
        <w:spacing w:after="0" w:line="236"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color w:val="auto"/>
        </w:rPr>
        <w:t>We have incurred in the past, and expect to incur in the future, debt to finance our capital investments, business acquisitions, and to realign our capital structure. As of February 26, 2026, we had debt with a carrying value of $10.14 billion and may incur additional debt, including under our $3.50 billion Revolving Credit Facility. Our debt obligations could adversely impact us as follows:</w:t>
      </w:r>
    </w:p>
    <w:p>
      <w:pPr>
        <w:spacing w:after="0" w:line="174" w:lineRule="exact"/>
        <w:rPr>
          <w:sz w:val="20"/>
          <w:szCs w:val="20"/>
          <w:color w:val="auto"/>
        </w:rPr>
      </w:pPr>
    </w:p>
    <w:p>
      <w:pPr>
        <w:ind w:left="600" w:right="100" w:hanging="304"/>
        <w:spacing w:after="0" w:line="268" w:lineRule="auto"/>
        <w:tabs>
          <w:tab w:leader="none" w:pos="5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us to use a large portion of our cash flow to pay principal and interest on debt, which will reduce the amount of cash flow available to fund our business activities;</w:t>
      </w: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adversely impact our credit rating, which could increase borrowing costs and reduce our ability to raise funds on favorable terms;</w:t>
      </w:r>
    </w:p>
    <w:p>
      <w:pPr>
        <w:spacing w:after="0" w:line="13" w:lineRule="exact"/>
        <w:rPr>
          <w:rFonts w:ascii="Arial" w:cs="Arial" w:eastAsia="Arial" w:hAnsi="Arial"/>
          <w:sz w:val="16"/>
          <w:szCs w:val="16"/>
          <w:color w:val="auto"/>
        </w:rPr>
      </w:pPr>
    </w:p>
    <w:p>
      <w:pPr>
        <w:ind w:left="600" w:right="300" w:hanging="304"/>
        <w:spacing w:after="0" w:line="258" w:lineRule="auto"/>
        <w:tabs>
          <w:tab w:leader="none" w:pos="5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strategic acquisitions or business opportunities, R&amp;D, and other general corporate requirements;</w:t>
      </w: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 our ability to incur specified indebtedness, create or incur certain liens, and enter into sale-leaseback financing transactions;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 our vulnerability to adverse economic and industry conditions;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 our exposure to rising interest rates from variable rate indebtedness; and</w:t>
      </w:r>
    </w:p>
    <w:p>
      <w:pPr>
        <w:spacing w:after="0" w:line="13" w:lineRule="exact"/>
        <w:rPr>
          <w:rFonts w:ascii="Arial" w:cs="Arial" w:eastAsia="Arial" w:hAnsi="Arial"/>
          <w:sz w:val="16"/>
          <w:szCs w:val="16"/>
          <w:color w:val="auto"/>
        </w:rPr>
      </w:pPr>
    </w:p>
    <w:p>
      <w:pPr>
        <w:ind w:left="600" w:hanging="304"/>
        <w:spacing w:after="0" w:line="280" w:lineRule="auto"/>
        <w:tabs>
          <w:tab w:leader="none" w:pos="5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result in certain of our debt instruments becoming immediately due and payable or being deemed to be in default if applicable cross default, cross-acceleration and/or similar provisions are triggered.</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materially adversely affect our business, results of operations, or financial condition.</w:t>
      </w:r>
    </w:p>
    <w:p>
      <w:pPr>
        <w:spacing w:after="0" w:line="23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substantial majority of our sales are transacted in the U.S. dollar; however, 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counterparty default risks.</w:t>
      </w:r>
    </w:p>
    <w:p>
      <w:pPr>
        <w:spacing w:after="0" w:line="23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59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ind w:left="10000"/>
        <w:spacing w:after="0"/>
        <w:rPr>
          <w:sz w:val="20"/>
          <w:szCs w:val="20"/>
          <w:color w:val="auto"/>
        </w:rPr>
      </w:pPr>
      <w:r>
        <w:rPr>
          <w:rFonts w:ascii="Arial" w:cs="Arial" w:eastAsia="Arial" w:hAnsi="Arial"/>
          <w:sz w:val="14"/>
          <w:szCs w:val="14"/>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trading price of our common stock has been and may continue to be volatile.</w:t>
      </w:r>
    </w:p>
    <w:p>
      <w:pPr>
        <w:spacing w:after="0" w:line="22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other participants in our markets, including our customers and competitors, changes in financial or other market estimates and ratings by securities and other analysts, changes in our capital structure, including issuance of additional debt or equity to the public, interest rate</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changes, regulatory changes, news regarding our products or products of our competitors, market perception regarding certain technologies, and broad market and industry fluctuations. These fluctuations may not be related to our specific financial or operating performance or our expectations regarding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financial or operating performance.</w:t>
      </w:r>
    </w:p>
    <w:p>
      <w:pPr>
        <w:spacing w:after="0" w:line="22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80"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would diminish our cash reserves.</w:t>
      </w:r>
    </w:p>
    <w:p>
      <w:pPr>
        <w:spacing w:after="0" w:line="16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Although our Board of Directors has authorized share repurchases of up to $10 billion of our outstanding common stock, the authorization does not obligate us to repurchase any common stock. 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Since repurchases under the authorization began in 2019, our expenditures for share repurchases in any one year have ranged from no repurchases to a high of $2.66 billion of repurchases. Cash uses that could impact our repurchases include, but are not limited to, operational spending, capital spending, acquisitions, and repayment of debt. Other factors, including changes in tax laws, could also impact our share repurchases.</w:t>
      </w:r>
    </w:p>
    <w:p>
      <w:pPr>
        <w:spacing w:after="0" w:line="388"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can be no assurance that we will continue to declare cash dividends in any particular amounts or at all.</w:t>
      </w:r>
    </w:p>
    <w:p>
      <w:pPr>
        <w:spacing w:after="0" w:line="23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236" w:lineRule="exact"/>
        <w:rPr>
          <w:sz w:val="20"/>
          <w:szCs w:val="20"/>
          <w:color w:val="auto"/>
        </w:rPr>
      </w:pPr>
    </w:p>
    <w:p>
      <w:pPr>
        <w:ind w:left="1" w:right="140"/>
        <w:spacing w:after="0" w:line="266" w:lineRule="auto"/>
        <w:rPr>
          <w:sz w:val="20"/>
          <w:szCs w:val="20"/>
          <w:color w:val="auto"/>
        </w:rPr>
      </w:pPr>
      <w:r>
        <w:rPr>
          <w:rFonts w:ascii="Arial" w:cs="Arial" w:eastAsia="Arial" w:hAnsi="Arial"/>
          <w:sz w:val="16"/>
          <w:szCs w:val="16"/>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During the quarter ended February 26, 2026, we repurchased 1.2 million shares of our common stock under the authorization for $350 million, and as of February 26, 2026, $2.16 billion of the authorization remained available for the repurchase of our common stock.</w:t>
      </w:r>
    </w:p>
    <w:p>
      <w:pPr>
        <w:spacing w:after="0" w:line="186" w:lineRule="exact"/>
        <w:rPr>
          <w:sz w:val="20"/>
          <w:szCs w:val="20"/>
          <w:color w:val="auto"/>
        </w:rPr>
      </w:pPr>
    </w:p>
    <w:p>
      <w:pPr>
        <w:jc w:val="both"/>
        <w:ind w:left="1" w:right="200"/>
        <w:spacing w:after="0" w:line="279" w:lineRule="auto"/>
        <w:rPr>
          <w:sz w:val="20"/>
          <w:szCs w:val="20"/>
          <w:color w:val="auto"/>
        </w:rPr>
      </w:pPr>
      <w:r>
        <w:rPr>
          <w:rFonts w:ascii="Arial" w:cs="Arial" w:eastAsia="Arial" w:hAnsi="Arial"/>
          <w:sz w:val="16"/>
          <w:szCs w:val="16"/>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62" w:lineRule="exact"/>
        <w:rPr>
          <w:sz w:val="20"/>
          <w:szCs w:val="20"/>
          <w:color w:val="auto"/>
        </w:rPr>
      </w:pPr>
    </w:p>
    <w:p>
      <w:pPr>
        <w:ind w:left="1" w:right="300"/>
        <w:spacing w:after="0" w:line="285" w:lineRule="auto"/>
        <w:rPr>
          <w:sz w:val="20"/>
          <w:szCs w:val="20"/>
          <w:color w:val="auto"/>
        </w:rPr>
      </w:pPr>
      <w:r>
        <w:rPr>
          <w:rFonts w:ascii="Arial" w:cs="Arial" w:eastAsia="Arial" w:hAnsi="Arial"/>
          <w:sz w:val="16"/>
          <w:szCs w:val="16"/>
          <w:color w:val="auto"/>
        </w:rPr>
        <w:t>In the second quarter of 2026, shares purchased under the authorization and withheld as payment upon the vesting of restricted stock consisted of the following:</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6"/>
                <w:szCs w:val="16"/>
                <w:b w:val="1"/>
                <w:bCs w:val="1"/>
                <w:color w:val="auto"/>
              </w:rPr>
              <w:t>Average</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rPr>
              <w:t>Approximate dollar value of shares that</w:t>
            </w: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purchased as part of</w:t>
            </w:r>
          </w:p>
        </w:tc>
        <w:tc>
          <w:tcPr>
            <w:tcW w:w="31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may yet be purchased under publicly</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040" w:type="dxa"/>
            <w:vAlign w:val="bottom"/>
          </w:tcPr>
          <w:p>
            <w:pPr>
              <w:spacing w:after="0"/>
              <w:rPr>
                <w:sz w:val="13"/>
                <w:szCs w:val="13"/>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shares</w:t>
            </w:r>
          </w:p>
        </w:tc>
        <w:tc>
          <w:tcPr>
            <w:tcW w:w="98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price paid</w:t>
            </w:r>
          </w:p>
        </w:tc>
        <w:tc>
          <w:tcPr>
            <w:tcW w:w="22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publicly announced plans</w:t>
            </w:r>
          </w:p>
        </w:tc>
        <w:tc>
          <w:tcPr>
            <w:tcW w:w="3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 xml:space="preserve">announced plans or programs </w:t>
            </w:r>
            <w:r>
              <w:rPr>
                <w:rFonts w:ascii="Arial" w:cs="Arial" w:eastAsia="Arial" w:hAnsi="Arial"/>
                <w:sz w:val="16"/>
                <w:szCs w:val="16"/>
                <w:color w:val="auto"/>
              </w:rPr>
              <w:t>(in</w:t>
            </w: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purchased</w:t>
            </w:r>
            <w:r>
              <w:rPr>
                <w:rFonts w:ascii="Arial" w:cs="Arial" w:eastAsia="Arial" w:hAnsi="Arial"/>
                <w:sz w:val="21"/>
                <w:szCs w:val="21"/>
                <w:b w:val="1"/>
                <w:bCs w:val="1"/>
                <w:color w:val="auto"/>
                <w:w w:val="99"/>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millions)</w:t>
            </w:r>
          </w:p>
        </w:tc>
        <w:tc>
          <w:tcPr>
            <w:tcW w:w="0" w:type="dxa"/>
            <w:vAlign w:val="bottom"/>
          </w:tcPr>
          <w:p>
            <w:pPr>
              <w:spacing w:after="0"/>
              <w:rPr>
                <w:sz w:val="1"/>
                <w:szCs w:val="1"/>
                <w:color w:val="auto"/>
              </w:rPr>
            </w:pPr>
          </w:p>
        </w:tc>
      </w:tr>
      <w:tr>
        <w:trPr>
          <w:trHeight w:val="29"/>
        </w:trPr>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November 28, 2025</w:t>
            </w:r>
          </w:p>
        </w:tc>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 December 25, 2025</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6"/>
                <w:szCs w:val="16"/>
                <w:color w:val="auto"/>
              </w:rPr>
              <w:t>December 26, 2025</w:t>
            </w:r>
          </w:p>
        </w:tc>
        <w:tc>
          <w:tcPr>
            <w:tcW w:w="2040" w:type="dxa"/>
            <w:vAlign w:val="bottom"/>
          </w:tcPr>
          <w:p>
            <w:pPr>
              <w:ind w:left="20"/>
              <w:spacing w:after="0"/>
              <w:rPr>
                <w:sz w:val="20"/>
                <w:szCs w:val="20"/>
                <w:color w:val="auto"/>
              </w:rPr>
            </w:pPr>
            <w:r>
              <w:rPr>
                <w:rFonts w:ascii="Arial" w:cs="Arial" w:eastAsia="Arial" w:hAnsi="Arial"/>
                <w:sz w:val="16"/>
                <w:szCs w:val="16"/>
                <w:color w:val="auto"/>
              </w:rPr>
              <w:t>– January 22, 2025</w:t>
            </w:r>
          </w:p>
        </w:tc>
        <w:tc>
          <w:tcPr>
            <w:tcW w:w="1340" w:type="dxa"/>
            <w:vAlign w:val="bottom"/>
          </w:tcPr>
          <w:p>
            <w:pPr>
              <w:jc w:val="right"/>
              <w:spacing w:after="0"/>
              <w:rPr>
                <w:sz w:val="20"/>
                <w:szCs w:val="20"/>
                <w:color w:val="auto"/>
              </w:rPr>
            </w:pPr>
            <w:r>
              <w:rPr>
                <w:rFonts w:ascii="Arial" w:cs="Arial" w:eastAsia="Arial" w:hAnsi="Arial"/>
                <w:sz w:val="16"/>
                <w:szCs w:val="16"/>
                <w:color w:val="auto"/>
              </w:rPr>
              <w:t>1,242,895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287.98</w:t>
            </w:r>
          </w:p>
        </w:tc>
        <w:tc>
          <w:tcPr>
            <w:tcW w:w="2240" w:type="dxa"/>
            <w:vAlign w:val="bottom"/>
          </w:tcPr>
          <w:p>
            <w:pPr>
              <w:jc w:val="right"/>
              <w:spacing w:after="0"/>
              <w:rPr>
                <w:sz w:val="20"/>
                <w:szCs w:val="20"/>
                <w:color w:val="auto"/>
              </w:rPr>
            </w:pPr>
            <w:r>
              <w:rPr>
                <w:rFonts w:ascii="Arial" w:cs="Arial" w:eastAsia="Arial" w:hAnsi="Arial"/>
                <w:sz w:val="16"/>
                <w:szCs w:val="16"/>
                <w:color w:val="auto"/>
              </w:rPr>
              <w:t>1,220,763</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January 23, 2026 – February 26, 2026</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1D2D4"/>
          </w:tcPr>
          <w:p>
            <w:pPr>
              <w:spacing w:after="0"/>
              <w:rPr>
                <w:sz w:val="18"/>
                <w:szCs w:val="18"/>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1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1,242,895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287.98</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1,220,763</w:t>
            </w:r>
          </w:p>
        </w:tc>
        <w:tc>
          <w:tcPr>
            <w:tcW w:w="3160" w:type="dxa"/>
            <w:vAlign w:val="bottom"/>
          </w:tcPr>
          <w:p>
            <w:pPr>
              <w:jc w:val="right"/>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161" w:hanging="161"/>
        <w:spacing w:after="0"/>
        <w:tabs>
          <w:tab w:leader="none" w:pos="161" w:val="left"/>
        </w:tabs>
        <w:numPr>
          <w:ilvl w:val="0"/>
          <w:numId w:val="32"/>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Includes 22,132 shares withheld as payment of withholding taxes upon the vesting of restricted stock awards.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auto"/>
        </w:rPr>
        <w:t>ITEM 5. OTHER INFORMATION</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Securities Trading Plans of Directors and Executive Officers</w:t>
      </w:r>
    </w:p>
    <w:p>
      <w:pPr>
        <w:spacing w:after="0" w:line="224" w:lineRule="exact"/>
        <w:rPr>
          <w:sz w:val="20"/>
          <w:szCs w:val="20"/>
          <w:color w:val="auto"/>
        </w:rPr>
      </w:pPr>
    </w:p>
    <w:p>
      <w:pPr>
        <w:ind w:left="1" w:right="160"/>
        <w:spacing w:after="0" w:line="301" w:lineRule="auto"/>
        <w:rPr>
          <w:sz w:val="20"/>
          <w:szCs w:val="20"/>
          <w:color w:val="auto"/>
        </w:rPr>
      </w:pPr>
      <w:r>
        <w:rPr>
          <w:rFonts w:ascii="Arial" w:cs="Arial" w:eastAsia="Arial" w:hAnsi="Arial"/>
          <w:sz w:val="16"/>
          <w:szCs w:val="16"/>
          <w:color w:val="auto"/>
        </w:rPr>
        <w:t>The following director and officers, as defined in Rule 16a-1(f) of the Exchange Act, adopted and/or terminated a “Rule 10b5-1 trading arrangement” or a “non-Rule 10b5-1 trading arrangement,” as defined in Item 408 of Regulation S-K, during the last fiscal quarter.</w:t>
      </w:r>
    </w:p>
    <w:p>
      <w:pPr>
        <w:spacing w:after="0" w:line="157" w:lineRule="exact"/>
        <w:rPr>
          <w:sz w:val="20"/>
          <w:szCs w:val="20"/>
          <w:color w:val="auto"/>
        </w:rPr>
      </w:pPr>
    </w:p>
    <w:p>
      <w:pPr>
        <w:ind w:left="1" w:right="20"/>
        <w:spacing w:after="0" w:line="268" w:lineRule="auto"/>
        <w:rPr>
          <w:sz w:val="20"/>
          <w:szCs w:val="20"/>
          <w:color w:val="auto"/>
        </w:rPr>
      </w:pPr>
      <w:r>
        <w:rPr>
          <w:rFonts w:ascii="Arial" w:cs="Arial" w:eastAsia="Arial" w:hAnsi="Arial"/>
          <w:sz w:val="16"/>
          <w:szCs w:val="16"/>
          <w:color w:val="auto"/>
        </w:rPr>
        <w:t>On December 19, 2025, April Arnzen, our Executive Vice President and Chief People Officer, adopted a Rule 10b5-1 trading arrangement providing for the sale of an aggregate of up to 80,000 shares of our common stock. The trading arrangement is intended to satisfy the affirmative defense in Rule 10b5-1(c). The first date that sales of any shares are permitted to be sold under the trading arrangement is April 1, 2026, and subsequent sales under the trading arrangement may occur for the duration of the trading arrangement until December 31, 2026, or earlier if all transactions under the trading arrangement are completed.</w:t>
      </w:r>
    </w:p>
    <w:p>
      <w:pPr>
        <w:spacing w:after="0" w:line="184" w:lineRule="exact"/>
        <w:rPr>
          <w:sz w:val="20"/>
          <w:szCs w:val="20"/>
          <w:color w:val="auto"/>
        </w:rPr>
      </w:pPr>
    </w:p>
    <w:p>
      <w:pPr>
        <w:ind w:left="1" w:right="140"/>
        <w:spacing w:after="0" w:line="264" w:lineRule="auto"/>
        <w:rPr>
          <w:sz w:val="20"/>
          <w:szCs w:val="20"/>
          <w:color w:val="auto"/>
        </w:rPr>
      </w:pPr>
      <w:r>
        <w:rPr>
          <w:rFonts w:ascii="Arial" w:cs="Arial" w:eastAsia="Arial" w:hAnsi="Arial"/>
          <w:sz w:val="16"/>
          <w:szCs w:val="16"/>
          <w:color w:val="auto"/>
        </w:rPr>
        <w:t>On January 30, 2026, Sanjay Mehrotra, our Chairman of the Board, President, and Chief Executive Officer, as trustee of the Mehrotra Family Trust, terminated his Rule 10b5-1 trading arrangement, dated as of November 8, 2025 (the “original trading plan”), which provided for the sale of up to 200,000 shares of our common stock, none of which had been sold prior to the termination. On January 30, 2026, promptly after the termination of the original trading plan, Mr. Mehrotra, as trustee of the Mehrotra Family Trust, entered into a new Rule 10b5-1 trading arrangement (the “modified trading plan”) providing for the sale of up to 200,000 shares of our common stock. The modified trading plan is intended to satisfy the affirmative defense in Rule 10b5-1(c). The first date that sales of any shares are permitted to be made under the modified trading plan is May 1, 2026, and subsequent sales under the trading arrangement may occur for the duration of the trading arrangement until May 1, 2027, or earlier if all transactions under the trading arrangement are completed.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61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6915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January 30, 2026, Michael Ray, our Senior Vice President, Chief Legal Officer and Corporate Secretary, adopted a Rule 10b5-1 trading arrangement providing for the sale of an aggregate of approximately 30,501 shares of our common stock consisting of (i) 7,601 shares of our common stock, and (ii) approximately 22,900 net shares he is expected to hold following vesting and applicable withholdings with respect to restricted stock awards he currently holds. The trading arrangement is intended to satisfy the affirmative defense in Rule 10b5-1(c). The first date that sales of any shares are permitted to be made under the trading arrangement is May 1, 2026, and subsequent sales under the trading arrangement may occur for the duration of the trading arrangement until April 9, 2027, or earlier if all transactions under the trading arrangement are completed.</w:t>
      </w:r>
    </w:p>
    <w:p>
      <w:pPr>
        <w:spacing w:after="0" w:line="18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No other directors or officers,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394"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Index to Exhibits</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820" w:type="dxa"/>
            <w:vAlign w:val="bottom"/>
          </w:tcPr>
          <w:p>
            <w:pPr>
              <w:spacing w:after="0"/>
              <w:rPr>
                <w:sz w:val="16"/>
                <w:szCs w:val="16"/>
                <w:color w:val="auto"/>
              </w:rPr>
            </w:pPr>
          </w:p>
        </w:tc>
        <w:tc>
          <w:tcPr>
            <w:tcW w:w="4700" w:type="dxa"/>
            <w:vAlign w:val="bottom"/>
            <w:gridSpan w:val="7"/>
            <w:vMerge w:val="restart"/>
          </w:tcPr>
          <w:p>
            <w:pPr>
              <w:ind w:left="1100"/>
              <w:spacing w:after="0"/>
              <w:rPr>
                <w:sz w:val="20"/>
                <w:szCs w:val="20"/>
                <w:color w:val="auto"/>
              </w:rPr>
            </w:pPr>
            <w:r>
              <w:rPr>
                <w:rFonts w:ascii="Arial" w:cs="Arial" w:eastAsia="Arial" w:hAnsi="Arial"/>
                <w:sz w:val="16"/>
                <w:szCs w:val="16"/>
                <w:b w:val="1"/>
                <w:bCs w:val="1"/>
                <w:color w:val="auto"/>
              </w:rPr>
              <w:t>Description of Exhibit</w:t>
            </w:r>
          </w:p>
        </w:tc>
        <w:tc>
          <w:tcPr>
            <w:tcW w:w="960" w:type="dxa"/>
            <w:vAlign w:val="bottom"/>
          </w:tcPr>
          <w:p>
            <w:pPr>
              <w:ind w:left="340"/>
              <w:spacing w:after="0"/>
              <w:rPr>
                <w:sz w:val="20"/>
                <w:szCs w:val="20"/>
                <w:color w:val="auto"/>
              </w:rPr>
            </w:pPr>
            <w:r>
              <w:rPr>
                <w:rFonts w:ascii="Arial" w:cs="Arial" w:eastAsia="Arial" w:hAnsi="Arial"/>
                <w:sz w:val="16"/>
                <w:szCs w:val="16"/>
                <w:b w:val="1"/>
                <w:bCs w:val="1"/>
                <w:color w:val="auto"/>
              </w:rPr>
              <w:t>Filed</w:t>
            </w:r>
          </w:p>
        </w:tc>
        <w:tc>
          <w:tcPr>
            <w:tcW w:w="8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Form</w:t>
            </w:r>
          </w:p>
        </w:tc>
        <w:tc>
          <w:tcPr>
            <w:tcW w:w="860" w:type="dxa"/>
            <w:vAlign w:val="bottom"/>
          </w:tcPr>
          <w:p>
            <w:pPr>
              <w:ind w:left="220"/>
              <w:spacing w:after="0"/>
              <w:rPr>
                <w:sz w:val="20"/>
                <w:szCs w:val="20"/>
                <w:color w:val="auto"/>
              </w:rPr>
            </w:pPr>
            <w:r>
              <w:rPr>
                <w:rFonts w:ascii="Arial" w:cs="Arial" w:eastAsia="Arial" w:hAnsi="Arial"/>
                <w:sz w:val="16"/>
                <w:szCs w:val="16"/>
                <w:b w:val="1"/>
                <w:bCs w:val="1"/>
                <w:color w:val="auto"/>
              </w:rPr>
              <w:t>Period</w:t>
            </w:r>
          </w:p>
        </w:tc>
        <w:tc>
          <w:tcPr>
            <w:tcW w:w="1080" w:type="dxa"/>
            <w:vAlign w:val="bottom"/>
          </w:tcPr>
          <w:p>
            <w:pPr>
              <w:jc w:val="center"/>
              <w:ind w:left="58"/>
              <w:spacing w:after="0"/>
              <w:rPr>
                <w:sz w:val="20"/>
                <w:szCs w:val="20"/>
                <w:color w:val="auto"/>
              </w:rPr>
            </w:pPr>
            <w:r>
              <w:rPr>
                <w:rFonts w:ascii="Arial" w:cs="Arial" w:eastAsia="Arial" w:hAnsi="Arial"/>
                <w:sz w:val="16"/>
                <w:szCs w:val="16"/>
                <w:b w:val="1"/>
                <w:bCs w:val="1"/>
                <w:color w:val="auto"/>
              </w:rPr>
              <w:t>Exhibit/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8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7"/>
            <w:vMerge w:val="continue"/>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Herewith</w:t>
            </w:r>
          </w:p>
        </w:tc>
        <w:tc>
          <w:tcPr>
            <w:tcW w:w="8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Ending</w:t>
            </w:r>
          </w:p>
        </w:tc>
        <w:tc>
          <w:tcPr>
            <w:tcW w:w="108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b w:val="1"/>
                <w:bCs w:val="1"/>
                <w:color w:val="auto"/>
              </w:rPr>
              <w:t>Appendix</w:t>
            </w: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80" w:type="dxa"/>
            <w:vAlign w:val="bottom"/>
            <w:tcBorders>
              <w:bottom w:val="single" w:sz="8" w:color="D1D2D4"/>
            </w:tcBorders>
            <w:shd w:val="clear" w:color="auto" w:fill="D1D2D4"/>
          </w:tcPr>
          <w:p>
            <w:pPr>
              <w:ind w:left="20"/>
              <w:spacing w:after="0" w:line="178" w:lineRule="exact"/>
              <w:rPr>
                <w:sz w:val="20"/>
                <w:szCs w:val="20"/>
                <w:color w:val="auto"/>
              </w:rPr>
            </w:pPr>
            <w:r>
              <w:rPr>
                <w:rFonts w:ascii="Arial" w:cs="Arial" w:eastAsia="Arial" w:hAnsi="Arial"/>
                <w:sz w:val="16"/>
                <w:szCs w:val="16"/>
                <w:color w:val="auto"/>
              </w:rPr>
              <w:t>3.1</w:t>
            </w:r>
          </w:p>
        </w:tc>
        <w:tc>
          <w:tcPr>
            <w:tcW w:w="4940" w:type="dxa"/>
            <w:vAlign w:val="bottom"/>
            <w:tcBorders>
              <w:bottom w:val="single" w:sz="8" w:color="auto"/>
            </w:tcBorders>
            <w:gridSpan w:val="6"/>
            <w:shd w:val="clear" w:color="auto" w:fill="D1D2D4"/>
          </w:tcPr>
          <w:p>
            <w:pPr>
              <w:spacing w:after="0" w:line="178" w:lineRule="exact"/>
              <w:rPr>
                <w:sz w:val="20"/>
                <w:szCs w:val="20"/>
                <w:color w:val="auto"/>
              </w:rPr>
            </w:pPr>
            <w:r>
              <w:rPr>
                <w:rFonts w:ascii="Arial" w:cs="Arial" w:eastAsia="Arial" w:hAnsi="Arial"/>
                <w:sz w:val="16"/>
                <w:szCs w:val="16"/>
                <w:color w:val="auto"/>
              </w:rPr>
              <w:t>Restated Certificate of Incorporation, as amended, of the Registrant</w:t>
            </w:r>
          </w:p>
        </w:tc>
        <w:tc>
          <w:tcPr>
            <w:tcW w:w="580" w:type="dxa"/>
            <w:vAlign w:val="bottom"/>
            <w:tcBorders>
              <w:bottom w:val="single" w:sz="8" w:color="D1D2D4"/>
            </w:tcBorders>
            <w:gridSpan w:val="2"/>
            <w:shd w:val="clear" w:color="auto" w:fill="D1D2D4"/>
          </w:tcPr>
          <w:p>
            <w:pPr>
              <w:spacing w:after="0"/>
              <w:rPr>
                <w:sz w:val="16"/>
                <w:szCs w:val="16"/>
                <w:color w:val="auto"/>
              </w:rPr>
            </w:pPr>
          </w:p>
        </w:tc>
        <w:tc>
          <w:tcPr>
            <w:tcW w:w="960" w:type="dxa"/>
            <w:vAlign w:val="bottom"/>
            <w:tcBorders>
              <w:bottom w:val="single" w:sz="8" w:color="D1D2D4"/>
            </w:tcBorders>
            <w:shd w:val="clear" w:color="auto" w:fill="D1D2D4"/>
          </w:tcPr>
          <w:p>
            <w:pPr>
              <w:ind w:left="40"/>
              <w:spacing w:after="0" w:line="178"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D1D2D4"/>
            </w:tcBorders>
            <w:shd w:val="clear" w:color="auto" w:fill="D1D2D4"/>
          </w:tcPr>
          <w:p>
            <w:pPr>
              <w:spacing w:after="0"/>
              <w:rPr>
                <w:sz w:val="16"/>
                <w:szCs w:val="16"/>
                <w:color w:val="auto"/>
              </w:rPr>
            </w:pPr>
          </w:p>
        </w:tc>
        <w:tc>
          <w:tcPr>
            <w:tcW w:w="860" w:type="dxa"/>
            <w:vAlign w:val="bottom"/>
            <w:tcBorders>
              <w:bottom w:val="single" w:sz="8" w:color="D1D2D4"/>
            </w:tcBorders>
            <w:shd w:val="clear" w:color="auto" w:fill="D1D2D4"/>
          </w:tcPr>
          <w:p>
            <w:pPr>
              <w:spacing w:after="0"/>
              <w:rPr>
                <w:sz w:val="16"/>
                <w:szCs w:val="16"/>
                <w:color w:val="auto"/>
              </w:rPr>
            </w:pPr>
          </w:p>
        </w:tc>
        <w:tc>
          <w:tcPr>
            <w:tcW w:w="1080" w:type="dxa"/>
            <w:vAlign w:val="bottom"/>
            <w:tcBorders>
              <w:bottom w:val="single" w:sz="8" w:color="D1D2D4"/>
            </w:tcBorders>
            <w:shd w:val="clear" w:color="auto" w:fill="D1D2D4"/>
          </w:tcPr>
          <w:p>
            <w:pPr>
              <w:spacing w:after="0"/>
              <w:rPr>
                <w:sz w:val="16"/>
                <w:szCs w:val="16"/>
                <w:color w:val="auto"/>
              </w:rPr>
            </w:pPr>
          </w:p>
        </w:tc>
        <w:tc>
          <w:tcPr>
            <w:tcW w:w="98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80" w:type="dxa"/>
            <w:vAlign w:val="bottom"/>
          </w:tcPr>
          <w:p>
            <w:pPr>
              <w:ind w:left="20"/>
              <w:spacing w:after="0"/>
              <w:rPr>
                <w:sz w:val="20"/>
                <w:szCs w:val="20"/>
                <w:color w:val="auto"/>
              </w:rPr>
            </w:pPr>
            <w:r>
              <w:rPr>
                <w:rFonts w:ascii="Arial" w:cs="Arial" w:eastAsia="Arial" w:hAnsi="Arial"/>
                <w:sz w:val="16"/>
                <w:szCs w:val="16"/>
                <w:color w:val="auto"/>
              </w:rPr>
              <w:t>3.2</w:t>
            </w:r>
          </w:p>
        </w:tc>
        <w:tc>
          <w:tcPr>
            <w:tcW w:w="5520" w:type="dxa"/>
            <w:vAlign w:val="bottom"/>
            <w:gridSpan w:val="8"/>
          </w:tcPr>
          <w:p>
            <w:pPr>
              <w:spacing w:after="0"/>
              <w:rPr>
                <w:rFonts w:ascii="Arial" w:cs="Arial" w:eastAsia="Arial" w:hAnsi="Arial"/>
                <w:sz w:val="16"/>
                <w:szCs w:val="16"/>
                <w:color w:val="auto"/>
              </w:rPr>
            </w:pPr>
            <w:hyperlink r:id="rId103">
              <w:r>
                <w:rPr>
                  <w:rFonts w:ascii="Arial" w:cs="Arial" w:eastAsia="Arial" w:hAnsi="Arial"/>
                  <w:sz w:val="16"/>
                  <w:szCs w:val="16"/>
                  <w:color w:val="auto"/>
                </w:rPr>
                <w:t>Amended and Restated Bylaws of Registrant as of July 17, 2025</w:t>
              </w:r>
            </w:hyperlink>
          </w:p>
        </w:tc>
        <w:tc>
          <w:tcPr>
            <w:tcW w:w="96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6"/>
                <w:szCs w:val="16"/>
                <w:color w:val="auto"/>
              </w:rPr>
              <w:t>8-K</w:t>
            </w:r>
          </w:p>
        </w:tc>
        <w:tc>
          <w:tcPr>
            <w:tcW w:w="860" w:type="dxa"/>
            <w:vAlign w:val="bottom"/>
          </w:tcPr>
          <w:p>
            <w:pPr>
              <w:spacing w:after="0"/>
              <w:rPr>
                <w:sz w:val="16"/>
                <w:szCs w:val="16"/>
                <w:color w:val="auto"/>
              </w:rPr>
            </w:pPr>
          </w:p>
        </w:tc>
        <w:tc>
          <w:tcPr>
            <w:tcW w:w="1080" w:type="dxa"/>
            <w:vAlign w:val="bottom"/>
          </w:tcPr>
          <w:p>
            <w:pPr>
              <w:jc w:val="right"/>
              <w:ind w:right="678"/>
              <w:spacing w:after="0"/>
              <w:rPr>
                <w:sz w:val="20"/>
                <w:szCs w:val="20"/>
                <w:color w:val="auto"/>
              </w:rPr>
            </w:pPr>
            <w:r>
              <w:rPr>
                <w:rFonts w:ascii="Arial" w:cs="Arial" w:eastAsia="Arial" w:hAnsi="Arial"/>
                <w:sz w:val="16"/>
                <w:szCs w:val="16"/>
                <w:color w:val="auto"/>
              </w:rPr>
              <w:t>3.1</w:t>
            </w:r>
          </w:p>
        </w:tc>
        <w:tc>
          <w:tcPr>
            <w:tcW w:w="980" w:type="dxa"/>
            <w:vAlign w:val="bottom"/>
          </w:tcPr>
          <w:p>
            <w:pPr>
              <w:jc w:val="right"/>
              <w:ind w:right="278"/>
              <w:spacing w:after="0"/>
              <w:rPr>
                <w:sz w:val="20"/>
                <w:szCs w:val="20"/>
                <w:color w:val="auto"/>
              </w:rPr>
            </w:pPr>
            <w:r>
              <w:rPr>
                <w:rFonts w:ascii="Arial" w:cs="Arial" w:eastAsia="Arial" w:hAnsi="Arial"/>
                <w:sz w:val="16"/>
                <w:szCs w:val="16"/>
                <w:color w:val="auto"/>
              </w:rPr>
              <w:t>7/18/25</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10.1*^</w:t>
            </w:r>
          </w:p>
        </w:tc>
        <w:tc>
          <w:tcPr>
            <w:tcW w:w="5520" w:type="dxa"/>
            <w:vAlign w:val="bottom"/>
            <w:gridSpan w:val="8"/>
            <w:shd w:val="clear" w:color="auto" w:fill="D1D2D4"/>
          </w:tcPr>
          <w:p>
            <w:pPr>
              <w:spacing w:after="0" w:line="181" w:lineRule="exact"/>
              <w:rPr>
                <w:sz w:val="20"/>
                <w:szCs w:val="20"/>
                <w:color w:val="auto"/>
              </w:rPr>
            </w:pPr>
            <w:r>
              <w:rPr>
                <w:rFonts w:ascii="Arial" w:cs="Arial" w:eastAsia="Arial" w:hAnsi="Arial"/>
                <w:sz w:val="16"/>
                <w:szCs w:val="16"/>
                <w:color w:val="auto"/>
              </w:rPr>
              <w:t>2025 Equity Incentive Plan Forms of Agreement and Terms and Conditions</w:t>
            </w:r>
          </w:p>
        </w:tc>
        <w:tc>
          <w:tcPr>
            <w:tcW w:w="960" w:type="dxa"/>
            <w:vAlign w:val="bottom"/>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86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D1D2D4"/>
              <w:bottom w:val="single" w:sz="8" w:color="D1D2D4"/>
            </w:tcBorders>
            <w:shd w:val="clear" w:color="auto" w:fill="D1D2D4"/>
          </w:tcPr>
          <w:p>
            <w:pPr>
              <w:spacing w:after="0"/>
              <w:rPr>
                <w:sz w:val="14"/>
                <w:szCs w:val="14"/>
                <w:color w:val="auto"/>
              </w:rPr>
            </w:pPr>
          </w:p>
        </w:tc>
        <w:tc>
          <w:tcPr>
            <w:tcW w:w="820" w:type="dxa"/>
            <w:vAlign w:val="bottom"/>
            <w:tcBorders>
              <w:top w:val="single" w:sz="8" w:color="auto"/>
              <w:bottom w:val="single" w:sz="8" w:color="auto"/>
            </w:tcBorders>
            <w:shd w:val="clear" w:color="auto" w:fill="D1D2D4"/>
          </w:tcPr>
          <w:p>
            <w:pPr>
              <w:spacing w:after="0" w:line="153" w:lineRule="exact"/>
              <w:rPr>
                <w:sz w:val="20"/>
                <w:szCs w:val="20"/>
                <w:color w:val="auto"/>
              </w:rPr>
            </w:pPr>
            <w:r>
              <w:rPr>
                <w:rFonts w:ascii="Arial" w:cs="Arial" w:eastAsia="Arial" w:hAnsi="Arial"/>
                <w:sz w:val="16"/>
                <w:szCs w:val="16"/>
                <w:color w:val="auto"/>
              </w:rPr>
              <w:t>for FY2026</w:t>
            </w:r>
          </w:p>
        </w:tc>
        <w:tc>
          <w:tcPr>
            <w:tcW w:w="4640" w:type="dxa"/>
            <w:vAlign w:val="bottom"/>
            <w:tcBorders>
              <w:top w:val="single" w:sz="8" w:color="auto"/>
              <w:bottom w:val="single" w:sz="8" w:color="D1D2D4"/>
            </w:tcBorders>
            <w:gridSpan w:val="6"/>
            <w:shd w:val="clear" w:color="auto" w:fill="D1D2D4"/>
          </w:tcPr>
          <w:p>
            <w:pPr>
              <w:spacing w:after="0"/>
              <w:rPr>
                <w:sz w:val="14"/>
                <w:szCs w:val="14"/>
                <w:color w:val="auto"/>
              </w:rPr>
            </w:pPr>
          </w:p>
        </w:tc>
        <w:tc>
          <w:tcPr>
            <w:tcW w:w="60" w:type="dxa"/>
            <w:vAlign w:val="bottom"/>
            <w:tcBorders>
              <w:top w:val="single" w:sz="8" w:color="D1D2D4"/>
              <w:bottom w:val="single" w:sz="8" w:color="D1D2D4"/>
            </w:tcBorders>
            <w:shd w:val="clear" w:color="auto" w:fill="D1D2D4"/>
          </w:tcPr>
          <w:p>
            <w:pPr>
              <w:spacing w:after="0"/>
              <w:rPr>
                <w:sz w:val="14"/>
                <w:szCs w:val="14"/>
                <w:color w:val="auto"/>
              </w:rPr>
            </w:pPr>
          </w:p>
        </w:tc>
        <w:tc>
          <w:tcPr>
            <w:tcW w:w="960" w:type="dxa"/>
            <w:vAlign w:val="bottom"/>
            <w:tcBorders>
              <w:top w:val="single" w:sz="8" w:color="D1D2D4"/>
              <w:bottom w:val="single" w:sz="8" w:color="D1D2D4"/>
            </w:tcBorders>
            <w:shd w:val="clear" w:color="auto" w:fill="D1D2D4"/>
          </w:tcPr>
          <w:p>
            <w:pPr>
              <w:spacing w:after="0"/>
              <w:rPr>
                <w:sz w:val="14"/>
                <w:szCs w:val="14"/>
                <w:color w:val="auto"/>
              </w:rPr>
            </w:pPr>
          </w:p>
        </w:tc>
        <w:tc>
          <w:tcPr>
            <w:tcW w:w="860" w:type="dxa"/>
            <w:vAlign w:val="bottom"/>
            <w:tcBorders>
              <w:top w:val="single" w:sz="8" w:color="D1D2D4"/>
              <w:bottom w:val="single" w:sz="8" w:color="D1D2D4"/>
            </w:tcBorders>
            <w:shd w:val="clear" w:color="auto" w:fill="D1D2D4"/>
          </w:tcPr>
          <w:p>
            <w:pPr>
              <w:spacing w:after="0"/>
              <w:rPr>
                <w:sz w:val="14"/>
                <w:szCs w:val="14"/>
                <w:color w:val="auto"/>
              </w:rPr>
            </w:pPr>
          </w:p>
        </w:tc>
        <w:tc>
          <w:tcPr>
            <w:tcW w:w="860" w:type="dxa"/>
            <w:vAlign w:val="bottom"/>
            <w:tcBorders>
              <w:top w:val="single" w:sz="8" w:color="D1D2D4"/>
              <w:bottom w:val="single" w:sz="8" w:color="D1D2D4"/>
            </w:tcBorders>
            <w:shd w:val="clear" w:color="auto" w:fill="D1D2D4"/>
          </w:tcPr>
          <w:p>
            <w:pPr>
              <w:spacing w:after="0"/>
              <w:rPr>
                <w:sz w:val="14"/>
                <w:szCs w:val="14"/>
                <w:color w:val="auto"/>
              </w:rPr>
            </w:pPr>
          </w:p>
        </w:tc>
        <w:tc>
          <w:tcPr>
            <w:tcW w:w="1080" w:type="dxa"/>
            <w:vAlign w:val="bottom"/>
            <w:tcBorders>
              <w:top w:val="single" w:sz="8" w:color="D1D2D4"/>
              <w:bottom w:val="single" w:sz="8" w:color="D1D2D4"/>
            </w:tcBorders>
            <w:shd w:val="clear" w:color="auto" w:fill="D1D2D4"/>
          </w:tcPr>
          <w:p>
            <w:pPr>
              <w:spacing w:after="0"/>
              <w:rPr>
                <w:sz w:val="14"/>
                <w:szCs w:val="14"/>
                <w:color w:val="auto"/>
              </w:rPr>
            </w:pPr>
          </w:p>
        </w:tc>
        <w:tc>
          <w:tcPr>
            <w:tcW w:w="980" w:type="dxa"/>
            <w:vAlign w:val="bottom"/>
            <w:tcBorders>
              <w:top w:val="single" w:sz="8" w:color="D1D2D4"/>
              <w:bottom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73" w:lineRule="exact"/>
              <w:rPr>
                <w:sz w:val="20"/>
                <w:szCs w:val="20"/>
                <w:color w:val="auto"/>
              </w:rPr>
            </w:pPr>
            <w:r>
              <w:rPr>
                <w:rFonts w:ascii="Arial" w:cs="Arial" w:eastAsia="Arial" w:hAnsi="Arial"/>
                <w:sz w:val="16"/>
                <w:szCs w:val="16"/>
                <w:color w:val="auto"/>
              </w:rPr>
              <w:t>31.1</w:t>
            </w:r>
          </w:p>
        </w:tc>
        <w:tc>
          <w:tcPr>
            <w:tcW w:w="392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6"/>
                <w:szCs w:val="16"/>
                <w:color w:val="auto"/>
              </w:rPr>
              <w:t>Rule 13a-14(a) Certification of Chief Executive Officer</w:t>
            </w:r>
          </w:p>
        </w:tc>
        <w:tc>
          <w:tcPr>
            <w:tcW w:w="1600" w:type="dxa"/>
            <w:vAlign w:val="bottom"/>
            <w:gridSpan w:val="6"/>
          </w:tcPr>
          <w:p>
            <w:pPr>
              <w:spacing w:after="0"/>
              <w:rPr>
                <w:sz w:val="15"/>
                <w:szCs w:val="15"/>
                <w:color w:val="auto"/>
              </w:rPr>
            </w:pPr>
          </w:p>
        </w:tc>
        <w:tc>
          <w:tcPr>
            <w:tcW w:w="960" w:type="dxa"/>
            <w:vAlign w:val="bottom"/>
          </w:tcPr>
          <w:p>
            <w:pPr>
              <w:ind w:left="40"/>
              <w:spacing w:after="0" w:line="173" w:lineRule="exact"/>
              <w:rPr>
                <w:sz w:val="20"/>
                <w:szCs w:val="20"/>
                <w:color w:val="auto"/>
              </w:rPr>
            </w:pPr>
            <w:r>
              <w:rPr>
                <w:rFonts w:ascii="Arial" w:cs="Arial" w:eastAsia="Arial" w:hAnsi="Arial"/>
                <w:sz w:val="16"/>
                <w:szCs w:val="16"/>
                <w:color w:val="auto"/>
              </w:rPr>
              <w:t>X</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31.2</w:t>
            </w:r>
          </w:p>
        </w:tc>
        <w:tc>
          <w:tcPr>
            <w:tcW w:w="5520" w:type="dxa"/>
            <w:vAlign w:val="bottom"/>
            <w:gridSpan w:val="8"/>
            <w:shd w:val="clear" w:color="auto" w:fill="D1D2D4"/>
          </w:tcPr>
          <w:p>
            <w:pPr>
              <w:spacing w:after="0" w:line="181" w:lineRule="exact"/>
              <w:rPr>
                <w:sz w:val="20"/>
                <w:szCs w:val="20"/>
                <w:color w:val="auto"/>
              </w:rPr>
            </w:pPr>
            <w:r>
              <w:rPr>
                <w:rFonts w:ascii="Arial" w:cs="Arial" w:eastAsia="Arial" w:hAnsi="Arial"/>
                <w:sz w:val="16"/>
                <w:szCs w:val="16"/>
                <w:color w:val="auto"/>
              </w:rPr>
              <w:t>Rule 13a-14(a) Certification of Chief Financial Officer</w:t>
            </w:r>
          </w:p>
        </w:tc>
        <w:tc>
          <w:tcPr>
            <w:tcW w:w="960" w:type="dxa"/>
            <w:vAlign w:val="bottom"/>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86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80" w:type="dxa"/>
            <w:vAlign w:val="bottom"/>
            <w:shd w:val="clear" w:color="auto" w:fill="D1D2D4"/>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3100" w:type="dxa"/>
            <w:vAlign w:val="bottom"/>
            <w:tcBorders>
              <w:right w:val="single" w:sz="8" w:color="D1D2D4"/>
            </w:tcBorders>
            <w:shd w:val="clear" w:color="auto" w:fill="000000"/>
          </w:tcPr>
          <w:p>
            <w:pPr>
              <w:spacing w:after="0"/>
              <w:rPr>
                <w:sz w:val="3"/>
                <w:szCs w:val="3"/>
                <w:color w:val="auto"/>
              </w:rPr>
            </w:pPr>
          </w:p>
        </w:tc>
        <w:tc>
          <w:tcPr>
            <w:tcW w:w="78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100" w:type="dxa"/>
            <w:vAlign w:val="bottom"/>
            <w:shd w:val="clear" w:color="auto" w:fill="D1D2D4"/>
          </w:tcPr>
          <w:p>
            <w:pPr>
              <w:spacing w:after="0"/>
              <w:rPr>
                <w:sz w:val="3"/>
                <w:szCs w:val="3"/>
                <w:color w:val="auto"/>
              </w:rPr>
            </w:pPr>
          </w:p>
        </w:tc>
        <w:tc>
          <w:tcPr>
            <w:tcW w:w="5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960" w:type="dxa"/>
            <w:vAlign w:val="bottom"/>
            <w:shd w:val="clear" w:color="auto" w:fill="D1D2D4"/>
          </w:tcPr>
          <w:p>
            <w:pPr>
              <w:spacing w:after="0"/>
              <w:rPr>
                <w:sz w:val="3"/>
                <w:szCs w:val="3"/>
                <w:color w:val="auto"/>
              </w:rPr>
            </w:pPr>
          </w:p>
        </w:tc>
        <w:tc>
          <w:tcPr>
            <w:tcW w:w="860" w:type="dxa"/>
            <w:vAlign w:val="bottom"/>
            <w:shd w:val="clear" w:color="auto" w:fill="D1D2D4"/>
          </w:tcPr>
          <w:p>
            <w:pPr>
              <w:spacing w:after="0"/>
              <w:rPr>
                <w:sz w:val="3"/>
                <w:szCs w:val="3"/>
                <w:color w:val="auto"/>
              </w:rPr>
            </w:pPr>
          </w:p>
        </w:tc>
        <w:tc>
          <w:tcPr>
            <w:tcW w:w="860" w:type="dxa"/>
            <w:vAlign w:val="bottom"/>
            <w:shd w:val="clear" w:color="auto" w:fill="D1D2D4"/>
          </w:tcPr>
          <w:p>
            <w:pPr>
              <w:spacing w:after="0"/>
              <w:rPr>
                <w:sz w:val="3"/>
                <w:szCs w:val="3"/>
                <w:color w:val="auto"/>
              </w:rPr>
            </w:pPr>
          </w:p>
        </w:tc>
        <w:tc>
          <w:tcPr>
            <w:tcW w:w="1080" w:type="dxa"/>
            <w:vAlign w:val="bottom"/>
            <w:shd w:val="clear" w:color="auto" w:fill="D1D2D4"/>
          </w:tcPr>
          <w:p>
            <w:pPr>
              <w:spacing w:after="0"/>
              <w:rPr>
                <w:sz w:val="3"/>
                <w:szCs w:val="3"/>
                <w:color w:val="auto"/>
              </w:rPr>
            </w:pPr>
          </w:p>
        </w:tc>
        <w:tc>
          <w:tcPr>
            <w:tcW w:w="980" w:type="dxa"/>
            <w:vAlign w:val="bottom"/>
            <w:shd w:val="clear" w:color="auto" w:fill="D1D2D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ind w:left="20"/>
              <w:spacing w:after="0" w:line="173" w:lineRule="exact"/>
              <w:rPr>
                <w:sz w:val="20"/>
                <w:szCs w:val="20"/>
                <w:color w:val="auto"/>
              </w:rPr>
            </w:pPr>
            <w:r>
              <w:rPr>
                <w:rFonts w:ascii="Arial" w:cs="Arial" w:eastAsia="Arial" w:hAnsi="Arial"/>
                <w:sz w:val="16"/>
                <w:szCs w:val="16"/>
                <w:color w:val="auto"/>
              </w:rPr>
              <w:t>32.1</w:t>
            </w:r>
          </w:p>
        </w:tc>
        <w:tc>
          <w:tcPr>
            <w:tcW w:w="4840" w:type="dxa"/>
            <w:vAlign w:val="bottom"/>
            <w:tcBorders>
              <w:bottom w:val="single" w:sz="8" w:color="auto"/>
            </w:tcBorders>
            <w:gridSpan w:val="5"/>
          </w:tcPr>
          <w:p>
            <w:pPr>
              <w:spacing w:after="0" w:line="173" w:lineRule="exact"/>
              <w:rPr>
                <w:sz w:val="20"/>
                <w:szCs w:val="20"/>
                <w:color w:val="auto"/>
              </w:rPr>
            </w:pPr>
            <w:r>
              <w:rPr>
                <w:rFonts w:ascii="Arial" w:cs="Arial" w:eastAsia="Arial" w:hAnsi="Arial"/>
                <w:sz w:val="16"/>
                <w:szCs w:val="16"/>
                <w:color w:val="auto"/>
              </w:rPr>
              <w:t>Certification of Chief Executive Officer Pursuant to 18 U.S.C. 1350</w:t>
            </w:r>
          </w:p>
        </w:tc>
        <w:tc>
          <w:tcPr>
            <w:tcW w:w="680" w:type="dxa"/>
            <w:vAlign w:val="bottom"/>
            <w:gridSpan w:val="3"/>
          </w:tcPr>
          <w:p>
            <w:pPr>
              <w:spacing w:after="0"/>
              <w:rPr>
                <w:sz w:val="15"/>
                <w:szCs w:val="15"/>
                <w:color w:val="auto"/>
              </w:rPr>
            </w:pPr>
          </w:p>
        </w:tc>
        <w:tc>
          <w:tcPr>
            <w:tcW w:w="960" w:type="dxa"/>
            <w:vAlign w:val="bottom"/>
          </w:tcPr>
          <w:p>
            <w:pPr>
              <w:ind w:left="40"/>
              <w:spacing w:after="0" w:line="173" w:lineRule="exact"/>
              <w:rPr>
                <w:sz w:val="20"/>
                <w:szCs w:val="20"/>
                <w:color w:val="auto"/>
              </w:rPr>
            </w:pPr>
            <w:r>
              <w:rPr>
                <w:rFonts w:ascii="Arial" w:cs="Arial" w:eastAsia="Arial" w:hAnsi="Arial"/>
                <w:sz w:val="16"/>
                <w:szCs w:val="16"/>
                <w:color w:val="auto"/>
              </w:rPr>
              <w:t>X</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80" w:type="dxa"/>
            <w:vAlign w:val="bottom"/>
            <w:tcBorders>
              <w:bottom w:val="single" w:sz="8" w:color="D1D2D4"/>
            </w:tcBorders>
            <w:shd w:val="clear" w:color="auto" w:fill="D1D2D4"/>
          </w:tcPr>
          <w:p>
            <w:pPr>
              <w:ind w:left="20"/>
              <w:spacing w:after="0" w:line="181" w:lineRule="exact"/>
              <w:rPr>
                <w:sz w:val="20"/>
                <w:szCs w:val="20"/>
                <w:color w:val="auto"/>
              </w:rPr>
            </w:pPr>
            <w:r>
              <w:rPr>
                <w:rFonts w:ascii="Arial" w:cs="Arial" w:eastAsia="Arial" w:hAnsi="Arial"/>
                <w:sz w:val="16"/>
                <w:szCs w:val="16"/>
                <w:color w:val="auto"/>
              </w:rPr>
              <w:t>32.2</w:t>
            </w:r>
          </w:p>
        </w:tc>
        <w:tc>
          <w:tcPr>
            <w:tcW w:w="4780" w:type="dxa"/>
            <w:vAlign w:val="bottom"/>
            <w:tcBorders>
              <w:bottom w:val="single" w:sz="8" w:color="auto"/>
            </w:tcBorders>
            <w:gridSpan w:val="4"/>
            <w:shd w:val="clear" w:color="auto" w:fill="D1D2D4"/>
          </w:tcPr>
          <w:p>
            <w:pPr>
              <w:spacing w:after="0" w:line="181" w:lineRule="exact"/>
              <w:rPr>
                <w:sz w:val="20"/>
                <w:szCs w:val="20"/>
                <w:color w:val="auto"/>
              </w:rPr>
            </w:pPr>
            <w:r>
              <w:rPr>
                <w:rFonts w:ascii="Arial" w:cs="Arial" w:eastAsia="Arial" w:hAnsi="Arial"/>
                <w:sz w:val="16"/>
                <w:szCs w:val="16"/>
                <w:color w:val="auto"/>
              </w:rPr>
              <w:t>Certification of Chief Financial Officer Pursuant to 18 U.S.C. 1350</w:t>
            </w:r>
          </w:p>
        </w:tc>
        <w:tc>
          <w:tcPr>
            <w:tcW w:w="740" w:type="dxa"/>
            <w:vAlign w:val="bottom"/>
            <w:tcBorders>
              <w:bottom w:val="single" w:sz="8" w:color="D1D2D4"/>
            </w:tcBorders>
            <w:gridSpan w:val="4"/>
            <w:shd w:val="clear" w:color="auto" w:fill="D1D2D4"/>
          </w:tcPr>
          <w:p>
            <w:pPr>
              <w:spacing w:after="0"/>
              <w:rPr>
                <w:sz w:val="17"/>
                <w:szCs w:val="17"/>
                <w:color w:val="auto"/>
              </w:rPr>
            </w:pPr>
          </w:p>
        </w:tc>
        <w:tc>
          <w:tcPr>
            <w:tcW w:w="960" w:type="dxa"/>
            <w:vAlign w:val="bottom"/>
            <w:tcBorders>
              <w:bottom w:val="single" w:sz="8" w:color="D1D2D4"/>
            </w:tcBorders>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D1D2D4"/>
            </w:tcBorders>
            <w:shd w:val="clear" w:color="auto" w:fill="D1D2D4"/>
          </w:tcPr>
          <w:p>
            <w:pPr>
              <w:spacing w:after="0"/>
              <w:rPr>
                <w:sz w:val="17"/>
                <w:szCs w:val="17"/>
                <w:color w:val="auto"/>
              </w:rPr>
            </w:pP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spacing w:after="0"/>
              <w:rPr>
                <w:sz w:val="17"/>
                <w:szCs w:val="17"/>
                <w:color w:val="auto"/>
              </w:rPr>
            </w:pPr>
          </w:p>
        </w:tc>
        <w:tc>
          <w:tcPr>
            <w:tcW w:w="980" w:type="dxa"/>
            <w:vAlign w:val="bottom"/>
            <w:tcBorders>
              <w:bottom w:val="single" w:sz="8" w:color="D1D2D4"/>
            </w:tcBorders>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20"/>
              <w:spacing w:after="0" w:line="169" w:lineRule="exact"/>
              <w:rPr>
                <w:sz w:val="20"/>
                <w:szCs w:val="20"/>
                <w:color w:val="auto"/>
              </w:rPr>
            </w:pPr>
            <w:r>
              <w:rPr>
                <w:rFonts w:ascii="Arial" w:cs="Arial" w:eastAsia="Arial" w:hAnsi="Arial"/>
                <w:sz w:val="16"/>
                <w:szCs w:val="16"/>
                <w:color w:val="auto"/>
              </w:rPr>
              <w:t>101.INS</w:t>
            </w:r>
          </w:p>
        </w:tc>
        <w:tc>
          <w:tcPr>
            <w:tcW w:w="5520" w:type="dxa"/>
            <w:vAlign w:val="bottom"/>
            <w:gridSpan w:val="8"/>
          </w:tcPr>
          <w:p>
            <w:pPr>
              <w:spacing w:after="0" w:line="169" w:lineRule="exact"/>
              <w:rPr>
                <w:sz w:val="20"/>
                <w:szCs w:val="20"/>
                <w:color w:val="auto"/>
              </w:rPr>
            </w:pPr>
            <w:r>
              <w:rPr>
                <w:rFonts w:ascii="Arial" w:cs="Arial" w:eastAsia="Arial" w:hAnsi="Arial"/>
                <w:sz w:val="16"/>
                <w:szCs w:val="16"/>
                <w:color w:val="auto"/>
              </w:rPr>
              <w:t>Inline XBRL Instance Document - the instance document does not appear</w:t>
            </w:r>
          </w:p>
        </w:tc>
        <w:tc>
          <w:tcPr>
            <w:tcW w:w="960" w:type="dxa"/>
            <w:vAlign w:val="bottom"/>
          </w:tcPr>
          <w:p>
            <w:pPr>
              <w:ind w:left="40"/>
              <w:spacing w:after="0" w:line="169" w:lineRule="exact"/>
              <w:rPr>
                <w:sz w:val="20"/>
                <w:szCs w:val="20"/>
                <w:color w:val="auto"/>
              </w:rPr>
            </w:pPr>
            <w:r>
              <w:rPr>
                <w:rFonts w:ascii="Arial" w:cs="Arial" w:eastAsia="Arial" w:hAnsi="Arial"/>
                <w:sz w:val="16"/>
                <w:szCs w:val="16"/>
                <w:color w:val="auto"/>
              </w:rPr>
              <w:t>X</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5520" w:type="dxa"/>
            <w:vAlign w:val="bottom"/>
            <w:gridSpan w:val="8"/>
          </w:tcPr>
          <w:p>
            <w:pPr>
              <w:spacing w:after="0" w:line="165" w:lineRule="exact"/>
              <w:rPr>
                <w:sz w:val="20"/>
                <w:szCs w:val="20"/>
                <w:color w:val="auto"/>
              </w:rPr>
            </w:pPr>
            <w:r>
              <w:rPr>
                <w:rFonts w:ascii="Arial" w:cs="Arial" w:eastAsia="Arial" w:hAnsi="Arial"/>
                <w:sz w:val="16"/>
                <w:szCs w:val="16"/>
                <w:color w:val="auto"/>
              </w:rPr>
              <w:t>in the Interactive Data File because its XBRL tags are embedded within the</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20" w:type="dxa"/>
            <w:vAlign w:val="bottom"/>
            <w:gridSpan w:val="8"/>
          </w:tcPr>
          <w:p>
            <w:pPr>
              <w:spacing w:after="0"/>
              <w:rPr>
                <w:sz w:val="20"/>
                <w:szCs w:val="20"/>
                <w:color w:val="auto"/>
              </w:rPr>
            </w:pPr>
            <w:r>
              <w:rPr>
                <w:rFonts w:ascii="Arial" w:cs="Arial" w:eastAsia="Arial" w:hAnsi="Arial"/>
                <w:sz w:val="16"/>
                <w:szCs w:val="16"/>
                <w:color w:val="auto"/>
              </w:rPr>
              <w:t>Inline XBRL document</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101.SCH</w:t>
            </w:r>
          </w:p>
        </w:tc>
        <w:tc>
          <w:tcPr>
            <w:tcW w:w="5520" w:type="dxa"/>
            <w:vAlign w:val="bottom"/>
            <w:gridSpan w:val="8"/>
            <w:shd w:val="clear" w:color="auto" w:fill="D1D2D4"/>
          </w:tcPr>
          <w:p>
            <w:pPr>
              <w:spacing w:after="0"/>
              <w:rPr>
                <w:sz w:val="20"/>
                <w:szCs w:val="20"/>
                <w:color w:val="auto"/>
              </w:rPr>
            </w:pPr>
            <w:r>
              <w:rPr>
                <w:rFonts w:ascii="Arial" w:cs="Arial" w:eastAsia="Arial" w:hAnsi="Arial"/>
                <w:sz w:val="16"/>
                <w:szCs w:val="16"/>
                <w:color w:val="auto"/>
              </w:rPr>
              <w:t>Inline XBRL Taxonomy Extension Schema Document</w:t>
            </w:r>
          </w:p>
        </w:tc>
        <w:tc>
          <w:tcPr>
            <w:tcW w:w="960" w:type="dxa"/>
            <w:vAlign w:val="bottom"/>
            <w:shd w:val="clear" w:color="auto" w:fill="D1D2D4"/>
          </w:tcPr>
          <w:p>
            <w:pPr>
              <w:ind w:left="40"/>
              <w:spacing w:after="0"/>
              <w:rPr>
                <w:sz w:val="20"/>
                <w:szCs w:val="20"/>
                <w:color w:val="auto"/>
              </w:rPr>
            </w:pPr>
            <w:r>
              <w:rPr>
                <w:rFonts w:ascii="Arial" w:cs="Arial" w:eastAsia="Arial" w:hAnsi="Arial"/>
                <w:sz w:val="16"/>
                <w:szCs w:val="16"/>
                <w:color w:val="auto"/>
              </w:rPr>
              <w:t>X</w:t>
            </w:r>
          </w:p>
        </w:tc>
        <w:tc>
          <w:tcPr>
            <w:tcW w:w="86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6"/>
                <w:szCs w:val="16"/>
                <w:color w:val="auto"/>
              </w:rPr>
              <w:t>101.CAL</w:t>
            </w:r>
          </w:p>
        </w:tc>
        <w:tc>
          <w:tcPr>
            <w:tcW w:w="552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960" w:type="dxa"/>
            <w:vAlign w:val="bottom"/>
          </w:tcPr>
          <w:p>
            <w:pPr>
              <w:ind w:left="4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101.DEF</w:t>
            </w:r>
          </w:p>
        </w:tc>
        <w:tc>
          <w:tcPr>
            <w:tcW w:w="5520" w:type="dxa"/>
            <w:vAlign w:val="bottom"/>
            <w:gridSpan w:val="8"/>
            <w:shd w:val="clear" w:color="auto" w:fill="D1D2D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60" w:type="dxa"/>
            <w:vAlign w:val="bottom"/>
            <w:shd w:val="clear" w:color="auto" w:fill="D1D2D4"/>
          </w:tcPr>
          <w:p>
            <w:pPr>
              <w:ind w:left="40"/>
              <w:spacing w:after="0"/>
              <w:rPr>
                <w:sz w:val="20"/>
                <w:szCs w:val="20"/>
                <w:color w:val="auto"/>
              </w:rPr>
            </w:pPr>
            <w:r>
              <w:rPr>
                <w:rFonts w:ascii="Arial" w:cs="Arial" w:eastAsia="Arial" w:hAnsi="Arial"/>
                <w:sz w:val="16"/>
                <w:szCs w:val="16"/>
                <w:color w:val="auto"/>
              </w:rPr>
              <w:t>X</w:t>
            </w:r>
          </w:p>
        </w:tc>
        <w:tc>
          <w:tcPr>
            <w:tcW w:w="86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6"/>
                <w:szCs w:val="16"/>
                <w:color w:val="auto"/>
              </w:rPr>
              <w:t>101.LAB</w:t>
            </w:r>
          </w:p>
        </w:tc>
        <w:tc>
          <w:tcPr>
            <w:tcW w:w="552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60" w:type="dxa"/>
            <w:vAlign w:val="bottom"/>
          </w:tcPr>
          <w:p>
            <w:pPr>
              <w:ind w:left="4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101.PRE</w:t>
            </w:r>
          </w:p>
        </w:tc>
        <w:tc>
          <w:tcPr>
            <w:tcW w:w="5520" w:type="dxa"/>
            <w:vAlign w:val="bottom"/>
            <w:gridSpan w:val="8"/>
            <w:shd w:val="clear" w:color="auto" w:fill="D1D2D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960" w:type="dxa"/>
            <w:vAlign w:val="bottom"/>
            <w:shd w:val="clear" w:color="auto" w:fill="D1D2D4"/>
          </w:tcPr>
          <w:p>
            <w:pPr>
              <w:ind w:left="40"/>
              <w:spacing w:after="0"/>
              <w:rPr>
                <w:sz w:val="20"/>
                <w:szCs w:val="20"/>
                <w:color w:val="auto"/>
              </w:rPr>
            </w:pPr>
            <w:r>
              <w:rPr>
                <w:rFonts w:ascii="Arial" w:cs="Arial" w:eastAsia="Arial" w:hAnsi="Arial"/>
                <w:sz w:val="16"/>
                <w:szCs w:val="16"/>
                <w:color w:val="auto"/>
              </w:rPr>
              <w:t>X</w:t>
            </w:r>
          </w:p>
        </w:tc>
        <w:tc>
          <w:tcPr>
            <w:tcW w:w="86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5520" w:type="dxa"/>
            <w:vAlign w:val="bottom"/>
            <w:gridSpan w:val="8"/>
          </w:tcPr>
          <w:p>
            <w:pPr>
              <w:spacing w:after="0" w:line="169" w:lineRule="exact"/>
              <w:rPr>
                <w:sz w:val="20"/>
                <w:szCs w:val="20"/>
                <w:color w:val="auto"/>
              </w:rPr>
            </w:pPr>
            <w:r>
              <w:rPr>
                <w:rFonts w:ascii="Arial" w:cs="Arial" w:eastAsia="Arial" w:hAnsi="Arial"/>
                <w:sz w:val="16"/>
                <w:szCs w:val="16"/>
                <w:color w:val="auto"/>
              </w:rPr>
              <w:t>Cover Page Interactive Data File (formatted as Inline XBRL and contained</w:t>
            </w:r>
          </w:p>
        </w:tc>
        <w:tc>
          <w:tcPr>
            <w:tcW w:w="960" w:type="dxa"/>
            <w:vAlign w:val="bottom"/>
          </w:tcPr>
          <w:p>
            <w:pPr>
              <w:ind w:left="40"/>
              <w:spacing w:after="0" w:line="169" w:lineRule="exact"/>
              <w:rPr>
                <w:sz w:val="20"/>
                <w:szCs w:val="20"/>
                <w:color w:val="auto"/>
              </w:rPr>
            </w:pPr>
            <w:r>
              <w:rPr>
                <w:rFonts w:ascii="Arial" w:cs="Arial" w:eastAsia="Arial" w:hAnsi="Arial"/>
                <w:sz w:val="16"/>
                <w:szCs w:val="16"/>
                <w:color w:val="auto"/>
              </w:rPr>
              <w:t>X</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20" w:type="dxa"/>
            <w:vAlign w:val="bottom"/>
            <w:gridSpan w:val="8"/>
          </w:tcPr>
          <w:p>
            <w:pPr>
              <w:spacing w:after="0"/>
              <w:rPr>
                <w:sz w:val="20"/>
                <w:szCs w:val="20"/>
                <w:color w:val="auto"/>
              </w:rPr>
            </w:pPr>
            <w:r>
              <w:rPr>
                <w:rFonts w:ascii="Arial" w:cs="Arial" w:eastAsia="Arial" w:hAnsi="Arial"/>
                <w:sz w:val="16"/>
                <w:szCs w:val="16"/>
                <w:color w:val="auto"/>
              </w:rPr>
              <w:t>in Exhibit 101)</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113" w:lineRule="exact"/>
        <w:rPr>
          <w:sz w:val="20"/>
          <w:szCs w:val="20"/>
          <w:color w:val="auto"/>
        </w:rPr>
      </w:pPr>
    </w:p>
    <w:p>
      <w:pPr>
        <w:jc w:val="both"/>
        <w:ind w:left="1" w:right="20" w:hanging="1"/>
        <w:spacing w:after="0" w:line="301" w:lineRule="auto"/>
        <w:tabs>
          <w:tab w:leader="none" w:pos="1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63 | 2026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6915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35877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780" w:val="left"/>
          <w:tab w:leader="none" w:pos="512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18,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35877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Mark Murphy</w:t>
      </w:r>
    </w:p>
    <w:p>
      <w:pPr>
        <w:spacing w:after="0" w:line="7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Financial Officer)</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18415</wp:posOffset>
            </wp:positionV>
            <wp:extent cx="35877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Scott Allen</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Corporate Vice President and Chief Accounting Officer</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33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64</w:t>
      </w:r>
    </w:p>
    <w:p>
      <w:pPr>
        <w:sectPr>
          <w:pgSz w:w="11900" w:h="16838" w:orient="portrait"/>
          <w:cols w:equalWidth="0" w:num="1">
            <w:col w:w="11240"/>
          </w:cols>
          <w:pgMar w:left="320" w:top="12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RESTATED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MICRON TECHNOLOGY, INC.</w:t>
      </w:r>
    </w:p>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This is a restated version of Micron Technology, Inc.’s Certificate of Incorporation. The original Certificate of Incorporation was filed on April 6, 1984, with the Secretary of State of the State of Delaware. This Restated Certificate of Incorporation has been duly adopted in accordance with Section 245 of the General Corporation Law of the State of Delaware. This Restated Certificate of Incorporation only restates and integrates and does not further amend the provisions of Micron Technology, Inc.’s Certificate of Incorporation as heretofore amended or supplemented and there is no discrepancy between those provisions and the provisions of this Restated Certificate of Incorporation.</w:t>
      </w:r>
    </w:p>
    <w:p>
      <w:pPr>
        <w:spacing w:after="0" w:line="387" w:lineRule="exact"/>
        <w:rPr>
          <w:sz w:val="20"/>
          <w:szCs w:val="20"/>
          <w:color w:val="auto"/>
        </w:rPr>
      </w:pPr>
    </w:p>
    <w:p>
      <w:pPr>
        <w:ind w:left="600" w:hanging="304"/>
        <w:spacing w:after="0"/>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corporation is MICRON TECHNOLOGY, INC.</w:t>
      </w:r>
    </w:p>
    <w:p>
      <w:pPr>
        <w:spacing w:after="0" w:line="236" w:lineRule="exact"/>
        <w:rPr>
          <w:rFonts w:ascii="Times New Roman" w:cs="Times New Roman" w:eastAsia="Times New Roman" w:hAnsi="Times New Roman"/>
          <w:sz w:val="16"/>
          <w:szCs w:val="16"/>
          <w:color w:val="auto"/>
        </w:rPr>
      </w:pPr>
    </w:p>
    <w:p>
      <w:pPr>
        <w:ind w:left="600" w:right="100" w:hanging="304"/>
        <w:spacing w:after="0" w:line="29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its registered office in the State of Delaware is 2711 Centerville Road, Suite 400, in the City of Wilmington, County of New Castle. The name of its registered agent at such address is Corporation Service Company.</w:t>
      </w:r>
    </w:p>
    <w:p>
      <w:pPr>
        <w:spacing w:after="0" w:line="161" w:lineRule="exact"/>
        <w:rPr>
          <w:rFonts w:ascii="Times New Roman" w:cs="Times New Roman" w:eastAsia="Times New Roman" w:hAnsi="Times New Roman"/>
          <w:sz w:val="16"/>
          <w:szCs w:val="16"/>
          <w:color w:val="auto"/>
        </w:rPr>
      </w:pPr>
    </w:p>
    <w:p>
      <w:pPr>
        <w:ind w:left="600" w:right="80" w:hanging="304"/>
        <w:spacing w:after="0" w:line="29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the business or purposes to be conducted or promoted is to engage in any lawful act or activity for which corporations may be organized under the General Corporation Law of the State of Delaware.</w:t>
      </w:r>
    </w:p>
    <w:p>
      <w:pPr>
        <w:spacing w:after="0" w:line="161" w:lineRule="exact"/>
        <w:rPr>
          <w:rFonts w:ascii="Times New Roman" w:cs="Times New Roman" w:eastAsia="Times New Roman" w:hAnsi="Times New Roman"/>
          <w:sz w:val="16"/>
          <w:szCs w:val="16"/>
          <w:color w:val="auto"/>
        </w:rPr>
      </w:pPr>
    </w:p>
    <w:p>
      <w:pPr>
        <w:ind w:left="600" w:right="40" w:hanging="304"/>
        <w:spacing w:after="0" w:line="29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of stock which the corporation shall have authority to issue is three billion (3,000,000,000) and the par value of each of such shares is Ten Cents ($0.10) amounting in the aggregate to Three Hundred Million Dollars ($300,000,000.00).</w:t>
      </w:r>
    </w:p>
    <w:p>
      <w:pPr>
        <w:spacing w:after="0" w:line="161" w:lineRule="exact"/>
        <w:rPr>
          <w:sz w:val="20"/>
          <w:szCs w:val="20"/>
          <w:color w:val="auto"/>
        </w:rPr>
      </w:pPr>
    </w:p>
    <w:p>
      <w:pPr>
        <w:ind w:right="40" w:firstLine="593"/>
        <w:spacing w:after="0" w:line="271" w:lineRule="auto"/>
        <w:rPr>
          <w:sz w:val="20"/>
          <w:szCs w:val="20"/>
          <w:color w:val="auto"/>
        </w:rPr>
      </w:pPr>
      <w:r>
        <w:rPr>
          <w:rFonts w:ascii="Times New Roman" w:cs="Times New Roman" w:eastAsia="Times New Roman" w:hAnsi="Times New Roman"/>
          <w:sz w:val="16"/>
          <w:szCs w:val="16"/>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83" w:lineRule="exact"/>
        <w:rPr>
          <w:sz w:val="20"/>
          <w:szCs w:val="20"/>
          <w:color w:val="auto"/>
        </w:rPr>
      </w:pPr>
    </w:p>
    <w:p>
      <w:pPr>
        <w:ind w:left="600" w:hanging="304"/>
        <w:spacing w:after="0"/>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is to have perpetual existence.</w:t>
      </w:r>
    </w:p>
    <w:p>
      <w:pPr>
        <w:spacing w:after="0" w:line="236" w:lineRule="exact"/>
        <w:rPr>
          <w:rFonts w:ascii="Times New Roman" w:cs="Times New Roman" w:eastAsia="Times New Roman" w:hAnsi="Times New Roman"/>
          <w:sz w:val="16"/>
          <w:szCs w:val="16"/>
          <w:color w:val="auto"/>
        </w:rPr>
      </w:pPr>
    </w:p>
    <w:p>
      <w:pPr>
        <w:ind w:left="600" w:right="260" w:hanging="304"/>
        <w:spacing w:after="0" w:line="298" w:lineRule="auto"/>
        <w:tabs>
          <w:tab w:leader="none" w:pos="61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and not in limitation of the powers conferred by statute, the board of directors is expressly authorized to make, alter or repeal the bylaws of the corporation.</w:t>
      </w:r>
    </w:p>
    <w:p>
      <w:pPr>
        <w:spacing w:after="0" w:line="161" w:lineRule="exact"/>
        <w:rPr>
          <w:rFonts w:ascii="Times New Roman" w:cs="Times New Roman" w:eastAsia="Times New Roman" w:hAnsi="Times New Roman"/>
          <w:sz w:val="16"/>
          <w:szCs w:val="16"/>
          <w:color w:val="auto"/>
        </w:rPr>
      </w:pPr>
    </w:p>
    <w:p>
      <w:pPr>
        <w:ind w:left="600" w:hanging="304"/>
        <w:spacing w:after="0"/>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Elections of directors need not be by written ballot unless the bylaws of the corporation shall so provide.</w:t>
      </w:r>
    </w:p>
    <w:p>
      <w:pPr>
        <w:spacing w:after="0" w:line="236" w:lineRule="exact"/>
        <w:rPr>
          <w:sz w:val="20"/>
          <w:szCs w:val="20"/>
          <w:color w:val="auto"/>
        </w:rPr>
      </w:pPr>
    </w:p>
    <w:p>
      <w:pPr>
        <w:ind w:right="60" w:firstLine="593"/>
        <w:spacing w:after="0" w:line="278" w:lineRule="auto"/>
        <w:rPr>
          <w:sz w:val="20"/>
          <w:szCs w:val="20"/>
          <w:color w:val="auto"/>
        </w:rPr>
      </w:pPr>
      <w:r>
        <w:rPr>
          <w:rFonts w:ascii="Times New Roman" w:cs="Times New Roman" w:eastAsia="Times New Roman" w:hAnsi="Times New Roman"/>
          <w:sz w:val="16"/>
          <w:szCs w:val="16"/>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399" w:lineRule="exact"/>
        <w:rPr>
          <w:sz w:val="20"/>
          <w:szCs w:val="20"/>
          <w:color w:val="auto"/>
        </w:rPr>
      </w:pPr>
    </w:p>
    <w:p>
      <w:pPr>
        <w:ind w:left="600" w:right="220" w:hanging="304"/>
        <w:spacing w:after="0" w:line="298"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ectPr>
          <w:pgSz w:w="11900" w:h="16838" w:orient="portrait"/>
          <w:cols w:equalWidth="0" w:num="1">
            <w:col w:w="11240"/>
          </w:cols>
          <w:pgMar w:left="320" w:top="1306" w:right="339" w:bottom="1440" w:gutter="0" w:footer="0" w:header="0"/>
        </w:sectPr>
      </w:pPr>
    </w:p>
    <w:bookmarkStart w:id="65" w:name="page66"/>
    <w:bookmarkEnd w:id="65"/>
    <w:p>
      <w:pPr>
        <w:ind w:left="600" w:hanging="304"/>
        <w:spacing w:after="0" w:line="268" w:lineRule="auto"/>
        <w:tabs>
          <w:tab w:leader="none" w:pos="61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84" w:lineRule="exact"/>
        <w:rPr>
          <w:rFonts w:ascii="Times New Roman" w:cs="Times New Roman" w:eastAsia="Times New Roman" w:hAnsi="Times New Roman"/>
          <w:sz w:val="16"/>
          <w:szCs w:val="16"/>
          <w:color w:val="auto"/>
        </w:rPr>
      </w:pPr>
    </w:p>
    <w:p>
      <w:pPr>
        <w:ind w:left="600" w:right="40" w:hanging="304"/>
        <w:spacing w:after="0" w:line="262" w:lineRule="auto"/>
        <w:tabs>
          <w:tab w:leader="none" w:pos="59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392"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Micron Technology, Inc. has caused this Restated Certificate of Incorporation to be signed by its authorized officer this 18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of April, 2001.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By:</w:t>
            </w: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 Roderic W. Lewis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3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Name:</w:t>
            </w:r>
          </w:p>
        </w:tc>
        <w:tc>
          <w:tcPr>
            <w:tcW w:w="442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3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Roderic W. Lewis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Title:</w:t>
            </w:r>
          </w:p>
        </w:tc>
        <w:tc>
          <w:tcPr>
            <w:tcW w:w="4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V.P. of Legal Affairs, General Counsel &amp; Corporate Secretary</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3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OF THE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RESTATED CERTIFICATE OF INCORPORATION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MICRON TECHNOLOGY, INC.</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undersigned, Joel L. Poppen, hereby certifies that:</w:t>
      </w:r>
    </w:p>
    <w:p>
      <w:pPr>
        <w:spacing w:after="0" w:line="219" w:lineRule="exact"/>
        <w:rPr>
          <w:sz w:val="20"/>
          <w:szCs w:val="20"/>
          <w:color w:val="auto"/>
        </w:rPr>
      </w:pPr>
    </w:p>
    <w:p>
      <w:pPr>
        <w:ind w:left="880" w:right="740" w:hanging="288"/>
        <w:spacing w:after="0" w:line="298"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the duly elected and acting Vice President, Legal Affairs, General Counsel and Corporate Secretary of Micron Technology, Inc., a Delaware corporation.</w:t>
      </w:r>
    </w:p>
    <w:p>
      <w:pPr>
        <w:spacing w:after="0" w:line="161"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Restated Certificate of Incorporation of this corporation was originally filed with the Secretary of State of Delaware on April 18, 2001.</w:t>
      </w:r>
    </w:p>
    <w:p>
      <w:pPr>
        <w:spacing w:after="0" w:line="236" w:lineRule="exact"/>
        <w:rPr>
          <w:rFonts w:ascii="Times New Roman" w:cs="Times New Roman" w:eastAsia="Times New Roman" w:hAnsi="Times New Roman"/>
          <w:sz w:val="16"/>
          <w:szCs w:val="16"/>
          <w:color w:val="auto"/>
        </w:rPr>
      </w:pPr>
    </w:p>
    <w:p>
      <w:pPr>
        <w:ind w:left="880" w:right="20" w:hanging="288"/>
        <w:spacing w:after="0" w:line="298"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Section 242 of the General Corporation Law of the State of Delaware, this Certificate of Amendment of the Restated Certificate of Incorporation amends Section 4 of this corporation’s Restated Certificate of Incorporation to read in its entirety as follows:</w:t>
      </w:r>
    </w:p>
    <w:p>
      <w:pPr>
        <w:spacing w:after="0" w:line="161"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6"/>
          <w:szCs w:val="16"/>
          <w:color w:val="auto"/>
        </w:rPr>
        <w:t>“The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he would be entitled to cast for the election of directors with respect to his shares of stock.”</w:t>
      </w:r>
    </w:p>
    <w:p>
      <w:pPr>
        <w:spacing w:after="0" w:line="183" w:lineRule="exact"/>
        <w:rPr>
          <w:sz w:val="20"/>
          <w:szCs w:val="20"/>
          <w:color w:val="auto"/>
        </w:rPr>
      </w:pPr>
    </w:p>
    <w:p>
      <w:pPr>
        <w:ind w:left="880" w:right="140" w:hanging="288"/>
        <w:spacing w:after="0" w:line="298"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The foregoing Certificate of Amendment of the Restated Certificate of Incorporation has been duly adopted by this corporation’s Board of Directors and Stockholders in accordance with the applicable provisions of Sections 242 of the General Corporation Law of the State of Delaware.</w:t>
      </w:r>
    </w:p>
    <w:p>
      <w:pPr>
        <w:spacing w:after="0" w:line="161" w:lineRule="exact"/>
        <w:rPr>
          <w:sz w:val="20"/>
          <w:szCs w:val="20"/>
          <w:color w:val="auto"/>
        </w:rPr>
      </w:pPr>
    </w:p>
    <w:p>
      <w:pPr>
        <w:ind w:right="340" w:firstLine="593"/>
        <w:spacing w:after="0" w:line="280" w:lineRule="auto"/>
        <w:rPr>
          <w:sz w:val="20"/>
          <w:szCs w:val="20"/>
          <w:color w:val="auto"/>
        </w:rPr>
      </w:pPr>
      <w:r>
        <w:rPr>
          <w:rFonts w:ascii="Times New Roman" w:cs="Times New Roman" w:eastAsia="Times New Roman" w:hAnsi="Times New Roman"/>
          <w:sz w:val="16"/>
          <w:szCs w:val="16"/>
          <w:color w:val="auto"/>
        </w:rPr>
        <w:t>IN WITNESS WHEREOF, said corporation has caused this Certificate of Amendment to the Restated Certificate of Incorporation to be executed by its Vice President, Legal Affairs, General Counsel and Corporate Secretary this 22nd day of January, 2015.</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Joel L. Poppen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7187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571875" cy="762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Joel L. Poppen, Vice President, Legal Affairs,</w:t>
      </w:r>
    </w:p>
    <w:p>
      <w:pPr>
        <w:ind w:left="5640"/>
        <w:spacing w:after="0"/>
        <w:rPr>
          <w:sz w:val="20"/>
          <w:szCs w:val="20"/>
          <w:color w:val="auto"/>
        </w:rPr>
      </w:pPr>
      <w:r>
        <w:rPr>
          <w:rFonts w:ascii="Times New Roman" w:cs="Times New Roman" w:eastAsia="Times New Roman" w:hAnsi="Times New Roman"/>
          <w:sz w:val="16"/>
          <w:szCs w:val="16"/>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489839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4898390" cy="2349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OF THE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RESTATED CERTIFICATE OF INCORPORATION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MICRON TECHNOLOGY,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Michael Ray, hereby certifies that:</w:t>
      </w:r>
    </w:p>
    <w:p>
      <w:pPr>
        <w:spacing w:after="0" w:line="212" w:lineRule="exact"/>
        <w:rPr>
          <w:sz w:val="20"/>
          <w:szCs w:val="20"/>
          <w:color w:val="auto"/>
        </w:rPr>
      </w:pPr>
    </w:p>
    <w:p>
      <w:pPr>
        <w:ind w:left="600" w:hanging="304"/>
        <w:spacing w:after="0"/>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the duly elected and acting Senior Vice President, Chief Legal Officer and Corporate Secretary of Micron Technology, Inc., a Delaware corporation.</w:t>
      </w:r>
    </w:p>
    <w:p>
      <w:pPr>
        <w:spacing w:after="0" w:line="236" w:lineRule="exact"/>
        <w:rPr>
          <w:rFonts w:ascii="Times New Roman" w:cs="Times New Roman" w:eastAsia="Times New Roman" w:hAnsi="Times New Roman"/>
          <w:sz w:val="16"/>
          <w:szCs w:val="16"/>
          <w:color w:val="auto"/>
        </w:rPr>
      </w:pPr>
    </w:p>
    <w:p>
      <w:pPr>
        <w:ind w:left="600" w:hanging="304"/>
        <w:spacing w:after="0" w:line="298"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Certificate of Incorporation of this corporation was filed on April 6, 1984, and the Restated Certificate of Incorporation of this corporation was originally filed with the Secretary of State of Delaware on April 18, 2001.</w:t>
      </w:r>
    </w:p>
    <w:p>
      <w:pPr>
        <w:spacing w:after="0" w:line="161" w:lineRule="exact"/>
        <w:rPr>
          <w:rFonts w:ascii="Times New Roman" w:cs="Times New Roman" w:eastAsia="Times New Roman" w:hAnsi="Times New Roman"/>
          <w:sz w:val="16"/>
          <w:szCs w:val="16"/>
          <w:color w:val="auto"/>
        </w:rPr>
      </w:pPr>
    </w:p>
    <w:p>
      <w:pPr>
        <w:ind w:left="600" w:hanging="304"/>
        <w:spacing w:after="0" w:line="298"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Section 242 of the General Corporation Law of the State of Delaware, this Certificate of Amendment of the Restated Certificate of Incorporation amends Section 9 of this corporation’s Restated Certificate of Incorporation to read in its entirety as follows:</w:t>
      </w:r>
    </w:p>
    <w:p>
      <w:pPr>
        <w:spacing w:after="0" w:line="161" w:lineRule="exact"/>
        <w:rPr>
          <w:rFonts w:ascii="Times New Roman" w:cs="Times New Roman" w:eastAsia="Times New Roman" w:hAnsi="Times New Roman"/>
          <w:sz w:val="16"/>
          <w:szCs w:val="16"/>
          <w:color w:val="auto"/>
        </w:rPr>
      </w:pPr>
    </w:p>
    <w:p>
      <w:pPr>
        <w:jc w:val="both"/>
        <w:ind w:left="6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9. Pursuant to, and to the full extent permitted by Section 102(b) and any other relevant provisions of the General Corporation Law of the State of Delaware, as the same exists or as may hereafter be amended from time to time, no director or officer shall be liable to the corporation or its stockholders for monetary damages for breach of fiduciary duty as a director or officer. Without limiting the effect of the preceding sentence, if the General Corporation Law of the State of Delaware is hereafter amended to authorize corporate action further eliminating or limiting the personal liability of directors or officers, then the liability of a director or officer of this corporation shall be eliminated or limited to the fullest extent permitted by the General Corporation Law of the State of Delaware, as so amended. Any amendment, repeal or elimination of the foregoing provisions of this Section 9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192" w:lineRule="exact"/>
        <w:rPr>
          <w:rFonts w:ascii="Times New Roman" w:cs="Times New Roman" w:eastAsia="Times New Roman" w:hAnsi="Times New Roman"/>
          <w:sz w:val="16"/>
          <w:szCs w:val="16"/>
          <w:color w:val="auto"/>
        </w:rPr>
      </w:pPr>
    </w:p>
    <w:p>
      <w:pPr>
        <w:ind w:left="600" w:hanging="304"/>
        <w:spacing w:after="0" w:line="298"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Certificate of Amendment of the Restated Certificate of Incorporation has been duly adopted by this corporation’s Board of Directors and Stockholders in accordance with the applicable provisions of Section 242 of the General Corporation Law of the State of Delaware.</w:t>
      </w:r>
    </w:p>
    <w:p>
      <w:pPr>
        <w:spacing w:after="0" w:line="13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 WITNESS WHEREOF, said corporation has caused this Certificate of Amendment to the Restated Certificate of Incorporation to be executed by its Senior Vice President, Chief Legal Officer and Corporate Secretary this 21st day of January, 2026.</w:t>
      </w:r>
    </w:p>
    <w:p>
      <w:pPr>
        <w:spacing w:after="0" w:line="200" w:lineRule="exact"/>
        <w:rPr>
          <w:sz w:val="20"/>
          <w:szCs w:val="20"/>
          <w:color w:val="auto"/>
        </w:rPr>
      </w:pPr>
    </w:p>
    <w:p>
      <w:pPr>
        <w:spacing w:after="0" w:line="3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-3810</wp:posOffset>
            </wp:positionV>
            <wp:extent cx="118554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Michael Ray</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8255</wp:posOffset>
            </wp:positionV>
            <wp:extent cx="489839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898390" cy="2349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8" w:name="page69"/>
    <w:bookmarkEnd w:id="68"/>
    <w:p>
      <w:pPr>
        <w:spacing w:after="0" w:line="6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1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Data Center DRAM Mix Performance Unit Agreement (2025 EIP) – FY2026</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NOTICE OF PERFORMANCE UNIT GRANT</w:t>
      </w:r>
    </w:p>
    <w:p>
      <w:pPr>
        <w:spacing w:after="0" w:line="207" w:lineRule="exact"/>
        <w:rPr>
          <w:sz w:val="20"/>
          <w:szCs w:val="20"/>
          <w:color w:val="auto"/>
        </w:rPr>
      </w:pPr>
    </w:p>
    <w:p>
      <w:pPr>
        <w:jc w:val="both"/>
        <w:ind w:right="60" w:firstLine="593"/>
        <w:spacing w:after="0" w:line="255" w:lineRule="auto"/>
        <w:rPr>
          <w:sz w:val="20"/>
          <w:szCs w:val="20"/>
          <w:color w:val="auto"/>
        </w:rPr>
      </w:pPr>
      <w:r>
        <w:rPr>
          <w:rFonts w:ascii="Times New Roman" w:cs="Times New Roman" w:eastAsia="Times New Roman" w:hAnsi="Times New Roman"/>
          <w:sz w:val="20"/>
          <w:szCs w:val="20"/>
          <w:color w:val="auto"/>
        </w:rPr>
        <w:t>Unless otherwise defined herein, the terms defined in the Micron Technology, Inc. 2025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will have the same defined meanings in this Performance Unit Agreement which includes the Notice of Performance Unit Grant (the “</w:t>
      </w:r>
      <w:r>
        <w:rPr>
          <w:rFonts w:ascii="Times New Roman" w:cs="Times New Roman" w:eastAsia="Times New Roman" w:hAnsi="Times New Roman"/>
          <w:sz w:val="20"/>
          <w:szCs w:val="20"/>
          <w:u w:val="single" w:color="auto"/>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the Terms and Conditions of Performance Unit Grant,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Additional Terms of Data Center DRAM Mix Performance Units,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and all other exhibits, appendices, and addenda attached hereto (collectively,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00"/>
        <w:spacing w:after="0"/>
        <w:tabs>
          <w:tab w:leader="none" w:pos="2200" w:val="left"/>
        </w:tabs>
        <w:rPr>
          <w:sz w:val="20"/>
          <w:szCs w:val="20"/>
          <w:color w:val="auto"/>
        </w:rPr>
      </w:pPr>
      <w:r>
        <w:rPr>
          <w:rFonts w:ascii="Times New Roman" w:cs="Times New Roman" w:eastAsia="Times New Roman" w:hAnsi="Times New Roman"/>
          <w:sz w:val="20"/>
          <w:szCs w:val="20"/>
          <w:color w:val="auto"/>
        </w:rPr>
        <w:t>Participant Name:</w:t>
      </w:r>
      <w:r>
        <w:rPr>
          <w:sz w:val="20"/>
          <w:szCs w:val="20"/>
          <w:color w:val="auto"/>
        </w:rPr>
        <w:tab/>
      </w:r>
      <w:r>
        <w:rPr>
          <w:rFonts w:ascii="Times New Roman" w:cs="Times New Roman" w:eastAsia="Times New Roman" w:hAnsi="Times New Roman"/>
          <w:sz w:val="19"/>
          <w:szCs w:val="19"/>
          <w:color w:val="auto"/>
        </w:rPr>
        <w:t>###PARTICIPANT_NAME###</w:t>
      </w:r>
    </w:p>
    <w:p>
      <w:pPr>
        <w:spacing w:after="0" w:line="203" w:lineRule="exact"/>
        <w:rPr>
          <w:sz w:val="20"/>
          <w:szCs w:val="20"/>
          <w:color w:val="auto"/>
        </w:rPr>
      </w:pPr>
    </w:p>
    <w:p>
      <w:pPr>
        <w:jc w:val="both"/>
        <w:ind w:right="60" w:firstLine="593"/>
        <w:spacing w:after="0" w:line="266" w:lineRule="auto"/>
        <w:rPr>
          <w:sz w:val="20"/>
          <w:szCs w:val="20"/>
          <w:color w:val="auto"/>
        </w:rPr>
      </w:pPr>
      <w:r>
        <w:rPr>
          <w:rFonts w:ascii="Times New Roman" w:cs="Times New Roman" w:eastAsia="Times New Roman" w:hAnsi="Times New Roman"/>
          <w:sz w:val="20"/>
          <w:szCs w:val="20"/>
          <w:color w:val="auto"/>
        </w:rPr>
        <w:t>The undersigned Participant has been granted the right to receive an Award of performance-based Restricted Stock Units (the “</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Center DRAM Mix Performance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subject to the terms and conditions of the Plan and this Award Agreement, as follows:</w:t>
      </w:r>
    </w:p>
    <w:p>
      <w:pPr>
        <w:sectPr>
          <w:pgSz w:w="11900" w:h="16838" w:orient="portrait"/>
          <w:cols w:equalWidth="0" w:num="1">
            <w:col w:w="11300"/>
          </w:cols>
          <w:pgMar w:left="320" w:top="1440" w:right="27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Number: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spacing w:after="0" w:line="19" w:lineRule="exact"/>
        <w:rPr>
          <w:sz w:val="20"/>
          <w:szCs w:val="20"/>
          <w:color w:val="auto"/>
        </w:rPr>
      </w:pPr>
    </w:p>
    <w:p>
      <w:pPr>
        <w:ind w:left="660" w:right="340"/>
        <w:spacing w:after="0" w:line="237" w:lineRule="auto"/>
        <w:rPr>
          <w:sz w:val="20"/>
          <w:szCs w:val="20"/>
          <w:color w:val="auto"/>
        </w:rPr>
      </w:pPr>
      <w:r>
        <w:rPr>
          <w:rFonts w:ascii="Times New Roman" w:cs="Times New Roman" w:eastAsia="Times New Roman" w:hAnsi="Times New Roman"/>
          <w:sz w:val="20"/>
          <w:szCs w:val="20"/>
          <w:color w:val="auto"/>
        </w:rPr>
        <w:t>Target Number of Shares Subject to Data Center DRAM Mix Performance Units:</w:t>
      </w:r>
    </w:p>
    <w:p>
      <w:pPr>
        <w:spacing w:after="0" w:line="2"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20"/>
          <w:szCs w:val="20"/>
          <w:color w:val="auto"/>
        </w:rPr>
        <w:t>Maximum Number of Shares Subject to Data Center DRAM Mix Performance Units: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640"/>
        <w:spacing w:after="0" w:line="328" w:lineRule="auto"/>
        <w:rPr>
          <w:sz w:val="20"/>
          <w:szCs w:val="20"/>
          <w:color w:val="auto"/>
        </w:rPr>
      </w:pPr>
      <w:r>
        <w:rPr>
          <w:rFonts w:ascii="Times New Roman" w:cs="Times New Roman" w:eastAsia="Times New Roman" w:hAnsi="Times New Roman"/>
          <w:sz w:val="19"/>
          <w:szCs w:val="19"/>
          <w:color w:val="auto"/>
        </w:rPr>
        <w:t>###EMPLOYEE_GRANT_NUMBER### ###GRANT_DATE###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-48260</wp:posOffset>
            </wp:positionV>
            <wp:extent cx="32531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253105" cy="76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-213360</wp:posOffset>
            </wp:positionV>
            <wp:extent cx="32531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253105" cy="762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###TOTAL_AWARDS###</w:t>
      </w:r>
    </w:p>
    <w:p>
      <w:pPr>
        <w:spacing w:after="0" w:line="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266% of Target Number of Shares Subject to Data Center DRA Mix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2540</wp:posOffset>
            </wp:positionV>
            <wp:extent cx="32531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53105" cy="76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-287655</wp:posOffset>
            </wp:positionV>
            <wp:extent cx="325310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253105" cy="762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840" w:space="440"/>
            <w:col w:w="5020"/>
          </w:cols>
          <w:pgMar w:left="320" w:top="1440" w:right="279" w:bottom="1440" w:gutter="0" w:footer="0" w:header="0"/>
          <w:type w:val="continuous"/>
        </w:sectPr>
      </w:pPr>
    </w:p>
    <w:p>
      <w:pPr>
        <w:spacing w:after="0" w:line="15" w:lineRule="exact"/>
        <w:rPr>
          <w:sz w:val="20"/>
          <w:szCs w:val="20"/>
          <w:color w:val="auto"/>
        </w:rPr>
      </w:pPr>
    </w:p>
    <w:p>
      <w:pPr>
        <w:jc w:val="both"/>
        <w:ind w:right="60" w:firstLine="593"/>
        <w:spacing w:after="0" w:line="259" w:lineRule="auto"/>
        <w:rPr>
          <w:sz w:val="20"/>
          <w:szCs w:val="20"/>
          <w:color w:val="auto"/>
        </w:rPr>
      </w:pPr>
      <w:r>
        <w:rPr>
          <w:rFonts w:ascii="Times New Roman" w:cs="Times New Roman" w:eastAsia="Times New Roman" w:hAnsi="Times New Roman"/>
          <w:sz w:val="20"/>
          <w:szCs w:val="20"/>
          <w:color w:val="auto"/>
        </w:rPr>
        <w:t xml:space="preserve">Subject to any acceleration provisions contained in the Plan or set forth below, the Data Center DRAM Mix Performance Units will be scheduled to vest in accordance with, and be subject to, the Additional Terms of Data Center DRAM Mix Performance Units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ectPr>
          <w:pgSz w:w="11900" w:h="16838" w:orient="portrait"/>
          <w:cols w:equalWidth="0" w:num="1">
            <w:col w:w="11300"/>
          </w:cols>
          <w:pgMar w:left="320" w:top="1440" w:right="279" w:bottom="1440" w:gutter="0" w:footer="0" w:header="0"/>
          <w:type w:val="continuous"/>
        </w:sectPr>
      </w:pPr>
    </w:p>
    <w:bookmarkStart w:id="69" w:name="page70"/>
    <w:bookmarkEnd w:id="69"/>
    <w:p>
      <w:pPr>
        <w:spacing w:after="0" w:line="270" w:lineRule="exact"/>
        <w:rPr>
          <w:sz w:val="20"/>
          <w:szCs w:val="20"/>
          <w:color w:val="auto"/>
        </w:rPr>
      </w:pPr>
    </w:p>
    <w:p>
      <w:pPr>
        <w:jc w:val="both"/>
        <w:ind w:firstLine="593"/>
        <w:spacing w:after="0" w:line="255" w:lineRule="auto"/>
        <w:rPr>
          <w:sz w:val="20"/>
          <w:szCs w:val="20"/>
          <w:color w:val="auto"/>
        </w:rPr>
      </w:pPr>
      <w:r>
        <w:rPr>
          <w:rFonts w:ascii="Times New Roman" w:cs="Times New Roman" w:eastAsia="Times New Roman" w:hAnsi="Times New Roman"/>
          <w:sz w:val="20"/>
          <w:szCs w:val="20"/>
          <w:color w:val="auto"/>
        </w:rPr>
        <w:t>If Participant’s status as a Service Provider ends for any reason before Participant vests in all or some of the Data Center DRAM Mix Performance Units, the unvested Data Center DRAM Mix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163" w:lineRule="exact"/>
        <w:rPr>
          <w:sz w:val="20"/>
          <w:szCs w:val="20"/>
          <w:color w:val="auto"/>
        </w:rPr>
      </w:pPr>
    </w:p>
    <w:p>
      <w:pPr>
        <w:jc w:val="both"/>
        <w:ind w:firstLine="593"/>
        <w:spacing w:after="0" w:line="251" w:lineRule="auto"/>
        <w:rPr>
          <w:sz w:val="20"/>
          <w:szCs w:val="20"/>
          <w:color w:val="auto"/>
        </w:rPr>
      </w:pPr>
      <w:r>
        <w:rPr>
          <w:rFonts w:ascii="Times New Roman" w:cs="Times New Roman" w:eastAsia="Times New Roman" w:hAnsi="Times New Roman"/>
          <w:sz w:val="20"/>
          <w:szCs w:val="20"/>
          <w:color w:val="auto"/>
        </w:rPr>
        <w:t>By Participant electronically accepting this Award Agreement or manually signing this Award Agreement (in either case, as and in the manner specified by the Company), Participant and the Company agree that (1) this Data Center DRAM Mix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___________________________ </w:t>
      </w:r>
      <w:r>
        <w:rPr>
          <w:rFonts w:ascii="Times New Roman" w:cs="Times New Roman" w:eastAsia="Times New Roman" w:hAnsi="Times New Roman"/>
          <w:sz w:val="18"/>
          <w:szCs w:val="18"/>
          <w:u w:val="single" w:color="auto"/>
          <w:color w:val="auto"/>
        </w:rPr>
        <w:t>/s April Arnzen___________________________</w:t>
      </w:r>
    </w:p>
    <w:p>
      <w:pPr>
        <w:spacing w:after="0" w:line="29"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color w:val="auto"/>
        </w:rPr>
        <w:t>###PARTICIPANT_NAME###</w:t>
      </w:r>
      <w:r>
        <w:rPr>
          <w:sz w:val="20"/>
          <w:szCs w:val="20"/>
          <w:color w:val="auto"/>
        </w:rPr>
        <w:tab/>
      </w:r>
      <w:r>
        <w:rPr>
          <w:rFonts w:ascii="Times New Roman" w:cs="Times New Roman" w:eastAsia="Times New Roman" w:hAnsi="Times New Roman"/>
          <w:sz w:val="18"/>
          <w:szCs w:val="18"/>
          <w:color w:val="auto"/>
        </w:rPr>
        <w:t>April Arnzen</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EVP and Chief People Officer</w:t>
      </w:r>
    </w:p>
    <w:p>
      <w:pPr>
        <w:spacing w:after="0" w:line="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Date: ###GRANT_DATE###</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 OF PERFORMANCE UNIT GRANT</w:t>
      </w:r>
    </w:p>
    <w:p>
      <w:pPr>
        <w:spacing w:after="0" w:line="182" w:lineRule="exact"/>
        <w:rPr>
          <w:sz w:val="20"/>
          <w:szCs w:val="20"/>
          <w:color w:val="auto"/>
        </w:rPr>
      </w:pPr>
    </w:p>
    <w:p>
      <w:pPr>
        <w:jc w:val="both"/>
        <w:ind w:firstLine="592"/>
        <w:spacing w:after="0" w:line="219" w:lineRule="auto"/>
        <w:tabs>
          <w:tab w:leader="none" w:pos="11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Data Center DRAM Mix Performance Units</w:t>
      </w:r>
      <w:r>
        <w:rPr>
          <w:rFonts w:ascii="Times New Roman" w:cs="Times New Roman" w:eastAsia="Times New Roman" w:hAnsi="Times New Roman"/>
          <w:sz w:val="20"/>
          <w:szCs w:val="20"/>
          <w:color w:val="auto"/>
        </w:rPr>
        <w:t>. The Company hereby grants to the individual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named in the Notice of Performance Unit Grant of this Award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an Award of performance-based Restricted Stock Units (and referred to herein as Data Center DRAM Mix Performance Units) under the Plan, subject to the terms and conditions of this Award Agreement and the Plan, which is incorporated herein by reference. Subject to Section 20.3 of the Plan, in the event of a conflict between the terms and conditions of the Plan and this Award Agreement, the terms and conditions of the Plan shall prevail.</w:t>
      </w:r>
    </w:p>
    <w:p>
      <w:pPr>
        <w:spacing w:after="0" w:line="137"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Pay</w:t>
      </w:r>
      <w:r>
        <w:rPr>
          <w:rFonts w:ascii="Times New Roman" w:cs="Times New Roman" w:eastAsia="Times New Roman" w:hAnsi="Times New Roman"/>
          <w:sz w:val="20"/>
          <w:szCs w:val="20"/>
          <w:color w:val="auto"/>
        </w:rPr>
        <w:t>. Each Data Center DRAM Mix Performance Unit represents the right to receive a Share on the date it vests. Unless and until the Data Center DRAM Mix Performance Units have vested in the manner set forth in Section 3 or 4, Participant will have no right to payment of any such Data Center DRAM Mix Performance Units. Prior to actual payment of any vested Data Center DRAM Mix Performance Units, such Data Center DRAM Mix Performance Unit will represent an unsecured obligation of the Company, payable (if at all) only from the general assets of the Company.</w:t>
      </w:r>
    </w:p>
    <w:p>
      <w:pPr>
        <w:spacing w:after="0" w:line="137" w:lineRule="exact"/>
        <w:rPr>
          <w:rFonts w:ascii="Times New Roman" w:cs="Times New Roman" w:eastAsia="Times New Roman" w:hAnsi="Times New Roman"/>
          <w:sz w:val="20"/>
          <w:szCs w:val="20"/>
          <w:color w:val="auto"/>
        </w:rPr>
      </w:pPr>
    </w:p>
    <w:p>
      <w:pPr>
        <w:jc w:val="both"/>
        <w:ind w:firstLine="592"/>
        <w:spacing w:after="0" w:line="227" w:lineRule="auto"/>
        <w:tabs>
          <w:tab w:leader="none" w:pos="11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and subject to Section 5, the Data Center DRAM Mix Performance Units awarded by this Award Agreement will vest in accordance with the vesting provisions set forth in the Notice of Grant, subject to Participant remaining a Service Provider through each applicable vesting date.</w:t>
      </w:r>
    </w:p>
    <w:p>
      <w:pPr>
        <w:spacing w:after="0" w:line="138" w:lineRule="exact"/>
        <w:rPr>
          <w:rFonts w:ascii="Times New Roman" w:cs="Times New Roman" w:eastAsia="Times New Roman" w:hAnsi="Times New Roman"/>
          <w:sz w:val="20"/>
          <w:szCs w:val="20"/>
          <w:color w:val="auto"/>
        </w:rPr>
      </w:pPr>
    </w:p>
    <w:p>
      <w:pPr>
        <w:ind w:left="1180" w:hanging="588"/>
        <w:spacing w:after="0"/>
        <w:tabs>
          <w:tab w:leader="none" w:pos="11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186"/>
        <w:spacing w:after="0" w:line="216" w:lineRule="auto"/>
        <w:tabs>
          <w:tab w:leader="none" w:pos="177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Subject to Section 8, any Data Center DRAM Mix Performance Units that vest will be paid to Participant (or in the event of Participant’s death, to his or her properly designated beneficiary or estate) in Shares. Subject to this Section 4 and Section 9, such vested Data Center DRAM Mix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In no event will Participant be permitted, directly or indirectly, to specify the taxable year of payment of any Data Center DRAM Mix Performance Units payable under this Award Agreement.</w:t>
      </w:r>
    </w:p>
    <w:p>
      <w:pPr>
        <w:spacing w:after="0" w:line="142"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779"/>
        <w:spacing w:after="0" w:line="227" w:lineRule="auto"/>
        <w:tabs>
          <w:tab w:leader="none" w:pos="2362"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Participant ceases to be a Service Provider on account of Participant’s death or Participant becoming Disabled, any Data Center DRAM Mix Performance Units that both were unexpired and unvested as of the date Participant ceases to be a Service Provider, will vest on such date.</w:t>
      </w:r>
    </w:p>
    <w:p>
      <w:pPr>
        <w:spacing w:after="0" w:line="138" w:lineRule="exact"/>
        <w:rPr>
          <w:rFonts w:ascii="Times New Roman" w:cs="Times New Roman" w:eastAsia="Times New Roman" w:hAnsi="Times New Roman"/>
          <w:sz w:val="20"/>
          <w:szCs w:val="20"/>
          <w:color w:val="auto"/>
        </w:rPr>
      </w:pPr>
    </w:p>
    <w:p>
      <w:pPr>
        <w:jc w:val="both"/>
        <w:ind w:firstLine="1779"/>
        <w:spacing w:after="0" w:line="219" w:lineRule="auto"/>
        <w:tabs>
          <w:tab w:leader="none" w:pos="2368"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before Participant ceases to be a Service Provider, any Data Center DRAM Mix Performance Units will be treated in accordance with the terms of the Plan.</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45" w:lineRule="exact"/>
        <w:rPr>
          <w:sz w:val="20"/>
          <w:szCs w:val="20"/>
          <w:color w:val="auto"/>
        </w:rPr>
      </w:pPr>
    </w:p>
    <w:p>
      <w:pPr>
        <w:jc w:val="both"/>
        <w:ind w:left="-592" w:firstLine="1779"/>
        <w:spacing w:after="0" w:line="216" w:lineRule="auto"/>
        <w:tabs>
          <w:tab w:leader="none" w:pos="1781"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Acceleration</w:t>
      </w:r>
      <w:r>
        <w:rPr>
          <w:rFonts w:ascii="Times New Roman" w:cs="Times New Roman" w:eastAsia="Times New Roman" w:hAnsi="Times New Roman"/>
          <w:sz w:val="20"/>
          <w:szCs w:val="20"/>
          <w:color w:val="auto"/>
        </w:rPr>
        <w:t>. The Administrator, in its discretion, may accelerate the vesting of the balance, or some lesser portion of the balance, of the unvested Data Center DRAM Mix Performance Units at any time, subject to the terms of the Plan. If so accelerated, such Data Center DRAM Mix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prior sentence may be superseded in a future agreement or amendment to this Award Agreement only by direct and specific reference to such sentence.</w:t>
      </w:r>
    </w:p>
    <w:p>
      <w:pPr>
        <w:spacing w:after="0" w:line="142" w:lineRule="exact"/>
        <w:rPr>
          <w:rFonts w:ascii="Times New Roman" w:cs="Times New Roman" w:eastAsia="Times New Roman" w:hAnsi="Times New Roman"/>
          <w:sz w:val="20"/>
          <w:szCs w:val="20"/>
          <w:color w:val="auto"/>
        </w:rPr>
      </w:pPr>
    </w:p>
    <w:p>
      <w:pPr>
        <w:jc w:val="both"/>
        <w:ind w:left="-592" w:firstLine="1779"/>
        <w:spacing w:after="0" w:line="212" w:lineRule="auto"/>
        <w:tabs>
          <w:tab w:leader="none" w:pos="177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this Award Agreement or any other agreement (whether entered into before, on, or after the Date of Grant), if the vesting of the balance, or some lesser portion of the balance, of the Data Center DRAM Mix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Data Center DRAM Mix Performance Units will result in the imposition of additional tax under Section 409A if paid to Participant on or within the six (6) month period following the cessation of Participant’s status as a Service Provider, then the payment of such accelerated Data Center DRAM Mix Performance Units will not be made until the date six (6) months and one (1) day following the date of cessation of Participant’s status as a Service Provider, unless Participant dies following his or her termination as a Service Provider, in which case, the Data Center DRAM Mix Performance Units will be paid in Shares to Participant’s estate as soon as practicable following his or her death.</w:t>
      </w:r>
    </w:p>
    <w:p>
      <w:pPr>
        <w:spacing w:after="0" w:line="139" w:lineRule="exact"/>
        <w:rPr>
          <w:rFonts w:ascii="Times New Roman" w:cs="Times New Roman" w:eastAsia="Times New Roman" w:hAnsi="Times New Roman"/>
          <w:sz w:val="20"/>
          <w:szCs w:val="20"/>
          <w:color w:val="auto"/>
        </w:rPr>
      </w:pPr>
    </w:p>
    <w:p>
      <w:pPr>
        <w:jc w:val="both"/>
        <w:ind w:left="-592" w:firstLine="1186"/>
        <w:spacing w:after="0" w:line="215" w:lineRule="auto"/>
        <w:tabs>
          <w:tab w:leader="none" w:pos="11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Award Agreement that it and all payments and benefits to U.S. taxpayers hereunder be exempt from, or comply with, the requirements of Section 409A so that none of the Data Center DRAM Mix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40"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as a Service Provider</w:t>
      </w:r>
      <w:r>
        <w:rPr>
          <w:rFonts w:ascii="Times New Roman" w:cs="Times New Roman" w:eastAsia="Times New Roman" w:hAnsi="Times New Roman"/>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Data Center DRAM Mix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142" w:lineRule="exact"/>
        <w:rPr>
          <w:rFonts w:ascii="Times New Roman" w:cs="Times New Roman" w:eastAsia="Times New Roman" w:hAnsi="Times New Roman"/>
          <w:sz w:val="20"/>
          <w:szCs w:val="20"/>
          <w:color w:val="auto"/>
        </w:rPr>
      </w:pPr>
    </w:p>
    <w:p>
      <w:pPr>
        <w:jc w:val="both"/>
        <w:ind w:left="-592" w:firstLine="592"/>
        <w:spacing w:after="0" w:line="219" w:lineRule="auto"/>
        <w:tabs>
          <w:tab w:leader="none" w:pos="59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ectPr>
          <w:pgSz w:w="11900" w:h="16838" w:orient="portrait"/>
          <w:cols w:equalWidth="0" w:num="1">
            <w:col w:w="10648"/>
          </w:cols>
          <w:pgMar w:left="912" w:top="1440" w:right="339" w:bottom="1440" w:gutter="0" w:footer="0" w:header="0"/>
        </w:sectPr>
      </w:pPr>
    </w:p>
    <w:bookmarkStart w:id="72" w:name="page73"/>
    <w:bookmarkEnd w:id="72"/>
    <w:p>
      <w:pPr>
        <w:spacing w:after="0" w:line="245" w:lineRule="exact"/>
        <w:rPr>
          <w:sz w:val="20"/>
          <w:szCs w:val="20"/>
          <w:color w:val="auto"/>
        </w:rPr>
      </w:pPr>
    </w:p>
    <w:p>
      <w:pPr>
        <w:jc w:val="both"/>
        <w:ind w:left="-592" w:firstLine="592"/>
        <w:spacing w:after="0" w:line="219" w:lineRule="auto"/>
        <w:tabs>
          <w:tab w:leader="none" w:pos="59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If Participant is deceased, any distribution or delivery under this Award Agreement will be made under such procedures as the Administrator may specify from time to time, or in the absence of such specified procedures, by delivery in the name of the decedent and pursuant to the following additional requirements. Participant’s estate must contact the Company’s stock plan service provider and work directly with the Company’s stock plan service provider to set up an estate account to receive access to the distributed or delivered assets. The estate’s administrator or executor must provide:</w:t>
      </w:r>
    </w:p>
    <w:p>
      <w:pPr>
        <w:spacing w:after="0" w:line="162" w:lineRule="exact"/>
        <w:rPr>
          <w:rFonts w:ascii="Times New Roman" w:cs="Times New Roman" w:eastAsia="Times New Roman" w:hAnsi="Times New Roman"/>
          <w:sz w:val="20"/>
          <w:szCs w:val="20"/>
          <w:color w:val="auto"/>
        </w:rPr>
      </w:pPr>
    </w:p>
    <w:p>
      <w:pPr>
        <w:ind w:left="588" w:hanging="588"/>
        <w:spacing w:after="0"/>
        <w:tabs>
          <w:tab w:leader="none" w:pos="5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confirmation of their authority as the authorized representative, and</w:t>
      </w:r>
    </w:p>
    <w:p>
      <w:pPr>
        <w:spacing w:after="0" w:line="202" w:lineRule="exact"/>
        <w:rPr>
          <w:rFonts w:ascii="Times New Roman" w:cs="Times New Roman" w:eastAsia="Times New Roman" w:hAnsi="Times New Roman"/>
          <w:sz w:val="20"/>
          <w:szCs w:val="20"/>
          <w:color w:val="auto"/>
        </w:rPr>
      </w:pPr>
    </w:p>
    <w:p>
      <w:pPr>
        <w:ind w:left="8" w:hanging="8"/>
        <w:spacing w:after="0" w:line="274" w:lineRule="auto"/>
        <w:tabs>
          <w:tab w:leader="none" w:pos="60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documentation acceptable to the service provider verifying the validity of the transfer and compliance with all applicable laws and regulations.</w:t>
      </w:r>
    </w:p>
    <w:p>
      <w:pPr>
        <w:spacing w:after="0" w:line="130" w:lineRule="exact"/>
        <w:rPr>
          <w:rFonts w:ascii="Times New Roman" w:cs="Times New Roman" w:eastAsia="Times New Roman" w:hAnsi="Times New Roman"/>
          <w:sz w:val="20"/>
          <w:szCs w:val="20"/>
          <w:color w:val="auto"/>
        </w:rPr>
      </w:pPr>
    </w:p>
    <w:p>
      <w:pPr>
        <w:ind w:left="588" w:hanging="588"/>
        <w:spacing w:after="0"/>
        <w:tabs>
          <w:tab w:leader="none" w:pos="5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Obligations</w:t>
      </w:r>
    </w:p>
    <w:p>
      <w:pPr>
        <w:spacing w:after="0" w:line="165" w:lineRule="exact"/>
        <w:rPr>
          <w:rFonts w:ascii="Times New Roman" w:cs="Times New Roman" w:eastAsia="Times New Roman" w:hAnsi="Times New Roman"/>
          <w:sz w:val="20"/>
          <w:szCs w:val="20"/>
          <w:color w:val="auto"/>
        </w:rPr>
      </w:pPr>
    </w:p>
    <w:p>
      <w:pPr>
        <w:jc w:val="both"/>
        <w:ind w:left="-592" w:firstLine="1186"/>
        <w:spacing w:after="0" w:line="220" w:lineRule="auto"/>
        <w:tabs>
          <w:tab w:leader="none" w:pos="1185"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Participant acknowledges that, regardless of any action taken by the Company or, if different, Participant’s employer (the “</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or any Parent or Subsidiary to which Participant is providing services (together, the “</w:t>
      </w:r>
      <w:r>
        <w:rPr>
          <w:rFonts w:ascii="Times New Roman" w:cs="Times New Roman" w:eastAsia="Times New Roman" w:hAnsi="Times New Roman"/>
          <w:sz w:val="19"/>
          <w:szCs w:val="19"/>
          <w:u w:val="single" w:color="auto"/>
          <w:color w:val="auto"/>
        </w:rPr>
        <w:t>Service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Recipients</w:t>
      </w:r>
      <w:r>
        <w:rPr>
          <w:rFonts w:ascii="Times New Roman" w:cs="Times New Roman" w:eastAsia="Times New Roman" w:hAnsi="Times New Roman"/>
          <w:sz w:val="19"/>
          <w:szCs w:val="19"/>
          <w:color w:val="auto"/>
        </w:rPr>
        <w:t>”), the ultimate liability for any tax and/or social insurance liability obligations and requirements in connection with the Data Center DRAM Mix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Data Center DRAM Mix Performance Units or sale of Shares, and (iii) any other Service Recipient taxes the responsibility for which Participant has, or has agreed to bear, with respect to the Data Center DRAM Mix Performance Units (or settlement thereof or issuance of Shares thereunder) (collectively, the “</w:t>
      </w:r>
      <w:r>
        <w:rPr>
          <w:rFonts w:ascii="Times New Roman" w:cs="Times New Roman" w:eastAsia="Times New Roman" w:hAnsi="Times New Roman"/>
          <w:sz w:val="19"/>
          <w:szCs w:val="19"/>
          <w:u w:val="single" w:color="auto"/>
          <w:color w:val="auto"/>
        </w:rPr>
        <w:t>Tax Obligations</w:t>
      </w:r>
      <w:r>
        <w:rPr>
          <w:rFonts w:ascii="Times New Roman" w:cs="Times New Roman" w:eastAsia="Times New Roman" w:hAnsi="Times New Roman"/>
          <w:sz w:val="19"/>
          <w:szCs w:val="19"/>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Data Center DRAM Mix Performance Units, including, but not limited to, the grant, vesting or settlement of the Data Center DRAM Mix Performance Units, the subsequent sale of Shares acquired pursuant to such settlement and the receipt of any dividends or other distributions, and (B) makes any commitment to and is under any obligation to structure the terms of the grant or any aspect of the Data Center DRAM Mix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ectPr>
          <w:pgSz w:w="11900" w:h="16838" w:orient="portrait"/>
          <w:cols w:equalWidth="0" w:num="1">
            <w:col w:w="10648"/>
          </w:cols>
          <w:pgMar w:left="912" w:top="1440" w:right="339" w:bottom="1440" w:gutter="0" w:footer="0" w:header="0"/>
        </w:sectPr>
      </w:pPr>
    </w:p>
    <w:bookmarkStart w:id="73" w:name="page74"/>
    <w:bookmarkEnd w:id="73"/>
    <w:p>
      <w:pPr>
        <w:spacing w:after="0" w:line="245" w:lineRule="exact"/>
        <w:rPr>
          <w:sz w:val="20"/>
          <w:szCs w:val="20"/>
          <w:color w:val="auto"/>
        </w:rPr>
      </w:pPr>
    </w:p>
    <w:p>
      <w:pPr>
        <w:jc w:val="both"/>
        <w:ind w:left="-1120" w:firstLine="1186"/>
        <w:spacing w:after="0" w:line="215" w:lineRule="auto"/>
        <w:tabs>
          <w:tab w:leader="none" w:pos="65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and Default Method of Tax Withholding</w:t>
      </w:r>
      <w:r>
        <w:rPr>
          <w:rFonts w:ascii="Times New Roman" w:cs="Times New Roman" w:eastAsia="Times New Roman" w:hAnsi="Times New Roman"/>
          <w:sz w:val="20"/>
          <w:szCs w:val="20"/>
          <w:color w:val="auto"/>
        </w:rPr>
        <w:t>. When Shares are issued as payment for vested Data Center DRAM Mix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Withholding Obligation</w:t>
      </w:r>
      <w:r>
        <w:rPr>
          <w:rFonts w:ascii="Times New Roman" w:cs="Times New Roman" w:eastAsia="Times New Roman" w:hAnsi="Times New Roman"/>
          <w:sz w:val="20"/>
          <w:szCs w:val="20"/>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40" w:lineRule="exact"/>
        <w:rPr>
          <w:rFonts w:ascii="Times New Roman" w:cs="Times New Roman" w:eastAsia="Times New Roman" w:hAnsi="Times New Roman"/>
          <w:sz w:val="20"/>
          <w:szCs w:val="20"/>
          <w:color w:val="auto"/>
        </w:rPr>
      </w:pPr>
    </w:p>
    <w:p>
      <w:pPr>
        <w:jc w:val="both"/>
        <w:ind w:left="-1120" w:firstLine="1186"/>
        <w:spacing w:after="0" w:line="211" w:lineRule="auto"/>
        <w:tabs>
          <w:tab w:leader="none" w:pos="65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40" w:lineRule="exact"/>
        <w:rPr>
          <w:rFonts w:ascii="Times New Roman" w:cs="Times New Roman" w:eastAsia="Times New Roman" w:hAnsi="Times New Roman"/>
          <w:sz w:val="20"/>
          <w:szCs w:val="20"/>
          <w:color w:val="auto"/>
        </w:rPr>
      </w:pPr>
    </w:p>
    <w:p>
      <w:pPr>
        <w:jc w:val="both"/>
        <w:ind w:left="-1120" w:firstLine="1186"/>
        <w:spacing w:after="0" w:line="215" w:lineRule="auto"/>
        <w:tabs>
          <w:tab w:leader="none" w:pos="65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Deliver Shares</w:t>
      </w:r>
      <w:r>
        <w:rPr>
          <w:rFonts w:ascii="Times New Roman" w:cs="Times New Roman" w:eastAsia="Times New Roman" w:hAnsi="Times New Roman"/>
          <w:sz w:val="20"/>
          <w:szCs w:val="20"/>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Data Center DRAM Mix Performance Units otherwise are scheduled to vest pursuant to Sections 3 or 4 or Participant’s Tax Withholding Obligations otherwise become due, Participant will permanently forfeit such Data Center DRAM Mix Performance Units to which Participant’s Tax Withholding Obligation relates and any right to receive Shares thereunder and such Data Center DRAM Mix Performance Units will be returned to the Company at no cost to the Company.</w:t>
      </w:r>
    </w:p>
    <w:p>
      <w:pPr>
        <w:sectPr>
          <w:pgSz w:w="11900" w:h="16838" w:orient="portrait"/>
          <w:cols w:equalWidth="0" w:num="1">
            <w:col w:w="10120"/>
          </w:cols>
          <w:pgMar w:left="1440" w:top="1440" w:right="339" w:bottom="1440" w:gutter="0" w:footer="0" w:header="0"/>
        </w:sectPr>
      </w:pPr>
    </w:p>
    <w:bookmarkStart w:id="74" w:name="page75"/>
    <w:bookmarkEnd w:id="74"/>
    <w:p>
      <w:pPr>
        <w:spacing w:after="0" w:line="245" w:lineRule="exact"/>
        <w:rPr>
          <w:sz w:val="20"/>
          <w:szCs w:val="20"/>
          <w:color w:val="auto"/>
        </w:rPr>
      </w:pPr>
    </w:p>
    <w:p>
      <w:pPr>
        <w:jc w:val="both"/>
        <w:ind w:left="-592" w:firstLine="592"/>
        <w:spacing w:after="0" w:line="230" w:lineRule="auto"/>
        <w:tabs>
          <w:tab w:leader="none" w:pos="58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Dividend Equivalents</w:t>
      </w:r>
      <w:r>
        <w:rPr>
          <w:rFonts w:ascii="Times New Roman" w:cs="Times New Roman" w:eastAsia="Times New Roman" w:hAnsi="Times New Roman"/>
          <w:sz w:val="19"/>
          <w:szCs w:val="19"/>
          <w:color w:val="auto"/>
        </w:rPr>
        <w:t>. If the Company declares and pays a cash dividend on Shares for which the record date occurs while Data Center DRAM Mix Performance Units subject to this Award Agreement remain outstanding, then certain cash amounts (referred to as “</w:t>
      </w:r>
      <w:r>
        <w:rPr>
          <w:rFonts w:ascii="Times New Roman" w:cs="Times New Roman" w:eastAsia="Times New Roman" w:hAnsi="Times New Roman"/>
          <w:sz w:val="19"/>
          <w:szCs w:val="19"/>
          <w:u w:val="single" w:color="auto"/>
          <w:color w:val="auto"/>
        </w:rPr>
        <w:t>DEUs</w:t>
      </w:r>
      <w:r>
        <w:rPr>
          <w:rFonts w:ascii="Times New Roman" w:cs="Times New Roman" w:eastAsia="Times New Roman" w:hAnsi="Times New Roman"/>
          <w:sz w:val="19"/>
          <w:szCs w:val="19"/>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65" w:lineRule="exact"/>
        <w:rPr>
          <w:sz w:val="20"/>
          <w:szCs w:val="20"/>
          <w:color w:val="auto"/>
        </w:rPr>
      </w:pPr>
    </w:p>
    <w:p>
      <w:pPr>
        <w:ind w:left="288" w:hanging="288"/>
        <w:spacing w:after="0"/>
        <w:tabs>
          <w:tab w:leader="none" w:pos="288"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“X” is the aggregate cash amount of the DEUs to be credited with respect to that cash dividend.</w:t>
      </w:r>
    </w:p>
    <w:p>
      <w:pPr>
        <w:spacing w:after="0" w:line="202" w:lineRule="exact"/>
        <w:rPr>
          <w:rFonts w:ascii="Times New Roman" w:cs="Times New Roman" w:eastAsia="Times New Roman" w:hAnsi="Times New Roman"/>
          <w:sz w:val="20"/>
          <w:szCs w:val="20"/>
          <w:b w:val="1"/>
          <w:bCs w:val="1"/>
          <w:color w:val="auto"/>
        </w:rPr>
      </w:pPr>
    </w:p>
    <w:p>
      <w:pPr>
        <w:ind w:left="288" w:hanging="288"/>
        <w:spacing w:after="0" w:line="274" w:lineRule="auto"/>
        <w:tabs>
          <w:tab w:leader="none" w:pos="283"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54" w:lineRule="exact"/>
        <w:rPr>
          <w:rFonts w:ascii="Times New Roman" w:cs="Times New Roman" w:eastAsia="Times New Roman" w:hAnsi="Times New Roman"/>
          <w:sz w:val="20"/>
          <w:szCs w:val="20"/>
          <w:b w:val="1"/>
          <w:bCs w:val="1"/>
          <w:color w:val="auto"/>
        </w:rPr>
      </w:pPr>
    </w:p>
    <w:p>
      <w:pPr>
        <w:ind w:left="288" w:hanging="288"/>
        <w:spacing w:after="0" w:line="274" w:lineRule="auto"/>
        <w:tabs>
          <w:tab w:leader="none" w:pos="283"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 is the number of Data Center DRAM Mix Performance Units remaining subject to this Award Agreement as of the cash dividend record date but immediately prior to the application of this Section 9 for that cash dividend.</w:t>
      </w:r>
    </w:p>
    <w:p>
      <w:pPr>
        <w:spacing w:after="0" w:line="117" w:lineRule="exact"/>
        <w:rPr>
          <w:rFonts w:ascii="Times New Roman" w:cs="Times New Roman" w:eastAsia="Times New Roman" w:hAnsi="Times New Roman"/>
          <w:sz w:val="20"/>
          <w:szCs w:val="20"/>
          <w:b w:val="1"/>
          <w:bCs w:val="1"/>
          <w:color w:val="auto"/>
        </w:rPr>
      </w:pPr>
    </w:p>
    <w:p>
      <w:pPr>
        <w:jc w:val="both"/>
        <w:ind w:left="-592" w:firstLine="1186"/>
        <w:spacing w:after="0" w:line="215" w:lineRule="auto"/>
        <w:tabs>
          <w:tab w:leader="none" w:pos="118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DEUs</w:t>
      </w:r>
      <w:r>
        <w:rPr>
          <w:rFonts w:ascii="Times New Roman" w:cs="Times New Roman" w:eastAsia="Times New Roman" w:hAnsi="Times New Roman"/>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40" w:lineRule="exact"/>
        <w:rPr>
          <w:rFonts w:ascii="Times New Roman" w:cs="Times New Roman" w:eastAsia="Times New Roman" w:hAnsi="Times New Roman"/>
          <w:sz w:val="20"/>
          <w:szCs w:val="20"/>
          <w:color w:val="auto"/>
        </w:rPr>
      </w:pPr>
    </w:p>
    <w:p>
      <w:pPr>
        <w:jc w:val="both"/>
        <w:ind w:left="-592" w:firstLine="1186"/>
        <w:spacing w:after="0" w:line="219" w:lineRule="auto"/>
        <w:tabs>
          <w:tab w:leader="none" w:pos="118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and General</w:t>
      </w:r>
      <w:r>
        <w:rPr>
          <w:rFonts w:ascii="Times New Roman" w:cs="Times New Roman" w:eastAsia="Times New Roman" w:hAnsi="Times New Roman"/>
          <w:sz w:val="20"/>
          <w:szCs w:val="20"/>
          <w:color w:val="auto"/>
        </w:rPr>
        <w:t>. DEUs credited under this Section 9 will be subject to the same terms and conditions as the other Shares underlying the Data Center DRAM Mix Performance Units on which the DEUs were paid including (but not limited to) being settled at the same time as the settlement of the Data Center DRAM Mix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37" w:lineRule="exact"/>
        <w:rPr>
          <w:rFonts w:ascii="Times New Roman" w:cs="Times New Roman" w:eastAsia="Times New Roman" w:hAnsi="Times New Roman"/>
          <w:sz w:val="20"/>
          <w:szCs w:val="20"/>
          <w:color w:val="auto"/>
        </w:rPr>
      </w:pPr>
    </w:p>
    <w:p>
      <w:pPr>
        <w:jc w:val="both"/>
        <w:ind w:left="-592" w:firstLine="1186"/>
        <w:spacing w:after="0" w:line="214" w:lineRule="auto"/>
        <w:tabs>
          <w:tab w:leader="none" w:pos="118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w:t>
      </w:r>
      <w:r>
        <w:rPr>
          <w:rFonts w:ascii="Times New Roman" w:cs="Times New Roman" w:eastAsia="Times New Roman" w:hAnsi="Times New Roman"/>
          <w:sz w:val="20"/>
          <w:szCs w:val="20"/>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Data Center DRAM Mix Performance Units, DEUs or cash will be credited with respect to any Data Center DRAM Mix Performance Units that previously vested and were settled.</w:t>
      </w:r>
    </w:p>
    <w:p>
      <w:pPr>
        <w:sectPr>
          <w:pgSz w:w="11900" w:h="16838" w:orient="portrait"/>
          <w:cols w:equalWidth="0" w:num="1">
            <w:col w:w="10648"/>
          </w:cols>
          <w:pgMar w:left="912" w:top="1440" w:right="339" w:bottom="1440" w:gutter="0" w:footer="0" w:header="0"/>
        </w:sectPr>
      </w:pPr>
    </w:p>
    <w:bookmarkStart w:id="75" w:name="page76"/>
    <w:bookmarkEnd w:id="75"/>
    <w:p>
      <w:pPr>
        <w:spacing w:after="0" w:line="245" w:lineRule="exact"/>
        <w:rPr>
          <w:sz w:val="20"/>
          <w:szCs w:val="20"/>
          <w:color w:val="auto"/>
        </w:rPr>
      </w:pPr>
    </w:p>
    <w:p>
      <w:pPr>
        <w:jc w:val="both"/>
        <w:ind w:left="-592" w:firstLine="592"/>
        <w:spacing w:after="0" w:line="216" w:lineRule="auto"/>
        <w:tabs>
          <w:tab w:leader="none" w:pos="5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2" w:lineRule="exact"/>
        <w:rPr>
          <w:rFonts w:ascii="Times New Roman" w:cs="Times New Roman" w:eastAsia="Times New Roman" w:hAnsi="Times New Roman"/>
          <w:sz w:val="20"/>
          <w:szCs w:val="20"/>
          <w:color w:val="auto"/>
        </w:rPr>
      </w:pPr>
    </w:p>
    <w:p>
      <w:pPr>
        <w:jc w:val="both"/>
        <w:ind w:left="-592" w:firstLine="592"/>
        <w:spacing w:after="0" w:line="211" w:lineRule="auto"/>
        <w:tabs>
          <w:tab w:leader="none" w:pos="5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THE Data Center DRAM Mix PERFORMANCE UNITS PURSUANT TO THE VESTING SCHEDULE HEREOF IS EARNED ONLY BY REMAINING A SERVICE PROVIDER, WHICH UNLESS PROVIDED OTHERWISE UNDER APPLICABLE LAW IS AT THE WILL OF THE APPLICABLE SERVICE RECIPIENT AND NOT THROUGH THE ACT OF BEING HIRED, BEING GRANTED THIS Data Center DRAM Mix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45" w:lineRule="exact"/>
        <w:rPr>
          <w:rFonts w:ascii="Times New Roman" w:cs="Times New Roman" w:eastAsia="Times New Roman" w:hAnsi="Times New Roman"/>
          <w:sz w:val="20"/>
          <w:szCs w:val="20"/>
          <w:color w:val="auto"/>
        </w:rPr>
      </w:pPr>
    </w:p>
    <w:p>
      <w:pPr>
        <w:jc w:val="both"/>
        <w:ind w:left="-592" w:firstLine="592"/>
        <w:spacing w:after="0" w:line="214" w:lineRule="auto"/>
        <w:tabs>
          <w:tab w:leader="none" w:pos="5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20"/>
          <w:szCs w:val="20"/>
          <w:u w:val="single" w:color="auto"/>
          <w:color w:val="auto"/>
        </w:rPr>
        <w:t>QDRO</w:t>
      </w:r>
      <w:r>
        <w:rPr>
          <w:rFonts w:ascii="Times New Roman" w:cs="Times New Roman" w:eastAsia="Times New Roman" w:hAnsi="Times New Roman"/>
          <w:sz w:val="20"/>
          <w:szCs w:val="20"/>
          <w:color w:val="auto"/>
        </w:rPr>
        <w:t>”) will be permitted so long as such transfer complies with the QDRO procedures then in effect, as specified by the Administrator or the Company.</w:t>
      </w:r>
    </w:p>
    <w:p>
      <w:pPr>
        <w:spacing w:after="0" w:line="139" w:lineRule="exact"/>
        <w:rPr>
          <w:rFonts w:ascii="Times New Roman" w:cs="Times New Roman" w:eastAsia="Times New Roman" w:hAnsi="Times New Roman"/>
          <w:sz w:val="20"/>
          <w:szCs w:val="20"/>
          <w:color w:val="auto"/>
        </w:rPr>
      </w:pPr>
    </w:p>
    <w:p>
      <w:pPr>
        <w:ind w:left="-592" w:firstLine="592"/>
        <w:spacing w:after="0" w:line="237" w:lineRule="auto"/>
        <w:tabs>
          <w:tab w:leader="none" w:pos="59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Award of Data Center DRAM Mix Performance Units, Participant acknowledges, understands and agrees that:</w:t>
      </w:r>
    </w:p>
    <w:p>
      <w:pPr>
        <w:spacing w:after="0" w:line="139" w:lineRule="exact"/>
        <w:rPr>
          <w:rFonts w:ascii="Times New Roman" w:cs="Times New Roman" w:eastAsia="Times New Roman" w:hAnsi="Times New Roman"/>
          <w:sz w:val="20"/>
          <w:szCs w:val="20"/>
          <w:color w:val="auto"/>
        </w:rPr>
      </w:pPr>
    </w:p>
    <w:p>
      <w:pPr>
        <w:jc w:val="both"/>
        <w:ind w:left="-592" w:firstLine="1186"/>
        <w:spacing w:after="0" w:line="227" w:lineRule="auto"/>
        <w:tabs>
          <w:tab w:leader="none" w:pos="118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Data Center DRAM Mix Performance Units is voluntary and occasional and does not create any contractual or other right to receive future grants of equity awards, or benefits in lieu of equity awards, even if equity awards have been granted in the past;</w:t>
      </w:r>
    </w:p>
    <w:p>
      <w:pPr>
        <w:spacing w:after="0" w:line="138" w:lineRule="exact"/>
        <w:rPr>
          <w:rFonts w:ascii="Times New Roman" w:cs="Times New Roman" w:eastAsia="Times New Roman" w:hAnsi="Times New Roman"/>
          <w:sz w:val="20"/>
          <w:szCs w:val="20"/>
          <w:color w:val="auto"/>
        </w:rPr>
      </w:pPr>
    </w:p>
    <w:p>
      <w:pPr>
        <w:ind w:left="1188" w:hanging="594"/>
        <w:spacing w:after="0"/>
        <w:tabs>
          <w:tab w:leader="none" w:pos="118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equity award grants, if any, will be at the sole discretion of the Administrator;</w:t>
      </w:r>
    </w:p>
    <w:p>
      <w:pPr>
        <w:spacing w:after="0" w:line="165" w:lineRule="exact"/>
        <w:rPr>
          <w:rFonts w:ascii="Times New Roman" w:cs="Times New Roman" w:eastAsia="Times New Roman" w:hAnsi="Times New Roman"/>
          <w:sz w:val="20"/>
          <w:szCs w:val="20"/>
          <w:color w:val="auto"/>
        </w:rPr>
      </w:pPr>
    </w:p>
    <w:p>
      <w:pPr>
        <w:ind w:left="1188" w:hanging="594"/>
        <w:spacing w:after="0"/>
        <w:tabs>
          <w:tab w:leader="none" w:pos="118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165" w:lineRule="exact"/>
        <w:rPr>
          <w:rFonts w:ascii="Times New Roman" w:cs="Times New Roman" w:eastAsia="Times New Roman" w:hAnsi="Times New Roman"/>
          <w:sz w:val="20"/>
          <w:szCs w:val="20"/>
          <w:color w:val="auto"/>
        </w:rPr>
      </w:pPr>
    </w:p>
    <w:p>
      <w:pPr>
        <w:ind w:left="-592" w:firstLine="1186"/>
        <w:spacing w:after="0" w:line="237" w:lineRule="auto"/>
        <w:tabs>
          <w:tab w:leader="none" w:pos="118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Center DRAM Mix Performance Units and the Shares subject to the Data Center DRAM Mix Performance Units, and the income from and value of same, are not intended to replace any pension rights or compensation;</w:t>
      </w:r>
    </w:p>
    <w:p>
      <w:pPr>
        <w:sectPr>
          <w:pgSz w:w="11900" w:h="16838" w:orient="portrait"/>
          <w:cols w:equalWidth="0" w:num="1">
            <w:col w:w="10648"/>
          </w:cols>
          <w:pgMar w:left="912" w:top="1440" w:right="339" w:bottom="1440" w:gutter="0" w:footer="0" w:header="0"/>
        </w:sectPr>
      </w:pPr>
    </w:p>
    <w:bookmarkStart w:id="76" w:name="page77"/>
    <w:bookmarkEnd w:id="76"/>
    <w:p>
      <w:pPr>
        <w:spacing w:after="0" w:line="245" w:lineRule="exact"/>
        <w:rPr>
          <w:sz w:val="20"/>
          <w:szCs w:val="20"/>
          <w:color w:val="auto"/>
        </w:rPr>
      </w:pPr>
    </w:p>
    <w:p>
      <w:pPr>
        <w:jc w:val="both"/>
        <w:ind w:left="-1120" w:firstLine="1186"/>
        <w:spacing w:after="0" w:line="222" w:lineRule="auto"/>
        <w:tabs>
          <w:tab w:leader="none" w:pos="65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Center DRAM Mix Performance Units and the Shares subject to the Data Center DRAM Mix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38" w:lineRule="exact"/>
        <w:rPr>
          <w:rFonts w:ascii="Times New Roman" w:cs="Times New Roman" w:eastAsia="Times New Roman" w:hAnsi="Times New Roman"/>
          <w:sz w:val="20"/>
          <w:szCs w:val="20"/>
          <w:color w:val="auto"/>
        </w:rPr>
      </w:pPr>
    </w:p>
    <w:p>
      <w:pPr>
        <w:jc w:val="both"/>
        <w:ind w:left="-1120" w:firstLine="1186"/>
        <w:spacing w:after="0" w:line="227"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38" w:lineRule="exact"/>
        <w:rPr>
          <w:rFonts w:ascii="Times New Roman" w:cs="Times New Roman" w:eastAsia="Times New Roman" w:hAnsi="Times New Roman"/>
          <w:sz w:val="20"/>
          <w:szCs w:val="20"/>
          <w:color w:val="auto"/>
        </w:rPr>
      </w:pPr>
    </w:p>
    <w:p>
      <w:pPr>
        <w:ind w:left="-1120" w:firstLine="1186"/>
        <w:spacing w:after="0" w:line="237" w:lineRule="auto"/>
        <w:tabs>
          <w:tab w:leader="none" w:pos="65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Data Center DRAM Mix Performance Units is unknown, indeterminable, and cannot be predicted;</w:t>
      </w:r>
    </w:p>
    <w:p>
      <w:pPr>
        <w:spacing w:after="0" w:line="139" w:lineRule="exact"/>
        <w:rPr>
          <w:rFonts w:ascii="Times New Roman" w:cs="Times New Roman" w:eastAsia="Times New Roman" w:hAnsi="Times New Roman"/>
          <w:sz w:val="20"/>
          <w:szCs w:val="20"/>
          <w:color w:val="auto"/>
        </w:rPr>
      </w:pPr>
    </w:p>
    <w:p>
      <w:pPr>
        <w:jc w:val="both"/>
        <w:ind w:left="-1120" w:firstLine="1186"/>
        <w:spacing w:after="0" w:line="211" w:lineRule="auto"/>
        <w:tabs>
          <w:tab w:leader="none" w:pos="65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Data Center DRAM Mix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Data Center DRAM Mix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Data Center DRAM Mix Performance Units grant (including whether Participant may still be considered to be providing services while on a leave of absence and consistent with local law);</w:t>
      </w:r>
    </w:p>
    <w:p>
      <w:pPr>
        <w:spacing w:after="0" w:line="145" w:lineRule="exact"/>
        <w:rPr>
          <w:rFonts w:ascii="Times New Roman" w:cs="Times New Roman" w:eastAsia="Times New Roman" w:hAnsi="Times New Roman"/>
          <w:sz w:val="20"/>
          <w:szCs w:val="20"/>
          <w:color w:val="auto"/>
        </w:rPr>
      </w:pPr>
    </w:p>
    <w:p>
      <w:pPr>
        <w:jc w:val="both"/>
        <w:ind w:left="-1120" w:firstLine="1186"/>
        <w:spacing w:after="0" w:line="222" w:lineRule="auto"/>
        <w:tabs>
          <w:tab w:leader="none" w:pos="64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Administrator in its discretion, the Data Center DRAM Mix Performance Units and the benefits evidenced by this Award Agreement do not create any entitlement to have the Data Center DRAM Mix Performance Units or any such benefits transferred to, or assumed by, another company nor be exchanged, cashed out or substituted for, in connection with any corporate transaction affecting the Shares; and</w:t>
      </w:r>
    </w:p>
    <w:p>
      <w:pPr>
        <w:spacing w:after="0" w:line="138" w:lineRule="exact"/>
        <w:rPr>
          <w:rFonts w:ascii="Times New Roman" w:cs="Times New Roman" w:eastAsia="Times New Roman" w:hAnsi="Times New Roman"/>
          <w:sz w:val="20"/>
          <w:szCs w:val="20"/>
          <w:color w:val="auto"/>
        </w:rPr>
      </w:pPr>
    </w:p>
    <w:p>
      <w:pPr>
        <w:ind w:left="640" w:hanging="574"/>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Participant is providing services outside the United States:</w:t>
      </w:r>
    </w:p>
    <w:p>
      <w:pPr>
        <w:spacing w:after="0" w:line="165" w:lineRule="exact"/>
        <w:rPr>
          <w:rFonts w:ascii="Times New Roman" w:cs="Times New Roman" w:eastAsia="Times New Roman" w:hAnsi="Times New Roman"/>
          <w:sz w:val="20"/>
          <w:szCs w:val="20"/>
          <w:color w:val="auto"/>
        </w:rPr>
      </w:pPr>
    </w:p>
    <w:p>
      <w:pPr>
        <w:ind w:left="-1120" w:firstLine="1779"/>
        <w:spacing w:after="0" w:line="237" w:lineRule="auto"/>
        <w:tabs>
          <w:tab w:leader="none" w:pos="124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Center DRAM Mix Performance Units and the Shares subject to the Data Center DRAM Mix Performance Units are not part of normal or expected compensation or salary for any purpose;</w:t>
      </w:r>
    </w:p>
    <w:p>
      <w:pPr>
        <w:spacing w:after="0" w:line="139" w:lineRule="exact"/>
        <w:rPr>
          <w:rFonts w:ascii="Times New Roman" w:cs="Times New Roman" w:eastAsia="Times New Roman" w:hAnsi="Times New Roman"/>
          <w:sz w:val="20"/>
          <w:szCs w:val="20"/>
          <w:color w:val="auto"/>
        </w:rPr>
      </w:pPr>
    </w:p>
    <w:p>
      <w:pPr>
        <w:jc w:val="both"/>
        <w:ind w:left="-1120" w:firstLine="1779"/>
        <w:spacing w:after="0" w:line="222" w:lineRule="auto"/>
        <w:tabs>
          <w:tab w:leader="none" w:pos="124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and agrees that no Service Recipient shall be liable for any foreign exchange rate fluctuation between Participant’s local currency and the United States Dollar that may affect the value of the Data Center DRAM Mix Performance Units or of any amounts due to Participant pursuant to the settlement of the Data Center DRAM Mix Performance Units or the subsequent sale of any Shares acquired upon settlement; and</w:t>
      </w:r>
    </w:p>
    <w:p>
      <w:pPr>
        <w:sectPr>
          <w:pgSz w:w="11900" w:h="16838" w:orient="portrait"/>
          <w:cols w:equalWidth="0" w:num="1">
            <w:col w:w="10120"/>
          </w:cols>
          <w:pgMar w:left="1440" w:top="1440" w:right="339" w:bottom="1440" w:gutter="0" w:footer="0" w:header="0"/>
        </w:sectPr>
      </w:pPr>
    </w:p>
    <w:bookmarkStart w:id="77" w:name="page78"/>
    <w:bookmarkEnd w:id="77"/>
    <w:p>
      <w:pPr>
        <w:spacing w:after="0" w:line="245" w:lineRule="exact"/>
        <w:rPr>
          <w:sz w:val="20"/>
          <w:szCs w:val="20"/>
          <w:color w:val="auto"/>
        </w:rPr>
      </w:pPr>
    </w:p>
    <w:p>
      <w:pPr>
        <w:jc w:val="both"/>
        <w:ind w:firstLine="1779"/>
        <w:spacing w:after="0" w:line="212" w:lineRule="auto"/>
        <w:tabs>
          <w:tab w:leader="none" w:pos="237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the forfeiture of the Data Center DRAM Mix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Data Center DRAM Mix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44"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Participant’s acquisition or sale of the Shares underlying the Data Center DRAM Mix Performance Units. Participant is hereby advised to consult with his or her own personal tax, legal, and financial advisors regarding his or her participation in the Plan before taking any action related to the Plan.</w:t>
      </w:r>
    </w:p>
    <w:p>
      <w:pPr>
        <w:spacing w:after="0" w:line="134" w:lineRule="exact"/>
        <w:rPr>
          <w:rFonts w:ascii="Times New Roman" w:cs="Times New Roman" w:eastAsia="Times New Roman" w:hAnsi="Times New Roman"/>
          <w:sz w:val="20"/>
          <w:szCs w:val="20"/>
          <w:color w:val="auto"/>
        </w:rPr>
      </w:pPr>
    </w:p>
    <w:p>
      <w:pPr>
        <w:jc w:val="both"/>
        <w:ind w:firstLine="592"/>
        <w:spacing w:after="0" w:line="223" w:lineRule="auto"/>
        <w:tabs>
          <w:tab w:leader="none" w:pos="11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Participant hereby explicitly and unambiguously consents to the collection, use and transfer, in electronic or other form, of Participant’s personal data as described in this Award Agreement and any other Data Center DRAM Mix Performance Unit grant materials by and among, as applicable, the Service Recipients for the exclusive purpose of implementing, administering and managing Participant’s participation in the Plan.</w:t>
      </w:r>
    </w:p>
    <w:p>
      <w:pPr>
        <w:spacing w:after="0" w:line="159" w:lineRule="exact"/>
        <w:rPr>
          <w:sz w:val="20"/>
          <w:szCs w:val="20"/>
          <w:color w:val="auto"/>
        </w:rPr>
      </w:pPr>
    </w:p>
    <w:p>
      <w:pPr>
        <w:jc w:val="both"/>
        <w:ind w:firstLine="59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Data Center DRAM Mix Performance Units or any other entitlement to Shares awarded, canceled, exercised, vested, unvested, or outstanding in Participant’s favor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for the exclusive purpose of implementing, administering, and managing the Plan.</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66" w:lineRule="exact"/>
        <w:rPr>
          <w:sz w:val="20"/>
          <w:szCs w:val="20"/>
          <w:color w:val="auto"/>
        </w:rPr>
      </w:pPr>
    </w:p>
    <w:p>
      <w:pPr>
        <w:jc w:val="both"/>
        <w:ind w:firstLine="593"/>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56" w:lineRule="exact"/>
        <w:rPr>
          <w:sz w:val="20"/>
          <w:szCs w:val="20"/>
          <w:color w:val="auto"/>
        </w:rPr>
      </w:pPr>
    </w:p>
    <w:p>
      <w:pPr>
        <w:jc w:val="both"/>
        <w:ind w:firstLine="592"/>
        <w:spacing w:after="0" w:line="227" w:lineRule="auto"/>
        <w:tabs>
          <w:tab w:leader="none" w:pos="11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38"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the Data Center DRAM Mix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37"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45" w:lineRule="exact"/>
        <w:rPr>
          <w:sz w:val="20"/>
          <w:szCs w:val="20"/>
          <w:color w:val="auto"/>
        </w:rPr>
      </w:pPr>
    </w:p>
    <w:p>
      <w:pPr>
        <w:jc w:val="both"/>
        <w:ind w:left="-592" w:firstLine="592"/>
        <w:spacing w:after="0" w:line="219"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37" w:lineRule="exact"/>
        <w:rPr>
          <w:rFonts w:ascii="Times New Roman" w:cs="Times New Roman" w:eastAsia="Times New Roman" w:hAnsi="Times New Roman"/>
          <w:sz w:val="20"/>
          <w:szCs w:val="20"/>
          <w:color w:val="auto"/>
        </w:rPr>
      </w:pPr>
    </w:p>
    <w:p>
      <w:pPr>
        <w:jc w:val="both"/>
        <w:ind w:left="-592" w:firstLine="592"/>
        <w:spacing w:after="0" w:line="211"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Data Center DRAM Mix Performance Units as the Administrator may establish from time to time for reasons of administrative convenience.</w:t>
      </w:r>
    </w:p>
    <w:p>
      <w:pPr>
        <w:spacing w:after="0" w:line="145"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Data Center DRAM Mix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42" w:lineRule="exact"/>
        <w:rPr>
          <w:rFonts w:ascii="Times New Roman" w:cs="Times New Roman" w:eastAsia="Times New Roman" w:hAnsi="Times New Roman"/>
          <w:sz w:val="20"/>
          <w:szCs w:val="20"/>
          <w:color w:val="auto"/>
        </w:rPr>
      </w:pPr>
    </w:p>
    <w:p>
      <w:pPr>
        <w:ind w:left="-592" w:firstLine="592"/>
        <w:spacing w:after="0" w:line="237"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Award Agreement.</w:t>
      </w:r>
    </w:p>
    <w:p>
      <w:pPr>
        <w:spacing w:after="0" w:line="139"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By accepting this Award, Participant expressly warrants that Participant has received an Award of Data Center DRAM Mix Performance Units under the Plan, and has received, read and understood a description of the Plan. Participant understands that the Plan is discretionary in nature and may be amended, suspended, or terminated by the Administrator at any time.</w:t>
      </w:r>
    </w:p>
    <w:p>
      <w:pPr>
        <w:sectPr>
          <w:pgSz w:w="11900" w:h="16838" w:orient="portrait"/>
          <w:cols w:equalWidth="0" w:num="1">
            <w:col w:w="10648"/>
          </w:cols>
          <w:pgMar w:left="912" w:top="1440" w:right="339" w:bottom="1440" w:gutter="0" w:footer="0" w:header="0"/>
        </w:sectPr>
      </w:pPr>
    </w:p>
    <w:bookmarkStart w:id="80" w:name="page81"/>
    <w:bookmarkEnd w:id="80"/>
    <w:p>
      <w:pPr>
        <w:spacing w:after="0" w:line="245" w:lineRule="exact"/>
        <w:rPr>
          <w:sz w:val="20"/>
          <w:szCs w:val="20"/>
          <w:color w:val="auto"/>
        </w:rPr>
      </w:pPr>
    </w:p>
    <w:p>
      <w:pPr>
        <w:jc w:val="both"/>
        <w:ind w:firstLine="592"/>
        <w:spacing w:after="0" w:line="212" w:lineRule="auto"/>
        <w:tabs>
          <w:tab w:leader="none" w:pos="118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Award Agreement</w:t>
      </w:r>
      <w:r>
        <w:rPr>
          <w:rFonts w:ascii="Times New Roman" w:cs="Times New Roman" w:eastAsia="Times New Roman" w:hAnsi="Times New Roman"/>
          <w:sz w:val="20"/>
          <w:szCs w:val="20"/>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Data Center DRAM Mix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39" w:lineRule="exact"/>
        <w:rPr>
          <w:rFonts w:ascii="Times New Roman" w:cs="Times New Roman" w:eastAsia="Times New Roman" w:hAnsi="Times New Roman"/>
          <w:sz w:val="20"/>
          <w:szCs w:val="20"/>
          <w:color w:val="auto"/>
        </w:rPr>
      </w:pPr>
    </w:p>
    <w:p>
      <w:pPr>
        <w:jc w:val="both"/>
        <w:ind w:firstLine="592"/>
        <w:spacing w:after="0" w:line="211" w:lineRule="auto"/>
        <w:tabs>
          <w:tab w:leader="none" w:pos="118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Under Policy or Law</w:t>
      </w:r>
      <w:r>
        <w:rPr>
          <w:rFonts w:ascii="Times New Roman" w:cs="Times New Roman" w:eastAsia="Times New Roman" w:hAnsi="Times New Roman"/>
          <w:sz w:val="20"/>
          <w:szCs w:val="20"/>
          <w:color w:val="auto"/>
        </w:rPr>
        <w:t>. Participant’s rights with respect to this Award Agreement and the Award of Data Center DRAM Mix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Data Center DRAM Mix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66" w:lineRule="exact"/>
        <w:rPr>
          <w:sz w:val="20"/>
          <w:szCs w:val="20"/>
          <w:color w:val="auto"/>
        </w:rPr>
      </w:pPr>
    </w:p>
    <w:p>
      <w:pPr>
        <w:jc w:val="both"/>
        <w:ind w:firstLine="593"/>
        <w:spacing w:after="0" w:line="253" w:lineRule="auto"/>
        <w:rPr>
          <w:sz w:val="20"/>
          <w:szCs w:val="20"/>
          <w:color w:val="auto"/>
        </w:rPr>
      </w:pPr>
      <w:r>
        <w:rPr>
          <w:rFonts w:ascii="Times New Roman" w:cs="Times New Roman" w:eastAsia="Times New Roman" w:hAnsi="Times New Roman"/>
          <w:sz w:val="20"/>
          <w:szCs w:val="20"/>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Data Center DRAM Mix Performance Units to re-convey, transfer or otherwise return the Shares and/or other amounts to the Company upon the Company’s enforcement of any Clawback Policy or recovery policy.</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45" w:lineRule="exact"/>
        <w:rPr>
          <w:sz w:val="20"/>
          <w:szCs w:val="20"/>
          <w:color w:val="auto"/>
        </w:rPr>
      </w:pPr>
    </w:p>
    <w:p>
      <w:pPr>
        <w:jc w:val="both"/>
        <w:ind w:left="-592" w:firstLine="592"/>
        <w:spacing w:after="0" w:line="215" w:lineRule="auto"/>
        <w:tabs>
          <w:tab w:leader="none" w:pos="5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Severability</w:t>
      </w:r>
      <w:r>
        <w:rPr>
          <w:rFonts w:ascii="Times New Roman" w:cs="Times New Roman" w:eastAsia="Times New Roman" w:hAnsi="Times New Roman"/>
          <w:sz w:val="20"/>
          <w:szCs w:val="20"/>
          <w:color w:val="auto"/>
        </w:rPr>
        <w:t>. This Award Agreement and the Data Center DRAM Mix Performance Units are governed by the internal substantive laws, but not the choice of law rules, of the State of Delaware. For purposes of litigating any dispute that arises under these Data Center DRAM Mix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40" w:lineRule="exact"/>
        <w:rPr>
          <w:rFonts w:ascii="Times New Roman" w:cs="Times New Roman" w:eastAsia="Times New Roman" w:hAnsi="Times New Roman"/>
          <w:sz w:val="20"/>
          <w:szCs w:val="20"/>
          <w:color w:val="auto"/>
        </w:rPr>
      </w:pPr>
    </w:p>
    <w:p>
      <w:pPr>
        <w:jc w:val="both"/>
        <w:ind w:left="-592" w:firstLine="592"/>
        <w:spacing w:after="0" w:line="227" w:lineRule="auto"/>
        <w:tabs>
          <w:tab w:leader="none" w:pos="5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5" w:lineRule="auto"/>
        <w:tabs>
          <w:tab w:leader="none" w:pos="5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Notwithstanding any provisions in this Award Agreement, the Data Center DRAM Mix Performance Unit grant shall be subject to any special terms and conditions set forth in an appendix (if any) to this Award Agreement for any country whose laws are applicable to Participant and this Data Center DRAM Mix Performance Unit Award (as determined by the Administrator in its sole discretion) (the “</w:t>
      </w: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65" w:lineRule="exact"/>
        <w:rPr>
          <w:rFonts w:ascii="Times New Roman" w:cs="Times New Roman" w:eastAsia="Times New Roman" w:hAnsi="Times New Roman"/>
          <w:sz w:val="20"/>
          <w:szCs w:val="20"/>
          <w:color w:val="auto"/>
        </w:rPr>
      </w:pPr>
    </w:p>
    <w:p>
      <w:pPr>
        <w:ind w:left="438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648"/>
          </w:cols>
          <w:pgMar w:left="912" w:top="144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color w:val="auto"/>
        </w:rPr>
        <w:t>HBM3E+ Performance Unit Agreement (2025 EIP) – FY2026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OF DATA CENTER DRAM MIX PERFORMANCE UNITS</w:t>
      </w:r>
    </w:p>
    <w:p>
      <w:pPr>
        <w:spacing w:after="0" w:line="2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The Data Center DRAM Mix Performance Units may be earned, in whole or in part, based on (i) Participant continuing to be a Service Provider, and (ii) the achievement of the performance goals, as set forth below.</w:t>
      </w:r>
    </w:p>
    <w:p>
      <w:pPr>
        <w:spacing w:after="0" w:line="1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Performance Period</w:t>
      </w:r>
      <w:r>
        <w:rPr>
          <w:rFonts w:ascii="Times New Roman" w:cs="Times New Roman" w:eastAsia="Times New Roman" w:hAnsi="Times New Roman"/>
          <w:sz w:val="20"/>
          <w:szCs w:val="20"/>
          <w:color w:val="auto"/>
        </w:rPr>
        <w:t>. For purposes of this Award of Data Center DRAM Mix Performance Units,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fiscal years of the Company (“</w:t>
      </w:r>
      <w:r>
        <w:rPr>
          <w:rFonts w:ascii="Times New Roman" w:cs="Times New Roman" w:eastAsia="Times New Roman" w:hAnsi="Times New Roman"/>
          <w:sz w:val="20"/>
          <w:szCs w:val="20"/>
          <w:u w:val="single" w:color="auto"/>
          <w:color w:val="auto"/>
        </w:rPr>
        <w:t>Fiscal Years</w:t>
      </w:r>
      <w:r>
        <w:rPr>
          <w:rFonts w:ascii="Times New Roman" w:cs="Times New Roman" w:eastAsia="Times New Roman" w:hAnsi="Times New Roman"/>
          <w:sz w:val="20"/>
          <w:szCs w:val="20"/>
          <w:color w:val="auto"/>
        </w:rPr>
        <w:t>”) beginning August 29, 2025, and ending on August 31, 2028.</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Performance Goals</w:t>
      </w:r>
      <w:r>
        <w:rPr>
          <w:rFonts w:ascii="Times New Roman" w:cs="Times New Roman" w:eastAsia="Times New Roman" w:hAnsi="Times New Roman"/>
          <w:sz w:val="20"/>
          <w:szCs w:val="20"/>
          <w:color w:val="auto"/>
        </w:rPr>
        <w:t>. The Data Center DRAM Mix Performance Units are eligible to be earned based on the extent of achievement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Center DRAM Mix Difference (as defined below) (such performance goal, the “</w:t>
      </w:r>
      <w:r>
        <w:rPr>
          <w:rFonts w:ascii="Times New Roman" w:cs="Times New Roman" w:eastAsia="Times New Roman" w:hAnsi="Times New Roman"/>
          <w:sz w:val="20"/>
          <w:szCs w:val="20"/>
          <w:u w:val="single" w:color="auto"/>
          <w:color w:val="auto"/>
        </w:rPr>
        <w:t>Data Center DRAM Mix Goal</w:t>
      </w:r>
      <w:r>
        <w:rPr>
          <w:rFonts w:ascii="Times New Roman" w:cs="Times New Roman" w:eastAsia="Times New Roman" w:hAnsi="Times New Roman"/>
          <w:sz w:val="20"/>
          <w:szCs w:val="20"/>
          <w:color w:val="auto"/>
        </w:rPr>
        <w:t>”), as described further below. The Target Number of Shares Subject to Data Center DRAM Mix Performance Units (as set forth in the Notice of Grant), as may be adjusted as specified herein, is referred to herein as “</w:t>
      </w:r>
      <w:r>
        <w:rPr>
          <w:rFonts w:ascii="Times New Roman" w:cs="Times New Roman" w:eastAsia="Times New Roman" w:hAnsi="Times New Roman"/>
          <w:sz w:val="20"/>
          <w:szCs w:val="20"/>
          <w:u w:val="single" w:color="auto"/>
          <w:color w:val="auto"/>
        </w:rPr>
        <w:t>Target Units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u w:val="single" w:color="auto"/>
          <w:color w:val="auto"/>
        </w:rPr>
        <w:t>Data Center DRAM Mix Goal</w:t>
      </w:r>
      <w:r>
        <w:rPr>
          <w:rFonts w:ascii="Times New Roman" w:cs="Times New Roman" w:eastAsia="Times New Roman" w:hAnsi="Times New Roman"/>
          <w:sz w:val="20"/>
          <w:szCs w:val="20"/>
          <w:color w:val="auto"/>
        </w:rPr>
        <w:t>. The actual number of Data Center DRAM Mix Performance Units that may be earned under this Award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determined by reference to the payout factor (the “</w:t>
      </w:r>
      <w:r>
        <w:rPr>
          <w:rFonts w:ascii="Times New Roman" w:cs="Times New Roman" w:eastAsia="Times New Roman" w:hAnsi="Times New Roman"/>
          <w:sz w:val="20"/>
          <w:szCs w:val="20"/>
          <w:u w:val="single" w:color="auto"/>
          <w:color w:val="auto"/>
        </w:rPr>
        <w:t>Data Center DRAM Mix Payout Factor</w:t>
      </w:r>
      <w:r>
        <w:rPr>
          <w:rFonts w:ascii="Times New Roman" w:cs="Times New Roman" w:eastAsia="Times New Roman" w:hAnsi="Times New Roman"/>
          <w:sz w:val="20"/>
          <w:szCs w:val="20"/>
          <w:color w:val="auto"/>
        </w:rPr>
        <w:t>”) and based on the performance achievement level of the Data Center DRAM Mix Goal, as set forth below, subject to adjustment as set forth below.</w:t>
      </w:r>
    </w:p>
    <w:p>
      <w:pPr>
        <w:spacing w:after="0" w:line="144" w:lineRule="exact"/>
        <w:rPr>
          <w:sz w:val="20"/>
          <w:szCs w:val="20"/>
          <w:color w:val="auto"/>
        </w:rPr>
      </w:pPr>
    </w:p>
    <w:p>
      <w:pPr>
        <w:ind w:left="600" w:hanging="304"/>
        <w:spacing w:after="0" w:line="274" w:lineRule="auto"/>
        <w:tabs>
          <w:tab w:leader="none" w:pos="59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Fiscal Year 2027, the actual number of Data Center DRAM Mix Performance Units earned, if any, under this Award will be determined by multiplying (i) the number of Target Units, by (ii) the applicable Data Center DRAM Mix Payout Factor.</w:t>
      </w:r>
    </w:p>
    <w:p>
      <w:pPr>
        <w:spacing w:after="0" w:line="130" w:lineRule="exact"/>
        <w:rPr>
          <w:rFonts w:ascii="Times New Roman" w:cs="Times New Roman" w:eastAsia="Times New Roman" w:hAnsi="Times New Roman"/>
          <w:sz w:val="20"/>
          <w:szCs w:val="20"/>
          <w:color w:val="auto"/>
        </w:rPr>
      </w:pPr>
    </w:p>
    <w:p>
      <w:pPr>
        <w:jc w:val="both"/>
        <w:ind w:left="600" w:hanging="304"/>
        <w:spacing w:after="0" w:line="246" w:lineRule="auto"/>
        <w:tabs>
          <w:tab w:leader="none" w:pos="59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Fiscal Year 2028, to the extent that the applicable Data Center DRAM Mix Payout Factor exceeds the Data Center DRAM Mix Payout Factor of Fiscal Year 2027, then the actual number of Data Center DRAM Mix Performance Units earned, if any, under this Award in Fiscal Year 2028 will be determined by multiplying (i) the number of Target Units, by (ii) the excess of the applicable Data Center DRAM Mix Payout Factor in Fiscal Year 2028 over the Data Center DRAM Mix Payout Factor of Fiscal Year 2027.</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Data Center DRAM Mix Payout Factor may range from 0.00x to a maximum of 2.00x, as shown in the following table. Therefore, more or less than 100% of the Target Units may be earned during the Performance Period based on the level of achievement measured against the Data Center DRAM Mix Goal. Additionally, the Data Center DRAM Mix Payout Factor determined pursuant to the below may be increased as a result of the Operational Additional Performance Conditions (as defined below).</w:t>
      </w:r>
    </w:p>
    <w:p>
      <w:pPr>
        <w:sectPr>
          <w:pgSz w:w="11900" w:h="16838" w:orient="portrait"/>
          <w:cols w:equalWidth="0" w:num="1">
            <w:col w:w="11240"/>
          </w:cols>
          <w:pgMar w:left="320" w:top="485" w:right="339" w:bottom="1440" w:gutter="0" w:footer="0" w:header="0"/>
        </w:sectPr>
      </w:pPr>
    </w:p>
    <w:bookmarkStart w:id="83" w:name="page84"/>
    <w:bookmarkEnd w:id="83"/>
    <w:p>
      <w:pPr>
        <w:spacing w:after="0" w:line="287" w:lineRule="exact"/>
        <w:rPr>
          <w:sz w:val="20"/>
          <w:szCs w:val="20"/>
          <w:color w:val="auto"/>
        </w:rPr>
      </w:pPr>
    </w:p>
    <w:tbl>
      <w:tblPr>
        <w:tblLayout w:type="fixed"/>
        <w:tblInd w:w="611" w:type="dxa"/>
        <w:tblCellMar>
          <w:top w:w="0" w:type="dxa"/>
          <w:left w:w="0" w:type="dxa"/>
          <w:bottom w:w="0" w:type="dxa"/>
          <w:right w:w="0" w:type="dxa"/>
        </w:tblCellMar>
      </w:tblPr>
      <w:tr>
        <w:trPr>
          <w:trHeight w:val="326"/>
        </w:trPr>
        <w:tc>
          <w:tcPr>
            <w:tcW w:w="104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1540" w:type="dxa"/>
            <w:vAlign w:val="bottom"/>
            <w:tcBorders>
              <w:top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right w:val="single" w:sz="8" w:color="D9D9D9"/>
            </w:tcBorders>
            <w:shd w:val="clear" w:color="auto" w:fill="D9D9D9"/>
          </w:tcPr>
          <w:p>
            <w:pPr>
              <w:spacing w:after="0"/>
              <w:rPr>
                <w:sz w:val="24"/>
                <w:szCs w:val="24"/>
                <w:color w:val="auto"/>
              </w:rPr>
            </w:pPr>
          </w:p>
        </w:tc>
        <w:tc>
          <w:tcPr>
            <w:tcW w:w="5300" w:type="dxa"/>
            <w:vAlign w:val="bottom"/>
            <w:tcBorders>
              <w:top w:val="single" w:sz="8" w:color="auto"/>
              <w:right w:val="single" w:sz="8" w:color="D9D9D9"/>
            </w:tcBorders>
            <w:gridSpan w:val="3"/>
            <w:shd w:val="clear" w:color="auto" w:fill="D9D9D9"/>
          </w:tcPr>
          <w:p>
            <w:pPr>
              <w:ind w:left="1180"/>
              <w:spacing w:after="0"/>
              <w:rPr>
                <w:sz w:val="20"/>
                <w:szCs w:val="20"/>
                <w:color w:val="auto"/>
              </w:rPr>
            </w:pPr>
            <w:r>
              <w:rPr>
                <w:rFonts w:ascii="Times New Roman" w:cs="Times New Roman" w:eastAsia="Times New Roman" w:hAnsi="Times New Roman"/>
                <w:sz w:val="18"/>
                <w:szCs w:val="18"/>
                <w:b w:val="1"/>
                <w:bCs w:val="1"/>
                <w:color w:val="auto"/>
              </w:rPr>
              <w:t>Data Center DRAM Mix Payout Factor</w:t>
            </w:r>
          </w:p>
        </w:tc>
        <w:tc>
          <w:tcPr>
            <w:tcW w:w="1240" w:type="dxa"/>
            <w:vAlign w:val="bottom"/>
            <w:tcBorders>
              <w:top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040" w:type="dxa"/>
            <w:vAlign w:val="bottom"/>
            <w:tcBorders>
              <w:left w:val="single" w:sz="8" w:color="auto"/>
              <w:bottom w:val="single" w:sz="8" w:color="auto"/>
              <w:right w:val="single" w:sz="8" w:color="D9D9D9"/>
            </w:tcBorders>
            <w:shd w:val="clear" w:color="auto" w:fill="D9D9D9"/>
          </w:tcPr>
          <w:p>
            <w:pPr>
              <w:spacing w:after="0"/>
              <w:rPr>
                <w:sz w:val="9"/>
                <w:szCs w:val="9"/>
                <w:color w:val="auto"/>
              </w:rPr>
            </w:pPr>
          </w:p>
        </w:tc>
        <w:tc>
          <w:tcPr>
            <w:tcW w:w="1540" w:type="dxa"/>
            <w:vAlign w:val="bottom"/>
            <w:tcBorders>
              <w:bottom w:val="single" w:sz="8" w:color="auto"/>
              <w:right w:val="single" w:sz="8" w:color="auto"/>
            </w:tcBorders>
            <w:shd w:val="clear" w:color="auto" w:fill="D9D9D9"/>
          </w:tcPr>
          <w:p>
            <w:pPr>
              <w:spacing w:after="0"/>
              <w:rPr>
                <w:sz w:val="9"/>
                <w:szCs w:val="9"/>
                <w:color w:val="auto"/>
              </w:rPr>
            </w:pPr>
          </w:p>
        </w:tc>
        <w:tc>
          <w:tcPr>
            <w:tcW w:w="1620" w:type="dxa"/>
            <w:vAlign w:val="bottom"/>
            <w:tcBorders>
              <w:bottom w:val="single" w:sz="8" w:color="auto"/>
              <w:right w:val="single" w:sz="8" w:color="D9D9D9"/>
            </w:tcBorders>
            <w:shd w:val="clear" w:color="auto" w:fill="D9D9D9"/>
          </w:tcPr>
          <w:p>
            <w:pPr>
              <w:spacing w:after="0"/>
              <w:rPr>
                <w:sz w:val="9"/>
                <w:szCs w:val="9"/>
                <w:color w:val="auto"/>
              </w:rPr>
            </w:pPr>
          </w:p>
        </w:tc>
        <w:tc>
          <w:tcPr>
            <w:tcW w:w="1760" w:type="dxa"/>
            <w:vAlign w:val="bottom"/>
            <w:tcBorders>
              <w:bottom w:val="single" w:sz="8" w:color="auto"/>
              <w:right w:val="single" w:sz="8" w:color="D9D9D9"/>
            </w:tcBorders>
            <w:shd w:val="clear" w:color="auto" w:fill="D9D9D9"/>
          </w:tcPr>
          <w:p>
            <w:pPr>
              <w:spacing w:after="0"/>
              <w:rPr>
                <w:sz w:val="9"/>
                <w:szCs w:val="9"/>
                <w:color w:val="auto"/>
              </w:rPr>
            </w:pPr>
          </w:p>
        </w:tc>
        <w:tc>
          <w:tcPr>
            <w:tcW w:w="1760" w:type="dxa"/>
            <w:vAlign w:val="bottom"/>
            <w:tcBorders>
              <w:bottom w:val="single" w:sz="8" w:color="auto"/>
              <w:right w:val="single" w:sz="8" w:color="D9D9D9"/>
            </w:tcBorders>
            <w:shd w:val="clear" w:color="auto" w:fill="D9D9D9"/>
          </w:tcPr>
          <w:p>
            <w:pPr>
              <w:spacing w:after="0"/>
              <w:rPr>
                <w:sz w:val="9"/>
                <w:szCs w:val="9"/>
                <w:color w:val="auto"/>
              </w:rPr>
            </w:pPr>
          </w:p>
        </w:tc>
        <w:tc>
          <w:tcPr>
            <w:tcW w:w="1780" w:type="dxa"/>
            <w:vAlign w:val="bottom"/>
            <w:tcBorders>
              <w:bottom w:val="single" w:sz="8" w:color="auto"/>
              <w:right w:val="single" w:sz="8" w:color="D9D9D9"/>
            </w:tcBorders>
            <w:shd w:val="clear" w:color="auto" w:fill="D9D9D9"/>
          </w:tcPr>
          <w:p>
            <w:pPr>
              <w:spacing w:after="0"/>
              <w:rPr>
                <w:sz w:val="9"/>
                <w:szCs w:val="9"/>
                <w:color w:val="auto"/>
              </w:rPr>
            </w:pPr>
          </w:p>
        </w:tc>
        <w:tc>
          <w:tcPr>
            <w:tcW w:w="1240" w:type="dxa"/>
            <w:vAlign w:val="bottom"/>
            <w:tcBorders>
              <w:bottom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540" w:type="dxa"/>
            <w:vAlign w:val="bottom"/>
            <w:tcBorders>
              <w:right w:val="single" w:sz="8" w:color="auto"/>
            </w:tcBorders>
            <w:shd w:val="clear" w:color="auto" w:fill="D9D9D9"/>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9"/>
              </w:rPr>
              <w:t>Data Center</w:t>
            </w:r>
          </w:p>
        </w:tc>
        <w:tc>
          <w:tcPr>
            <w:tcW w:w="16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0.00x</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0.5x</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1.0x</w:t>
            </w:r>
          </w:p>
        </w:tc>
        <w:tc>
          <w:tcPr>
            <w:tcW w:w="17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1.50x</w:t>
            </w:r>
          </w:p>
        </w:tc>
        <w:tc>
          <w:tcPr>
            <w:tcW w:w="1240" w:type="dxa"/>
            <w:vAlign w:val="bottom"/>
            <w:vMerge w:val="restart"/>
            <w:shd w:val="clear" w:color="auto" w:fill="D9D9D9"/>
          </w:tcPr>
          <w:p>
            <w:pPr>
              <w:jc w:val="center"/>
              <w:ind w:left="389"/>
              <w:spacing w:after="0"/>
              <w:rPr>
                <w:sz w:val="20"/>
                <w:szCs w:val="20"/>
                <w:color w:val="auto"/>
              </w:rPr>
            </w:pPr>
            <w:r>
              <w:rPr>
                <w:rFonts w:ascii="Times New Roman" w:cs="Times New Roman" w:eastAsia="Times New Roman" w:hAnsi="Times New Roman"/>
                <w:sz w:val="18"/>
                <w:szCs w:val="18"/>
                <w:b w:val="1"/>
                <w:bCs w:val="1"/>
                <w:color w:val="auto"/>
                <w:w w:val="98"/>
              </w:rPr>
              <w:t>2.00x</w:t>
            </w: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bottom w:val="single" w:sz="8" w:color="auto"/>
              <w:right w:val="single" w:sz="8" w:color="auto"/>
            </w:tcBorders>
            <w:vMerge w:val="continue"/>
            <w:shd w:val="clear" w:color="auto" w:fill="D9D9D9"/>
          </w:tcPr>
          <w:p>
            <w:pPr>
              <w:spacing w:after="0"/>
              <w:rPr>
                <w:sz w:val="20"/>
                <w:szCs w:val="20"/>
                <w:color w:val="auto"/>
              </w:rPr>
            </w:pPr>
          </w:p>
        </w:tc>
        <w:tc>
          <w:tcPr>
            <w:tcW w:w="1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DRAM Mix Goal</w:t>
            </w:r>
          </w:p>
        </w:tc>
        <w:tc>
          <w:tcPr>
            <w:tcW w:w="1620" w:type="dxa"/>
            <w:vAlign w:val="bottom"/>
            <w:tcBorders>
              <w:bottom w:val="single" w:sz="8" w:color="auto"/>
              <w:right w:val="single" w:sz="8" w:color="auto"/>
            </w:tcBorders>
            <w:vMerge w:val="continue"/>
            <w:shd w:val="clear" w:color="auto" w:fill="D9D9D9"/>
          </w:tcPr>
          <w:p>
            <w:pPr>
              <w:spacing w:after="0"/>
              <w:rPr>
                <w:sz w:val="20"/>
                <w:szCs w:val="20"/>
                <w:color w:val="auto"/>
              </w:rPr>
            </w:pPr>
          </w:p>
        </w:tc>
        <w:tc>
          <w:tcPr>
            <w:tcW w:w="1760" w:type="dxa"/>
            <w:vAlign w:val="bottom"/>
            <w:tcBorders>
              <w:bottom w:val="single" w:sz="8" w:color="auto"/>
              <w:right w:val="single" w:sz="8" w:color="auto"/>
            </w:tcBorders>
            <w:vMerge w:val="continue"/>
            <w:shd w:val="clear" w:color="auto" w:fill="D9D9D9"/>
          </w:tcPr>
          <w:p>
            <w:pPr>
              <w:spacing w:after="0"/>
              <w:rPr>
                <w:sz w:val="20"/>
                <w:szCs w:val="20"/>
                <w:color w:val="auto"/>
              </w:rPr>
            </w:pPr>
          </w:p>
        </w:tc>
        <w:tc>
          <w:tcPr>
            <w:tcW w:w="1760" w:type="dxa"/>
            <w:vAlign w:val="bottom"/>
            <w:tcBorders>
              <w:bottom w:val="single" w:sz="8" w:color="auto"/>
              <w:right w:val="single" w:sz="8" w:color="auto"/>
            </w:tcBorders>
            <w:vMerge w:val="continue"/>
            <w:shd w:val="clear" w:color="auto" w:fill="D9D9D9"/>
          </w:tcPr>
          <w:p>
            <w:pPr>
              <w:spacing w:after="0"/>
              <w:rPr>
                <w:sz w:val="20"/>
                <w:szCs w:val="20"/>
                <w:color w:val="auto"/>
              </w:rPr>
            </w:pPr>
          </w:p>
        </w:tc>
        <w:tc>
          <w:tcPr>
            <w:tcW w:w="1780" w:type="dxa"/>
            <w:vAlign w:val="bottom"/>
            <w:tcBorders>
              <w:bottom w:val="single" w:sz="8" w:color="auto"/>
              <w:right w:val="single" w:sz="8" w:color="auto"/>
            </w:tcBorders>
            <w:vMerge w:val="continue"/>
            <w:shd w:val="clear" w:color="auto" w:fill="D9D9D9"/>
          </w:tcPr>
          <w:p>
            <w:pPr>
              <w:spacing w:after="0"/>
              <w:rPr>
                <w:sz w:val="20"/>
                <w:szCs w:val="20"/>
                <w:color w:val="auto"/>
              </w:rPr>
            </w:pPr>
          </w:p>
        </w:tc>
        <w:tc>
          <w:tcPr>
            <w:tcW w:w="1240" w:type="dxa"/>
            <w:vAlign w:val="bottom"/>
            <w:tcBorders>
              <w:bottom w:val="single" w:sz="8" w:color="auto"/>
            </w:tcBorders>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Data Center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ppt*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ppt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ppt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ppt</w:t>
            </w:r>
          </w:p>
        </w:tc>
        <w:tc>
          <w:tcPr>
            <w:tcW w:w="1240" w:type="dxa"/>
            <w:vAlign w:val="bottom"/>
          </w:tcPr>
          <w:p>
            <w:pPr>
              <w:jc w:val="center"/>
              <w:ind w:left="409"/>
              <w:spacing w:after="0"/>
              <w:rPr>
                <w:sz w:val="20"/>
                <w:szCs w:val="20"/>
                <w:color w:val="auto"/>
              </w:rPr>
            </w:pPr>
            <w:r>
              <w:rPr>
                <w:rFonts w:ascii="Times New Roman" w:cs="Times New Roman" w:eastAsia="Times New Roman" w:hAnsi="Times New Roman"/>
                <w:sz w:val="18"/>
                <w:szCs w:val="18"/>
                <w:color w:val="auto"/>
                <w:w w:val="99"/>
              </w:rPr>
              <w:t>[***] ppt</w:t>
            </w: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DRAM Mix</w:t>
            </w:r>
          </w:p>
        </w:tc>
        <w:tc>
          <w:tcPr>
            <w:tcW w:w="162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Difference</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ppt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ppt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ppt</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ppt</w:t>
            </w:r>
          </w:p>
        </w:tc>
        <w:tc>
          <w:tcPr>
            <w:tcW w:w="1240" w:type="dxa"/>
            <w:vAlign w:val="bottom"/>
            <w:vMerge w:val="restart"/>
          </w:tcPr>
          <w:p>
            <w:pPr>
              <w:jc w:val="center"/>
              <w:ind w:left="409"/>
              <w:spacing w:after="0"/>
              <w:rPr>
                <w:sz w:val="20"/>
                <w:szCs w:val="20"/>
                <w:color w:val="auto"/>
              </w:rPr>
            </w:pPr>
            <w:r>
              <w:rPr>
                <w:rFonts w:ascii="Times New Roman" w:cs="Times New Roman" w:eastAsia="Times New Roman" w:hAnsi="Times New Roman"/>
                <w:sz w:val="18"/>
                <w:szCs w:val="18"/>
                <w:color w:val="auto"/>
                <w:w w:val="99"/>
              </w:rPr>
              <w:t>[***] ppt</w:t>
            </w:r>
          </w:p>
        </w:tc>
        <w:tc>
          <w:tcPr>
            <w:tcW w:w="0" w:type="dxa"/>
            <w:vAlign w:val="bottom"/>
          </w:tcPr>
          <w:p>
            <w:pPr>
              <w:spacing w:after="0"/>
              <w:rPr>
                <w:sz w:val="1"/>
                <w:szCs w:val="1"/>
                <w:color w:val="auto"/>
              </w:rPr>
            </w:pPr>
          </w:p>
        </w:tc>
      </w:tr>
      <w:tr>
        <w:trPr>
          <w:trHeight w:val="185"/>
        </w:trPr>
        <w:tc>
          <w:tcPr>
            <w:tcW w:w="1040" w:type="dxa"/>
            <w:vAlign w:val="bottom"/>
            <w:tcBorders>
              <w:left w:val="single" w:sz="8" w:color="auto"/>
              <w:right w:val="single" w:sz="8" w:color="auto"/>
            </w:tcBorders>
            <w:vMerge w:val="continue"/>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780" w:type="dxa"/>
            <w:vAlign w:val="bottom"/>
            <w:tcBorders>
              <w:right w:val="single" w:sz="8" w:color="auto"/>
            </w:tcBorders>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1" w:hanging="141"/>
        <w:spacing w:after="0"/>
        <w:tabs>
          <w:tab w:leader="none" w:pos="1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Ppt refers to percentage points.</w:t>
      </w:r>
    </w:p>
    <w:p>
      <w:pPr>
        <w:spacing w:after="0" w:line="190" w:lineRule="exact"/>
        <w:rPr>
          <w:rFonts w:ascii="Times New Roman" w:cs="Times New Roman" w:eastAsia="Times New Roman" w:hAnsi="Times New Roman"/>
          <w:sz w:val="20"/>
          <w:szCs w:val="20"/>
          <w:color w:val="auto"/>
        </w:rPr>
      </w:pPr>
    </w:p>
    <w:p>
      <w:pPr>
        <w:jc w:val="both"/>
        <w:ind w:left="601" w:right="100" w:hanging="304"/>
        <w:spacing w:after="0" w:line="242" w:lineRule="auto"/>
        <w:tabs>
          <w:tab w:leader="none" w:pos="59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Data Center DRAM Mix Difference (as defined below) level achieved is between performance levels shown in the table above, the Data Center DRAM Mix Payout Factor will be determined based on straight line interpolation. For the avoidance of doubt and notwithstanding any contrary provision of the Award Agreement, if performance for the Data Center DRAM Mix Goal in a particular Fiscal Year is equal to or below the performance specified in the 0.00x column in the above table, the Data Center DRAM Mix Payout Factor for such Fiscal Year will be zero.</w:t>
      </w:r>
    </w:p>
    <w:p>
      <w:pPr>
        <w:spacing w:after="0" w:line="175" w:lineRule="exact"/>
        <w:rPr>
          <w:rFonts w:ascii="Times New Roman" w:cs="Times New Roman" w:eastAsia="Times New Roman" w:hAnsi="Times New Roman"/>
          <w:sz w:val="20"/>
          <w:szCs w:val="20"/>
          <w:color w:val="auto"/>
        </w:rPr>
      </w:pPr>
    </w:p>
    <w:p>
      <w:pPr>
        <w:ind w:left="601" w:right="100" w:hanging="304"/>
        <w:spacing w:after="0" w:line="261" w:lineRule="auto"/>
        <w:tabs>
          <w:tab w:leader="none" w:pos="59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Data Center DRAM Mix Difference</w:t>
      </w:r>
      <w:r>
        <w:rPr>
          <w:rFonts w:ascii="Times New Roman" w:cs="Times New Roman" w:eastAsia="Times New Roman" w:hAnsi="Times New Roman"/>
          <w:sz w:val="20"/>
          <w:szCs w:val="20"/>
          <w:color w:val="auto"/>
        </w:rPr>
        <w:t>” refers to the difference between (x) the Company’s Data Center DRAM Mix (as defined below) and (y) the Data Center DRAM Mix for the total available market (“TAM”).</w:t>
      </w:r>
    </w:p>
    <w:p>
      <w:pPr>
        <w:spacing w:after="0" w:line="155" w:lineRule="exact"/>
        <w:rPr>
          <w:rFonts w:ascii="Times New Roman" w:cs="Times New Roman" w:eastAsia="Times New Roman" w:hAnsi="Times New Roman"/>
          <w:sz w:val="20"/>
          <w:szCs w:val="20"/>
          <w:color w:val="auto"/>
        </w:rPr>
      </w:pPr>
    </w:p>
    <w:p>
      <w:pPr>
        <w:ind w:left="601" w:right="100" w:hanging="304"/>
        <w:spacing w:after="0" w:line="261" w:lineRule="auto"/>
        <w:tabs>
          <w:tab w:leader="none" w:pos="59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Data Center DRAM Mix Difference performance results and Data Center DRAM Mix Payout Factor will be rounded to the second decimal place, as needed.</w:t>
      </w:r>
    </w:p>
    <w:p>
      <w:pPr>
        <w:spacing w:after="0" w:line="142" w:lineRule="exact"/>
        <w:rPr>
          <w:rFonts w:ascii="Times New Roman" w:cs="Times New Roman" w:eastAsia="Times New Roman" w:hAnsi="Times New Roman"/>
          <w:sz w:val="20"/>
          <w:szCs w:val="20"/>
          <w:color w:val="auto"/>
        </w:rPr>
      </w:pPr>
    </w:p>
    <w:p>
      <w:pPr>
        <w:jc w:val="both"/>
        <w:ind w:left="601" w:right="100" w:hanging="304"/>
        <w:spacing w:after="0" w:line="241" w:lineRule="auto"/>
        <w:tabs>
          <w:tab w:leader="none" w:pos="59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Center DRAM Mix</w:t>
      </w:r>
      <w:r>
        <w:rPr>
          <w:rFonts w:ascii="Times New Roman" w:cs="Times New Roman" w:eastAsia="Times New Roman" w:hAnsi="Times New Roman"/>
          <w:sz w:val="20"/>
          <w:szCs w:val="20"/>
          <w:color w:val="auto"/>
        </w:rPr>
        <w:t>” refers to a specified percentage, (a) with respect to the Company, equal to (i) the Company’s DRAM revenue (determined in accordance with U.S. Generally Accepted Accounting Principles (“GAAP”)) for the data center market segment, divided by (ii) the Company’s total DRAM revenue (determined in accordance with GAAP); and (b) with respect to the TAM, equal to (i) the revenue of the TAM from DRAM for the data center market segment, divided by (ii) the revenue of the TAM from total DRAM. The TAM revenue from DRAM for the data center market segment and the TAM revenue from total DRAM will be measured by the Company’s internal Market Intelligence (MI) assessment, in part by leveraging third-party reports. The Data Center DRAM Mix for each of the Company and the TAM will be measured (x) for the 2027 Fiscal Year, over the period beginning with the third quarter of calendar year 2026 through and inclusive of the second quarter of calendar year 2027, and (y) for the 2028 Fiscal Year, over the period beginning with the third quarter of calendar year 2027 through and inclusive of the second quarter of calendar year 2028.</w:t>
      </w:r>
    </w:p>
    <w:p>
      <w:pPr>
        <w:sectPr>
          <w:pgSz w:w="11900" w:h="16838" w:orient="portrait"/>
          <w:cols w:equalWidth="0" w:num="1">
            <w:col w:w="11341"/>
          </w:cols>
          <w:pgMar w:left="319" w:top="1440" w:right="239" w:bottom="1440" w:gutter="0" w:footer="0" w:header="0"/>
        </w:sectPr>
      </w:pPr>
    </w:p>
    <w:bookmarkStart w:id="84" w:name="page85"/>
    <w:bookmarkEnd w:id="84"/>
    <w:p>
      <w:pPr>
        <w:spacing w:after="0" w:line="266" w:lineRule="exact"/>
        <w:rPr>
          <w:sz w:val="20"/>
          <w:szCs w:val="20"/>
          <w:color w:val="auto"/>
        </w:rPr>
      </w:pPr>
    </w:p>
    <w:p>
      <w:pPr>
        <w:ind w:left="1" w:right="100" w:firstLine="593"/>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Operational Additional Performance Conditions</w:t>
      </w:r>
      <w:r>
        <w:rPr>
          <w:rFonts w:ascii="Times New Roman" w:cs="Times New Roman" w:eastAsia="Times New Roman" w:hAnsi="Times New Roman"/>
          <w:sz w:val="20"/>
          <w:szCs w:val="20"/>
          <w:color w:val="auto"/>
        </w:rPr>
        <w:t>. The Data Center DRAM Mix Payout Factor may be increased in the event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achievement of the additional goals shown in the following table (the “</w:t>
      </w:r>
      <w:r>
        <w:rPr>
          <w:rFonts w:ascii="Times New Roman" w:cs="Times New Roman" w:eastAsia="Times New Roman" w:hAnsi="Times New Roman"/>
          <w:sz w:val="20"/>
          <w:szCs w:val="20"/>
          <w:u w:val="single" w:color="auto"/>
          <w:color w:val="auto"/>
        </w:rPr>
        <w:t>Operational Additional Performance Conditions</w:t>
      </w:r>
      <w:r>
        <w:rPr>
          <w:rFonts w:ascii="Times New Roman" w:cs="Times New Roman" w:eastAsia="Times New Roman" w:hAnsi="Times New Roman"/>
          <w:sz w:val="20"/>
          <w:szCs w:val="20"/>
          <w:color w:val="auto"/>
        </w:rPr>
        <w:t>”).</w:t>
      </w:r>
    </w:p>
    <w:p>
      <w:pPr>
        <w:spacing w:after="0" w:line="156" w:lineRule="exact"/>
        <w:rPr>
          <w:sz w:val="20"/>
          <w:szCs w:val="20"/>
          <w:color w:val="auto"/>
        </w:rPr>
      </w:pPr>
    </w:p>
    <w:tbl>
      <w:tblPr>
        <w:tblLayout w:type="fixed"/>
        <w:tblInd w:w="611" w:type="dxa"/>
        <w:tblCellMar>
          <w:top w:w="0" w:type="dxa"/>
          <w:left w:w="0" w:type="dxa"/>
          <w:bottom w:w="0" w:type="dxa"/>
          <w:right w:w="0" w:type="dxa"/>
        </w:tblCellMar>
      </w:tblPr>
      <w:tr>
        <w:trPr>
          <w:trHeight w:val="185"/>
        </w:trPr>
        <w:tc>
          <w:tcPr>
            <w:tcW w:w="2300" w:type="dxa"/>
            <w:vAlign w:val="bottom"/>
            <w:tcBorders>
              <w:top w:val="single" w:sz="8" w:color="auto"/>
              <w:left w:val="single" w:sz="8" w:color="auto"/>
              <w:right w:val="single" w:sz="8" w:color="auto"/>
            </w:tcBorders>
            <w:shd w:val="clear" w:color="auto" w:fill="D9D9D9"/>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Operational Additional</w:t>
            </w:r>
          </w:p>
        </w:tc>
        <w:tc>
          <w:tcPr>
            <w:tcW w:w="5940" w:type="dxa"/>
            <w:vAlign w:val="bottom"/>
            <w:tcBorders>
              <w:top w:val="single" w:sz="8" w:color="auto"/>
              <w:right w:val="single" w:sz="8" w:color="auto"/>
            </w:tcBorders>
            <w:vMerge w:val="restart"/>
            <w:shd w:val="clear" w:color="auto" w:fill="D9D9D9"/>
          </w:tcPr>
          <w:p>
            <w:pPr>
              <w:ind w:left="1840"/>
              <w:spacing w:after="0"/>
              <w:rPr>
                <w:sz w:val="20"/>
                <w:szCs w:val="20"/>
                <w:color w:val="auto"/>
              </w:rPr>
            </w:pPr>
            <w:r>
              <w:rPr>
                <w:rFonts w:ascii="Times New Roman" w:cs="Times New Roman" w:eastAsia="Times New Roman" w:hAnsi="Times New Roman"/>
                <w:sz w:val="18"/>
                <w:szCs w:val="18"/>
                <w:b w:val="1"/>
                <w:bCs w:val="1"/>
                <w:color w:val="auto"/>
              </w:rPr>
              <w:t>Required Achievement Level</w:t>
            </w:r>
          </w:p>
        </w:tc>
        <w:tc>
          <w:tcPr>
            <w:tcW w:w="2500" w:type="dxa"/>
            <w:vAlign w:val="bottom"/>
            <w:tcBorders>
              <w:top w:val="single" w:sz="8" w:color="auto"/>
            </w:tcBorders>
            <w:shd w:val="clear" w:color="auto" w:fill="D9D9D9"/>
          </w:tcPr>
          <w:p>
            <w:pPr>
              <w:ind w:left="3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Amount Added to Data Cent</w:t>
            </w:r>
          </w:p>
        </w:tc>
        <w:tc>
          <w:tcPr>
            <w:tcW w:w="0" w:type="dxa"/>
            <w:vAlign w:val="bottom"/>
          </w:tcPr>
          <w:p>
            <w:pPr>
              <w:spacing w:after="0"/>
              <w:rPr>
                <w:sz w:val="1"/>
                <w:szCs w:val="1"/>
                <w:color w:val="auto"/>
              </w:rPr>
            </w:pPr>
          </w:p>
        </w:tc>
      </w:tr>
      <w:tr>
        <w:trPr>
          <w:trHeight w:val="185"/>
        </w:trPr>
        <w:tc>
          <w:tcPr>
            <w:tcW w:w="2300" w:type="dxa"/>
            <w:vAlign w:val="bottom"/>
            <w:tcBorders>
              <w:left w:val="single" w:sz="8" w:color="auto"/>
              <w:right w:val="single" w:sz="8" w:color="auto"/>
            </w:tcBorders>
            <w:shd w:val="clear" w:color="auto" w:fill="D9D9D9"/>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Performance Conditions</w:t>
            </w:r>
          </w:p>
        </w:tc>
        <w:tc>
          <w:tcPr>
            <w:tcW w:w="5940" w:type="dxa"/>
            <w:vAlign w:val="bottom"/>
            <w:tcBorders>
              <w:right w:val="single" w:sz="8" w:color="auto"/>
            </w:tcBorders>
            <w:vMerge w:val="continue"/>
            <w:shd w:val="clear" w:color="auto" w:fill="D9D9D9"/>
          </w:tcPr>
          <w:p>
            <w:pPr>
              <w:spacing w:after="0"/>
              <w:rPr>
                <w:sz w:val="16"/>
                <w:szCs w:val="16"/>
                <w:color w:val="auto"/>
              </w:rPr>
            </w:pPr>
          </w:p>
        </w:tc>
        <w:tc>
          <w:tcPr>
            <w:tcW w:w="2500" w:type="dxa"/>
            <w:vAlign w:val="bottom"/>
            <w:shd w:val="clear" w:color="auto" w:fill="D9D9D9"/>
          </w:tcPr>
          <w:p>
            <w:pPr>
              <w:jc w:val="center"/>
              <w:ind w:left="369"/>
              <w:spacing w:after="0" w:line="186" w:lineRule="exact"/>
              <w:rPr>
                <w:sz w:val="20"/>
                <w:szCs w:val="20"/>
                <w:color w:val="auto"/>
              </w:rPr>
            </w:pPr>
            <w:r>
              <w:rPr>
                <w:rFonts w:ascii="Times New Roman" w:cs="Times New Roman" w:eastAsia="Times New Roman" w:hAnsi="Times New Roman"/>
                <w:sz w:val="18"/>
                <w:szCs w:val="18"/>
                <w:b w:val="1"/>
                <w:bCs w:val="1"/>
                <w:color w:val="auto"/>
                <w:w w:val="99"/>
              </w:rPr>
              <w:t>DRAM Mix Payout Factor</w:t>
            </w:r>
          </w:p>
        </w:tc>
        <w:tc>
          <w:tcPr>
            <w:tcW w:w="0" w:type="dxa"/>
            <w:vAlign w:val="bottom"/>
          </w:tcPr>
          <w:p>
            <w:pPr>
              <w:spacing w:after="0"/>
              <w:rPr>
                <w:sz w:val="1"/>
                <w:szCs w:val="1"/>
                <w:color w:val="auto"/>
              </w:rPr>
            </w:pPr>
          </w:p>
        </w:tc>
      </w:tr>
      <w:tr>
        <w:trPr>
          <w:trHeight w:val="235"/>
        </w:trPr>
        <w:tc>
          <w:tcPr>
            <w:tcW w:w="23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5940" w:type="dxa"/>
            <w:vAlign w:val="bottom"/>
            <w:tcBorders>
              <w:bottom w:val="single" w:sz="8" w:color="auto"/>
              <w:right w:val="single" w:sz="8" w:color="auto"/>
            </w:tcBorders>
            <w:shd w:val="clear" w:color="auto" w:fill="D9D9D9"/>
          </w:tcPr>
          <w:p>
            <w:pPr>
              <w:spacing w:after="0"/>
              <w:rPr>
                <w:sz w:val="20"/>
                <w:szCs w:val="20"/>
                <w:color w:val="auto"/>
              </w:rPr>
            </w:pPr>
          </w:p>
        </w:tc>
        <w:tc>
          <w:tcPr>
            <w:tcW w:w="2500" w:type="dxa"/>
            <w:vAlign w:val="bottom"/>
            <w:tcBorders>
              <w:bottom w:val="single" w:sz="8" w:color="auto"/>
            </w:tcBorders>
            <w:shd w:val="clear" w:color="auto" w:fill="D9D9D9"/>
          </w:tcPr>
          <w:p>
            <w:pPr>
              <w:jc w:val="center"/>
              <w:ind w:left="389"/>
              <w:spacing w:after="0"/>
              <w:rPr>
                <w:sz w:val="20"/>
                <w:szCs w:val="20"/>
                <w:color w:val="auto"/>
              </w:rPr>
            </w:pPr>
            <w:r>
              <w:rPr>
                <w:rFonts w:ascii="Times New Roman" w:cs="Times New Roman" w:eastAsia="Times New Roman" w:hAnsi="Times New Roman"/>
                <w:sz w:val="18"/>
                <w:szCs w:val="18"/>
                <w:b w:val="1"/>
                <w:bCs w:val="1"/>
                <w:color w:val="auto"/>
              </w:rPr>
              <w:t>Determined Above</w:t>
            </w:r>
          </w:p>
        </w:tc>
        <w:tc>
          <w:tcPr>
            <w:tcW w:w="0" w:type="dxa"/>
            <w:vAlign w:val="bottom"/>
          </w:tcPr>
          <w:p>
            <w:pPr>
              <w:spacing w:after="0"/>
              <w:rPr>
                <w:sz w:val="1"/>
                <w:szCs w:val="1"/>
                <w:color w:val="auto"/>
              </w:rPr>
            </w:pPr>
          </w:p>
        </w:tc>
      </w:tr>
      <w:tr>
        <w:trPr>
          <w:trHeight w:val="331"/>
        </w:trPr>
        <w:tc>
          <w:tcPr>
            <w:tcW w:w="2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Goal 1: [***]</w:t>
            </w:r>
          </w:p>
        </w:tc>
        <w:tc>
          <w:tcPr>
            <w:tcW w:w="5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2500" w:type="dxa"/>
            <w:vAlign w:val="bottom"/>
            <w:vMerge w:val="restart"/>
          </w:tcPr>
          <w:p>
            <w:pPr>
              <w:jc w:val="center"/>
              <w:ind w:left="409"/>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161"/>
        </w:trPr>
        <w:tc>
          <w:tcPr>
            <w:tcW w:w="2300" w:type="dxa"/>
            <w:vAlign w:val="bottom"/>
            <w:tcBorders>
              <w:left w:val="single" w:sz="8" w:color="auto"/>
              <w:right w:val="single" w:sz="8" w:color="auto"/>
            </w:tcBorders>
            <w:vMerge w:val="continue"/>
          </w:tcPr>
          <w:p>
            <w:pPr>
              <w:spacing w:after="0"/>
              <w:rPr>
                <w:sz w:val="13"/>
                <w:szCs w:val="13"/>
                <w:color w:val="auto"/>
              </w:rPr>
            </w:pPr>
          </w:p>
        </w:tc>
        <w:tc>
          <w:tcPr>
            <w:tcW w:w="59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00" w:type="dxa"/>
            <w:vAlign w:val="bottom"/>
            <w:tcBorders>
              <w:left w:val="single" w:sz="8" w:color="auto"/>
              <w:right w:val="single" w:sz="8" w:color="auto"/>
            </w:tcBorders>
          </w:tcPr>
          <w:p>
            <w:pPr>
              <w:spacing w:after="0"/>
              <w:rPr>
                <w:sz w:val="13"/>
                <w:szCs w:val="13"/>
                <w:color w:val="auto"/>
              </w:rPr>
            </w:pPr>
          </w:p>
        </w:tc>
        <w:tc>
          <w:tcPr>
            <w:tcW w:w="5940" w:type="dxa"/>
            <w:vAlign w:val="bottom"/>
            <w:tcBorders>
              <w:right w:val="single" w:sz="8" w:color="auto"/>
            </w:tcBorders>
            <w:vMerge w:val="continue"/>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59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Goal 2: [***]</w:t>
            </w:r>
          </w:p>
        </w:tc>
        <w:tc>
          <w:tcPr>
            <w:tcW w:w="5940" w:type="dxa"/>
            <w:vAlign w:val="bottom"/>
            <w:tcBorders>
              <w:right w:val="single" w:sz="8" w:color="auto"/>
            </w:tcBorders>
          </w:tcPr>
          <w:p>
            <w:pPr>
              <w:jc w:val="right"/>
              <w:ind w:right="5349"/>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center"/>
              <w:ind w:left="409"/>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82"/>
        </w:trPr>
        <w:tc>
          <w:tcPr>
            <w:tcW w:w="2300" w:type="dxa"/>
            <w:vAlign w:val="bottom"/>
            <w:tcBorders>
              <w:left w:val="single" w:sz="8" w:color="auto"/>
              <w:bottom w:val="single" w:sz="8" w:color="auto"/>
              <w:right w:val="single" w:sz="8" w:color="auto"/>
            </w:tcBorders>
          </w:tcPr>
          <w:p>
            <w:pPr>
              <w:spacing w:after="0"/>
              <w:rPr>
                <w:sz w:val="7"/>
                <w:szCs w:val="7"/>
                <w:color w:val="auto"/>
              </w:rPr>
            </w:pPr>
          </w:p>
        </w:tc>
        <w:tc>
          <w:tcPr>
            <w:tcW w:w="59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1" w:hanging="121"/>
        <w:spacing w:after="0"/>
        <w:tabs>
          <w:tab w:leader="none" w:pos="12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w:t>
      </w:r>
    </w:p>
    <w:p>
      <w:pPr>
        <w:spacing w:after="0" w:line="238" w:lineRule="exact"/>
        <w:rPr>
          <w:rFonts w:ascii="Times New Roman" w:cs="Times New Roman" w:eastAsia="Times New Roman" w:hAnsi="Times New Roman"/>
          <w:sz w:val="16"/>
          <w:szCs w:val="16"/>
          <w:color w:val="auto"/>
        </w:rPr>
      </w:pPr>
    </w:p>
    <w:p>
      <w:pPr>
        <w:ind w:left="581" w:hanging="284"/>
        <w:spacing w:after="0"/>
        <w:tabs>
          <w:tab w:leader="none" w:pos="58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w:t>
      </w:r>
    </w:p>
    <w:p>
      <w:pPr>
        <w:spacing w:after="0" w:line="189" w:lineRule="exact"/>
        <w:rPr>
          <w:rFonts w:ascii="Times New Roman" w:cs="Times New Roman" w:eastAsia="Times New Roman" w:hAnsi="Times New Roman"/>
          <w:sz w:val="20"/>
          <w:szCs w:val="20"/>
          <w:color w:val="auto"/>
        </w:rPr>
      </w:pPr>
    </w:p>
    <w:p>
      <w:pPr>
        <w:ind w:left="881" w:right="8740" w:hanging="584"/>
        <w:spacing w:after="0" w:line="428" w:lineRule="auto"/>
        <w:tabs>
          <w:tab w:leader="none" w:pos="57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Goal 1B: </w:t>
      </w:r>
      <w:r>
        <w:rPr>
          <w:rFonts w:ascii="Courier New" w:cs="Courier New" w:eastAsia="Courier New" w:hAnsi="Courier New"/>
          <w:sz w:val="20"/>
          <w:szCs w:val="20"/>
          <w:color w:val="auto"/>
        </w:rPr>
        <w:t xml:space="preserve">o </w:t>
      </w:r>
      <w:r>
        <w:rPr>
          <w:rFonts w:ascii="Times New Roman" w:cs="Times New Roman" w:eastAsia="Times New Roman" w:hAnsi="Times New Roman"/>
          <w:sz w:val="18"/>
          <w:szCs w:val="18"/>
          <w:b w:val="1"/>
          <w:bCs w:val="1"/>
          <w:color w:val="auto"/>
        </w:rPr>
        <w:t>[***]</w:t>
      </w:r>
    </w:p>
    <w:p>
      <w:pPr>
        <w:jc w:val="both"/>
        <w:ind w:left="881" w:right="9760"/>
        <w:spacing w:after="0" w:line="462"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p>
    <w:p>
      <w:pPr>
        <w:spacing w:after="0" w:line="1"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results for each of Goal 1A and Goal 1B will be rounded to the second decimal place (as needed).</w:t>
      </w:r>
    </w:p>
    <w:p>
      <w:pPr>
        <w:spacing w:after="0" w:line="215"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Goal 2, </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example of the operation of the Operational Additional Performance Conditions is set forth below:</w:t>
      </w:r>
    </w:p>
    <w:p>
      <w:pPr>
        <w:spacing w:after="0" w:line="104" w:lineRule="exact"/>
        <w:rPr>
          <w:sz w:val="20"/>
          <w:szCs w:val="20"/>
          <w:color w:val="auto"/>
        </w:rPr>
      </w:pPr>
    </w:p>
    <w:p>
      <w:pPr>
        <w:ind w:left="1181" w:hanging="291"/>
        <w:spacing w:after="0"/>
        <w:tabs>
          <w:tab w:leader="none" w:pos="1181" w:val="left"/>
        </w:tabs>
        <w:numPr>
          <w:ilvl w:val="0"/>
          <w:numId w:val="6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Assume that for Fiscal Year 2027, the Data Center DRAM Mix Payout Factor is determined to be 1.0x.</w:t>
      </w:r>
    </w:p>
    <w:p>
      <w:pPr>
        <w:spacing w:after="0" w:line="111" w:lineRule="exact"/>
        <w:rPr>
          <w:rFonts w:ascii="Courier New" w:cs="Courier New" w:eastAsia="Courier New" w:hAnsi="Courier New"/>
          <w:sz w:val="20"/>
          <w:szCs w:val="20"/>
          <w:color w:val="auto"/>
        </w:rPr>
      </w:pPr>
    </w:p>
    <w:p>
      <w:pPr>
        <w:ind w:left="1181" w:right="100" w:hanging="291"/>
        <w:spacing w:after="0" w:line="257" w:lineRule="auto"/>
        <w:tabs>
          <w:tab w:leader="none" w:pos="1176" w:val="left"/>
        </w:tabs>
        <w:numPr>
          <w:ilvl w:val="0"/>
          <w:numId w:val="6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Assume achievement of both Goal 1A and Goal 1B of the Operational Additional Performance Conditions during Fiscal Year 2027 but that Goal 2 of the Operational Additional Performance Conditions is not achieved in Fiscal Year 2027.</w:t>
      </w:r>
    </w:p>
    <w:p>
      <w:pPr>
        <w:sectPr>
          <w:pgSz w:w="11900" w:h="16838" w:orient="portrait"/>
          <w:cols w:equalWidth="0" w:num="1">
            <w:col w:w="11341"/>
          </w:cols>
          <w:pgMar w:left="319" w:top="1440" w:right="239" w:bottom="1440" w:gutter="0" w:footer="0" w:header="0"/>
        </w:sectPr>
      </w:pPr>
    </w:p>
    <w:bookmarkStart w:id="85" w:name="page86"/>
    <w:bookmarkEnd w:id="85"/>
    <w:p>
      <w:pPr>
        <w:spacing w:after="0" w:line="171" w:lineRule="exact"/>
        <w:rPr>
          <w:sz w:val="20"/>
          <w:szCs w:val="20"/>
          <w:color w:val="auto"/>
        </w:rPr>
      </w:pPr>
    </w:p>
    <w:p>
      <w:pPr>
        <w:ind w:left="1180" w:hanging="291"/>
        <w:spacing w:after="0" w:line="282" w:lineRule="auto"/>
        <w:tabs>
          <w:tab w:leader="none" w:pos="1175" w:val="left"/>
        </w:tabs>
        <w:numPr>
          <w:ilvl w:val="0"/>
          <w:numId w:val="6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Data Center DRAM Mix Payout Factor will be increased by 0.33x, to 1.33x. (If Goal 2 also were achieved, the Data Center DRAM Mix Payout Factor would be increased by 0.66x to 1.66x.)</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Certification and Banked Units</w:t>
      </w:r>
      <w:r>
        <w:rPr>
          <w:rFonts w:ascii="Times New Roman" w:cs="Times New Roman" w:eastAsia="Times New Roman" w:hAnsi="Times New Roman"/>
          <w:sz w:val="20"/>
          <w:szCs w:val="20"/>
          <w:color w:val="auto"/>
        </w:rPr>
        <w:t>. Achievement levels with respect to the Data Center DRAM Mix Payout Factor, as well as any Operational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Performance Conditions, will be measured at the end of each of:</w:t>
      </w:r>
    </w:p>
    <w:p>
      <w:pPr>
        <w:ind w:left="580" w:hanging="284"/>
        <w:spacing w:after="0" w:line="233" w:lineRule="auto"/>
        <w:tabs>
          <w:tab w:leader="none" w:pos="5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Year 2027, and</w:t>
      </w:r>
    </w:p>
    <w:p>
      <w:pPr>
        <w:ind w:left="580" w:hanging="284"/>
        <w:spacing w:after="0"/>
        <w:tabs>
          <w:tab w:leader="none" w:pos="5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Year 2028.</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 later than 60 days after the end of each of Fiscal Years 2027 and 2028, the Administrator shall determine and certify the results of such achievement under this Award of Data Center DRAM Mix Performance Units (such date, the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 Data Center DRAM Mix Performance Units that are earned by achievement of the Data Center DRAM Mix Goal and/or Operational Additional Performance Conditions, as applicable, are referred to herein as “</w:t>
      </w:r>
      <w:r>
        <w:rPr>
          <w:rFonts w:ascii="Times New Roman" w:cs="Times New Roman" w:eastAsia="Times New Roman" w:hAnsi="Times New Roman"/>
          <w:sz w:val="20"/>
          <w:szCs w:val="20"/>
          <w:u w:val="single" w:color="auto"/>
          <w:color w:val="auto"/>
        </w:rPr>
        <w:t>Banked Units</w:t>
      </w:r>
      <w:r>
        <w:rPr>
          <w:rFonts w:ascii="Times New Roman" w:cs="Times New Roman" w:eastAsia="Times New Roman" w:hAnsi="Times New Roman"/>
          <w:sz w:val="20"/>
          <w:szCs w:val="20"/>
          <w:color w:val="auto"/>
        </w:rPr>
        <w:t>” (regardless of whether such Data Center DRAM Mix Performance Units have vested).</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As of the Certification Date that immediately follows the end of Fiscal Year 2028, 100% of any then-unvested Banked Units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avoidance of doubt, inclusive of any Data Center DRAM Mix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Data Center DRAM Mix Performance Units have become Banked Units, such Banked Units will continue to vest and be paid pursuant to the original schedule.</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Vesting Upon a Qualifying Event</w:t>
      </w:r>
      <w:r>
        <w:rPr>
          <w:rFonts w:ascii="Times New Roman" w:cs="Times New Roman" w:eastAsia="Times New Roman" w:hAnsi="Times New Roman"/>
          <w:sz w:val="20"/>
          <w:szCs w:val="20"/>
          <w:color w:val="auto"/>
        </w:rPr>
        <w:t>. This paragraph shall apply only to the extent that Participant and the Company have entered into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offer letter or similar written agreement (the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0"/>
          <w:szCs w:val="20"/>
          <w:u w:val="single" w:color="auto"/>
          <w:color w:val="auto"/>
        </w:rPr>
        <w:t>Qualifying Event</w:t>
      </w:r>
      <w:r>
        <w:rPr>
          <w:rFonts w:ascii="Times New Roman" w:cs="Times New Roman" w:eastAsia="Times New Roman" w:hAnsi="Times New Roman"/>
          <w:sz w:val="20"/>
          <w:szCs w:val="20"/>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Payout Timing (Conversion to Shares)</w:t>
      </w:r>
      <w:r>
        <w:rPr>
          <w:rFonts w:ascii="Times New Roman" w:cs="Times New Roman" w:eastAsia="Times New Roman" w:hAnsi="Times New Roman"/>
          <w:sz w:val="20"/>
          <w:szCs w:val="20"/>
          <w:color w:val="auto"/>
        </w:rPr>
        <w:t>. The Banked Units vesting as of the Certification Date that immediately follows the end of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2028 (such Data Center DRAM Mix Performance Units, the “</w:t>
      </w:r>
      <w:r>
        <w:rPr>
          <w:rFonts w:ascii="Times New Roman" w:cs="Times New Roman" w:eastAsia="Times New Roman" w:hAnsi="Times New Roman"/>
          <w:sz w:val="20"/>
          <w:szCs w:val="20"/>
          <w:u w:val="single" w:color="auto"/>
          <w:color w:val="auto"/>
        </w:rPr>
        <w:t>Vested Data Center DRAM Mix Performance Units</w:t>
      </w:r>
      <w:r>
        <w:rPr>
          <w:rFonts w:ascii="Times New Roman" w:cs="Times New Roman" w:eastAsia="Times New Roman" w:hAnsi="Times New Roman"/>
          <w:sz w:val="20"/>
          <w:szCs w:val="20"/>
          <w:color w:val="auto"/>
        </w:rPr>
        <w:t>”) shall automatically convert to Shares on the Certification Date (the “</w:t>
      </w:r>
      <w:r>
        <w:rPr>
          <w:rFonts w:ascii="Times New Roman" w:cs="Times New Roman" w:eastAsia="Times New Roman" w:hAnsi="Times New Roman"/>
          <w:sz w:val="20"/>
          <w:szCs w:val="20"/>
          <w:u w:val="single" w:color="auto"/>
          <w:color w:val="auto"/>
        </w:rPr>
        <w:t>Conversion Date</w:t>
      </w:r>
      <w:r>
        <w:rPr>
          <w:rFonts w:ascii="Times New Roman" w:cs="Times New Roman" w:eastAsia="Times New Roman" w:hAnsi="Times New Roman"/>
          <w:sz w:val="20"/>
          <w:szCs w:val="20"/>
          <w:color w:val="auto"/>
        </w:rPr>
        <w:t>”), except that if Participant is terminated for Cause, no further Data Center DRAM Mix Performance Units shall vest after the date of termination.</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Certain Award Limitations</w:t>
      </w:r>
      <w:r>
        <w:rPr>
          <w:rFonts w:ascii="Times New Roman" w:cs="Times New Roman" w:eastAsia="Times New Roman" w:hAnsi="Times New Roman"/>
          <w:sz w:val="20"/>
          <w:szCs w:val="20"/>
          <w:color w:val="auto"/>
        </w:rPr>
        <w:t>. The maximum number of Data Center DRAM Mix Performance Units that may vest under this Award is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Maximum Number of Shares Subject to Data Center DRAM Mix Performance Units as set forth in the Notice of Grant.</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Concurrently with this Award of Data Center DRAM Mix Performance Units, Participant is receiving (a) an award of HBM3E+ Performance Units, which are performance-based Restricted Stock Units that may be earned based on achievement of certain goals related to HBM3E+ market share or bit shipments (the “</w:t>
      </w:r>
      <w:r>
        <w:rPr>
          <w:rFonts w:ascii="Times New Roman" w:cs="Times New Roman" w:eastAsia="Times New Roman" w:hAnsi="Times New Roman"/>
          <w:sz w:val="20"/>
          <w:szCs w:val="20"/>
          <w:u w:val="single" w:color="auto"/>
          <w:color w:val="auto"/>
        </w:rPr>
        <w:t>HBM3E Award</w:t>
      </w:r>
      <w:r>
        <w:rPr>
          <w:rFonts w:ascii="Times New Roman" w:cs="Times New Roman" w:eastAsia="Times New Roman" w:hAnsi="Times New Roman"/>
          <w:sz w:val="20"/>
          <w:szCs w:val="20"/>
          <w:color w:val="auto"/>
        </w:rPr>
        <w:t>”), as described in the award agreement covering the HBM3E Award, and (b) an award of rTSR CAGR Performance Units, which are performance-based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20"/>
          <w:szCs w:val="20"/>
          <w:u w:val="single" w:color="auto"/>
          <w:color w:val="auto"/>
        </w:rPr>
        <w:t>rTSR CAGR Award</w:t>
      </w:r>
      <w:r>
        <w:rPr>
          <w:rFonts w:ascii="Times New Roman" w:cs="Times New Roman" w:eastAsia="Times New Roman" w:hAnsi="Times New Roman"/>
          <w:sz w:val="20"/>
          <w:szCs w:val="20"/>
          <w:color w:val="auto"/>
        </w:rPr>
        <w:t>”), as described in the award agreement covering the rTSR CAGR Award. This Award of Data Center DRAM Mix Performance Units, together with the HBM3E Award and the rTSR CAGR Award, are referred to as the “</w:t>
      </w:r>
      <w:r>
        <w:rPr>
          <w:rFonts w:ascii="Times New Roman" w:cs="Times New Roman" w:eastAsia="Times New Roman" w:hAnsi="Times New Roman"/>
          <w:sz w:val="20"/>
          <w:szCs w:val="20"/>
          <w:u w:val="single" w:color="auto"/>
          <w:color w:val="auto"/>
        </w:rPr>
        <w:t>FY 2026 Performance Awards</w:t>
      </w:r>
      <w:r>
        <w:rPr>
          <w:rFonts w:ascii="Times New Roman" w:cs="Times New Roman" w:eastAsia="Times New Roman" w:hAnsi="Times New Roman"/>
          <w:sz w:val="20"/>
          <w:szCs w:val="20"/>
          <w:color w:val="auto"/>
        </w:rPr>
        <w:t>,” and the total number of Restricted Stock Units under the FY 2026 Performance Awards (the “</w:t>
      </w: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eligible to be earned under the FY 2026 Performance Awards assuming at-target achievement is referred to as the “</w:t>
      </w:r>
      <w:r>
        <w:rPr>
          <w:rFonts w:ascii="Times New Roman" w:cs="Times New Roman" w:eastAsia="Times New Roman" w:hAnsi="Times New Roman"/>
          <w:sz w:val="20"/>
          <w:szCs w:val="20"/>
          <w:u w:val="single" w:color="auto"/>
          <w:color w:val="auto"/>
        </w:rPr>
        <w:t>Target Total Award</w:t>
      </w:r>
      <w:r>
        <w:rPr>
          <w:rFonts w:ascii="Times New Roman" w:cs="Times New Roman" w:eastAsia="Times New Roman" w:hAnsi="Times New Roman"/>
          <w:sz w:val="20"/>
          <w:szCs w:val="20"/>
          <w:color w:val="auto"/>
        </w:rPr>
        <w:t>” and is calculated as the sum of (i) the Target Number of Shares Subject to Data Center DRAM Mix Performance Units under this Award of Data Center DRAM Mix Performance Units, plus (ii) the Target Number of Shares Subject to HBM3E+ Performance Units as specified in the HBM3E Award, plus (iii) the Target Number of Shares Subject to rTSR CAGR Performance Units as specified in the rTSR CAGR Award. Notwithstanding any contrary provision of this Award Agreement, the number of Performance Units that may be earned under the FY 2026 Performance Awards (taken together) during the Performance Period will not exceed two (2) times the Target Total Award (the “</w:t>
      </w:r>
      <w:r>
        <w:rPr>
          <w:rFonts w:ascii="Times New Roman" w:cs="Times New Roman" w:eastAsia="Times New Roman" w:hAnsi="Times New Roman"/>
          <w:sz w:val="20"/>
          <w:szCs w:val="20"/>
          <w:u w:val="single" w:color="auto"/>
          <w:color w:val="auto"/>
        </w:rPr>
        <w:t>2x Limit</w:t>
      </w:r>
      <w:r>
        <w:rPr>
          <w:rFonts w:ascii="Times New Roman" w:cs="Times New Roman" w:eastAsia="Times New Roman" w:hAnsi="Times New Roman"/>
          <w:sz w:val="20"/>
          <w:szCs w:val="20"/>
          <w:color w:val="auto"/>
        </w:rPr>
        <w:t xml:space="preserve">”). To the extent that, as of any applicable date, the aggregate number of Performance Units that would otherwise be earned under the FY 2026 Performance Awards in accordance with the applicable provisions as of such date, together,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Performance Units that were earned previously in the Performance Period with respect to the FY 2026 Performance Awards, would exceed the 2x Limit, the number of Performance Units becoming earned with respect to the rTSR CAGR Award will be reduced such that the aggregate number of Performance Units becoming earned as of such date with respect to the FY 2026 Performance Awards upon such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Performance Units that have become earned previously during the Performance Period with respect to the FY 2026 Performance Awards, is equal to the 2x Limit. If, immediately after any date during the Performance Period, the aggregate number of Performance Units that have become earned pursuant to the FY 2026 Performance Awards is less than the 2x Limit, then the opportunity to earn the excess of the 2x Limit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aggregate number of Performance Units that have been earned will exist in any remaining Performance Period Fiscal Year(s).</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Notwithstanding anything to the contrary herein, the maximum aggregate grant of awards may not exceed 5,000,000 shares of the Company’s Common Stock in any one calendar year to any one participant (including for calendar year 2025, the FY 2026 Performance Awards granted to Participant), as provided in Section 4.6 of the Plan.</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Recoupment</w:t>
      </w:r>
      <w:r>
        <w:rPr>
          <w:rFonts w:ascii="Times New Roman" w:cs="Times New Roman" w:eastAsia="Times New Roman" w:hAnsi="Times New Roman"/>
          <w:sz w:val="20"/>
          <w:szCs w:val="20"/>
          <w:color w:val="auto"/>
        </w:rPr>
        <w:t>. As provided in further detail in Section 26 of the Terms and Conditions of Performance Unit Grant comprising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Agreement, the Data Center DRAM Mix Performance Units are subject to any Clawback Policy, or other recovery obligation as may be necessary to comply with applicable laws.</w:t>
      </w:r>
    </w:p>
    <w:p>
      <w:pPr>
        <w:spacing w:after="0" w:line="1" w:lineRule="exact"/>
        <w:rPr>
          <w:sz w:val="20"/>
          <w:szCs w:val="20"/>
          <w:color w:val="auto"/>
        </w:rPr>
      </w:pPr>
    </w:p>
    <w:p>
      <w:pPr>
        <w:ind w:left="4980"/>
        <w:spacing w:after="0"/>
        <w:tabs>
          <w:tab w:leader="none" w:pos="5560" w:val="left"/>
          <w:tab w:leader="none" w:pos="61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88" w:name="page89"/>
    <w:bookmarkEnd w:id="88"/>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COUNTRY ADDENDUM</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[Standard Micron addendum for compliance with non-US tax and securities 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omitted. Addendum will be included for individual grantees if needed for compliance.]</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7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HBM3E+ Performance Unit Agreement (2025 EIP) – FY2026</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NOTICE OF PERFORMANCE UNIT GRANT</w:t>
      </w:r>
    </w:p>
    <w:p>
      <w:pPr>
        <w:spacing w:after="0" w:line="207" w:lineRule="exact"/>
        <w:rPr>
          <w:sz w:val="20"/>
          <w:szCs w:val="20"/>
          <w:color w:val="auto"/>
        </w:rPr>
      </w:pPr>
    </w:p>
    <w:p>
      <w:pPr>
        <w:jc w:val="both"/>
        <w:ind w:right="100" w:firstLine="593"/>
        <w:spacing w:after="0" w:line="277" w:lineRule="auto"/>
        <w:rPr>
          <w:sz w:val="20"/>
          <w:szCs w:val="20"/>
          <w:color w:val="auto"/>
        </w:rPr>
      </w:pPr>
      <w:r>
        <w:rPr>
          <w:rFonts w:ascii="Times New Roman" w:cs="Times New Roman" w:eastAsia="Times New Roman" w:hAnsi="Times New Roman"/>
          <w:sz w:val="19"/>
          <w:szCs w:val="19"/>
          <w:color w:val="auto"/>
        </w:rPr>
        <w:t>Unless otherwise defined herein, the terms defined in the Micron Technology, Inc. 2025 Equity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will have the same defined meanings in this Performance Unit Agreement which includes the Notice of Performance Unit Grant (the “</w:t>
      </w:r>
      <w:r>
        <w:rPr>
          <w:rFonts w:ascii="Times New Roman" w:cs="Times New Roman" w:eastAsia="Times New Roman" w:hAnsi="Times New Roman"/>
          <w:sz w:val="19"/>
          <w:szCs w:val="19"/>
          <w:u w:val="single" w:color="auto"/>
          <w:color w:val="auto"/>
        </w:rPr>
        <w:t>Notice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xml:space="preserve">”), the Terms and Conditions of Performance Unit Grant,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Additional Terms of HBM3E+ Performance Units,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and all other exhibits, appendices, and addenda attached hereto (collectively, the “</w:t>
      </w:r>
      <w:r>
        <w:rPr>
          <w:rFonts w:ascii="Times New Roman" w:cs="Times New Roman" w:eastAsia="Times New Roman" w:hAnsi="Times New Roman"/>
          <w:sz w:val="19"/>
          <w:szCs w:val="19"/>
          <w:u w:val="single" w:color="auto"/>
          <w:color w:val="auto"/>
        </w:rPr>
        <w:t>Award Agreement</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ind w:left="600"/>
        <w:spacing w:after="0"/>
        <w:tabs>
          <w:tab w:leader="none" w:pos="2200" w:val="left"/>
        </w:tabs>
        <w:rPr>
          <w:sz w:val="20"/>
          <w:szCs w:val="20"/>
          <w:color w:val="auto"/>
        </w:rPr>
      </w:pPr>
      <w:r>
        <w:rPr>
          <w:rFonts w:ascii="Times New Roman" w:cs="Times New Roman" w:eastAsia="Times New Roman" w:hAnsi="Times New Roman"/>
          <w:sz w:val="20"/>
          <w:szCs w:val="20"/>
          <w:color w:val="auto"/>
        </w:rPr>
        <w:t>Participant Name:</w:t>
      </w:r>
      <w:r>
        <w:rPr>
          <w:sz w:val="20"/>
          <w:szCs w:val="20"/>
          <w:color w:val="auto"/>
        </w:rPr>
        <w:tab/>
      </w:r>
      <w:r>
        <w:rPr>
          <w:rFonts w:ascii="Times New Roman" w:cs="Times New Roman" w:eastAsia="Times New Roman" w:hAnsi="Times New Roman"/>
          <w:sz w:val="19"/>
          <w:szCs w:val="19"/>
          <w:color w:val="auto"/>
        </w:rPr>
        <w:t>###PARTICIPANT_NAME###</w:t>
      </w:r>
    </w:p>
    <w:p>
      <w:pPr>
        <w:spacing w:after="0" w:line="203" w:lineRule="exact"/>
        <w:rPr>
          <w:sz w:val="20"/>
          <w:szCs w:val="20"/>
          <w:color w:val="auto"/>
        </w:rPr>
      </w:pPr>
    </w:p>
    <w:p>
      <w:pPr>
        <w:jc w:val="both"/>
        <w:ind w:right="100" w:firstLine="593"/>
        <w:spacing w:after="0" w:line="259" w:lineRule="auto"/>
        <w:rPr>
          <w:sz w:val="20"/>
          <w:szCs w:val="20"/>
          <w:color w:val="auto"/>
        </w:rPr>
      </w:pPr>
      <w:r>
        <w:rPr>
          <w:rFonts w:ascii="Times New Roman" w:cs="Times New Roman" w:eastAsia="Times New Roman" w:hAnsi="Times New Roman"/>
          <w:sz w:val="20"/>
          <w:szCs w:val="20"/>
          <w:color w:val="auto"/>
        </w:rPr>
        <w:t>The undersigned Participant has been granted the right to receive an Award of performance-based Restricted Stock Units (the “</w:t>
      </w:r>
      <w:r>
        <w:rPr>
          <w:rFonts w:ascii="Times New Roman" w:cs="Times New Roman" w:eastAsia="Times New Roman" w:hAnsi="Times New Roman"/>
          <w:sz w:val="20"/>
          <w:szCs w:val="20"/>
          <w:u w:val="single" w:color="auto"/>
          <w:color w:val="auto"/>
        </w:rPr>
        <w:t>HBM3E+ Performance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subject to the terms and conditions of the Plan and this Award Agreement, as follows:</w:t>
      </w:r>
    </w:p>
    <w:p>
      <w:pPr>
        <w:sectPr>
          <w:pgSz w:w="11900" w:h="16838" w:orient="portrait"/>
          <w:cols w:equalWidth="0" w:num="1">
            <w:col w:w="11340"/>
          </w:cols>
          <w:pgMar w:left="320" w:top="1440" w:right="239" w:bottom="1440" w:gutter="0" w:footer="0" w:header="0"/>
        </w:sectPr>
      </w:pP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Number:</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Target Number of Shares Subject to HBM3E+ Performance Units:</w:t>
      </w:r>
    </w:p>
    <w:p>
      <w:pPr>
        <w:spacing w:after="0" w:line="30" w:lineRule="exact"/>
        <w:rPr>
          <w:sz w:val="20"/>
          <w:szCs w:val="20"/>
          <w:color w:val="auto"/>
        </w:rPr>
      </w:pPr>
    </w:p>
    <w:p>
      <w:pPr>
        <w:ind w:left="660" w:right="220"/>
        <w:spacing w:after="0" w:line="237" w:lineRule="auto"/>
        <w:rPr>
          <w:sz w:val="20"/>
          <w:szCs w:val="20"/>
          <w:color w:val="auto"/>
        </w:rPr>
      </w:pPr>
      <w:r>
        <w:rPr>
          <w:rFonts w:ascii="Times New Roman" w:cs="Times New Roman" w:eastAsia="Times New Roman" w:hAnsi="Times New Roman"/>
          <w:sz w:val="20"/>
          <w:szCs w:val="20"/>
          <w:color w:val="auto"/>
        </w:rPr>
        <w:t>Maximum Number of Shares Subject to HBM3E+ Performance Units:</w:t>
      </w:r>
    </w:p>
    <w:p>
      <w:pPr>
        <w:spacing w:after="0" w:line="3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680"/>
        <w:spacing w:after="0" w:line="285" w:lineRule="auto"/>
        <w:rPr>
          <w:sz w:val="20"/>
          <w:szCs w:val="20"/>
          <w:color w:val="auto"/>
        </w:rPr>
      </w:pPr>
      <w:r>
        <w:rPr>
          <w:rFonts w:ascii="Times New Roman" w:cs="Times New Roman" w:eastAsia="Times New Roman" w:hAnsi="Times New Roman"/>
          <w:sz w:val="19"/>
          <w:szCs w:val="19"/>
          <w:color w:val="auto"/>
        </w:rPr>
        <w:t>###EMPLOYEE_GRANT_NUMBER### ###GRANT_DATE### ###TOTAL_AWARDS###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-163830</wp:posOffset>
            </wp:positionV>
            <wp:extent cx="32531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53105" cy="76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-328295</wp:posOffset>
            </wp:positionV>
            <wp:extent cx="32531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53105" cy="762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20"/>
          <w:szCs w:val="20"/>
          <w:color w:val="auto"/>
        </w:rPr>
        <w:t>266% of Target Number of Shares Subject to HBM3E+ Perform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2540</wp:posOffset>
            </wp:positionV>
            <wp:extent cx="32531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253105" cy="76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-287655</wp:posOffset>
            </wp:positionV>
            <wp:extent cx="325310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253105" cy="7620"/>
                    </a:xfrm>
                    <a:prstGeom prst="rect">
                      <a:avLst/>
                    </a:prstGeom>
                    <a:noFill/>
                  </pic:spPr>
                </pic:pic>
              </a:graphicData>
            </a:graphic>
          </wp:anchor>
        </w:drawing>
      </w:r>
    </w:p>
    <w:p>
      <w:pPr>
        <w:spacing w:after="0" w:line="717" w:lineRule="exact"/>
        <w:rPr>
          <w:sz w:val="20"/>
          <w:szCs w:val="20"/>
          <w:color w:val="auto"/>
        </w:rPr>
      </w:pPr>
    </w:p>
    <w:p>
      <w:pPr>
        <w:sectPr>
          <w:pgSz w:w="11900" w:h="16838" w:orient="portrait"/>
          <w:cols w:equalWidth="0" w:num="2">
            <w:col w:w="5920" w:space="360"/>
            <w:col w:w="5060"/>
          </w:cols>
          <w:pgMar w:left="320" w:top="1440" w:right="239" w:bottom="1440" w:gutter="0" w:footer="0" w:header="0"/>
          <w:type w:val="continuous"/>
        </w:sectPr>
      </w:pPr>
    </w:p>
    <w:p>
      <w:pPr>
        <w:spacing w:after="0" w:line="3" w:lineRule="exact"/>
        <w:rPr>
          <w:sz w:val="20"/>
          <w:szCs w:val="20"/>
          <w:color w:val="auto"/>
        </w:rPr>
      </w:pPr>
    </w:p>
    <w:p>
      <w:pPr>
        <w:jc w:val="both"/>
        <w:ind w:right="100" w:firstLine="593"/>
        <w:spacing w:after="0" w:line="274" w:lineRule="auto"/>
        <w:rPr>
          <w:sz w:val="20"/>
          <w:szCs w:val="20"/>
          <w:color w:val="auto"/>
        </w:rPr>
      </w:pPr>
      <w:r>
        <w:rPr>
          <w:rFonts w:ascii="Times New Roman" w:cs="Times New Roman" w:eastAsia="Times New Roman" w:hAnsi="Times New Roman"/>
          <w:sz w:val="20"/>
          <w:szCs w:val="20"/>
          <w:color w:val="auto"/>
        </w:rPr>
        <w:t xml:space="preserve">Subject to any acceleration provisions contained in the Plan or set forth below, the HBM3E+ Performance Units will be scheduled to vest in accordance with, and be subject to, the Additional Terms of HBM3E+ Performance Units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right="100" w:firstLine="593"/>
        <w:spacing w:after="0" w:line="252" w:lineRule="auto"/>
        <w:rPr>
          <w:sz w:val="20"/>
          <w:szCs w:val="20"/>
          <w:color w:val="auto"/>
        </w:rPr>
      </w:pPr>
      <w:r>
        <w:rPr>
          <w:rFonts w:ascii="Times New Roman" w:cs="Times New Roman" w:eastAsia="Times New Roman" w:hAnsi="Times New Roman"/>
          <w:sz w:val="20"/>
          <w:szCs w:val="20"/>
          <w:color w:val="auto"/>
        </w:rPr>
        <w:t>If Participant’s status as a Service Provider ends for any reason before Participant vests in all or some of the HBM3E+ Performance Units, the unvested HBM3E+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any of its Subsidiaries or Parents, as applicable (provided that any such other written agreement must have been duly authorized and signed by an officer of the Company or any of its Subsidiaries or Parents).</w:t>
      </w:r>
    </w:p>
    <w:p>
      <w:pPr>
        <w:sectPr>
          <w:pgSz w:w="11900" w:h="16838" w:orient="portrait"/>
          <w:cols w:equalWidth="0" w:num="1">
            <w:col w:w="11340"/>
          </w:cols>
          <w:pgMar w:left="320" w:top="1440" w:right="239" w:bottom="1440" w:gutter="0" w:footer="0" w:header="0"/>
          <w:type w:val="continuous"/>
        </w:sectPr>
      </w:pPr>
    </w:p>
    <w:bookmarkStart w:id="90" w:name="page91"/>
    <w:bookmarkEnd w:id="90"/>
    <w:p>
      <w:pPr>
        <w:spacing w:after="0" w:line="269" w:lineRule="exact"/>
        <w:rPr>
          <w:sz w:val="20"/>
          <w:szCs w:val="20"/>
          <w:color w:val="auto"/>
        </w:rPr>
      </w:pPr>
    </w:p>
    <w:p>
      <w:pPr>
        <w:jc w:val="both"/>
        <w:ind w:firstLine="593"/>
        <w:spacing w:after="0" w:line="251" w:lineRule="auto"/>
        <w:rPr>
          <w:sz w:val="20"/>
          <w:szCs w:val="20"/>
          <w:color w:val="auto"/>
        </w:rPr>
      </w:pPr>
      <w:r>
        <w:rPr>
          <w:rFonts w:ascii="Times New Roman" w:cs="Times New Roman" w:eastAsia="Times New Roman" w:hAnsi="Times New Roman"/>
          <w:sz w:val="20"/>
          <w:szCs w:val="20"/>
          <w:color w:val="auto"/>
        </w:rPr>
        <w:t>By Participant electronically accepting this Award Agreement or manually signing this Award Agreement (in either case, as and in the manner specified by the Company), Participant and the Company agree that (1) this HBM3E+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___________________________ </w:t>
      </w:r>
      <w:r>
        <w:rPr>
          <w:rFonts w:ascii="Times New Roman" w:cs="Times New Roman" w:eastAsia="Times New Roman" w:hAnsi="Times New Roman"/>
          <w:sz w:val="18"/>
          <w:szCs w:val="18"/>
          <w:u w:val="single" w:color="auto"/>
          <w:color w:val="auto"/>
        </w:rPr>
        <w:t>/s/ April Arnzen____________________</w:t>
      </w:r>
    </w:p>
    <w:p>
      <w:pPr>
        <w:spacing w:after="0" w:line="29"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color w:val="auto"/>
        </w:rPr>
        <w:t>###PARTICIPANT_NAME###</w:t>
      </w:r>
      <w:r>
        <w:rPr>
          <w:sz w:val="20"/>
          <w:szCs w:val="20"/>
          <w:color w:val="auto"/>
        </w:rPr>
        <w:tab/>
      </w:r>
      <w:r>
        <w:rPr>
          <w:rFonts w:ascii="Times New Roman" w:cs="Times New Roman" w:eastAsia="Times New Roman" w:hAnsi="Times New Roman"/>
          <w:sz w:val="18"/>
          <w:szCs w:val="18"/>
          <w:color w:val="auto"/>
        </w:rPr>
        <w:t>April Arnzen</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EVP and Chief People Officer</w:t>
      </w:r>
    </w:p>
    <w:p>
      <w:pPr>
        <w:spacing w:after="0" w:line="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Date: ###GRANT_DATE###</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 OF PERFORMANCE UNIT GRANT</w:t>
      </w:r>
    </w:p>
    <w:p>
      <w:pPr>
        <w:spacing w:after="0" w:line="182" w:lineRule="exact"/>
        <w:rPr>
          <w:sz w:val="20"/>
          <w:szCs w:val="20"/>
          <w:color w:val="auto"/>
        </w:rPr>
      </w:pPr>
    </w:p>
    <w:p>
      <w:pPr>
        <w:jc w:val="both"/>
        <w:ind w:firstLine="592"/>
        <w:spacing w:after="0" w:line="219" w:lineRule="auto"/>
        <w:tabs>
          <w:tab w:leader="none" w:pos="11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HBM3E+ Performance Units</w:t>
      </w:r>
      <w:r>
        <w:rPr>
          <w:rFonts w:ascii="Times New Roman" w:cs="Times New Roman" w:eastAsia="Times New Roman" w:hAnsi="Times New Roman"/>
          <w:sz w:val="20"/>
          <w:szCs w:val="20"/>
          <w:color w:val="auto"/>
        </w:rPr>
        <w:t>. The Company hereby grants to the individual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named in the Notice of Performance Unit Grant of this Award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an Award of performance-based Restricted Stock Units (and referred to herein as HBM3E+ Performance Units) under the Plan, subject to the terms and conditions of this Award Agreement and the Plan, which is incorporated herein by reference. Subject to Section 20.3 of the Plan, in the event of a conflict between the terms and conditions of the Plan and this Award Agreement, the terms and conditions of the Plan shall prevail.</w:t>
      </w:r>
    </w:p>
    <w:p>
      <w:pPr>
        <w:spacing w:after="0" w:line="137"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Pay</w:t>
      </w:r>
      <w:r>
        <w:rPr>
          <w:rFonts w:ascii="Times New Roman" w:cs="Times New Roman" w:eastAsia="Times New Roman" w:hAnsi="Times New Roman"/>
          <w:sz w:val="20"/>
          <w:szCs w:val="20"/>
          <w:color w:val="auto"/>
        </w:rPr>
        <w:t>. Each HBM3E+ Performance Unit represents the right to receive a Share on the date it vests. Unless and until the HBM3E+ Performance Units have vested in the manner set forth in Section 3 or 4, Participant will have no right to payment of any such HBM3E+ Performance Units. Prior to actual payment of any vested HBM3E+ Performance Units, such HBM3E+ Performance Unit will represent an unsecured obligation of the Company, payable (if at all) only from the general assets of the Company.</w:t>
      </w:r>
    </w:p>
    <w:p>
      <w:pPr>
        <w:spacing w:after="0" w:line="138" w:lineRule="exact"/>
        <w:rPr>
          <w:rFonts w:ascii="Times New Roman" w:cs="Times New Roman" w:eastAsia="Times New Roman" w:hAnsi="Times New Roman"/>
          <w:sz w:val="20"/>
          <w:szCs w:val="20"/>
          <w:color w:val="auto"/>
        </w:rPr>
      </w:pPr>
    </w:p>
    <w:p>
      <w:pPr>
        <w:jc w:val="both"/>
        <w:ind w:firstLine="592"/>
        <w:spacing w:after="0" w:line="227" w:lineRule="auto"/>
        <w:tabs>
          <w:tab w:leader="none" w:pos="11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and subject to Section 5, the HBM3E+ Performance Units awarded by this Award Agreement will vest in accordance with the vesting provisions set forth in the Notice of Grant, subject to Participant remaining a Service Provider through each applicable vesting date.</w:t>
      </w:r>
    </w:p>
    <w:p>
      <w:pPr>
        <w:spacing w:after="0" w:line="138" w:lineRule="exact"/>
        <w:rPr>
          <w:rFonts w:ascii="Times New Roman" w:cs="Times New Roman" w:eastAsia="Times New Roman" w:hAnsi="Times New Roman"/>
          <w:sz w:val="20"/>
          <w:szCs w:val="20"/>
          <w:color w:val="auto"/>
        </w:rPr>
      </w:pPr>
    </w:p>
    <w:p>
      <w:pPr>
        <w:ind w:left="1180" w:hanging="588"/>
        <w:spacing w:after="0"/>
        <w:tabs>
          <w:tab w:leader="none" w:pos="11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186"/>
        <w:spacing w:after="0" w:line="230" w:lineRule="auto"/>
        <w:tabs>
          <w:tab w:leader="none" w:pos="1777"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Rule</w:t>
      </w:r>
      <w:r>
        <w:rPr>
          <w:rFonts w:ascii="Times New Roman" w:cs="Times New Roman" w:eastAsia="Times New Roman" w:hAnsi="Times New Roman"/>
          <w:sz w:val="19"/>
          <w:szCs w:val="19"/>
          <w:color w:val="auto"/>
        </w:rPr>
        <w:t>. Subject to Section 8, any HBM3E+ Performance Units that vest will be paid to Participant (or in the event of Participant’s death, to his or her properly designated beneficiary or estate) in Shares. Subject to this Section 4 and Section 9, such vested HBM3E+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19"/>
          <w:szCs w:val="19"/>
          <w:u w:val="single" w:color="auto"/>
          <w:color w:val="auto"/>
        </w:rPr>
        <w:t>Settlement Date</w:t>
      </w:r>
      <w:r>
        <w:rPr>
          <w:rFonts w:ascii="Times New Roman" w:cs="Times New Roman" w:eastAsia="Times New Roman" w:hAnsi="Times New Roman"/>
          <w:sz w:val="19"/>
          <w:szCs w:val="19"/>
          <w:color w:val="auto"/>
        </w:rPr>
        <w:t>”). In no event will Participant be permitted, directly or indirectly, to specify the taxable year of payment of any HBM3E+ Performance Units payable under this Award Agreement.</w:t>
      </w:r>
    </w:p>
    <w:p>
      <w:pPr>
        <w:spacing w:after="0" w:line="139" w:lineRule="exact"/>
        <w:rPr>
          <w:rFonts w:ascii="Times New Roman" w:cs="Times New Roman" w:eastAsia="Times New Roman" w:hAnsi="Times New Roman"/>
          <w:sz w:val="19"/>
          <w:szCs w:val="19"/>
          <w:color w:val="auto"/>
        </w:rPr>
      </w:pPr>
    </w:p>
    <w:p>
      <w:pPr>
        <w:ind w:left="1780" w:hanging="594"/>
        <w:spacing w:after="0"/>
        <w:tabs>
          <w:tab w:leader="none" w:pos="17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779"/>
        <w:spacing w:after="0" w:line="227" w:lineRule="auto"/>
        <w:tabs>
          <w:tab w:leader="none" w:pos="2362"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Participant ceases to be a Service Provider on account of Participant’s death or Participant becoming Disabled, any HBM3E+ Performance Units that both were unexpired and unvested as of the date Participant ceases to be a Service Provider, will vest on such date.</w:t>
      </w:r>
    </w:p>
    <w:p>
      <w:pPr>
        <w:spacing w:after="0" w:line="138" w:lineRule="exact"/>
        <w:rPr>
          <w:rFonts w:ascii="Times New Roman" w:cs="Times New Roman" w:eastAsia="Times New Roman" w:hAnsi="Times New Roman"/>
          <w:sz w:val="20"/>
          <w:szCs w:val="20"/>
          <w:color w:val="auto"/>
        </w:rPr>
      </w:pPr>
    </w:p>
    <w:p>
      <w:pPr>
        <w:jc w:val="both"/>
        <w:ind w:firstLine="1779"/>
        <w:spacing w:after="0" w:line="219" w:lineRule="auto"/>
        <w:tabs>
          <w:tab w:leader="none" w:pos="2368"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before Participant ceases to be a Service Provider, any HBM3E+ Performance Units will be treated in accordance with the terms of the Plan.</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45" w:lineRule="exact"/>
        <w:rPr>
          <w:sz w:val="20"/>
          <w:szCs w:val="20"/>
          <w:color w:val="auto"/>
        </w:rPr>
      </w:pPr>
    </w:p>
    <w:p>
      <w:pPr>
        <w:jc w:val="both"/>
        <w:ind w:left="-592" w:firstLine="1779"/>
        <w:spacing w:after="0" w:line="216" w:lineRule="auto"/>
        <w:tabs>
          <w:tab w:leader="none" w:pos="1781"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Acceleration</w:t>
      </w:r>
      <w:r>
        <w:rPr>
          <w:rFonts w:ascii="Times New Roman" w:cs="Times New Roman" w:eastAsia="Times New Roman" w:hAnsi="Times New Roman"/>
          <w:sz w:val="20"/>
          <w:szCs w:val="20"/>
          <w:color w:val="auto"/>
        </w:rPr>
        <w:t>. The Administrator, in its discretion, may accelerate the vesting of the balance, or some lesser portion of the balance, of the unvested HBM3E+ Performance Units at any time, subject to the terms of the Plan. If so accelerated, such HBM3E+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prior sentence may be superseded in a future agreement or amendment to this Award Agreement only by direct and specific reference to such sentence.</w:t>
      </w:r>
    </w:p>
    <w:p>
      <w:pPr>
        <w:spacing w:after="0" w:line="142" w:lineRule="exact"/>
        <w:rPr>
          <w:rFonts w:ascii="Times New Roman" w:cs="Times New Roman" w:eastAsia="Times New Roman" w:hAnsi="Times New Roman"/>
          <w:sz w:val="20"/>
          <w:szCs w:val="20"/>
          <w:color w:val="auto"/>
        </w:rPr>
      </w:pPr>
    </w:p>
    <w:p>
      <w:pPr>
        <w:jc w:val="both"/>
        <w:ind w:left="-592" w:firstLine="1779"/>
        <w:spacing w:after="0" w:line="223" w:lineRule="auto"/>
        <w:tabs>
          <w:tab w:leader="none" w:pos="1770"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Plan or this Award Agreement or any other agreement (whether entered into before, on, or after the Date of Grant), if the vesting of the balance, or some lesser portion of the balance, of the HBM3E+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HBM3E+ Performance Units will result in the imposition of additional tax under Section 409A if paid to Participant on or within the six (6) month period following the cessation of Participant’s status as a Service Provider, then the payment of such accelerated HBM3E+ Performance Units will not be made until the date six (6) months and one (1) day following the date of cessation of Participant’s status as a Service Provider, unless Participant dies following his or her termination as a Service Provider, in which case, the HBM3E+ Performance Units will be paid in Shares to Participant’s estate as soon as practicable following his or her death.</w:t>
      </w:r>
    </w:p>
    <w:p>
      <w:pPr>
        <w:spacing w:after="0" w:line="145" w:lineRule="exact"/>
        <w:rPr>
          <w:rFonts w:ascii="Times New Roman" w:cs="Times New Roman" w:eastAsia="Times New Roman" w:hAnsi="Times New Roman"/>
          <w:sz w:val="19"/>
          <w:szCs w:val="19"/>
          <w:color w:val="auto"/>
        </w:rPr>
      </w:pPr>
    </w:p>
    <w:p>
      <w:pPr>
        <w:jc w:val="both"/>
        <w:ind w:left="-592" w:firstLine="1186"/>
        <w:spacing w:after="0" w:line="215" w:lineRule="auto"/>
        <w:tabs>
          <w:tab w:leader="none" w:pos="118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Award Agreement that it and all payments and benefits to U.S. taxpayers hereunder be exempt from, or comply with, the requirements of Section 409A so that none of the HBM3E+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40"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as a Service Provider</w:t>
      </w:r>
      <w:r>
        <w:rPr>
          <w:rFonts w:ascii="Times New Roman" w:cs="Times New Roman" w:eastAsia="Times New Roman" w:hAnsi="Times New Roman"/>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HBM3E+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142" w:lineRule="exact"/>
        <w:rPr>
          <w:rFonts w:ascii="Times New Roman" w:cs="Times New Roman" w:eastAsia="Times New Roman" w:hAnsi="Times New Roman"/>
          <w:sz w:val="20"/>
          <w:szCs w:val="20"/>
          <w:color w:val="auto"/>
        </w:rPr>
      </w:pPr>
    </w:p>
    <w:p>
      <w:pPr>
        <w:jc w:val="both"/>
        <w:ind w:left="-592" w:firstLine="592"/>
        <w:spacing w:after="0" w:line="219" w:lineRule="auto"/>
        <w:tabs>
          <w:tab w:leader="none" w:pos="59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ectPr>
          <w:pgSz w:w="11900" w:h="16838" w:orient="portrait"/>
          <w:cols w:equalWidth="0" w:num="1">
            <w:col w:w="10648"/>
          </w:cols>
          <w:pgMar w:left="912" w:top="1440" w:right="339" w:bottom="1440" w:gutter="0" w:footer="0" w:header="0"/>
        </w:sectPr>
      </w:pPr>
    </w:p>
    <w:bookmarkStart w:id="93" w:name="page94"/>
    <w:bookmarkEnd w:id="93"/>
    <w:p>
      <w:pPr>
        <w:spacing w:after="0" w:line="245" w:lineRule="exact"/>
        <w:rPr>
          <w:sz w:val="20"/>
          <w:szCs w:val="20"/>
          <w:color w:val="auto"/>
        </w:rPr>
      </w:pPr>
    </w:p>
    <w:p>
      <w:pPr>
        <w:jc w:val="both"/>
        <w:ind w:left="-592" w:firstLine="592"/>
        <w:spacing w:after="0" w:line="219" w:lineRule="auto"/>
        <w:tabs>
          <w:tab w:leader="none" w:pos="5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If Participant is deceased, any distribution or delivery under this Award Agreement will be made under such procedures as the Administrator may specify from time to time, or in the absence of such specified procedures, by delivery in the name of the decedent and pursuant to the following additional requirements. Participant’s estate must contact the Company’s stock plan service provider and work directly with the Company’s stock plan service provider to set up an estate account to receive access to the distributed or delivered assets. The estate’s administrator or executor must provide:</w:t>
      </w:r>
    </w:p>
    <w:p>
      <w:pPr>
        <w:spacing w:after="0" w:line="162" w:lineRule="exact"/>
        <w:rPr>
          <w:rFonts w:ascii="Times New Roman" w:cs="Times New Roman" w:eastAsia="Times New Roman" w:hAnsi="Times New Roman"/>
          <w:sz w:val="20"/>
          <w:szCs w:val="20"/>
          <w:color w:val="auto"/>
        </w:rPr>
      </w:pPr>
    </w:p>
    <w:p>
      <w:pPr>
        <w:ind w:left="588" w:hanging="588"/>
        <w:spacing w:after="0"/>
        <w:tabs>
          <w:tab w:leader="none" w:pos="58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confirmation of their authority as the authorized representative, and</w:t>
      </w:r>
    </w:p>
    <w:p>
      <w:pPr>
        <w:spacing w:after="0" w:line="202" w:lineRule="exact"/>
        <w:rPr>
          <w:rFonts w:ascii="Times New Roman" w:cs="Times New Roman" w:eastAsia="Times New Roman" w:hAnsi="Times New Roman"/>
          <w:sz w:val="20"/>
          <w:szCs w:val="20"/>
          <w:color w:val="auto"/>
        </w:rPr>
      </w:pPr>
    </w:p>
    <w:p>
      <w:pPr>
        <w:ind w:left="8" w:hanging="8"/>
        <w:spacing w:after="0" w:line="274" w:lineRule="auto"/>
        <w:tabs>
          <w:tab w:leader="none" w:pos="60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documentation acceptable to the service provider verifying the validity of the transfer and compliance with all applicable laws and regulations.</w:t>
      </w:r>
    </w:p>
    <w:p>
      <w:pPr>
        <w:spacing w:after="0" w:line="130" w:lineRule="exact"/>
        <w:rPr>
          <w:rFonts w:ascii="Times New Roman" w:cs="Times New Roman" w:eastAsia="Times New Roman" w:hAnsi="Times New Roman"/>
          <w:sz w:val="20"/>
          <w:szCs w:val="20"/>
          <w:color w:val="auto"/>
        </w:rPr>
      </w:pPr>
    </w:p>
    <w:p>
      <w:pPr>
        <w:ind w:left="588" w:hanging="588"/>
        <w:spacing w:after="0"/>
        <w:tabs>
          <w:tab w:leader="none" w:pos="58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Obligations</w:t>
      </w:r>
    </w:p>
    <w:p>
      <w:pPr>
        <w:spacing w:after="0" w:line="165" w:lineRule="exact"/>
        <w:rPr>
          <w:rFonts w:ascii="Times New Roman" w:cs="Times New Roman" w:eastAsia="Times New Roman" w:hAnsi="Times New Roman"/>
          <w:sz w:val="20"/>
          <w:szCs w:val="20"/>
          <w:color w:val="auto"/>
        </w:rPr>
      </w:pPr>
    </w:p>
    <w:p>
      <w:pPr>
        <w:jc w:val="both"/>
        <w:ind w:left="-592" w:firstLine="1186"/>
        <w:spacing w:after="0" w:line="209" w:lineRule="auto"/>
        <w:tabs>
          <w:tab w:leader="none" w:pos="118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Participant acknowledges that, regardless of any action taken by the Company or, if different, Participant’s employer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or any Parent or Subsidiary to which Participant is providing services (together, the “</w:t>
      </w: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Recipients</w:t>
      </w:r>
      <w:r>
        <w:rPr>
          <w:rFonts w:ascii="Times New Roman" w:cs="Times New Roman" w:eastAsia="Times New Roman" w:hAnsi="Times New Roman"/>
          <w:sz w:val="20"/>
          <w:szCs w:val="20"/>
          <w:color w:val="auto"/>
        </w:rPr>
        <w:t>”), the ultimate liability for any tax and/or social insurance liability obligations and requirements in connection with the HBM3E+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HBM3E+ Performance Units or sale of Shares, and (iii) any other Service Recipient taxes the responsibility for which Participant has, or has agreed to bear, with respect to the HBM3E+ Performance Units (or settlement thereof or issuance of Shares thereunder) (collectively, the “</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HBM3E+ Performance Units, including, but not limited to, the grant, vesting or settlement of the HBM3E+ Performance Units, the subsequent sale of Shares acquired pursuant to such settlement and the receipt of any dividends or other distributions, and (B) makes any commitment to and is under any obligation to structure the terms of the grant or any aspect of the HBM3E+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ectPr>
          <w:pgSz w:w="11900" w:h="16838" w:orient="portrait"/>
          <w:cols w:equalWidth="0" w:num="1">
            <w:col w:w="10648"/>
          </w:cols>
          <w:pgMar w:left="912" w:top="1440" w:right="339" w:bottom="1440" w:gutter="0" w:footer="0" w:header="0"/>
        </w:sectPr>
      </w:pPr>
    </w:p>
    <w:bookmarkStart w:id="94" w:name="page95"/>
    <w:bookmarkEnd w:id="94"/>
    <w:p>
      <w:pPr>
        <w:spacing w:after="0" w:line="245" w:lineRule="exact"/>
        <w:rPr>
          <w:sz w:val="20"/>
          <w:szCs w:val="20"/>
          <w:color w:val="auto"/>
        </w:rPr>
      </w:pPr>
    </w:p>
    <w:p>
      <w:pPr>
        <w:jc w:val="both"/>
        <w:ind w:left="-1120" w:firstLine="1186"/>
        <w:spacing w:after="0" w:line="215"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and Default Method of Tax Withholding</w:t>
      </w:r>
      <w:r>
        <w:rPr>
          <w:rFonts w:ascii="Times New Roman" w:cs="Times New Roman" w:eastAsia="Times New Roman" w:hAnsi="Times New Roman"/>
          <w:sz w:val="20"/>
          <w:szCs w:val="20"/>
          <w:color w:val="auto"/>
        </w:rPr>
        <w:t>. When Shares are issued as payment for vested HBM3E+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40" w:lineRule="exact"/>
        <w:rPr>
          <w:rFonts w:ascii="Times New Roman" w:cs="Times New Roman" w:eastAsia="Times New Roman" w:hAnsi="Times New Roman"/>
          <w:sz w:val="20"/>
          <w:szCs w:val="20"/>
          <w:color w:val="auto"/>
        </w:rPr>
      </w:pPr>
    </w:p>
    <w:p>
      <w:pPr>
        <w:jc w:val="both"/>
        <w:ind w:left="-1120" w:firstLine="1186"/>
        <w:spacing w:after="0" w:line="211" w:lineRule="auto"/>
        <w:tabs>
          <w:tab w:leader="none" w:pos="65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40" w:lineRule="exact"/>
        <w:rPr>
          <w:rFonts w:ascii="Times New Roman" w:cs="Times New Roman" w:eastAsia="Times New Roman" w:hAnsi="Times New Roman"/>
          <w:sz w:val="20"/>
          <w:szCs w:val="20"/>
          <w:color w:val="auto"/>
        </w:rPr>
      </w:pPr>
    </w:p>
    <w:p>
      <w:pPr>
        <w:jc w:val="both"/>
        <w:ind w:left="-1120" w:firstLine="1186"/>
        <w:spacing w:after="0" w:line="215" w:lineRule="auto"/>
        <w:tabs>
          <w:tab w:leader="none" w:pos="65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Deliver Shares</w:t>
      </w:r>
      <w:r>
        <w:rPr>
          <w:rFonts w:ascii="Times New Roman" w:cs="Times New Roman" w:eastAsia="Times New Roman" w:hAnsi="Times New Roman"/>
          <w:sz w:val="20"/>
          <w:szCs w:val="20"/>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HBM3E+ Performance Units otherwise are scheduled to vest pursuant to Sections 3 or 4 or Participant’s Tax Withholding Obligations otherwise become due, Participant will permanently forfeit such HBM3E+ Performance Units to which Participant’s Tax Withholding Obligation relates and any right to receive Shares thereunder and such HBM3E+ Performance Units will be returned to the Company at no cost to the Company.</w:t>
      </w:r>
    </w:p>
    <w:p>
      <w:pPr>
        <w:sectPr>
          <w:pgSz w:w="11900" w:h="16838" w:orient="portrait"/>
          <w:cols w:equalWidth="0" w:num="1">
            <w:col w:w="10120"/>
          </w:cols>
          <w:pgMar w:left="1440" w:top="1440" w:right="339" w:bottom="1440" w:gutter="0" w:footer="0" w:header="0"/>
        </w:sectPr>
      </w:pPr>
    </w:p>
    <w:bookmarkStart w:id="95" w:name="page96"/>
    <w:bookmarkEnd w:id="95"/>
    <w:p>
      <w:pPr>
        <w:spacing w:after="0" w:line="245" w:lineRule="exact"/>
        <w:rPr>
          <w:sz w:val="20"/>
          <w:szCs w:val="20"/>
          <w:color w:val="auto"/>
        </w:rPr>
      </w:pPr>
    </w:p>
    <w:p>
      <w:pPr>
        <w:jc w:val="both"/>
        <w:ind w:left="-592" w:firstLine="592"/>
        <w:spacing w:after="0" w:line="219" w:lineRule="auto"/>
        <w:tabs>
          <w:tab w:leader="none" w:pos="58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Company declares and pays a cash dividend on Shares for which the record date occurs while HBM3E+ Performance Units subject to this Award Agreement remain outstanding, then certain cash amounts (referred to as “</w:t>
      </w:r>
      <w:r>
        <w:rPr>
          <w:rFonts w:ascii="Times New Roman" w:cs="Times New Roman" w:eastAsia="Times New Roman" w:hAnsi="Times New Roman"/>
          <w:sz w:val="20"/>
          <w:szCs w:val="20"/>
          <w:u w:val="single" w:color="auto"/>
          <w:color w:val="auto"/>
        </w:rPr>
        <w:t>DEUs</w:t>
      </w:r>
      <w:r>
        <w:rPr>
          <w:rFonts w:ascii="Times New Roman" w:cs="Times New Roman" w:eastAsia="Times New Roman" w:hAnsi="Times New Roman"/>
          <w:sz w:val="20"/>
          <w:szCs w:val="20"/>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62" w:lineRule="exact"/>
        <w:rPr>
          <w:sz w:val="20"/>
          <w:szCs w:val="20"/>
          <w:color w:val="auto"/>
        </w:rPr>
      </w:pPr>
    </w:p>
    <w:p>
      <w:pPr>
        <w:ind w:left="288" w:hanging="288"/>
        <w:spacing w:after="0"/>
        <w:tabs>
          <w:tab w:leader="none" w:pos="288"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“X” is the aggregate cash amount of the DEUs to be credited with respect to that cash dividend.</w:t>
      </w:r>
    </w:p>
    <w:p>
      <w:pPr>
        <w:spacing w:after="0" w:line="202" w:lineRule="exact"/>
        <w:rPr>
          <w:rFonts w:ascii="Times New Roman" w:cs="Times New Roman" w:eastAsia="Times New Roman" w:hAnsi="Times New Roman"/>
          <w:sz w:val="20"/>
          <w:szCs w:val="20"/>
          <w:b w:val="1"/>
          <w:bCs w:val="1"/>
          <w:color w:val="auto"/>
        </w:rPr>
      </w:pPr>
    </w:p>
    <w:p>
      <w:pPr>
        <w:ind w:left="288" w:hanging="288"/>
        <w:spacing w:after="0" w:line="274" w:lineRule="auto"/>
        <w:tabs>
          <w:tab w:leader="none" w:pos="283"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54" w:lineRule="exact"/>
        <w:rPr>
          <w:rFonts w:ascii="Times New Roman" w:cs="Times New Roman" w:eastAsia="Times New Roman" w:hAnsi="Times New Roman"/>
          <w:sz w:val="20"/>
          <w:szCs w:val="20"/>
          <w:b w:val="1"/>
          <w:bCs w:val="1"/>
          <w:color w:val="auto"/>
        </w:rPr>
      </w:pPr>
    </w:p>
    <w:p>
      <w:pPr>
        <w:ind w:left="288" w:hanging="288"/>
        <w:spacing w:after="0" w:line="274" w:lineRule="auto"/>
        <w:tabs>
          <w:tab w:leader="none" w:pos="283"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 is the number of HBM3E+ Performance Units remaining subject to this Award Agreement as of the cash dividend record date but immediately prior to the application of this Section 9 for that cash dividend.</w:t>
      </w:r>
    </w:p>
    <w:p>
      <w:pPr>
        <w:spacing w:after="0" w:line="117" w:lineRule="exact"/>
        <w:rPr>
          <w:rFonts w:ascii="Times New Roman" w:cs="Times New Roman" w:eastAsia="Times New Roman" w:hAnsi="Times New Roman"/>
          <w:sz w:val="20"/>
          <w:szCs w:val="20"/>
          <w:b w:val="1"/>
          <w:bCs w:val="1"/>
          <w:color w:val="auto"/>
        </w:rPr>
      </w:pPr>
    </w:p>
    <w:p>
      <w:pPr>
        <w:jc w:val="both"/>
        <w:ind w:left="-592" w:firstLine="1186"/>
        <w:spacing w:after="0" w:line="215" w:lineRule="auto"/>
        <w:tabs>
          <w:tab w:leader="none" w:pos="11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DEUs</w:t>
      </w:r>
      <w:r>
        <w:rPr>
          <w:rFonts w:ascii="Times New Roman" w:cs="Times New Roman" w:eastAsia="Times New Roman" w:hAnsi="Times New Roman"/>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40" w:lineRule="exact"/>
        <w:rPr>
          <w:rFonts w:ascii="Times New Roman" w:cs="Times New Roman" w:eastAsia="Times New Roman" w:hAnsi="Times New Roman"/>
          <w:sz w:val="20"/>
          <w:szCs w:val="20"/>
          <w:color w:val="auto"/>
        </w:rPr>
      </w:pPr>
    </w:p>
    <w:p>
      <w:pPr>
        <w:jc w:val="both"/>
        <w:ind w:left="-592" w:firstLine="1186"/>
        <w:spacing w:after="0" w:line="219" w:lineRule="auto"/>
        <w:tabs>
          <w:tab w:leader="none" w:pos="118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and General</w:t>
      </w:r>
      <w:r>
        <w:rPr>
          <w:rFonts w:ascii="Times New Roman" w:cs="Times New Roman" w:eastAsia="Times New Roman" w:hAnsi="Times New Roman"/>
          <w:sz w:val="20"/>
          <w:szCs w:val="20"/>
          <w:color w:val="auto"/>
        </w:rPr>
        <w:t>. DEUs credited under this Section 9 will be subject to the same terms and conditions as the other Shares underlying the HBM3E+ Performance Units on which the DEUs were paid including (but not limited to) being settled at the same time as the settlement of the HBM3E+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37" w:lineRule="exact"/>
        <w:rPr>
          <w:rFonts w:ascii="Times New Roman" w:cs="Times New Roman" w:eastAsia="Times New Roman" w:hAnsi="Times New Roman"/>
          <w:sz w:val="20"/>
          <w:szCs w:val="20"/>
          <w:color w:val="auto"/>
        </w:rPr>
      </w:pPr>
    </w:p>
    <w:p>
      <w:pPr>
        <w:jc w:val="both"/>
        <w:ind w:left="-592" w:firstLine="1186"/>
        <w:spacing w:after="0" w:line="214" w:lineRule="auto"/>
        <w:tabs>
          <w:tab w:leader="none" w:pos="118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w:t>
      </w:r>
      <w:r>
        <w:rPr>
          <w:rFonts w:ascii="Times New Roman" w:cs="Times New Roman" w:eastAsia="Times New Roman" w:hAnsi="Times New Roman"/>
          <w:sz w:val="20"/>
          <w:szCs w:val="20"/>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HBM3E+ Performance Units, DEUs or cash will be credited with respect to any HBM3E+ Performance Units that previously vested and were settled.</w:t>
      </w:r>
    </w:p>
    <w:p>
      <w:pPr>
        <w:sectPr>
          <w:pgSz w:w="11900" w:h="16838" w:orient="portrait"/>
          <w:cols w:equalWidth="0" w:num="1">
            <w:col w:w="10648"/>
          </w:cols>
          <w:pgMar w:left="912" w:top="1440" w:right="339" w:bottom="1440" w:gutter="0" w:footer="0" w:header="0"/>
        </w:sectPr>
      </w:pPr>
    </w:p>
    <w:bookmarkStart w:id="96" w:name="page97"/>
    <w:bookmarkEnd w:id="96"/>
    <w:p>
      <w:pPr>
        <w:spacing w:after="0" w:line="245" w:lineRule="exact"/>
        <w:rPr>
          <w:sz w:val="20"/>
          <w:szCs w:val="20"/>
          <w:color w:val="auto"/>
        </w:rPr>
      </w:pPr>
    </w:p>
    <w:p>
      <w:pPr>
        <w:jc w:val="both"/>
        <w:ind w:firstLine="592"/>
        <w:spacing w:after="0" w:line="216" w:lineRule="auto"/>
        <w:tabs>
          <w:tab w:leader="none" w:pos="118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2" w:lineRule="exact"/>
        <w:rPr>
          <w:rFonts w:ascii="Times New Roman" w:cs="Times New Roman" w:eastAsia="Times New Roman" w:hAnsi="Times New Roman"/>
          <w:sz w:val="20"/>
          <w:szCs w:val="20"/>
          <w:color w:val="auto"/>
        </w:rPr>
      </w:pPr>
    </w:p>
    <w:p>
      <w:pPr>
        <w:jc w:val="both"/>
        <w:ind w:firstLine="592"/>
        <w:spacing w:after="0" w:line="212" w:lineRule="auto"/>
        <w:tabs>
          <w:tab w:leader="none" w:pos="118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THE HBM3E+ PERFORMANCE UNITS PURSUANT TO THE VESTING SCHEDULE HEREOF IS EARNED ONLY BY REMAINING A SERVICE PROVIDER, WHICH UNLESS PROVIDED OTHERWISE UNDER APPLICABLE LAW IS AT THE WILL OF THE APPLICABLE SERVICE RECIPIENT AND NOT THROUGH THE ACT OF BEING HIRED, BEING GRANTED THIS HBM3E+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39" w:lineRule="exact"/>
        <w:rPr>
          <w:rFonts w:ascii="Times New Roman" w:cs="Times New Roman" w:eastAsia="Times New Roman" w:hAnsi="Times New Roman"/>
          <w:sz w:val="20"/>
          <w:szCs w:val="20"/>
          <w:color w:val="auto"/>
        </w:rPr>
      </w:pPr>
    </w:p>
    <w:p>
      <w:pPr>
        <w:jc w:val="both"/>
        <w:ind w:firstLine="592"/>
        <w:spacing w:after="0" w:line="214" w:lineRule="auto"/>
        <w:tabs>
          <w:tab w:leader="none" w:pos="118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20"/>
          <w:szCs w:val="20"/>
          <w:u w:val="single" w:color="auto"/>
          <w:color w:val="auto"/>
        </w:rPr>
        <w:t>QDRO</w:t>
      </w:r>
      <w:r>
        <w:rPr>
          <w:rFonts w:ascii="Times New Roman" w:cs="Times New Roman" w:eastAsia="Times New Roman" w:hAnsi="Times New Roman"/>
          <w:sz w:val="20"/>
          <w:szCs w:val="20"/>
          <w:color w:val="auto"/>
        </w:rPr>
        <w:t>”) will be permitted so long as such transfer complies with the QDRO procedures then in effect, as specified by the Administrator or the Company.</w:t>
      </w:r>
    </w:p>
    <w:p>
      <w:pPr>
        <w:spacing w:after="0" w:line="129" w:lineRule="exact"/>
        <w:rPr>
          <w:rFonts w:ascii="Times New Roman" w:cs="Times New Roman" w:eastAsia="Times New Roman" w:hAnsi="Times New Roman"/>
          <w:sz w:val="20"/>
          <w:szCs w:val="20"/>
          <w:color w:val="auto"/>
        </w:rPr>
      </w:pPr>
    </w:p>
    <w:p>
      <w:pPr>
        <w:ind w:left="1180" w:hanging="588"/>
        <w:spacing w:after="0"/>
        <w:tabs>
          <w:tab w:leader="none" w:pos="11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Award of HBM3E+ Performance Units, Participant acknowledges, understands and agrees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w:t>
      </w:r>
    </w:p>
    <w:p>
      <w:pPr>
        <w:spacing w:after="0" w:line="143" w:lineRule="exact"/>
        <w:rPr>
          <w:rFonts w:ascii="Times New Roman" w:cs="Times New Roman" w:eastAsia="Times New Roman" w:hAnsi="Times New Roman"/>
          <w:sz w:val="20"/>
          <w:szCs w:val="20"/>
          <w:color w:val="auto"/>
        </w:rPr>
      </w:pPr>
    </w:p>
    <w:p>
      <w:pPr>
        <w:ind w:firstLine="1186"/>
        <w:spacing w:after="0" w:line="237" w:lineRule="auto"/>
        <w:tabs>
          <w:tab w:leader="none" w:pos="177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HBM3E+ Performance Units is voluntary and occasional and does not create any contractual or other right to receive future grants of equity awards, or benefits in lieu of equity awards, even if equity awards have been granted in the past;</w:t>
      </w:r>
    </w:p>
    <w:p>
      <w:pPr>
        <w:spacing w:after="0" w:line="139"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equity award grants, if any, will be at the sole discretion of the Administrator;</w:t>
      </w:r>
    </w:p>
    <w:p>
      <w:pPr>
        <w:spacing w:after="0" w:line="165"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165" w:lineRule="exact"/>
        <w:rPr>
          <w:rFonts w:ascii="Times New Roman" w:cs="Times New Roman" w:eastAsia="Times New Roman" w:hAnsi="Times New Roman"/>
          <w:sz w:val="20"/>
          <w:szCs w:val="20"/>
          <w:color w:val="auto"/>
        </w:rPr>
      </w:pPr>
    </w:p>
    <w:p>
      <w:pPr>
        <w:ind w:firstLine="1186"/>
        <w:spacing w:after="0" w:line="237" w:lineRule="auto"/>
        <w:tabs>
          <w:tab w:leader="none" w:pos="177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HBM3E+ Performance Units and the Shares subject to the HBM3E+ Performance Units, and the income from and value of same, are not intended to replace any pension rights or compensation;</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45" w:lineRule="exact"/>
        <w:rPr>
          <w:sz w:val="20"/>
          <w:szCs w:val="20"/>
          <w:color w:val="auto"/>
        </w:rPr>
      </w:pPr>
    </w:p>
    <w:p>
      <w:pPr>
        <w:jc w:val="both"/>
        <w:ind w:firstLine="1186"/>
        <w:spacing w:after="0" w:line="239" w:lineRule="auto"/>
        <w:tabs>
          <w:tab w:leader="none" w:pos="1777"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HBM3E+ Performance Units and the Shares subject to the HBM3E+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38" w:lineRule="exact"/>
        <w:rPr>
          <w:rFonts w:ascii="Times New Roman" w:cs="Times New Roman" w:eastAsia="Times New Roman" w:hAnsi="Times New Roman"/>
          <w:sz w:val="19"/>
          <w:szCs w:val="19"/>
          <w:color w:val="auto"/>
        </w:rPr>
      </w:pPr>
    </w:p>
    <w:p>
      <w:pPr>
        <w:jc w:val="both"/>
        <w:ind w:firstLine="1186"/>
        <w:spacing w:after="0" w:line="227" w:lineRule="auto"/>
        <w:tabs>
          <w:tab w:leader="none" w:pos="17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28"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HBM3E+ Performance Units is unknown, indeterminable, and cannot be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predicted;</w:t>
      </w:r>
    </w:p>
    <w:p>
      <w:pPr>
        <w:spacing w:after="0" w:line="143" w:lineRule="exact"/>
        <w:rPr>
          <w:rFonts w:ascii="Times New Roman" w:cs="Times New Roman" w:eastAsia="Times New Roman" w:hAnsi="Times New Roman"/>
          <w:sz w:val="20"/>
          <w:szCs w:val="20"/>
          <w:color w:val="auto"/>
        </w:rPr>
      </w:pPr>
    </w:p>
    <w:p>
      <w:pPr>
        <w:jc w:val="both"/>
        <w:ind w:firstLine="1186"/>
        <w:spacing w:after="0" w:line="211" w:lineRule="auto"/>
        <w:tabs>
          <w:tab w:leader="none" w:pos="177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HBM3E+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HBM3E+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HBM3E+ Performance Units grant (including whether Participant may still be considered to be providing services while on a leave of absence and consistent with local law);</w:t>
      </w:r>
    </w:p>
    <w:p>
      <w:pPr>
        <w:spacing w:after="0" w:line="145" w:lineRule="exact"/>
        <w:rPr>
          <w:rFonts w:ascii="Times New Roman" w:cs="Times New Roman" w:eastAsia="Times New Roman" w:hAnsi="Times New Roman"/>
          <w:sz w:val="20"/>
          <w:szCs w:val="20"/>
          <w:color w:val="auto"/>
        </w:rPr>
      </w:pPr>
    </w:p>
    <w:p>
      <w:pPr>
        <w:jc w:val="both"/>
        <w:ind w:firstLine="1186"/>
        <w:spacing w:after="0" w:line="222" w:lineRule="auto"/>
        <w:tabs>
          <w:tab w:leader="none" w:pos="176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Administrator in its discretion, the HBM3E+ Performance Units and the benefits evidenced by this Award Agreement do not create any entitlement to have the HBM3E+ Performance Units or any such benefits transferred to, or assumed by, another company nor be exchanged, cashed out or substituted for, in connection with any corporate transaction affecting the Shares; and</w:t>
      </w:r>
    </w:p>
    <w:p>
      <w:pPr>
        <w:spacing w:after="0" w:line="138" w:lineRule="exact"/>
        <w:rPr>
          <w:rFonts w:ascii="Times New Roman" w:cs="Times New Roman" w:eastAsia="Times New Roman" w:hAnsi="Times New Roman"/>
          <w:sz w:val="20"/>
          <w:szCs w:val="20"/>
          <w:color w:val="auto"/>
        </w:rPr>
      </w:pPr>
    </w:p>
    <w:p>
      <w:pPr>
        <w:ind w:left="1760" w:hanging="574"/>
        <w:spacing w:after="0"/>
        <w:tabs>
          <w:tab w:leader="none" w:pos="17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Participant is providing services outside the United States:</w:t>
      </w:r>
    </w:p>
    <w:p>
      <w:pPr>
        <w:spacing w:after="0" w:line="165" w:lineRule="exact"/>
        <w:rPr>
          <w:rFonts w:ascii="Times New Roman" w:cs="Times New Roman" w:eastAsia="Times New Roman" w:hAnsi="Times New Roman"/>
          <w:sz w:val="20"/>
          <w:szCs w:val="20"/>
          <w:color w:val="auto"/>
        </w:rPr>
      </w:pPr>
    </w:p>
    <w:p>
      <w:pPr>
        <w:ind w:firstLine="1779"/>
        <w:spacing w:after="0" w:line="237" w:lineRule="auto"/>
        <w:tabs>
          <w:tab w:leader="none" w:pos="236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HBM3E+ Performance Units and the Shares subject to the HBM3E+ Performance Units are not part of normal or expected compensation or salary for any purpose;</w:t>
      </w:r>
    </w:p>
    <w:p>
      <w:pPr>
        <w:spacing w:after="0" w:line="139" w:lineRule="exact"/>
        <w:rPr>
          <w:rFonts w:ascii="Times New Roman" w:cs="Times New Roman" w:eastAsia="Times New Roman" w:hAnsi="Times New Roman"/>
          <w:sz w:val="20"/>
          <w:szCs w:val="20"/>
          <w:color w:val="auto"/>
        </w:rPr>
      </w:pPr>
    </w:p>
    <w:p>
      <w:pPr>
        <w:jc w:val="both"/>
        <w:ind w:firstLine="1779"/>
        <w:spacing w:after="0" w:line="222" w:lineRule="auto"/>
        <w:tabs>
          <w:tab w:leader="none" w:pos="236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and agrees that no Service Recipient shall be liable for any foreign exchange rate fluctuation between Participant’s local currency and the United States Dollar that may affect the value of the HBM3E+ Performance Units or of any amounts due to Participant pursuant to the settlement of the HBM3E+ Performance Units or the subsequent sale of any Shares acquired upon settlement; and</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45" w:lineRule="exact"/>
        <w:rPr>
          <w:sz w:val="20"/>
          <w:szCs w:val="20"/>
          <w:color w:val="auto"/>
        </w:rPr>
      </w:pPr>
    </w:p>
    <w:p>
      <w:pPr>
        <w:jc w:val="both"/>
        <w:ind w:firstLine="1779"/>
        <w:spacing w:after="0" w:line="212" w:lineRule="auto"/>
        <w:tabs>
          <w:tab w:leader="none" w:pos="237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the forfeiture of the HBM3E+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HBM3E+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44"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Participant’s acquisition or sale of the Shares underlying the HBM3E+ Performance Units. Participant is hereby advised to consult with his or her own personal tax, legal, and financial advisors regarding his or her participation in the Plan before taking any action related to the Plan.</w:t>
      </w:r>
    </w:p>
    <w:p>
      <w:pPr>
        <w:spacing w:after="0" w:line="134" w:lineRule="exact"/>
        <w:rPr>
          <w:rFonts w:ascii="Times New Roman" w:cs="Times New Roman" w:eastAsia="Times New Roman" w:hAnsi="Times New Roman"/>
          <w:sz w:val="20"/>
          <w:szCs w:val="20"/>
          <w:color w:val="auto"/>
        </w:rPr>
      </w:pPr>
    </w:p>
    <w:p>
      <w:pPr>
        <w:jc w:val="both"/>
        <w:ind w:firstLine="592"/>
        <w:spacing w:after="0" w:line="223" w:lineRule="auto"/>
        <w:tabs>
          <w:tab w:leader="none" w:pos="11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Participant hereby explicitly and unambiguously consents to the collection, use and transfer, in electronic or other form, of Participant’s personal data as described in this Award Agreement and any other HBM3E+ Performance Unit grant materials by and among, as applicable, the Service Recipients for the exclusive purpose of implementing, administering and managing Participant’s participation in the Plan.</w:t>
      </w:r>
    </w:p>
    <w:p>
      <w:pPr>
        <w:spacing w:after="0" w:line="159" w:lineRule="exact"/>
        <w:rPr>
          <w:sz w:val="20"/>
          <w:szCs w:val="20"/>
          <w:color w:val="auto"/>
        </w:rPr>
      </w:pPr>
    </w:p>
    <w:p>
      <w:pPr>
        <w:jc w:val="both"/>
        <w:ind w:firstLine="59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HBM3E+ Performance Units or any other entitlement to Shares awarded, canceled, exercised, vested, unvested, or outstanding in Participant’s favor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for the exclusive purpose of implementing, administering, and managing the Plan.</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65" w:lineRule="exact"/>
        <w:rPr>
          <w:sz w:val="20"/>
          <w:szCs w:val="20"/>
          <w:color w:val="auto"/>
        </w:rPr>
      </w:pPr>
    </w:p>
    <w:p>
      <w:pPr>
        <w:jc w:val="both"/>
        <w:ind w:firstLine="593"/>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56" w:lineRule="exact"/>
        <w:rPr>
          <w:sz w:val="20"/>
          <w:szCs w:val="20"/>
          <w:color w:val="auto"/>
        </w:rPr>
      </w:pPr>
    </w:p>
    <w:p>
      <w:pPr>
        <w:jc w:val="both"/>
        <w:ind w:firstLine="592"/>
        <w:spacing w:after="0" w:line="227" w:lineRule="auto"/>
        <w:tabs>
          <w:tab w:leader="none" w:pos="118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38"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the HBM3E+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37"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45" w:lineRule="exact"/>
        <w:rPr>
          <w:sz w:val="20"/>
          <w:szCs w:val="20"/>
          <w:color w:val="auto"/>
        </w:rPr>
      </w:pPr>
    </w:p>
    <w:p>
      <w:pPr>
        <w:jc w:val="both"/>
        <w:ind w:left="-592" w:firstLine="592"/>
        <w:spacing w:after="0" w:line="219"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37" w:lineRule="exact"/>
        <w:rPr>
          <w:rFonts w:ascii="Times New Roman" w:cs="Times New Roman" w:eastAsia="Times New Roman" w:hAnsi="Times New Roman"/>
          <w:sz w:val="20"/>
          <w:szCs w:val="20"/>
          <w:color w:val="auto"/>
        </w:rPr>
      </w:pPr>
    </w:p>
    <w:p>
      <w:pPr>
        <w:jc w:val="both"/>
        <w:ind w:left="-592" w:firstLine="592"/>
        <w:spacing w:after="0" w:line="211"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HBM3E+ Performance Units as the Administrator may establish from time to time for reasons of administrative convenience.</w:t>
      </w:r>
    </w:p>
    <w:p>
      <w:pPr>
        <w:spacing w:after="0" w:line="145"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HBM3E+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42" w:lineRule="exact"/>
        <w:rPr>
          <w:rFonts w:ascii="Times New Roman" w:cs="Times New Roman" w:eastAsia="Times New Roman" w:hAnsi="Times New Roman"/>
          <w:sz w:val="20"/>
          <w:szCs w:val="20"/>
          <w:color w:val="auto"/>
        </w:rPr>
      </w:pPr>
    </w:p>
    <w:p>
      <w:pPr>
        <w:ind w:left="-592" w:firstLine="592"/>
        <w:spacing w:after="0" w:line="237"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Award Agreement.</w:t>
      </w:r>
    </w:p>
    <w:p>
      <w:pPr>
        <w:spacing w:after="0" w:line="139"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By accepting this Award, Participant expressly warrants that Participant has received an Award of HBM3E+ Performance Units under the Plan, and has received, read and understood a description of the Plan. Participant understands that the Plan is discretionary in nature and may be amended, suspended, or terminated by the Administrator at any time.</w:t>
      </w:r>
    </w:p>
    <w:p>
      <w:pPr>
        <w:sectPr>
          <w:pgSz w:w="11900" w:h="16838" w:orient="portrait"/>
          <w:cols w:equalWidth="0" w:num="1">
            <w:col w:w="10648"/>
          </w:cols>
          <w:pgMar w:left="912" w:top="1440" w:right="339" w:bottom="1440" w:gutter="0" w:footer="0" w:header="0"/>
        </w:sectPr>
      </w:pPr>
    </w:p>
    <w:bookmarkStart w:id="101" w:name="page102"/>
    <w:bookmarkEnd w:id="101"/>
    <w:p>
      <w:pPr>
        <w:spacing w:after="0" w:line="245" w:lineRule="exact"/>
        <w:rPr>
          <w:sz w:val="20"/>
          <w:szCs w:val="20"/>
          <w:color w:val="auto"/>
        </w:rPr>
      </w:pPr>
    </w:p>
    <w:p>
      <w:pPr>
        <w:jc w:val="both"/>
        <w:ind w:firstLine="592"/>
        <w:spacing w:after="0" w:line="212" w:lineRule="auto"/>
        <w:tabs>
          <w:tab w:leader="none" w:pos="118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Award Agreement</w:t>
      </w:r>
      <w:r>
        <w:rPr>
          <w:rFonts w:ascii="Times New Roman" w:cs="Times New Roman" w:eastAsia="Times New Roman" w:hAnsi="Times New Roman"/>
          <w:sz w:val="20"/>
          <w:szCs w:val="20"/>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HBM3E+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39" w:lineRule="exact"/>
        <w:rPr>
          <w:rFonts w:ascii="Times New Roman" w:cs="Times New Roman" w:eastAsia="Times New Roman" w:hAnsi="Times New Roman"/>
          <w:sz w:val="20"/>
          <w:szCs w:val="20"/>
          <w:color w:val="auto"/>
        </w:rPr>
      </w:pPr>
    </w:p>
    <w:p>
      <w:pPr>
        <w:jc w:val="both"/>
        <w:ind w:firstLine="592"/>
        <w:spacing w:after="0" w:line="211" w:lineRule="auto"/>
        <w:tabs>
          <w:tab w:leader="none" w:pos="118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Under Policy or Law</w:t>
      </w:r>
      <w:r>
        <w:rPr>
          <w:rFonts w:ascii="Times New Roman" w:cs="Times New Roman" w:eastAsia="Times New Roman" w:hAnsi="Times New Roman"/>
          <w:sz w:val="20"/>
          <w:szCs w:val="20"/>
          <w:color w:val="auto"/>
        </w:rPr>
        <w:t>. Participant’s rights with respect to this Award Agreement and the Award of HBM3E+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HBM3E+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66" w:lineRule="exact"/>
        <w:rPr>
          <w:sz w:val="20"/>
          <w:szCs w:val="20"/>
          <w:color w:val="auto"/>
        </w:rPr>
      </w:pPr>
    </w:p>
    <w:p>
      <w:pPr>
        <w:jc w:val="both"/>
        <w:ind w:firstLine="593"/>
        <w:spacing w:after="0" w:line="255" w:lineRule="auto"/>
        <w:rPr>
          <w:sz w:val="20"/>
          <w:szCs w:val="20"/>
          <w:color w:val="auto"/>
        </w:rPr>
      </w:pPr>
      <w:r>
        <w:rPr>
          <w:rFonts w:ascii="Times New Roman" w:cs="Times New Roman" w:eastAsia="Times New Roman" w:hAnsi="Times New Roman"/>
          <w:sz w:val="20"/>
          <w:szCs w:val="20"/>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HBM3E+ Performance Units to re-convey, transfer or otherwise return the Shares and/or other amounts to the Company upon the Company’s enforcement of any Clawback Policy or recovery policy.</w:t>
      </w:r>
    </w:p>
    <w:p>
      <w:pPr>
        <w:spacing w:after="0" w:line="138" w:lineRule="exact"/>
        <w:rPr>
          <w:sz w:val="20"/>
          <w:szCs w:val="20"/>
          <w:color w:val="auto"/>
        </w:rPr>
      </w:pPr>
    </w:p>
    <w:p>
      <w:pPr>
        <w:jc w:val="both"/>
        <w:ind w:firstLine="592"/>
        <w:spacing w:after="0" w:line="215" w:lineRule="auto"/>
        <w:tabs>
          <w:tab w:leader="none" w:pos="118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Severability</w:t>
      </w:r>
      <w:r>
        <w:rPr>
          <w:rFonts w:ascii="Times New Roman" w:cs="Times New Roman" w:eastAsia="Times New Roman" w:hAnsi="Times New Roman"/>
          <w:sz w:val="20"/>
          <w:szCs w:val="20"/>
          <w:color w:val="auto"/>
        </w:rPr>
        <w:t>. This Award Agreement and the HBM3E+ Performance Units are governed by the internal substantive laws, but not the choice of law rules, of the State of Delaware. For purposes of litigating any dispute that arises under these HBM3E+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45" w:lineRule="exact"/>
        <w:rPr>
          <w:sz w:val="20"/>
          <w:szCs w:val="20"/>
          <w:color w:val="auto"/>
        </w:rPr>
      </w:pPr>
    </w:p>
    <w:p>
      <w:pPr>
        <w:jc w:val="both"/>
        <w:ind w:left="-592" w:firstLine="592"/>
        <w:spacing w:after="0" w:line="227" w:lineRule="auto"/>
        <w:tabs>
          <w:tab w:leader="none" w:pos="59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Notwithstanding any provisions in this Award Agreement, the HBM3E+ Performance Unit grant shall be subject to any special terms and conditions set forth in an appendix (if any) to this Award Agreement for any country whose laws are applicable to Participant and this HBM3E+ Performance Unit Award (as determined by the Administrator in its sole discretion) (the “</w:t>
      </w:r>
      <w:r>
        <w:rPr>
          <w:rFonts w:ascii="Times New Roman" w:cs="Times New Roman" w:eastAsia="Times New Roman" w:hAnsi="Times New Roman"/>
          <w:sz w:val="20"/>
          <w:szCs w:val="20"/>
          <w:u w:val="single" w:color="auto"/>
          <w:color w:val="auto"/>
        </w:rPr>
        <w:t>Country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67" w:lineRule="exact"/>
        <w:rPr>
          <w:rFonts w:ascii="Times New Roman" w:cs="Times New Roman" w:eastAsia="Times New Roman" w:hAnsi="Times New Roman"/>
          <w:sz w:val="20"/>
          <w:szCs w:val="20"/>
          <w:color w:val="auto"/>
        </w:rPr>
      </w:pPr>
    </w:p>
    <w:p>
      <w:pPr>
        <w:ind w:left="438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648"/>
          </w:cols>
          <w:pgMar w:left="912" w:top="144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color w:val="auto"/>
        </w:rPr>
        <w:t>rTSR CAGR Performance Unit Agreement (2025 EIP) – FY2026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OF HBM3E+ PERFORMANCE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The HBM3E+ Performance Units may be earned, in whole or in part, based on (i) Participant continuing to be a Service Provider, and (ii) the achievement of the performance goals, as set forth below.</w:t>
      </w:r>
    </w:p>
    <w:p>
      <w:pPr>
        <w:spacing w:after="0" w:line="1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Performance Period</w:t>
      </w:r>
      <w:r>
        <w:rPr>
          <w:rFonts w:ascii="Times New Roman" w:cs="Times New Roman" w:eastAsia="Times New Roman" w:hAnsi="Times New Roman"/>
          <w:sz w:val="20"/>
          <w:szCs w:val="20"/>
          <w:color w:val="auto"/>
        </w:rPr>
        <w:t>. For purposes of this Award of HBM3E+ Performance Units,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of three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years of the Company (“</w:t>
      </w:r>
      <w:r>
        <w:rPr>
          <w:rFonts w:ascii="Times New Roman" w:cs="Times New Roman" w:eastAsia="Times New Roman" w:hAnsi="Times New Roman"/>
          <w:sz w:val="20"/>
          <w:szCs w:val="20"/>
          <w:u w:val="single" w:color="auto"/>
          <w:color w:val="auto"/>
        </w:rPr>
        <w:t>Fiscal Years</w:t>
      </w:r>
      <w:r>
        <w:rPr>
          <w:rFonts w:ascii="Times New Roman" w:cs="Times New Roman" w:eastAsia="Times New Roman" w:hAnsi="Times New Roman"/>
          <w:sz w:val="20"/>
          <w:szCs w:val="20"/>
          <w:color w:val="auto"/>
        </w:rPr>
        <w:t>”) beginning August 29, 2025, and ending on August 31, 2028.</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Performance Goals</w:t>
      </w:r>
      <w:r>
        <w:rPr>
          <w:rFonts w:ascii="Times New Roman" w:cs="Times New Roman" w:eastAsia="Times New Roman" w:hAnsi="Times New Roman"/>
          <w:sz w:val="20"/>
          <w:szCs w:val="20"/>
          <w:color w:val="auto"/>
        </w:rPr>
        <w:t>. The HBM3E+ Performance Units are eligible to be earned based on the extent of achievement of certain market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shipments relating to HBM3E+ (as defined below) (such performance goal, the “</w:t>
      </w:r>
      <w:r>
        <w:rPr>
          <w:rFonts w:ascii="Times New Roman" w:cs="Times New Roman" w:eastAsia="Times New Roman" w:hAnsi="Times New Roman"/>
          <w:sz w:val="20"/>
          <w:szCs w:val="20"/>
          <w:u w:val="single" w:color="auto"/>
          <w:color w:val="auto"/>
        </w:rPr>
        <w:t>HBM3E+ Goal</w:t>
      </w:r>
      <w:r>
        <w:rPr>
          <w:rFonts w:ascii="Times New Roman" w:cs="Times New Roman" w:eastAsia="Times New Roman" w:hAnsi="Times New Roman"/>
          <w:sz w:val="20"/>
          <w:szCs w:val="20"/>
          <w:color w:val="auto"/>
        </w:rPr>
        <w:t>”), as described further below. The Target Number of Shares Subject to HBM3E+ Performance Units (as set forth in the Notice of Grant), as may be adjusted as specified herein, is referred to herein as “</w:t>
      </w:r>
      <w:r>
        <w:rPr>
          <w:rFonts w:ascii="Times New Roman" w:cs="Times New Roman" w:eastAsia="Times New Roman" w:hAnsi="Times New Roman"/>
          <w:sz w:val="20"/>
          <w:szCs w:val="20"/>
          <w:u w:val="single" w:color="auto"/>
          <w:color w:val="auto"/>
        </w:rPr>
        <w:t>Target Units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593"/>
        <w:spacing w:after="0" w:line="261" w:lineRule="auto"/>
        <w:rPr>
          <w:sz w:val="20"/>
          <w:szCs w:val="20"/>
          <w:color w:val="auto"/>
        </w:rPr>
      </w:pPr>
      <w:r>
        <w:rPr>
          <w:rFonts w:ascii="Times New Roman" w:cs="Times New Roman" w:eastAsia="Times New Roman" w:hAnsi="Times New Roman"/>
          <w:sz w:val="20"/>
          <w:szCs w:val="20"/>
          <w:b w:val="1"/>
          <w:bCs w:val="1"/>
          <w:u w:val="single" w:color="auto"/>
          <w:color w:val="auto"/>
        </w:rPr>
        <w:t>HBM3E+ Goal</w:t>
      </w:r>
      <w:r>
        <w:rPr>
          <w:rFonts w:ascii="Times New Roman" w:cs="Times New Roman" w:eastAsia="Times New Roman" w:hAnsi="Times New Roman"/>
          <w:sz w:val="20"/>
          <w:szCs w:val="20"/>
          <w:color w:val="auto"/>
        </w:rPr>
        <w:t>. The actual number of HBM3E+ Performance Units that may be earned under this Award will be determined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to the payout factor (the “</w:t>
      </w:r>
      <w:r>
        <w:rPr>
          <w:rFonts w:ascii="Times New Roman" w:cs="Times New Roman" w:eastAsia="Times New Roman" w:hAnsi="Times New Roman"/>
          <w:sz w:val="20"/>
          <w:szCs w:val="20"/>
          <w:u w:val="single" w:color="auto"/>
          <w:color w:val="auto"/>
        </w:rPr>
        <w:t>HBM3E+ Payout Factor</w:t>
      </w:r>
      <w:r>
        <w:rPr>
          <w:rFonts w:ascii="Times New Roman" w:cs="Times New Roman" w:eastAsia="Times New Roman" w:hAnsi="Times New Roman"/>
          <w:sz w:val="20"/>
          <w:szCs w:val="20"/>
          <w:color w:val="auto"/>
        </w:rPr>
        <w:t>”) and based on the performance achievement level of the HBM3E+ Goal, as set forth below, subject to adjustment as set forth below.</w:t>
      </w:r>
    </w:p>
    <w:p>
      <w:pPr>
        <w:spacing w:after="0" w:line="144" w:lineRule="exact"/>
        <w:rPr>
          <w:sz w:val="20"/>
          <w:szCs w:val="20"/>
          <w:color w:val="auto"/>
        </w:rPr>
      </w:pPr>
    </w:p>
    <w:p>
      <w:pPr>
        <w:ind w:left="600" w:hanging="304"/>
        <w:spacing w:after="0" w:line="274" w:lineRule="auto"/>
        <w:tabs>
          <w:tab w:leader="none" w:pos="59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Fiscal Year 2027, the actual number of HBM3E+ Performance Units earned, if any, under this Award will be determined by multiplying (i) the number of Target Units, by (ii) the applicable HBM3E+ Payout Factor.</w:t>
      </w:r>
    </w:p>
    <w:p>
      <w:pPr>
        <w:spacing w:after="0" w:line="130" w:lineRule="exact"/>
        <w:rPr>
          <w:rFonts w:ascii="Times New Roman" w:cs="Times New Roman" w:eastAsia="Times New Roman" w:hAnsi="Times New Roman"/>
          <w:sz w:val="20"/>
          <w:szCs w:val="20"/>
          <w:color w:val="auto"/>
        </w:rPr>
      </w:pPr>
    </w:p>
    <w:p>
      <w:pPr>
        <w:jc w:val="both"/>
        <w:ind w:left="600" w:hanging="304"/>
        <w:spacing w:after="0" w:line="246" w:lineRule="auto"/>
        <w:tabs>
          <w:tab w:leader="none" w:pos="59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Fiscal Year 2028, to the extent that the applicable HBM3E+ Payout Factor exceeds the HBM3E+ Payout Factor of Fiscal Year 2027, then the actual number of HBM3E+ Performance Units earned, if any, under this Award in Fiscal Year 2028 will be determined by multiplying (i) the number of Target Units, by (ii) the excess of the applicable HBM3E+ Payout Factor in Fiscal Year 2028 over the HBM3E+ Payout Factor of Fiscal Year 2027.</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HBM3E+ Payout Factor may range from 0.00x to a maximum of 2.00x, as shown in the following table. Therefore, more or less than 100% of the Target Units may be earned during the Performance Period based on the level of achievement measured against the HBM3E+ Goal. Additionally, the HBM3E+ Payout Factor determined pursuant to the below may be increased as a result of the Operational Additional Performance Conditions (as defined below).</w:t>
      </w:r>
    </w:p>
    <w:p>
      <w:pPr>
        <w:sectPr>
          <w:pgSz w:w="11900" w:h="16838" w:orient="portrait"/>
          <w:cols w:equalWidth="0" w:num="1">
            <w:col w:w="11240"/>
          </w:cols>
          <w:pgMar w:left="320" w:top="485" w:right="339" w:bottom="1440" w:gutter="0" w:footer="0" w:header="0"/>
        </w:sectPr>
      </w:pPr>
    </w:p>
    <w:bookmarkStart w:id="104" w:name="page105"/>
    <w:bookmarkEnd w:id="104"/>
    <w:p>
      <w:pPr>
        <w:spacing w:after="0" w:line="287" w:lineRule="exact"/>
        <w:rPr>
          <w:sz w:val="20"/>
          <w:szCs w:val="20"/>
          <w:color w:val="auto"/>
        </w:rPr>
      </w:pPr>
    </w:p>
    <w:tbl>
      <w:tblPr>
        <w:tblLayout w:type="fixed"/>
        <w:tblInd w:w="611" w:type="dxa"/>
        <w:tblCellMar>
          <w:top w:w="0" w:type="dxa"/>
          <w:left w:w="0" w:type="dxa"/>
          <w:bottom w:w="0" w:type="dxa"/>
          <w:right w:w="0" w:type="dxa"/>
        </w:tblCellMar>
      </w:tblPr>
      <w:tr>
        <w:trPr>
          <w:trHeight w:val="326"/>
        </w:trPr>
        <w:tc>
          <w:tcPr>
            <w:tcW w:w="174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2000" w:type="dxa"/>
            <w:vAlign w:val="bottom"/>
            <w:tcBorders>
              <w:top w:val="single" w:sz="8" w:color="auto"/>
              <w:right w:val="single" w:sz="8" w:color="auto"/>
            </w:tcBorders>
            <w:shd w:val="clear" w:color="auto" w:fill="D9D9D9"/>
          </w:tcPr>
          <w:p>
            <w:pPr>
              <w:spacing w:after="0"/>
              <w:rPr>
                <w:sz w:val="24"/>
                <w:szCs w:val="24"/>
                <w:color w:val="auto"/>
              </w:rPr>
            </w:pPr>
          </w:p>
        </w:tc>
        <w:tc>
          <w:tcPr>
            <w:tcW w:w="1500" w:type="dxa"/>
            <w:vAlign w:val="bottom"/>
            <w:tcBorders>
              <w:top w:val="single" w:sz="8" w:color="auto"/>
              <w:right w:val="single" w:sz="8" w:color="D9D9D9"/>
            </w:tcBorders>
            <w:shd w:val="clear" w:color="auto" w:fill="D9D9D9"/>
          </w:tcPr>
          <w:p>
            <w:pPr>
              <w:spacing w:after="0"/>
              <w:rPr>
                <w:sz w:val="24"/>
                <w:szCs w:val="24"/>
                <w:color w:val="auto"/>
              </w:rPr>
            </w:pPr>
          </w:p>
        </w:tc>
        <w:tc>
          <w:tcPr>
            <w:tcW w:w="1200" w:type="dxa"/>
            <w:vAlign w:val="bottom"/>
            <w:tcBorders>
              <w:top w:val="single" w:sz="8" w:color="auto"/>
            </w:tcBorders>
            <w:shd w:val="clear" w:color="auto" w:fill="D9D9D9"/>
          </w:tcPr>
          <w:p>
            <w:pPr>
              <w:spacing w:after="0"/>
              <w:rPr>
                <w:sz w:val="24"/>
                <w:szCs w:val="24"/>
                <w:color w:val="auto"/>
              </w:rPr>
            </w:pPr>
          </w:p>
        </w:tc>
        <w:tc>
          <w:tcPr>
            <w:tcW w:w="2080" w:type="dxa"/>
            <w:vAlign w:val="bottom"/>
            <w:tcBorders>
              <w:top w:val="single" w:sz="8" w:color="auto"/>
            </w:tcBorders>
            <w:gridSpan w:val="3"/>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HBM3E+ Payout Factor</w:t>
            </w:r>
          </w:p>
        </w:tc>
        <w:tc>
          <w:tcPr>
            <w:tcW w:w="1240" w:type="dxa"/>
            <w:vAlign w:val="bottom"/>
            <w:tcBorders>
              <w:top w:val="single" w:sz="8" w:color="auto"/>
              <w:right w:val="single" w:sz="8" w:color="D9D9D9"/>
            </w:tcBorders>
            <w:shd w:val="clear" w:color="auto" w:fill="D9D9D9"/>
          </w:tcPr>
          <w:p>
            <w:pPr>
              <w:spacing w:after="0"/>
              <w:rPr>
                <w:sz w:val="24"/>
                <w:szCs w:val="24"/>
                <w:color w:val="auto"/>
              </w:rPr>
            </w:pPr>
          </w:p>
        </w:tc>
        <w:tc>
          <w:tcPr>
            <w:tcW w:w="980" w:type="dxa"/>
            <w:vAlign w:val="bottom"/>
            <w:tcBorders>
              <w:top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D9D9D9"/>
            </w:tcBorders>
            <w:shd w:val="clear" w:color="auto" w:fill="D9D9D9"/>
          </w:tcPr>
          <w:p>
            <w:pPr>
              <w:spacing w:after="0"/>
              <w:rPr>
                <w:sz w:val="9"/>
                <w:szCs w:val="9"/>
                <w:color w:val="auto"/>
              </w:rPr>
            </w:pPr>
          </w:p>
        </w:tc>
        <w:tc>
          <w:tcPr>
            <w:tcW w:w="2000" w:type="dxa"/>
            <w:vAlign w:val="bottom"/>
            <w:tcBorders>
              <w:bottom w:val="single" w:sz="8" w:color="auto"/>
              <w:right w:val="single" w:sz="8" w:color="auto"/>
            </w:tcBorders>
            <w:shd w:val="clear" w:color="auto" w:fill="D9D9D9"/>
          </w:tcPr>
          <w:p>
            <w:pPr>
              <w:spacing w:after="0"/>
              <w:rPr>
                <w:sz w:val="9"/>
                <w:szCs w:val="9"/>
                <w:color w:val="auto"/>
              </w:rPr>
            </w:pPr>
          </w:p>
        </w:tc>
        <w:tc>
          <w:tcPr>
            <w:tcW w:w="1500" w:type="dxa"/>
            <w:vAlign w:val="bottom"/>
            <w:tcBorders>
              <w:bottom w:val="single" w:sz="8" w:color="auto"/>
              <w:right w:val="single" w:sz="8" w:color="D9D9D9"/>
            </w:tcBorders>
            <w:shd w:val="clear" w:color="auto" w:fill="D9D9D9"/>
          </w:tcPr>
          <w:p>
            <w:pPr>
              <w:spacing w:after="0"/>
              <w:rPr>
                <w:sz w:val="9"/>
                <w:szCs w:val="9"/>
                <w:color w:val="auto"/>
              </w:rPr>
            </w:pPr>
          </w:p>
        </w:tc>
        <w:tc>
          <w:tcPr>
            <w:tcW w:w="1200" w:type="dxa"/>
            <w:vAlign w:val="bottom"/>
            <w:tcBorders>
              <w:bottom w:val="single" w:sz="8" w:color="auto"/>
            </w:tcBorders>
            <w:shd w:val="clear" w:color="auto" w:fill="D9D9D9"/>
          </w:tcPr>
          <w:p>
            <w:pPr>
              <w:spacing w:after="0"/>
              <w:rPr>
                <w:sz w:val="9"/>
                <w:szCs w:val="9"/>
                <w:color w:val="auto"/>
              </w:rPr>
            </w:pPr>
          </w:p>
        </w:tc>
        <w:tc>
          <w:tcPr>
            <w:tcW w:w="300" w:type="dxa"/>
            <w:vAlign w:val="bottom"/>
            <w:tcBorders>
              <w:bottom w:val="single" w:sz="8" w:color="auto"/>
              <w:right w:val="single" w:sz="8" w:color="D9D9D9"/>
            </w:tcBorders>
            <w:shd w:val="clear" w:color="auto" w:fill="D9D9D9"/>
          </w:tcPr>
          <w:p>
            <w:pPr>
              <w:spacing w:after="0"/>
              <w:rPr>
                <w:sz w:val="9"/>
                <w:szCs w:val="9"/>
                <w:color w:val="auto"/>
              </w:rPr>
            </w:pPr>
          </w:p>
        </w:tc>
        <w:tc>
          <w:tcPr>
            <w:tcW w:w="1500" w:type="dxa"/>
            <w:vAlign w:val="bottom"/>
            <w:tcBorders>
              <w:bottom w:val="single" w:sz="8" w:color="auto"/>
              <w:right w:val="single" w:sz="8" w:color="D9D9D9"/>
            </w:tcBorders>
            <w:shd w:val="clear" w:color="auto" w:fill="D9D9D9"/>
          </w:tcPr>
          <w:p>
            <w:pPr>
              <w:spacing w:after="0"/>
              <w:rPr>
                <w:sz w:val="9"/>
                <w:szCs w:val="9"/>
                <w:color w:val="auto"/>
              </w:rPr>
            </w:pPr>
          </w:p>
        </w:tc>
        <w:tc>
          <w:tcPr>
            <w:tcW w:w="280" w:type="dxa"/>
            <w:vAlign w:val="bottom"/>
            <w:tcBorders>
              <w:bottom w:val="single" w:sz="8" w:color="auto"/>
            </w:tcBorders>
            <w:shd w:val="clear" w:color="auto" w:fill="D9D9D9"/>
          </w:tcPr>
          <w:p>
            <w:pPr>
              <w:spacing w:after="0"/>
              <w:rPr>
                <w:sz w:val="9"/>
                <w:szCs w:val="9"/>
                <w:color w:val="auto"/>
              </w:rPr>
            </w:pPr>
          </w:p>
        </w:tc>
        <w:tc>
          <w:tcPr>
            <w:tcW w:w="1240" w:type="dxa"/>
            <w:vAlign w:val="bottom"/>
            <w:tcBorders>
              <w:bottom w:val="single" w:sz="8" w:color="auto"/>
              <w:right w:val="single" w:sz="8" w:color="D9D9D9"/>
            </w:tcBorders>
            <w:shd w:val="clear" w:color="auto" w:fill="D9D9D9"/>
          </w:tcPr>
          <w:p>
            <w:pPr>
              <w:spacing w:after="0"/>
              <w:rPr>
                <w:sz w:val="9"/>
                <w:szCs w:val="9"/>
                <w:color w:val="auto"/>
              </w:rPr>
            </w:pPr>
          </w:p>
        </w:tc>
        <w:tc>
          <w:tcPr>
            <w:tcW w:w="980" w:type="dxa"/>
            <w:vAlign w:val="bottom"/>
            <w:tcBorders>
              <w:bottom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HBM3E+ Goal</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0.00x</w:t>
            </w:r>
          </w:p>
        </w:tc>
        <w:tc>
          <w:tcPr>
            <w:tcW w:w="1200" w:type="dxa"/>
            <w:vAlign w:val="bottom"/>
            <w:tcBorders>
              <w:bottom w:val="single" w:sz="8" w:color="auto"/>
            </w:tcBorders>
            <w:shd w:val="clear" w:color="auto" w:fill="D9D9D9"/>
          </w:tcPr>
          <w:p>
            <w:pPr>
              <w:jc w:val="center"/>
              <w:ind w:left="189"/>
              <w:spacing w:after="0"/>
              <w:rPr>
                <w:sz w:val="20"/>
                <w:szCs w:val="20"/>
                <w:color w:val="auto"/>
              </w:rPr>
            </w:pPr>
            <w:r>
              <w:rPr>
                <w:rFonts w:ascii="Times New Roman" w:cs="Times New Roman" w:eastAsia="Times New Roman" w:hAnsi="Times New Roman"/>
                <w:sz w:val="18"/>
                <w:szCs w:val="18"/>
                <w:b w:val="1"/>
                <w:bCs w:val="1"/>
                <w:color w:val="auto"/>
              </w:rPr>
              <w:t>0.5x</w:t>
            </w:r>
          </w:p>
        </w:tc>
        <w:tc>
          <w:tcPr>
            <w:tcW w:w="300" w:type="dxa"/>
            <w:vAlign w:val="bottom"/>
            <w:tcBorders>
              <w:bottom w:val="single" w:sz="8" w:color="auto"/>
              <w:right w:val="single" w:sz="8" w:color="auto"/>
            </w:tcBorders>
            <w:shd w:val="clear" w:color="auto" w:fill="D9D9D9"/>
          </w:tcPr>
          <w:p>
            <w:pPr>
              <w:spacing w:after="0"/>
              <w:rPr>
                <w:sz w:val="19"/>
                <w:szCs w:val="19"/>
                <w:color w:val="auto"/>
              </w:rPr>
            </w:pP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1.0x</w:t>
            </w:r>
          </w:p>
        </w:tc>
        <w:tc>
          <w:tcPr>
            <w:tcW w:w="280" w:type="dxa"/>
            <w:vAlign w:val="bottom"/>
            <w:tcBorders>
              <w:bottom w:val="single" w:sz="8" w:color="auto"/>
            </w:tcBorders>
            <w:shd w:val="clear" w:color="auto" w:fill="D9D9D9"/>
          </w:tcPr>
          <w:p>
            <w:pPr>
              <w:spacing w:after="0"/>
              <w:rPr>
                <w:sz w:val="19"/>
                <w:szCs w:val="19"/>
                <w:color w:val="auto"/>
              </w:rPr>
            </w:pPr>
          </w:p>
        </w:tc>
        <w:tc>
          <w:tcPr>
            <w:tcW w:w="1240" w:type="dxa"/>
            <w:vAlign w:val="bottom"/>
            <w:tcBorders>
              <w:bottom w:val="single" w:sz="8" w:color="auto"/>
              <w:right w:val="single" w:sz="8" w:color="auto"/>
            </w:tcBorders>
            <w:shd w:val="clear" w:color="auto" w:fill="D9D9D9"/>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rPr>
              <w:t>1.50x</w:t>
            </w:r>
          </w:p>
        </w:tc>
        <w:tc>
          <w:tcPr>
            <w:tcW w:w="980" w:type="dxa"/>
            <w:vAlign w:val="bottom"/>
            <w:tcBorders>
              <w:bottom w:val="single" w:sz="8" w:color="auto"/>
            </w:tcBorders>
            <w:shd w:val="clear" w:color="auto" w:fill="D9D9D9"/>
          </w:tcPr>
          <w:p>
            <w:pPr>
              <w:jc w:val="center"/>
              <w:ind w:left="409"/>
              <w:spacing w:after="0"/>
              <w:rPr>
                <w:sz w:val="20"/>
                <w:szCs w:val="20"/>
                <w:color w:val="auto"/>
              </w:rPr>
            </w:pPr>
            <w:r>
              <w:rPr>
                <w:rFonts w:ascii="Times New Roman" w:cs="Times New Roman" w:eastAsia="Times New Roman" w:hAnsi="Times New Roman"/>
                <w:sz w:val="18"/>
                <w:szCs w:val="18"/>
                <w:b w:val="1"/>
                <w:bCs w:val="1"/>
                <w:color w:val="auto"/>
                <w:w w:val="98"/>
              </w:rPr>
              <w:t>2.00x</w:t>
            </w: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0" w:type="dxa"/>
            <w:vAlign w:val="bottom"/>
          </w:tcPr>
          <w:p>
            <w:pPr>
              <w:jc w:val="center"/>
              <w:ind w:left="129"/>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w:t>
            </w:r>
          </w:p>
        </w:tc>
        <w:tc>
          <w:tcPr>
            <w:tcW w:w="30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1240" w:type="dxa"/>
            <w:vAlign w:val="bottom"/>
            <w:tcBorders>
              <w:right w:val="single" w:sz="8" w:color="auto"/>
            </w:tcBorders>
          </w:tcPr>
          <w:p>
            <w:pPr>
              <w:jc w:val="center"/>
              <w:ind w:right="26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tcPr>
          <w:p>
            <w:pPr>
              <w:jc w:val="center"/>
              <w:ind w:left="329"/>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6"/>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0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1200" w:type="dxa"/>
            <w:vAlign w:val="bottom"/>
          </w:tcPr>
          <w:p>
            <w:pPr>
              <w:jc w:val="center"/>
              <w:ind w:left="129"/>
              <w:spacing w:after="0"/>
              <w:rPr>
                <w:sz w:val="20"/>
                <w:szCs w:val="20"/>
                <w:color w:val="auto"/>
              </w:rPr>
            </w:pPr>
            <w:r>
              <w:rPr>
                <w:rFonts w:ascii="Times New Roman" w:cs="Times New Roman" w:eastAsia="Times New Roman" w:hAnsi="Times New Roman"/>
                <w:sz w:val="18"/>
                <w:szCs w:val="18"/>
                <w:color w:val="auto"/>
                <w:w w:val="93"/>
              </w:rPr>
              <w:t>or</w:t>
            </w:r>
          </w:p>
        </w:tc>
        <w:tc>
          <w:tcPr>
            <w:tcW w:w="3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280" w:type="dxa"/>
            <w:vAlign w:val="bottom"/>
          </w:tcPr>
          <w:p>
            <w:pPr>
              <w:spacing w:after="0"/>
              <w:rPr>
                <w:sz w:val="17"/>
                <w:szCs w:val="17"/>
                <w:color w:val="auto"/>
              </w:rPr>
            </w:pPr>
          </w:p>
        </w:tc>
        <w:tc>
          <w:tcPr>
            <w:tcW w:w="1240" w:type="dxa"/>
            <w:vAlign w:val="bottom"/>
            <w:tcBorders>
              <w:right w:val="single" w:sz="8" w:color="auto"/>
            </w:tcBorders>
          </w:tcPr>
          <w:p>
            <w:pPr>
              <w:jc w:val="center"/>
              <w:ind w:right="269"/>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251"/>
        </w:trPr>
        <w:tc>
          <w:tcPr>
            <w:tcW w:w="1740" w:type="dxa"/>
            <w:vAlign w:val="bottom"/>
            <w:tcBorders>
              <w:left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HBM3E+ Market Share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Gbs*</w:t>
            </w:r>
          </w:p>
        </w:tc>
        <w:tc>
          <w:tcPr>
            <w:tcW w:w="1200" w:type="dxa"/>
            <w:vAlign w:val="bottom"/>
          </w:tcPr>
          <w:p>
            <w:pPr>
              <w:jc w:val="center"/>
              <w:ind w:left="189"/>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Gbs</w:t>
            </w:r>
          </w:p>
        </w:tc>
        <w:tc>
          <w:tcPr>
            <w:tcW w:w="3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Gbs</w:t>
            </w:r>
          </w:p>
        </w:tc>
        <w:tc>
          <w:tcPr>
            <w:tcW w:w="280" w:type="dxa"/>
            <w:vAlign w:val="bottom"/>
          </w:tcPr>
          <w:p>
            <w:pPr>
              <w:spacing w:after="0"/>
              <w:rPr>
                <w:sz w:val="21"/>
                <w:szCs w:val="21"/>
                <w:color w:val="auto"/>
              </w:rPr>
            </w:pPr>
          </w:p>
        </w:tc>
        <w:tc>
          <w:tcPr>
            <w:tcW w:w="1240" w:type="dxa"/>
            <w:vAlign w:val="bottom"/>
            <w:tcBorders>
              <w:right w:val="single" w:sz="8" w:color="auto"/>
            </w:tcBorders>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Gbs</w:t>
            </w: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w:t>
            </w:r>
          </w:p>
        </w:tc>
        <w:tc>
          <w:tcPr>
            <w:tcW w:w="0" w:type="dxa"/>
            <w:vAlign w:val="bottom"/>
          </w:tcPr>
          <w:p>
            <w:pPr>
              <w:spacing w:after="0"/>
              <w:rPr>
                <w:sz w:val="1"/>
                <w:szCs w:val="1"/>
                <w:color w:val="auto"/>
              </w:rPr>
            </w:pPr>
          </w:p>
        </w:tc>
      </w:tr>
      <w:tr>
        <w:trPr>
          <w:trHeight w:val="120"/>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15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40" w:type="dxa"/>
            <w:vAlign w:val="bottom"/>
            <w:tcBorders>
              <w:left w:val="single" w:sz="8" w:color="auto"/>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740" w:type="dxa"/>
            <w:vAlign w:val="bottom"/>
            <w:tcBorders>
              <w:left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HBM3E+ Bit Shipments</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0" w:type="dxa"/>
            <w:vAlign w:val="bottom"/>
          </w:tcPr>
          <w:p>
            <w:pPr>
              <w:jc w:val="center"/>
              <w:ind w:left="129"/>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w:t>
            </w:r>
          </w:p>
        </w:tc>
        <w:tc>
          <w:tcPr>
            <w:tcW w:w="3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240" w:type="dxa"/>
            <w:vAlign w:val="bottom"/>
            <w:tcBorders>
              <w:right w:val="single" w:sz="8" w:color="auto"/>
            </w:tcBorders>
          </w:tcPr>
          <w:p>
            <w:pPr>
              <w:jc w:val="center"/>
              <w:ind w:right="26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tcPr>
          <w:p>
            <w:pPr>
              <w:jc w:val="center"/>
              <w:ind w:left="329"/>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6"/>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1200" w:type="dxa"/>
            <w:vAlign w:val="bottom"/>
          </w:tcPr>
          <w:p>
            <w:pPr>
              <w:jc w:val="center"/>
              <w:ind w:left="129"/>
              <w:spacing w:after="0"/>
              <w:rPr>
                <w:sz w:val="20"/>
                <w:szCs w:val="20"/>
                <w:color w:val="auto"/>
              </w:rPr>
            </w:pPr>
            <w:r>
              <w:rPr>
                <w:rFonts w:ascii="Times New Roman" w:cs="Times New Roman" w:eastAsia="Times New Roman" w:hAnsi="Times New Roman"/>
                <w:sz w:val="18"/>
                <w:szCs w:val="18"/>
                <w:color w:val="auto"/>
                <w:w w:val="93"/>
              </w:rPr>
              <w:t>or</w:t>
            </w:r>
          </w:p>
        </w:tc>
        <w:tc>
          <w:tcPr>
            <w:tcW w:w="3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280" w:type="dxa"/>
            <w:vAlign w:val="bottom"/>
          </w:tcPr>
          <w:p>
            <w:pPr>
              <w:spacing w:after="0"/>
              <w:rPr>
                <w:sz w:val="17"/>
                <w:szCs w:val="17"/>
                <w:color w:val="auto"/>
              </w:rPr>
            </w:pPr>
          </w:p>
        </w:tc>
        <w:tc>
          <w:tcPr>
            <w:tcW w:w="1240" w:type="dxa"/>
            <w:vAlign w:val="bottom"/>
            <w:tcBorders>
              <w:right w:val="single" w:sz="8" w:color="auto"/>
            </w:tcBorders>
          </w:tcPr>
          <w:p>
            <w:pPr>
              <w:jc w:val="center"/>
              <w:ind w:right="269"/>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239"/>
        </w:trPr>
        <w:tc>
          <w:tcPr>
            <w:tcW w:w="174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Gbs</w:t>
            </w:r>
          </w:p>
        </w:tc>
        <w:tc>
          <w:tcPr>
            <w:tcW w:w="1200" w:type="dxa"/>
            <w:vAlign w:val="bottom"/>
          </w:tcPr>
          <w:p>
            <w:pPr>
              <w:jc w:val="center"/>
              <w:ind w:left="189"/>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Gbs</w:t>
            </w:r>
          </w:p>
        </w:tc>
        <w:tc>
          <w:tcPr>
            <w:tcW w:w="3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Gbs</w:t>
            </w:r>
          </w:p>
        </w:tc>
        <w:tc>
          <w:tcPr>
            <w:tcW w:w="280" w:type="dxa"/>
            <w:vAlign w:val="bottom"/>
          </w:tcPr>
          <w:p>
            <w:pPr>
              <w:spacing w:after="0"/>
              <w:rPr>
                <w:sz w:val="20"/>
                <w:szCs w:val="20"/>
                <w:color w:val="auto"/>
              </w:rPr>
            </w:pPr>
          </w:p>
        </w:tc>
        <w:tc>
          <w:tcPr>
            <w:tcW w:w="1240" w:type="dxa"/>
            <w:vAlign w:val="bottom"/>
            <w:tcBorders>
              <w:right w:val="single" w:sz="8" w:color="auto"/>
            </w:tcBorders>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Gbs</w:t>
            </w: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w:t>
            </w:r>
          </w:p>
        </w:tc>
        <w:tc>
          <w:tcPr>
            <w:tcW w:w="0" w:type="dxa"/>
            <w:vAlign w:val="bottom"/>
          </w:tcPr>
          <w:p>
            <w:pPr>
              <w:spacing w:after="0"/>
              <w:rPr>
                <w:sz w:val="1"/>
                <w:szCs w:val="1"/>
                <w:color w:val="auto"/>
              </w:rPr>
            </w:pPr>
          </w:p>
        </w:tc>
      </w:tr>
      <w:tr>
        <w:trPr>
          <w:trHeight w:val="131"/>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41" w:hanging="141"/>
        <w:spacing w:after="0"/>
        <w:tabs>
          <w:tab w:leader="none" w:pos="14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Gbs refers to billion gigabits.</w:t>
      </w:r>
    </w:p>
    <w:p>
      <w:pPr>
        <w:spacing w:after="0" w:line="190" w:lineRule="exact"/>
        <w:rPr>
          <w:rFonts w:ascii="Times New Roman" w:cs="Times New Roman" w:eastAsia="Times New Roman" w:hAnsi="Times New Roman"/>
          <w:sz w:val="20"/>
          <w:szCs w:val="20"/>
          <w:color w:val="auto"/>
        </w:rPr>
      </w:pPr>
    </w:p>
    <w:p>
      <w:pPr>
        <w:jc w:val="both"/>
        <w:ind w:left="601" w:right="100" w:hanging="304"/>
        <w:spacing w:after="0" w:line="246" w:lineRule="auto"/>
        <w:tabs>
          <w:tab w:leader="none" w:pos="59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HBM3E+ Payout Factor for a particular Fiscal Year shown in the table above will be determined by the higher of (x) the HBM3E+ Payout Factor applicable to HBM3E+ Market Share (as defined below) achieved for such Fiscal Year, or (y) the HBM3E+ Payout Factor applicable to HBM3E+ Bit Shipments (as defined below) achieved for such Fiscal Year (the “</w:t>
      </w:r>
      <w:r>
        <w:rPr>
          <w:rFonts w:ascii="Times New Roman" w:cs="Times New Roman" w:eastAsia="Times New Roman" w:hAnsi="Times New Roman"/>
          <w:sz w:val="20"/>
          <w:szCs w:val="20"/>
          <w:u w:val="single" w:color="auto"/>
          <w:color w:val="auto"/>
        </w:rPr>
        <w:t>Achieved HBM3E+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Level</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jc w:val="both"/>
        <w:ind w:left="601" w:right="100" w:hanging="304"/>
        <w:spacing w:after="0" w:line="246" w:lineRule="auto"/>
        <w:tabs>
          <w:tab w:leader="none" w:pos="59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Achieved HBM3E+ Level is between performance levels shown in the table above, the HBM3E+ Payout Factor will be determined based on straight line interpolation. For the avoidance of doubt and notwithstanding any contrary provision of the Award Agreement, if performance for the HBM3E+ Goal (in other words, for both HBM3E+ Market Share and HBM3E+ Bit Shipments) in a particular Fiscal Year is equal to or below the performance specified in the 0.00x column in the above table, the HBM3E+ Payout Factor for such Fiscal Year will be zero.</w:t>
      </w:r>
    </w:p>
    <w:p>
      <w:pPr>
        <w:spacing w:after="0" w:line="156" w:lineRule="exact"/>
        <w:rPr>
          <w:rFonts w:ascii="Times New Roman" w:cs="Times New Roman" w:eastAsia="Times New Roman" w:hAnsi="Times New Roman"/>
          <w:sz w:val="20"/>
          <w:szCs w:val="20"/>
          <w:color w:val="auto"/>
        </w:rPr>
      </w:pPr>
    </w:p>
    <w:p>
      <w:pPr>
        <w:ind w:left="601" w:right="100" w:hanging="304"/>
        <w:spacing w:after="0" w:line="274" w:lineRule="auto"/>
        <w:tabs>
          <w:tab w:leader="none" w:pos="59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HBM3E+ Market Share performance result, HBM3E+ Bit Shipments performance result, and HBM3E+ Payout Factor will be rounded to the second decimal place (as needed).</w:t>
      </w:r>
    </w:p>
    <w:p>
      <w:pPr>
        <w:spacing w:after="0" w:line="130"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HBM3E+</w:t>
      </w:r>
      <w:r>
        <w:rPr>
          <w:rFonts w:ascii="Times New Roman" w:cs="Times New Roman" w:eastAsia="Times New Roman" w:hAnsi="Times New Roman"/>
          <w:sz w:val="20"/>
          <w:szCs w:val="20"/>
          <w:color w:val="auto"/>
        </w:rPr>
        <w:t>” refers to the Company’s HBM3E+ and beyond HBM products and the equivalent competitors’ products.</w:t>
      </w:r>
    </w:p>
    <w:p>
      <w:pPr>
        <w:spacing w:after="0" w:line="202" w:lineRule="exact"/>
        <w:rPr>
          <w:rFonts w:ascii="Times New Roman" w:cs="Times New Roman" w:eastAsia="Times New Roman" w:hAnsi="Times New Roman"/>
          <w:sz w:val="20"/>
          <w:szCs w:val="20"/>
          <w:color w:val="auto"/>
        </w:rPr>
      </w:pPr>
    </w:p>
    <w:p>
      <w:pPr>
        <w:jc w:val="both"/>
        <w:ind w:left="601" w:right="100" w:hanging="304"/>
        <w:spacing w:after="0" w:line="241" w:lineRule="auto"/>
        <w:tabs>
          <w:tab w:leader="none" w:pos="59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HBM3E+ Market Share</w:t>
      </w:r>
      <w:r>
        <w:rPr>
          <w:rFonts w:ascii="Times New Roman" w:cs="Times New Roman" w:eastAsia="Times New Roman" w:hAnsi="Times New Roman"/>
          <w:sz w:val="20"/>
          <w:szCs w:val="20"/>
          <w:color w:val="auto"/>
        </w:rPr>
        <w:t>” refers to a percentage equal to (a) the Company’s revenue (determined in accordance with U.S. Generally Accepted Accounting Principles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with respect to its HBM3E+ and beyond products, divided by (b) the revenue of the total available market (“</w:t>
      </w:r>
      <w:r>
        <w:rPr>
          <w:rFonts w:ascii="Times New Roman" w:cs="Times New Roman" w:eastAsia="Times New Roman" w:hAnsi="Times New Roman"/>
          <w:sz w:val="20"/>
          <w:szCs w:val="20"/>
          <w:u w:val="single" w:color="auto"/>
          <w:color w:val="auto"/>
        </w:rPr>
        <w:t>TAM</w:t>
      </w:r>
      <w:r>
        <w:rPr>
          <w:rFonts w:ascii="Times New Roman" w:cs="Times New Roman" w:eastAsia="Times New Roman" w:hAnsi="Times New Roman"/>
          <w:sz w:val="20"/>
          <w:szCs w:val="20"/>
          <w:color w:val="auto"/>
        </w:rPr>
        <w:t>”) from HBM3E+ and beyond (i.e., a stacked DRAM technology optimized for memory-bandwidth intensive applications) products. The HBM3E+ Market Share will be measured by the Company’s internal Market Intelligence (MI) assessment, in part by leveraging third-party reports (x) for the 2027 Fiscal Year, over the period beginning with the third quarter of calendar year 2026 through and inclusive of the second quarter of calendar year 2027, and (y) for the 2028 Fiscal Year, over the period beginning with the third quarter of calendar year 2027 through and inclusive of the second quarter of calendar year 2028.</w:t>
      </w:r>
    </w:p>
    <w:p>
      <w:pPr>
        <w:sectPr>
          <w:pgSz w:w="11900" w:h="16838" w:orient="portrait"/>
          <w:cols w:equalWidth="0" w:num="1">
            <w:col w:w="11341"/>
          </w:cols>
          <w:pgMar w:left="319" w:top="1440" w:right="239" w:bottom="1440" w:gutter="0" w:footer="0" w:header="0"/>
        </w:sectPr>
      </w:pPr>
    </w:p>
    <w:bookmarkStart w:id="105" w:name="page106"/>
    <w:bookmarkEnd w:id="105"/>
    <w:p>
      <w:pPr>
        <w:spacing w:after="0" w:line="257" w:lineRule="exact"/>
        <w:rPr>
          <w:sz w:val="20"/>
          <w:szCs w:val="20"/>
          <w:color w:val="auto"/>
        </w:rPr>
      </w:pPr>
    </w:p>
    <w:p>
      <w:pPr>
        <w:ind w:left="581" w:hanging="284"/>
        <w:spacing w:after="0"/>
        <w:tabs>
          <w:tab w:leader="none" w:pos="58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HBM3E+ Bit Shipments</w:t>
      </w:r>
      <w:r>
        <w:rPr>
          <w:rFonts w:ascii="Times New Roman" w:cs="Times New Roman" w:eastAsia="Times New Roman" w:hAnsi="Times New Roman"/>
          <w:sz w:val="20"/>
          <w:szCs w:val="20"/>
          <w:color w:val="auto"/>
        </w:rPr>
        <w:t>” refers to the bit shipments for the Company’s HBM3E+ and beyond HBM products.</w:t>
      </w:r>
    </w:p>
    <w:p>
      <w:pPr>
        <w:spacing w:after="0" w:line="199" w:lineRule="exact"/>
        <w:rPr>
          <w:sz w:val="20"/>
          <w:szCs w:val="20"/>
          <w:color w:val="auto"/>
        </w:rPr>
      </w:pPr>
    </w:p>
    <w:p>
      <w:pPr>
        <w:ind w:left="1" w:right="100" w:firstLine="593"/>
        <w:spacing w:after="0" w:line="291" w:lineRule="auto"/>
        <w:rPr>
          <w:sz w:val="20"/>
          <w:szCs w:val="20"/>
          <w:color w:val="auto"/>
        </w:rPr>
      </w:pPr>
      <w:r>
        <w:rPr>
          <w:rFonts w:ascii="Times New Roman" w:cs="Times New Roman" w:eastAsia="Times New Roman" w:hAnsi="Times New Roman"/>
          <w:sz w:val="20"/>
          <w:szCs w:val="20"/>
          <w:b w:val="1"/>
          <w:bCs w:val="1"/>
          <w:u w:val="single" w:color="auto"/>
          <w:color w:val="auto"/>
        </w:rPr>
        <w:t>Operational Additional Performance Conditions</w:t>
      </w:r>
      <w:r>
        <w:rPr>
          <w:rFonts w:ascii="Times New Roman" w:cs="Times New Roman" w:eastAsia="Times New Roman" w:hAnsi="Times New Roman"/>
          <w:sz w:val="20"/>
          <w:szCs w:val="20"/>
          <w:color w:val="auto"/>
        </w:rPr>
        <w:t>. The HBM3E+ Payout Factor may be increased in the event of achievement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goals shown in the following table (the “</w:t>
      </w:r>
      <w:r>
        <w:rPr>
          <w:rFonts w:ascii="Times New Roman" w:cs="Times New Roman" w:eastAsia="Times New Roman" w:hAnsi="Times New Roman"/>
          <w:sz w:val="20"/>
          <w:szCs w:val="20"/>
          <w:u w:val="single" w:color="auto"/>
          <w:color w:val="auto"/>
        </w:rPr>
        <w:t>Operational Additional Performance Conditions</w:t>
      </w:r>
      <w:r>
        <w:rPr>
          <w:rFonts w:ascii="Times New Roman" w:cs="Times New Roman" w:eastAsia="Times New Roman" w:hAnsi="Times New Roman"/>
          <w:sz w:val="20"/>
          <w:szCs w:val="20"/>
          <w:color w:val="auto"/>
        </w:rPr>
        <w:t>”).</w:t>
      </w:r>
    </w:p>
    <w:p>
      <w:pPr>
        <w:spacing w:after="0" w:line="144" w:lineRule="exact"/>
        <w:rPr>
          <w:sz w:val="20"/>
          <w:szCs w:val="20"/>
          <w:color w:val="auto"/>
        </w:rPr>
      </w:pPr>
    </w:p>
    <w:tbl>
      <w:tblPr>
        <w:tblLayout w:type="fixed"/>
        <w:tblInd w:w="611" w:type="dxa"/>
        <w:tblCellMar>
          <w:top w:w="0" w:type="dxa"/>
          <w:left w:w="0" w:type="dxa"/>
          <w:bottom w:w="0" w:type="dxa"/>
          <w:right w:w="0" w:type="dxa"/>
        </w:tblCellMar>
      </w:tblPr>
      <w:tr>
        <w:trPr>
          <w:trHeight w:val="185"/>
        </w:trPr>
        <w:tc>
          <w:tcPr>
            <w:tcW w:w="2300" w:type="dxa"/>
            <w:vAlign w:val="bottom"/>
            <w:tcBorders>
              <w:top w:val="single" w:sz="8" w:color="auto"/>
              <w:left w:val="single" w:sz="8" w:color="auto"/>
              <w:right w:val="single" w:sz="8" w:color="auto"/>
            </w:tcBorders>
            <w:shd w:val="clear" w:color="auto" w:fill="D9D9D9"/>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Operational Additional</w:t>
            </w:r>
          </w:p>
        </w:tc>
        <w:tc>
          <w:tcPr>
            <w:tcW w:w="1240" w:type="dxa"/>
            <w:vAlign w:val="bottom"/>
            <w:tcBorders>
              <w:top w:val="single" w:sz="8" w:color="auto"/>
            </w:tcBorders>
            <w:shd w:val="clear" w:color="auto" w:fill="D9D9D9"/>
          </w:tcPr>
          <w:p>
            <w:pPr>
              <w:spacing w:after="0"/>
              <w:rPr>
                <w:sz w:val="16"/>
                <w:szCs w:val="16"/>
                <w:color w:val="auto"/>
              </w:rPr>
            </w:pPr>
          </w:p>
        </w:tc>
        <w:tc>
          <w:tcPr>
            <w:tcW w:w="4700" w:type="dxa"/>
            <w:vAlign w:val="bottom"/>
            <w:tcBorders>
              <w:top w:val="single" w:sz="8" w:color="auto"/>
              <w:right w:val="single" w:sz="8" w:color="auto"/>
            </w:tcBorders>
            <w:shd w:val="clear" w:color="auto" w:fill="D9D9D9"/>
          </w:tcPr>
          <w:p>
            <w:pPr>
              <w:spacing w:after="0"/>
              <w:rPr>
                <w:sz w:val="16"/>
                <w:szCs w:val="16"/>
                <w:color w:val="auto"/>
              </w:rPr>
            </w:pPr>
          </w:p>
        </w:tc>
        <w:tc>
          <w:tcPr>
            <w:tcW w:w="2500" w:type="dxa"/>
            <w:vAlign w:val="bottom"/>
            <w:tcBorders>
              <w:top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Amount Added to HBM3E+ Pa</w:t>
            </w:r>
          </w:p>
        </w:tc>
        <w:tc>
          <w:tcPr>
            <w:tcW w:w="0" w:type="dxa"/>
            <w:vAlign w:val="bottom"/>
          </w:tcPr>
          <w:p>
            <w:pPr>
              <w:spacing w:after="0"/>
              <w:rPr>
                <w:sz w:val="1"/>
                <w:szCs w:val="1"/>
                <w:color w:val="auto"/>
              </w:rPr>
            </w:pPr>
          </w:p>
        </w:tc>
      </w:tr>
      <w:tr>
        <w:trPr>
          <w:trHeight w:val="87"/>
        </w:trPr>
        <w:tc>
          <w:tcPr>
            <w:tcW w:w="2300" w:type="dxa"/>
            <w:vAlign w:val="bottom"/>
            <w:tcBorders>
              <w:left w:val="single" w:sz="8" w:color="auto"/>
              <w:right w:val="single" w:sz="8" w:color="auto"/>
            </w:tcBorders>
            <w:vMerge w:val="restart"/>
            <w:shd w:val="clear" w:color="auto" w:fill="D9D9D9"/>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rPr>
              <w:t>Performance Conditions</w:t>
            </w:r>
          </w:p>
        </w:tc>
        <w:tc>
          <w:tcPr>
            <w:tcW w:w="1240" w:type="dxa"/>
            <w:vAlign w:val="bottom"/>
            <w:shd w:val="clear" w:color="auto" w:fill="D9D9D9"/>
          </w:tcPr>
          <w:p>
            <w:pPr>
              <w:spacing w:after="0"/>
              <w:rPr>
                <w:sz w:val="7"/>
                <w:szCs w:val="7"/>
                <w:color w:val="auto"/>
              </w:rPr>
            </w:pPr>
          </w:p>
        </w:tc>
        <w:tc>
          <w:tcPr>
            <w:tcW w:w="4700" w:type="dxa"/>
            <w:vAlign w:val="bottom"/>
            <w:tcBorders>
              <w:right w:val="single" w:sz="8" w:color="auto"/>
            </w:tcBorders>
            <w:vMerge w:val="restart"/>
            <w:shd w:val="clear" w:color="auto" w:fill="D9D9D9"/>
          </w:tcPr>
          <w:p>
            <w:pPr>
              <w:ind w:left="600"/>
              <w:spacing w:after="0" w:line="173" w:lineRule="exact"/>
              <w:rPr>
                <w:sz w:val="20"/>
                <w:szCs w:val="20"/>
                <w:color w:val="auto"/>
              </w:rPr>
            </w:pPr>
            <w:r>
              <w:rPr>
                <w:rFonts w:ascii="Times New Roman" w:cs="Times New Roman" w:eastAsia="Times New Roman" w:hAnsi="Times New Roman"/>
                <w:sz w:val="18"/>
                <w:szCs w:val="18"/>
                <w:b w:val="1"/>
                <w:bCs w:val="1"/>
                <w:color w:val="auto"/>
              </w:rPr>
              <w:t>Required Achievement Level</w:t>
            </w:r>
          </w:p>
        </w:tc>
        <w:tc>
          <w:tcPr>
            <w:tcW w:w="250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1240" w:type="dxa"/>
            <w:vAlign w:val="bottom"/>
            <w:shd w:val="clear" w:color="auto" w:fill="D9D9D9"/>
          </w:tcPr>
          <w:p>
            <w:pPr>
              <w:spacing w:after="0"/>
              <w:rPr>
                <w:sz w:val="7"/>
                <w:szCs w:val="7"/>
                <w:color w:val="auto"/>
              </w:rPr>
            </w:pPr>
          </w:p>
        </w:tc>
        <w:tc>
          <w:tcPr>
            <w:tcW w:w="4700" w:type="dxa"/>
            <w:vAlign w:val="bottom"/>
            <w:tcBorders>
              <w:right w:val="single" w:sz="8" w:color="auto"/>
            </w:tcBorders>
            <w:vMerge w:val="continue"/>
            <w:shd w:val="clear" w:color="auto" w:fill="D9D9D9"/>
          </w:tcPr>
          <w:p>
            <w:pPr>
              <w:spacing w:after="0"/>
              <w:rPr>
                <w:sz w:val="7"/>
                <w:szCs w:val="7"/>
                <w:color w:val="auto"/>
              </w:rPr>
            </w:pPr>
          </w:p>
        </w:tc>
        <w:tc>
          <w:tcPr>
            <w:tcW w:w="2500" w:type="dxa"/>
            <w:vAlign w:val="bottom"/>
            <w:vMerge w:val="restart"/>
            <w:shd w:val="clear" w:color="auto" w:fill="D9D9D9"/>
          </w:tcPr>
          <w:p>
            <w:pPr>
              <w:jc w:val="center"/>
              <w:ind w:left="389"/>
              <w:spacing w:after="0"/>
              <w:rPr>
                <w:sz w:val="20"/>
                <w:szCs w:val="20"/>
                <w:color w:val="auto"/>
              </w:rPr>
            </w:pPr>
            <w:r>
              <w:rPr>
                <w:rFonts w:ascii="Times New Roman" w:cs="Times New Roman" w:eastAsia="Times New Roman" w:hAnsi="Times New Roman"/>
                <w:sz w:val="18"/>
                <w:szCs w:val="18"/>
                <w:b w:val="1"/>
                <w:bCs w:val="1"/>
                <w:color w:val="auto"/>
              </w:rPr>
              <w:t>Factor Determined Above</w:t>
            </w:r>
          </w:p>
        </w:tc>
        <w:tc>
          <w:tcPr>
            <w:tcW w:w="0" w:type="dxa"/>
            <w:vAlign w:val="bottom"/>
          </w:tcPr>
          <w:p>
            <w:pPr>
              <w:spacing w:after="0"/>
              <w:rPr>
                <w:sz w:val="1"/>
                <w:szCs w:val="1"/>
                <w:color w:val="auto"/>
              </w:rPr>
            </w:pPr>
          </w:p>
        </w:tc>
      </w:tr>
      <w:tr>
        <w:trPr>
          <w:trHeight w:val="153"/>
        </w:trPr>
        <w:tc>
          <w:tcPr>
            <w:tcW w:w="23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1240" w:type="dxa"/>
            <w:vAlign w:val="bottom"/>
            <w:shd w:val="clear" w:color="auto" w:fill="D9D9D9"/>
          </w:tcPr>
          <w:p>
            <w:pPr>
              <w:spacing w:after="0"/>
              <w:rPr>
                <w:sz w:val="13"/>
                <w:szCs w:val="13"/>
                <w:color w:val="auto"/>
              </w:rPr>
            </w:pPr>
          </w:p>
        </w:tc>
        <w:tc>
          <w:tcPr>
            <w:tcW w:w="4700" w:type="dxa"/>
            <w:vAlign w:val="bottom"/>
            <w:tcBorders>
              <w:right w:val="single" w:sz="8" w:color="auto"/>
            </w:tcBorders>
            <w:shd w:val="clear" w:color="auto" w:fill="D9D9D9"/>
          </w:tcPr>
          <w:p>
            <w:pPr>
              <w:spacing w:after="0"/>
              <w:rPr>
                <w:sz w:val="13"/>
                <w:szCs w:val="13"/>
                <w:color w:val="auto"/>
              </w:rPr>
            </w:pPr>
          </w:p>
        </w:tc>
        <w:tc>
          <w:tcPr>
            <w:tcW w:w="2500" w:type="dxa"/>
            <w:vAlign w:val="bottom"/>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00" w:type="dxa"/>
            <w:vAlign w:val="bottom"/>
            <w:tcBorders>
              <w:left w:val="single" w:sz="8" w:color="auto"/>
              <w:bottom w:val="single" w:sz="8" w:color="auto"/>
              <w:right w:val="single" w:sz="8" w:color="auto"/>
            </w:tcBorders>
            <w:vMerge w:val="continue"/>
            <w:shd w:val="clear" w:color="auto" w:fill="D9D9D9"/>
          </w:tcPr>
          <w:p>
            <w:pPr>
              <w:spacing w:after="0"/>
              <w:rPr>
                <w:sz w:val="7"/>
                <w:szCs w:val="7"/>
                <w:color w:val="auto"/>
              </w:rPr>
            </w:pPr>
          </w:p>
        </w:tc>
        <w:tc>
          <w:tcPr>
            <w:tcW w:w="1240" w:type="dxa"/>
            <w:vAlign w:val="bottom"/>
            <w:tcBorders>
              <w:bottom w:val="single" w:sz="8" w:color="auto"/>
            </w:tcBorders>
            <w:shd w:val="clear" w:color="auto" w:fill="D9D9D9"/>
          </w:tcPr>
          <w:p>
            <w:pPr>
              <w:spacing w:after="0"/>
              <w:rPr>
                <w:sz w:val="7"/>
                <w:szCs w:val="7"/>
                <w:color w:val="auto"/>
              </w:rPr>
            </w:pPr>
          </w:p>
        </w:tc>
        <w:tc>
          <w:tcPr>
            <w:tcW w:w="4700" w:type="dxa"/>
            <w:vAlign w:val="bottom"/>
            <w:tcBorders>
              <w:bottom w:val="single" w:sz="8" w:color="auto"/>
              <w:right w:val="single" w:sz="8" w:color="auto"/>
            </w:tcBorders>
            <w:shd w:val="clear" w:color="auto" w:fill="D9D9D9"/>
          </w:tcPr>
          <w:p>
            <w:pPr>
              <w:spacing w:after="0"/>
              <w:rPr>
                <w:sz w:val="7"/>
                <w:szCs w:val="7"/>
                <w:color w:val="auto"/>
              </w:rPr>
            </w:pPr>
          </w:p>
        </w:tc>
        <w:tc>
          <w:tcPr>
            <w:tcW w:w="2500" w:type="dxa"/>
            <w:vAlign w:val="bottom"/>
            <w:tcBorders>
              <w:bottom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2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Goal 1: [***]</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4700" w:type="dxa"/>
            <w:vAlign w:val="bottom"/>
            <w:tcBorders>
              <w:right w:val="single" w:sz="8" w:color="auto"/>
            </w:tcBorders>
          </w:tcPr>
          <w:p>
            <w:pPr>
              <w:spacing w:after="0"/>
              <w:rPr>
                <w:sz w:val="24"/>
                <w:szCs w:val="24"/>
                <w:color w:val="auto"/>
              </w:rPr>
            </w:pPr>
          </w:p>
        </w:tc>
        <w:tc>
          <w:tcPr>
            <w:tcW w:w="2500" w:type="dxa"/>
            <w:vAlign w:val="bottom"/>
            <w:vMerge w:val="restart"/>
          </w:tcPr>
          <w:p>
            <w:pPr>
              <w:jc w:val="center"/>
              <w:ind w:left="409"/>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148"/>
        </w:trPr>
        <w:tc>
          <w:tcPr>
            <w:tcW w:w="2300" w:type="dxa"/>
            <w:vAlign w:val="bottom"/>
            <w:tcBorders>
              <w:left w:val="single" w:sz="8" w:color="auto"/>
              <w:right w:val="single" w:sz="8" w:color="auto"/>
            </w:tcBorders>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4700" w:type="dxa"/>
            <w:vAlign w:val="bottom"/>
            <w:tcBorders>
              <w:right w:val="single" w:sz="8" w:color="auto"/>
            </w:tcBorders>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Borders>
              <w:left w:val="single" w:sz="8" w:color="auto"/>
              <w:right w:val="single" w:sz="8" w:color="auto"/>
            </w:tcBorders>
          </w:tcPr>
          <w:p>
            <w:pPr>
              <w:spacing w:after="0"/>
              <w:rPr>
                <w:sz w:val="13"/>
                <w:szCs w:val="13"/>
                <w:color w:val="auto"/>
              </w:rPr>
            </w:pPr>
          </w:p>
        </w:tc>
        <w:tc>
          <w:tcPr>
            <w:tcW w:w="1240" w:type="dxa"/>
            <w:vAlign w:val="bottom"/>
            <w:vMerge w:val="continue"/>
          </w:tcPr>
          <w:p>
            <w:pPr>
              <w:spacing w:after="0"/>
              <w:rPr>
                <w:sz w:val="13"/>
                <w:szCs w:val="13"/>
                <w:color w:val="auto"/>
              </w:rPr>
            </w:pPr>
          </w:p>
        </w:tc>
        <w:tc>
          <w:tcPr>
            <w:tcW w:w="4700" w:type="dxa"/>
            <w:vAlign w:val="bottom"/>
            <w:tcBorders>
              <w:right w:val="single" w:sz="8" w:color="auto"/>
            </w:tcBorders>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70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Goal 2: [***]</w:t>
            </w:r>
          </w:p>
        </w:tc>
        <w:tc>
          <w:tcPr>
            <w:tcW w:w="1240" w:type="dxa"/>
            <w:vAlign w:val="bottom"/>
          </w:tcPr>
          <w:p>
            <w:pPr>
              <w:jc w:val="right"/>
              <w:ind w:right="649"/>
              <w:spacing w:after="0"/>
              <w:rPr>
                <w:sz w:val="20"/>
                <w:szCs w:val="20"/>
                <w:color w:val="auto"/>
              </w:rPr>
            </w:pPr>
            <w:r>
              <w:rPr>
                <w:rFonts w:ascii="Times New Roman" w:cs="Times New Roman" w:eastAsia="Times New Roman" w:hAnsi="Times New Roman"/>
                <w:sz w:val="18"/>
                <w:szCs w:val="18"/>
                <w:b w:val="1"/>
                <w:bCs w:val="1"/>
                <w:color w:val="auto"/>
              </w:rPr>
              <w:t>[***]</w:t>
            </w:r>
          </w:p>
        </w:tc>
        <w:tc>
          <w:tcPr>
            <w:tcW w:w="4700" w:type="dxa"/>
            <w:vAlign w:val="bottom"/>
            <w:tcBorders>
              <w:right w:val="single" w:sz="8" w:color="auto"/>
            </w:tcBorders>
          </w:tcPr>
          <w:p>
            <w:pPr>
              <w:spacing w:after="0"/>
              <w:rPr>
                <w:sz w:val="24"/>
                <w:szCs w:val="24"/>
                <w:color w:val="auto"/>
              </w:rPr>
            </w:pPr>
          </w:p>
        </w:tc>
        <w:tc>
          <w:tcPr>
            <w:tcW w:w="2500" w:type="dxa"/>
            <w:vAlign w:val="bottom"/>
          </w:tcPr>
          <w:p>
            <w:pPr>
              <w:jc w:val="center"/>
              <w:ind w:left="409"/>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94"/>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700" w:type="dxa"/>
            <w:vAlign w:val="bottom"/>
            <w:tcBorders>
              <w:bottom w:val="single" w:sz="8" w:color="auto"/>
              <w:right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1" w:hanging="121"/>
        <w:spacing w:after="0"/>
        <w:tabs>
          <w:tab w:leader="none" w:pos="12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w:t>
      </w:r>
    </w:p>
    <w:p>
      <w:pPr>
        <w:spacing w:after="0" w:line="238" w:lineRule="exact"/>
        <w:rPr>
          <w:rFonts w:ascii="Times New Roman" w:cs="Times New Roman" w:eastAsia="Times New Roman" w:hAnsi="Times New Roman"/>
          <w:sz w:val="16"/>
          <w:szCs w:val="16"/>
          <w:color w:val="auto"/>
        </w:rPr>
      </w:pPr>
    </w:p>
    <w:p>
      <w:pPr>
        <w:ind w:left="581" w:hanging="284"/>
        <w:spacing w:after="0"/>
        <w:tabs>
          <w:tab w:leader="none" w:pos="5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Goal 1B:</w:t>
      </w:r>
    </w:p>
    <w:p>
      <w:pPr>
        <w:spacing w:after="0" w:line="175" w:lineRule="exact"/>
        <w:rPr>
          <w:rFonts w:ascii="Times New Roman" w:cs="Times New Roman" w:eastAsia="Times New Roman" w:hAnsi="Times New Roman"/>
          <w:sz w:val="20"/>
          <w:szCs w:val="20"/>
          <w:color w:val="auto"/>
        </w:rPr>
      </w:pPr>
    </w:p>
    <w:p>
      <w:pPr>
        <w:jc w:val="both"/>
        <w:ind w:left="881" w:right="9760"/>
        <w:spacing w:after="0" w:line="463"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r>
        <w:rPr>
          <w:rFonts w:ascii="Courier New" w:cs="Courier New" w:eastAsia="Courier New" w:hAnsi="Courier New"/>
          <w:sz w:val="20"/>
          <w:szCs w:val="20"/>
          <w:color w:val="auto"/>
        </w:rPr>
        <w:t xml:space="preserve"> o </w:t>
      </w:r>
      <w:r>
        <w:rPr>
          <w:rFonts w:ascii="Times New Roman" w:cs="Times New Roman" w:eastAsia="Times New Roman" w:hAnsi="Times New Roman"/>
          <w:sz w:val="18"/>
          <w:szCs w:val="18"/>
          <w:b w:val="1"/>
          <w:bCs w:val="1"/>
          <w:color w:val="auto"/>
        </w:rPr>
        <w:t>[***]</w:t>
      </w:r>
    </w:p>
    <w:p>
      <w:pPr>
        <w:spacing w:after="0" w:line="2"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results for each of Goal 1A and Goal 1B will be rounded to the second decimal place (as needed).</w:t>
      </w:r>
    </w:p>
    <w:p>
      <w:pPr>
        <w:spacing w:after="0" w:line="202"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Goal 2, </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example of the operation of the Operational Additional Performance Conditions is set forth below:</w:t>
      </w:r>
    </w:p>
    <w:p>
      <w:pPr>
        <w:spacing w:after="0" w:line="104" w:lineRule="exact"/>
        <w:rPr>
          <w:sz w:val="20"/>
          <w:szCs w:val="20"/>
          <w:color w:val="auto"/>
        </w:rPr>
      </w:pPr>
    </w:p>
    <w:p>
      <w:pPr>
        <w:ind w:left="1181" w:hanging="291"/>
        <w:spacing w:after="0"/>
        <w:tabs>
          <w:tab w:leader="none" w:pos="1181" w:val="left"/>
        </w:tabs>
        <w:numPr>
          <w:ilvl w:val="0"/>
          <w:numId w:val="8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Assume that for Fiscal Year 2027, the HBM3E+ Payout Factor is determined to be 1.0x.</w:t>
      </w:r>
    </w:p>
    <w:p>
      <w:pPr>
        <w:spacing w:after="0" w:line="99" w:lineRule="exact"/>
        <w:rPr>
          <w:rFonts w:ascii="Courier New" w:cs="Courier New" w:eastAsia="Courier New" w:hAnsi="Courier New"/>
          <w:sz w:val="20"/>
          <w:szCs w:val="20"/>
          <w:color w:val="auto"/>
        </w:rPr>
      </w:pPr>
    </w:p>
    <w:p>
      <w:pPr>
        <w:ind w:left="1181" w:right="100" w:hanging="291"/>
        <w:spacing w:after="0" w:line="257" w:lineRule="auto"/>
        <w:tabs>
          <w:tab w:leader="none" w:pos="1176" w:val="left"/>
        </w:tabs>
        <w:numPr>
          <w:ilvl w:val="0"/>
          <w:numId w:val="8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Assume achievement of both Goal 1A and Goal 1B of the Operational Additional Performance Conditions during Fiscal Year 2027 but that Goal 2 of the Operational Additional Performance Conditions is not achieved in Fiscal Year 2027.</w:t>
      </w:r>
    </w:p>
    <w:p>
      <w:pPr>
        <w:sectPr>
          <w:pgSz w:w="11900" w:h="16838" w:orient="portrait"/>
          <w:cols w:equalWidth="0" w:num="1">
            <w:col w:w="11341"/>
          </w:cols>
          <w:pgMar w:left="319" w:top="1440" w:right="239" w:bottom="1440" w:gutter="0" w:footer="0" w:header="0"/>
        </w:sectPr>
      </w:pPr>
    </w:p>
    <w:bookmarkStart w:id="106" w:name="page107"/>
    <w:bookmarkEnd w:id="106"/>
    <w:p>
      <w:pPr>
        <w:spacing w:after="0" w:line="171" w:lineRule="exact"/>
        <w:rPr>
          <w:sz w:val="20"/>
          <w:szCs w:val="20"/>
          <w:color w:val="auto"/>
        </w:rPr>
      </w:pPr>
    </w:p>
    <w:p>
      <w:pPr>
        <w:ind w:left="1180" w:hanging="291"/>
        <w:spacing w:after="0" w:line="282" w:lineRule="auto"/>
        <w:tabs>
          <w:tab w:leader="none" w:pos="1175" w:val="left"/>
        </w:tabs>
        <w:numPr>
          <w:ilvl w:val="0"/>
          <w:numId w:val="8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HBM3E+ Payout Factor will be increased by 0.33x, to 1.33x. (If Goal 2 also were achieved, the HBM3E+ Payout Factor would be increased by 0.66x to 1.66x.)</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Certification and Banked Units</w:t>
      </w:r>
      <w:r>
        <w:rPr>
          <w:rFonts w:ascii="Times New Roman" w:cs="Times New Roman" w:eastAsia="Times New Roman" w:hAnsi="Times New Roman"/>
          <w:sz w:val="20"/>
          <w:szCs w:val="20"/>
          <w:color w:val="auto"/>
        </w:rPr>
        <w:t>. Achievement levels with respect to the HBM3E+ Payout Factor, as well as any Operational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Conditions, will be measured at the end of each of:</w:t>
      </w:r>
    </w:p>
    <w:p>
      <w:pPr>
        <w:ind w:left="580" w:hanging="284"/>
        <w:spacing w:after="0" w:line="233" w:lineRule="auto"/>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Year 2027, and</w:t>
      </w:r>
    </w:p>
    <w:p>
      <w:pPr>
        <w:ind w:left="580" w:hanging="284"/>
        <w:spacing w:after="0"/>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Year 2028.</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later than 60 days after the end of each of Fiscal Years 2027 and 2028, the Administrator shall determine and certify the results of such achievement under this Award of HBM3E+ Performance Units (such date, the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 HBM3E+ Performance Units that are earned by achievement of the HBM3E+ Goal and/or Operational Additional Performance Conditions, as applicable, are referred to herein as “</w:t>
      </w:r>
      <w:r>
        <w:rPr>
          <w:rFonts w:ascii="Times New Roman" w:cs="Times New Roman" w:eastAsia="Times New Roman" w:hAnsi="Times New Roman"/>
          <w:sz w:val="20"/>
          <w:szCs w:val="20"/>
          <w:u w:val="single" w:color="auto"/>
          <w:color w:val="auto"/>
        </w:rPr>
        <w:t>Banked Units</w:t>
      </w:r>
      <w:r>
        <w:rPr>
          <w:rFonts w:ascii="Times New Roman" w:cs="Times New Roman" w:eastAsia="Times New Roman" w:hAnsi="Times New Roman"/>
          <w:sz w:val="20"/>
          <w:szCs w:val="20"/>
          <w:color w:val="auto"/>
        </w:rPr>
        <w:t>” (regardless of whether such HBM3E+ Performance Units have vested).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As of the Certification Date that immediately follows the end of Fiscal Year 2028, 100% of any then-unvested Banked Units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avoidance of doubt, inclusive of any HBM3E+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HBM3E+ Performance Units have become Banked Units, such Banked Units will continue to vest and be paid pursuant to the original schedule.</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Vesting Upon a Qualifying Event</w:t>
      </w:r>
      <w:r>
        <w:rPr>
          <w:rFonts w:ascii="Times New Roman" w:cs="Times New Roman" w:eastAsia="Times New Roman" w:hAnsi="Times New Roman"/>
          <w:sz w:val="20"/>
          <w:szCs w:val="20"/>
          <w:color w:val="auto"/>
        </w:rPr>
        <w:t>. This paragraph shall apply only to the extent that Participant and the Company have entered into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offer letter or similar written agreement (the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0"/>
          <w:szCs w:val="20"/>
          <w:u w:val="single" w:color="auto"/>
          <w:color w:val="auto"/>
        </w:rPr>
        <w:t>Qualifying Event</w:t>
      </w:r>
      <w:r>
        <w:rPr>
          <w:rFonts w:ascii="Times New Roman" w:cs="Times New Roman" w:eastAsia="Times New Roman" w:hAnsi="Times New Roman"/>
          <w:sz w:val="20"/>
          <w:szCs w:val="20"/>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Payout Timing (Conversion to Shares)</w:t>
      </w:r>
      <w:r>
        <w:rPr>
          <w:rFonts w:ascii="Times New Roman" w:cs="Times New Roman" w:eastAsia="Times New Roman" w:hAnsi="Times New Roman"/>
          <w:sz w:val="20"/>
          <w:szCs w:val="20"/>
          <w:color w:val="auto"/>
        </w:rPr>
        <w:t>. The Banked Units vesting as of the Certification Date that immediately follows the end of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2028 (such HBM3E+ Performance Units, the “</w:t>
      </w:r>
      <w:r>
        <w:rPr>
          <w:rFonts w:ascii="Times New Roman" w:cs="Times New Roman" w:eastAsia="Times New Roman" w:hAnsi="Times New Roman"/>
          <w:sz w:val="20"/>
          <w:szCs w:val="20"/>
          <w:u w:val="single" w:color="auto"/>
          <w:color w:val="auto"/>
        </w:rPr>
        <w:t>Vested HBM3E+ Performance Units</w:t>
      </w:r>
      <w:r>
        <w:rPr>
          <w:rFonts w:ascii="Times New Roman" w:cs="Times New Roman" w:eastAsia="Times New Roman" w:hAnsi="Times New Roman"/>
          <w:sz w:val="20"/>
          <w:szCs w:val="20"/>
          <w:color w:val="auto"/>
        </w:rPr>
        <w:t>”) shall automatically convert to Shares on the Certification Date (the “</w:t>
      </w:r>
      <w:r>
        <w:rPr>
          <w:rFonts w:ascii="Times New Roman" w:cs="Times New Roman" w:eastAsia="Times New Roman" w:hAnsi="Times New Roman"/>
          <w:sz w:val="20"/>
          <w:szCs w:val="20"/>
          <w:u w:val="single" w:color="auto"/>
          <w:color w:val="auto"/>
        </w:rPr>
        <w:t>Conversion Date</w:t>
      </w:r>
      <w:r>
        <w:rPr>
          <w:rFonts w:ascii="Times New Roman" w:cs="Times New Roman" w:eastAsia="Times New Roman" w:hAnsi="Times New Roman"/>
          <w:sz w:val="20"/>
          <w:szCs w:val="20"/>
          <w:color w:val="auto"/>
        </w:rPr>
        <w:t>”), except that if Participant is terminated for Cause, no further HBM3E+ Performance Units shall vest after the date of termination.</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Certain Award Limitations</w:t>
      </w:r>
      <w:r>
        <w:rPr>
          <w:rFonts w:ascii="Times New Roman" w:cs="Times New Roman" w:eastAsia="Times New Roman" w:hAnsi="Times New Roman"/>
          <w:sz w:val="20"/>
          <w:szCs w:val="20"/>
          <w:color w:val="auto"/>
        </w:rPr>
        <w:t>. The maximum number of HBM3E+ Performance Units that may vest under this Award is the Maximum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Shares Subject to HBM3E+ Performance Units as set forth in the Notice of Grant.</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Concurrently with this Award of HBM3E+ Performance Units, Participant is receiving (a) an award of Data Center DRAM Mix Performance Units, which are performance-based Restricted Stock Units that may be earned based upon achievement of certain goals related to the difference in the Company’s DRAM revenue percentage mix for the data center market segment compared to the total available market’s revenue percentage mix for the data center market segment (such award, the “</w:t>
      </w:r>
      <w:r>
        <w:rPr>
          <w:rFonts w:ascii="Times New Roman" w:cs="Times New Roman" w:eastAsia="Times New Roman" w:hAnsi="Times New Roman"/>
          <w:sz w:val="19"/>
          <w:szCs w:val="19"/>
          <w:u w:val="single" w:color="auto"/>
          <w:color w:val="auto"/>
        </w:rPr>
        <w:t>Data Center DRAM Mix Award</w:t>
      </w:r>
      <w:r>
        <w:rPr>
          <w:rFonts w:ascii="Times New Roman" w:cs="Times New Roman" w:eastAsia="Times New Roman" w:hAnsi="Times New Roman"/>
          <w:sz w:val="19"/>
          <w:szCs w:val="19"/>
          <w:color w:val="auto"/>
        </w:rPr>
        <w:t>”), as described in the award agreement covering the Data Center DRAM Mix Award, and (b) an award of rTSR CAGR Performance Units, which are performance-based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19"/>
          <w:szCs w:val="19"/>
          <w:u w:val="single" w:color="auto"/>
          <w:color w:val="auto"/>
        </w:rPr>
        <w:t>rTSR CAGR Award</w:t>
      </w:r>
      <w:r>
        <w:rPr>
          <w:rFonts w:ascii="Times New Roman" w:cs="Times New Roman" w:eastAsia="Times New Roman" w:hAnsi="Times New Roman"/>
          <w:sz w:val="19"/>
          <w:szCs w:val="19"/>
          <w:color w:val="auto"/>
        </w:rPr>
        <w:t>”), as described in the award agreement covering the rTSR CAGR Award. This Award of HBM3E+ Performance Units, together with the Data Center DRAM Mix Award and the rTSR CAGR Award, are referred to as the “</w:t>
      </w:r>
      <w:r>
        <w:rPr>
          <w:rFonts w:ascii="Times New Roman" w:cs="Times New Roman" w:eastAsia="Times New Roman" w:hAnsi="Times New Roman"/>
          <w:sz w:val="19"/>
          <w:szCs w:val="19"/>
          <w:u w:val="single" w:color="auto"/>
          <w:color w:val="auto"/>
        </w:rPr>
        <w:t>FY 2026 Performance Awards</w:t>
      </w:r>
      <w:r>
        <w:rPr>
          <w:rFonts w:ascii="Times New Roman" w:cs="Times New Roman" w:eastAsia="Times New Roman" w:hAnsi="Times New Roman"/>
          <w:sz w:val="19"/>
          <w:szCs w:val="19"/>
          <w:color w:val="auto"/>
        </w:rPr>
        <w:t>,” and the total number of Restricted Stock Units under the FY 2026 Performance Awards (the “</w:t>
      </w: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Units</w:t>
      </w:r>
      <w:r>
        <w:rPr>
          <w:rFonts w:ascii="Times New Roman" w:cs="Times New Roman" w:eastAsia="Times New Roman" w:hAnsi="Times New Roman"/>
          <w:sz w:val="19"/>
          <w:szCs w:val="19"/>
          <w:color w:val="auto"/>
        </w:rPr>
        <w:t>”) eligible to be earned under the FY 2026 Performance Awards assuming at-target achievement is referred to as the “</w:t>
      </w:r>
      <w:r>
        <w:rPr>
          <w:rFonts w:ascii="Times New Roman" w:cs="Times New Roman" w:eastAsia="Times New Roman" w:hAnsi="Times New Roman"/>
          <w:sz w:val="19"/>
          <w:szCs w:val="19"/>
          <w:u w:val="single" w:color="auto"/>
          <w:color w:val="auto"/>
        </w:rPr>
        <w:t>Target Total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and is calculated as the sum of (i) the Target Number of Shares Subject to HBM3E+ Performance Units under this Award of HBM3E+ Performance Units, plus (ii) the Target Number of Shares Subject to Data Center DRAM Mix Performance Units as specified in the Data Center DRAM Mix Award, plus (iii) the Target Number of Shares Subject to rTSR CAGR Performance Units as specified in the rTSR CAGR Award. Notwithstanding any contrary provision of this Award Agreement, the number of Performance Units that may be earned under the FY 2026 Performance Awards (taken together) during the Performance Period will not exceed two (2) times the Target Total Award (the “</w:t>
      </w:r>
      <w:r>
        <w:rPr>
          <w:rFonts w:ascii="Times New Roman" w:cs="Times New Roman" w:eastAsia="Times New Roman" w:hAnsi="Times New Roman"/>
          <w:sz w:val="19"/>
          <w:szCs w:val="19"/>
          <w:u w:val="single" w:color="auto"/>
          <w:color w:val="auto"/>
        </w:rPr>
        <w:t>2x Limit</w:t>
      </w:r>
      <w:r>
        <w:rPr>
          <w:rFonts w:ascii="Times New Roman" w:cs="Times New Roman" w:eastAsia="Times New Roman" w:hAnsi="Times New Roman"/>
          <w:sz w:val="19"/>
          <w:szCs w:val="19"/>
          <w:color w:val="auto"/>
        </w:rPr>
        <w:t xml:space="preserve">”). To the extent that, as of any applicable date, the aggregate number of Performance Units that would otherwise be earned under the FY 2026 Performance Awards in accordance with the applicable provisions as of such date, together,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all Performance Units that were earned previously in the Performance Period with respect to the FY 2026 Performance Awards, would exceed the 2x Limit, the number of Performance Units becoming earned with respect to the rTSR CAGR Award will be reduced such that the aggregate number of Performance Units becoming earned as of such date with respect to the FY 2026 Performance Awards upon such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all Performance Units that have become earned previously during the Performance Period with respect to the FY 2026 Performance Awards, is equal to the 2x Limit. If, immediately after any date during the Performance Period, the aggregate number of Performance Units that have become earned pursuant to the FY 2026 Performance Awards is less than the 2x Limit, then the opportunity to earn the excess of the 2x Limit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aggregate number of Performance Units that have been earned will exist in any remaining Performance Period Fiscal Year(s).</w:t>
      </w: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Notwithstanding anything to the contrary herein, the maximum aggregate grant of awards may not exceed 5,000,000 shares of the Company’s Common Stock in any one calendar year to any one participant (including for calendar year 2025, the FY 2026 Performance Awards granted to Participant), as provided in Section 4.6 of the Plan.</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Recoupment</w:t>
      </w:r>
      <w:r>
        <w:rPr>
          <w:rFonts w:ascii="Times New Roman" w:cs="Times New Roman" w:eastAsia="Times New Roman" w:hAnsi="Times New Roman"/>
          <w:sz w:val="20"/>
          <w:szCs w:val="20"/>
          <w:color w:val="auto"/>
        </w:rPr>
        <w:t>. As provided in further detail in Section 26 of the Terms and Conditions of Performance Unit Grant comprising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Agreement, the HBM3E+ Performance Units are subject to any Clawback Policy, or other recovery obligation as may be necessary to comply with applicable laws.</w:t>
      </w:r>
    </w:p>
    <w:p>
      <w:pPr>
        <w:spacing w:after="0" w:line="2" w:lineRule="exact"/>
        <w:rPr>
          <w:sz w:val="20"/>
          <w:szCs w:val="20"/>
          <w:color w:val="auto"/>
        </w:rPr>
      </w:pPr>
    </w:p>
    <w:p>
      <w:pPr>
        <w:ind w:left="4980"/>
        <w:spacing w:after="0"/>
        <w:tabs>
          <w:tab w:leader="none" w:pos="5560" w:val="left"/>
          <w:tab w:leader="none" w:pos="61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COUNTRY ADDENDUM</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[Standard Micron addendum for compliance with non-US tax and securities 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omitted. Addendum will be included for individual grantees if needed for compliance.]</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7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rTSR CAGR Performance Unit Agreement (2025 EIP) – FY2026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NOTICE OF PERFORMANCE UNIT GRANT</w:t>
      </w:r>
    </w:p>
    <w:p>
      <w:pPr>
        <w:spacing w:after="0" w:line="207" w:lineRule="exact"/>
        <w:rPr>
          <w:sz w:val="20"/>
          <w:szCs w:val="20"/>
          <w:color w:val="auto"/>
        </w:rPr>
      </w:pPr>
    </w:p>
    <w:p>
      <w:pPr>
        <w:jc w:val="both"/>
        <w:ind w:right="100" w:firstLine="593"/>
        <w:spacing w:after="0" w:line="255" w:lineRule="auto"/>
        <w:rPr>
          <w:sz w:val="20"/>
          <w:szCs w:val="20"/>
          <w:color w:val="auto"/>
        </w:rPr>
      </w:pPr>
      <w:r>
        <w:rPr>
          <w:rFonts w:ascii="Times New Roman" w:cs="Times New Roman" w:eastAsia="Times New Roman" w:hAnsi="Times New Roman"/>
          <w:sz w:val="20"/>
          <w:szCs w:val="20"/>
          <w:color w:val="auto"/>
        </w:rPr>
        <w:t>Unless otherwise defined herein, the terms defined in the Micron Technology, Inc. 2025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will have the same defined meanings in this Performance Unit Agreement which includes the Notice of Performance Unit Grant (the “</w:t>
      </w:r>
      <w:r>
        <w:rPr>
          <w:rFonts w:ascii="Times New Roman" w:cs="Times New Roman" w:eastAsia="Times New Roman" w:hAnsi="Times New Roman"/>
          <w:sz w:val="20"/>
          <w:szCs w:val="20"/>
          <w:u w:val="single" w:color="auto"/>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the Terms and Conditions of Performance Unit Grant,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Additional Terms of rTSR CAGR Performance Units,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and all other exhibits, appendices, and addenda attached hereto (collectively,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00"/>
        <w:spacing w:after="0"/>
        <w:tabs>
          <w:tab w:leader="none" w:pos="2200" w:val="left"/>
        </w:tabs>
        <w:rPr>
          <w:sz w:val="20"/>
          <w:szCs w:val="20"/>
          <w:color w:val="auto"/>
        </w:rPr>
      </w:pPr>
      <w:r>
        <w:rPr>
          <w:rFonts w:ascii="Times New Roman" w:cs="Times New Roman" w:eastAsia="Times New Roman" w:hAnsi="Times New Roman"/>
          <w:sz w:val="20"/>
          <w:szCs w:val="20"/>
          <w:color w:val="auto"/>
        </w:rPr>
        <w:t>Participant Name:</w:t>
      </w:r>
      <w:r>
        <w:rPr>
          <w:sz w:val="20"/>
          <w:szCs w:val="20"/>
          <w:color w:val="auto"/>
        </w:rPr>
        <w:tab/>
      </w:r>
      <w:r>
        <w:rPr>
          <w:rFonts w:ascii="Times New Roman" w:cs="Times New Roman" w:eastAsia="Times New Roman" w:hAnsi="Times New Roman"/>
          <w:sz w:val="19"/>
          <w:szCs w:val="19"/>
          <w:color w:val="auto"/>
        </w:rPr>
        <w:t>###PARTICIPANT_NAME###</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undersigned Participant has been granted the right to receive an Award of performance-based Restricted Stock Units (the “</w:t>
      </w:r>
      <w:r>
        <w:rPr>
          <w:rFonts w:ascii="Times New Roman" w:cs="Times New Roman" w:eastAsia="Times New Roman" w:hAnsi="Times New Roman"/>
          <w:sz w:val="20"/>
          <w:szCs w:val="20"/>
          <w:u w:val="single" w:color="auto"/>
          <w:color w:val="auto"/>
        </w:rPr>
        <w:t>rTSR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CAGR Performance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subject to the terms and conditions of the Plan and this Award Agreement, as follows: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Grant Number:</w:t>
            </w:r>
          </w:p>
        </w:tc>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###EMPLOYEE_GRANT_NUMBER###</w:t>
            </w:r>
          </w:p>
        </w:tc>
      </w:tr>
      <w:tr>
        <w:trPr>
          <w:trHeight w:val="241"/>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###GRANT_DATE###</w:t>
            </w:r>
          </w:p>
        </w:tc>
      </w:tr>
      <w:tr>
        <w:trPr>
          <w:trHeight w:val="24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w w:val="99"/>
              </w:rPr>
              <w:t>Target Number of Shares Subject to rTSR CAGR Performance Units:</w:t>
            </w:r>
          </w:p>
        </w:tc>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###TOTAL_AWARDS###</w:t>
            </w:r>
          </w:p>
        </w:tc>
      </w:tr>
      <w:tr>
        <w:trPr>
          <w:trHeight w:val="178"/>
        </w:trPr>
        <w:tc>
          <w:tcPr>
            <w:tcW w:w="5560" w:type="dxa"/>
            <w:vAlign w:val="bottom"/>
          </w:tcPr>
          <w:p>
            <w:pPr>
              <w:spacing w:after="0" w:line="178" w:lineRule="exact"/>
              <w:rPr>
                <w:sz w:val="20"/>
                <w:szCs w:val="20"/>
                <w:color w:val="auto"/>
              </w:rPr>
            </w:pPr>
            <w:r>
              <w:rPr>
                <w:rFonts w:ascii="Times New Roman" w:cs="Times New Roman" w:eastAsia="Times New Roman" w:hAnsi="Times New Roman"/>
                <w:sz w:val="20"/>
                <w:szCs w:val="20"/>
                <w:color w:val="auto"/>
              </w:rPr>
              <w:t>Maximum Number of Shares Subject to rTSR CAGR Performance</w:t>
            </w:r>
          </w:p>
        </w:tc>
        <w:tc>
          <w:tcPr>
            <w:tcW w:w="5120" w:type="dxa"/>
            <w:vAlign w:val="bottom"/>
          </w:tcPr>
          <w:p>
            <w:pPr>
              <w:ind w:left="60"/>
              <w:spacing w:after="0" w:line="178" w:lineRule="exact"/>
              <w:rPr>
                <w:sz w:val="20"/>
                <w:szCs w:val="20"/>
                <w:color w:val="auto"/>
              </w:rPr>
            </w:pPr>
            <w:r>
              <w:rPr>
                <w:rFonts w:ascii="Times New Roman" w:cs="Times New Roman" w:eastAsia="Times New Roman" w:hAnsi="Times New Roman"/>
                <w:sz w:val="20"/>
                <w:szCs w:val="20"/>
                <w:color w:val="auto"/>
              </w:rPr>
              <w:t>150% of Target Number of Shares Subject to rTSR CAGR</w:t>
            </w:r>
          </w:p>
        </w:tc>
      </w:tr>
      <w:tr>
        <w:trPr>
          <w:trHeight w:val="259"/>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Units:</w:t>
            </w:r>
          </w:p>
        </w:tc>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Performance Units</w:t>
            </w:r>
          </w:p>
        </w:tc>
      </w:tr>
    </w:tbl>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right="100" w:firstLine="593"/>
        <w:spacing w:after="0" w:line="301" w:lineRule="auto"/>
        <w:rPr>
          <w:sz w:val="20"/>
          <w:szCs w:val="20"/>
          <w:color w:val="auto"/>
        </w:rPr>
      </w:pPr>
      <w:r>
        <w:rPr>
          <w:rFonts w:ascii="Times New Roman" w:cs="Times New Roman" w:eastAsia="Times New Roman" w:hAnsi="Times New Roman"/>
          <w:sz w:val="19"/>
          <w:szCs w:val="19"/>
          <w:color w:val="auto"/>
        </w:rPr>
        <w:t xml:space="preserve">Subject to any acceleration provisions contained in the Plan or set forth below, the rTSR CAGR Performance Units will be scheduled to vest in accordance with, and be subject to, the Additional Terms of rTSR CAGR Performance Units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right="100" w:firstLine="593"/>
        <w:spacing w:after="0" w:line="252" w:lineRule="auto"/>
        <w:rPr>
          <w:sz w:val="20"/>
          <w:szCs w:val="20"/>
          <w:color w:val="auto"/>
        </w:rPr>
      </w:pPr>
      <w:r>
        <w:rPr>
          <w:rFonts w:ascii="Times New Roman" w:cs="Times New Roman" w:eastAsia="Times New Roman" w:hAnsi="Times New Roman"/>
          <w:sz w:val="20"/>
          <w:szCs w:val="20"/>
          <w:color w:val="auto"/>
        </w:rPr>
        <w:t>If Participant’s status as a Service Provider ends for any reason before Participant vests in all or some of the rTSR CAGR Performance Units, the unvested rTSR CAGR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any of its Subsidiaries or Parents, as applicable (provided that any such other written agreement must have been duly authorized and signed by an officer of the Company or any of its Subsidiaries or Parents).</w:t>
      </w:r>
    </w:p>
    <w:p>
      <w:pPr>
        <w:sectPr>
          <w:pgSz w:w="11900" w:h="16838" w:orient="portrait"/>
          <w:cols w:equalWidth="0" w:num="1">
            <w:col w:w="11340"/>
          </w:cols>
          <w:pgMar w:left="320" w:top="1440" w:right="239" w:bottom="1440" w:gutter="0" w:footer="0" w:header="0"/>
        </w:sectPr>
      </w:pPr>
    </w:p>
    <w:bookmarkStart w:id="111" w:name="page112"/>
    <w:bookmarkEnd w:id="111"/>
    <w:p>
      <w:pPr>
        <w:spacing w:after="0" w:line="270" w:lineRule="exact"/>
        <w:rPr>
          <w:sz w:val="20"/>
          <w:szCs w:val="20"/>
          <w:color w:val="auto"/>
        </w:rPr>
      </w:pPr>
    </w:p>
    <w:p>
      <w:pPr>
        <w:jc w:val="both"/>
        <w:ind w:firstLine="593"/>
        <w:spacing w:after="0" w:line="251" w:lineRule="auto"/>
        <w:rPr>
          <w:sz w:val="20"/>
          <w:szCs w:val="20"/>
          <w:color w:val="auto"/>
        </w:rPr>
      </w:pPr>
      <w:r>
        <w:rPr>
          <w:rFonts w:ascii="Times New Roman" w:cs="Times New Roman" w:eastAsia="Times New Roman" w:hAnsi="Times New Roman"/>
          <w:sz w:val="20"/>
          <w:szCs w:val="20"/>
          <w:color w:val="auto"/>
        </w:rPr>
        <w:t>By Participant electronically accepting this Award Agreement or manually signing this Award Agreement (in either case, as and in the manner specified by the Company), Participant and the Company agree that (1) this rTSR CAGR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___________________________ </w:t>
      </w:r>
      <w:r>
        <w:rPr>
          <w:rFonts w:ascii="Times New Roman" w:cs="Times New Roman" w:eastAsia="Times New Roman" w:hAnsi="Times New Roman"/>
          <w:sz w:val="18"/>
          <w:szCs w:val="18"/>
          <w:u w:val="single" w:color="auto"/>
          <w:color w:val="auto"/>
        </w:rPr>
        <w:t>/s/ April Arnzen__________________________</w:t>
      </w:r>
    </w:p>
    <w:p>
      <w:pPr>
        <w:spacing w:after="0" w:line="29"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color w:val="auto"/>
        </w:rPr>
        <w:t>###PARTICIPANT_NAME###</w:t>
      </w:r>
      <w:r>
        <w:rPr>
          <w:sz w:val="20"/>
          <w:szCs w:val="20"/>
          <w:color w:val="auto"/>
        </w:rPr>
        <w:tab/>
      </w:r>
      <w:r>
        <w:rPr>
          <w:rFonts w:ascii="Times New Roman" w:cs="Times New Roman" w:eastAsia="Times New Roman" w:hAnsi="Times New Roman"/>
          <w:sz w:val="18"/>
          <w:szCs w:val="18"/>
          <w:color w:val="auto"/>
        </w:rPr>
        <w:t>April Arnzen</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EVP and Chief People Officer</w:t>
      </w:r>
    </w:p>
    <w:p>
      <w:pPr>
        <w:spacing w:after="0" w:line="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Date: ###GRANT_DATE###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 OF PERFORMANCE UNIT GRANT</w:t>
      </w:r>
    </w:p>
    <w:p>
      <w:pPr>
        <w:spacing w:after="0" w:line="182" w:lineRule="exact"/>
        <w:rPr>
          <w:sz w:val="20"/>
          <w:szCs w:val="20"/>
          <w:color w:val="auto"/>
        </w:rPr>
      </w:pPr>
    </w:p>
    <w:p>
      <w:pPr>
        <w:jc w:val="both"/>
        <w:ind w:firstLine="592"/>
        <w:spacing w:after="0" w:line="219" w:lineRule="auto"/>
        <w:tabs>
          <w:tab w:leader="none" w:pos="118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rTSR CAGR Performance Units</w:t>
      </w:r>
      <w:r>
        <w:rPr>
          <w:rFonts w:ascii="Times New Roman" w:cs="Times New Roman" w:eastAsia="Times New Roman" w:hAnsi="Times New Roman"/>
          <w:sz w:val="20"/>
          <w:szCs w:val="20"/>
          <w:color w:val="auto"/>
        </w:rPr>
        <w:t>. The Company hereby grants to the individual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named in the Notice of Performance Unit Grant of this Award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an Award of performance-based Restricted Stock Units (and referred to herein as rTSR CAGR Performance Units) under the Plan, subject to the terms and conditions of this Award Agreement and the Plan, which is incorporated herein by reference. Subject to Section 20.3 of the Plan, in the event of a conflict between the terms and conditions of the Plan and this Award Agreement, the terms and conditions of the Plan shall prevail.</w:t>
      </w:r>
    </w:p>
    <w:p>
      <w:pPr>
        <w:spacing w:after="0" w:line="138" w:lineRule="exact"/>
        <w:rPr>
          <w:sz w:val="20"/>
          <w:szCs w:val="20"/>
          <w:color w:val="auto"/>
        </w:rPr>
      </w:pPr>
    </w:p>
    <w:p>
      <w:pPr>
        <w:jc w:val="both"/>
        <w:ind w:firstLine="592"/>
        <w:spacing w:after="0" w:line="219" w:lineRule="auto"/>
        <w:tabs>
          <w:tab w:leader="none" w:pos="11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Pay</w:t>
      </w:r>
      <w:r>
        <w:rPr>
          <w:rFonts w:ascii="Times New Roman" w:cs="Times New Roman" w:eastAsia="Times New Roman" w:hAnsi="Times New Roman"/>
          <w:sz w:val="20"/>
          <w:szCs w:val="20"/>
          <w:color w:val="auto"/>
        </w:rPr>
        <w:t>. Each rTSR CAGR Performance Unit represents the right to receive a Share on the date it vests. Unless and until the rTSR CAGR Performance Units have vested in the manner set forth in Section 3 or 4, Participant will have no right to payment of any such rTSR CAGR Performance Units. Prior to actual payment of any vested rTSR CAGR Performance Units, such rTSR CAGR Performance Unit will represent an unsecured obligation of the Company, payable (if at all) only from the general assets of the Company.</w:t>
      </w:r>
    </w:p>
    <w:p>
      <w:pPr>
        <w:spacing w:after="0" w:line="137" w:lineRule="exact"/>
        <w:rPr>
          <w:rFonts w:ascii="Times New Roman" w:cs="Times New Roman" w:eastAsia="Times New Roman" w:hAnsi="Times New Roman"/>
          <w:sz w:val="20"/>
          <w:szCs w:val="20"/>
          <w:color w:val="auto"/>
        </w:rPr>
      </w:pPr>
    </w:p>
    <w:p>
      <w:pPr>
        <w:jc w:val="both"/>
        <w:ind w:firstLine="592"/>
        <w:spacing w:after="0" w:line="227" w:lineRule="auto"/>
        <w:tabs>
          <w:tab w:leader="none" w:pos="11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and subject to Section 5, the rTSR CAGR Performance Units awarded by this Award Agreement will vest in accordance with the vesting provisions set forth in the Notice of Grant, subject to Participant remaining a Service Provider through each applicable vesting date.</w:t>
      </w:r>
    </w:p>
    <w:p>
      <w:pPr>
        <w:spacing w:after="0" w:line="138" w:lineRule="exact"/>
        <w:rPr>
          <w:rFonts w:ascii="Times New Roman" w:cs="Times New Roman" w:eastAsia="Times New Roman" w:hAnsi="Times New Roman"/>
          <w:sz w:val="20"/>
          <w:szCs w:val="20"/>
          <w:color w:val="auto"/>
        </w:rPr>
      </w:pPr>
    </w:p>
    <w:p>
      <w:pPr>
        <w:ind w:left="1180" w:hanging="588"/>
        <w:spacing w:after="0"/>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186"/>
        <w:spacing w:after="0" w:line="230" w:lineRule="auto"/>
        <w:tabs>
          <w:tab w:leader="none" w:pos="1777"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Rule</w:t>
      </w:r>
      <w:r>
        <w:rPr>
          <w:rFonts w:ascii="Times New Roman" w:cs="Times New Roman" w:eastAsia="Times New Roman" w:hAnsi="Times New Roman"/>
          <w:sz w:val="19"/>
          <w:szCs w:val="19"/>
          <w:color w:val="auto"/>
        </w:rPr>
        <w:t>. Subject to Section 8, any rTSR CAGR Performance Units that vest will be paid to Participant (or in the event of Participant’s death, to his or her properly designated beneficiary or estate) in Shares. Subject to this Section 4 and Section 9, such vested rTSR CAGR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19"/>
          <w:szCs w:val="19"/>
          <w:u w:val="single" w:color="auto"/>
          <w:color w:val="auto"/>
        </w:rPr>
        <w:t>Settlement Date</w:t>
      </w:r>
      <w:r>
        <w:rPr>
          <w:rFonts w:ascii="Times New Roman" w:cs="Times New Roman" w:eastAsia="Times New Roman" w:hAnsi="Times New Roman"/>
          <w:sz w:val="19"/>
          <w:szCs w:val="19"/>
          <w:color w:val="auto"/>
        </w:rPr>
        <w:t>”). In no event will Participant be permitted, directly or indirectly, to specify the taxable year of payment of any rTSR CAGR Performance Units payable under this Award Agreement.</w:t>
      </w:r>
    </w:p>
    <w:p>
      <w:pPr>
        <w:spacing w:after="0" w:line="139" w:lineRule="exact"/>
        <w:rPr>
          <w:rFonts w:ascii="Times New Roman" w:cs="Times New Roman" w:eastAsia="Times New Roman" w:hAnsi="Times New Roman"/>
          <w:sz w:val="19"/>
          <w:szCs w:val="19"/>
          <w:color w:val="auto"/>
        </w:rPr>
      </w:pPr>
    </w:p>
    <w:p>
      <w:pPr>
        <w:ind w:left="1780" w:hanging="594"/>
        <w:spacing w:after="0"/>
        <w:tabs>
          <w:tab w:leader="none" w:pos="178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779"/>
        <w:spacing w:after="0" w:line="227" w:lineRule="auto"/>
        <w:tabs>
          <w:tab w:leader="none" w:pos="2362"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Participant ceases to be a Service Provider on account of Participant’s death or Participant becoming Disabled, any rTSR CAGR Performance Units that both were unexpired and unvested as of the date Participant ceases to be a Service Provider, will vest on such date.</w:t>
      </w:r>
    </w:p>
    <w:p>
      <w:pPr>
        <w:spacing w:after="0" w:line="138" w:lineRule="exact"/>
        <w:rPr>
          <w:rFonts w:ascii="Times New Roman" w:cs="Times New Roman" w:eastAsia="Times New Roman" w:hAnsi="Times New Roman"/>
          <w:sz w:val="20"/>
          <w:szCs w:val="20"/>
          <w:color w:val="auto"/>
        </w:rPr>
      </w:pPr>
    </w:p>
    <w:p>
      <w:pPr>
        <w:jc w:val="both"/>
        <w:ind w:firstLine="1779"/>
        <w:spacing w:after="0" w:line="219" w:lineRule="auto"/>
        <w:tabs>
          <w:tab w:leader="none" w:pos="2368"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before Participant ceases to be a Service Provider, any rTSR CAGR Performance Units will be treated in accordance with the terms of the Plan.</w:t>
      </w:r>
    </w:p>
    <w:p>
      <w:pPr>
        <w:spacing w:after="0" w:line="137" w:lineRule="exact"/>
        <w:rPr>
          <w:rFonts w:ascii="Times New Roman" w:cs="Times New Roman" w:eastAsia="Times New Roman" w:hAnsi="Times New Roman"/>
          <w:sz w:val="20"/>
          <w:szCs w:val="20"/>
          <w:color w:val="auto"/>
        </w:rPr>
      </w:pPr>
    </w:p>
    <w:p>
      <w:pPr>
        <w:jc w:val="both"/>
        <w:ind w:firstLine="1779"/>
        <w:spacing w:after="0" w:line="227" w:lineRule="auto"/>
        <w:tabs>
          <w:tab w:leader="none" w:pos="2373"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Acceleration</w:t>
      </w:r>
      <w:r>
        <w:rPr>
          <w:rFonts w:ascii="Times New Roman" w:cs="Times New Roman" w:eastAsia="Times New Roman" w:hAnsi="Times New Roman"/>
          <w:sz w:val="20"/>
          <w:szCs w:val="20"/>
          <w:color w:val="auto"/>
        </w:rPr>
        <w:t>. The Administrator, in its discretion, may accelerate the vesting of the balance, or some lesser portion of the balance, of the unvested rTSR CAGR Performance Units at any time, subject to the terms of the Plan. If so accelerated, such rTSR</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CAGR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prior sentence may be superseded in a future agreement or amendment to this Award Agreement only by direct and specific reference to such sentence.</w:t>
      </w:r>
    </w:p>
    <w:p>
      <w:pPr>
        <w:spacing w:after="0" w:line="138" w:lineRule="exact"/>
        <w:rPr>
          <w:sz w:val="20"/>
          <w:szCs w:val="20"/>
          <w:color w:val="auto"/>
        </w:rPr>
      </w:pPr>
    </w:p>
    <w:p>
      <w:pPr>
        <w:jc w:val="both"/>
        <w:ind w:firstLine="1779"/>
        <w:spacing w:after="0" w:line="212" w:lineRule="auto"/>
        <w:tabs>
          <w:tab w:leader="none" w:pos="2362"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this Award Agreement or any other agreement (whether entered into before, on, or after the Date of Grant), if the vesting of the balance, or some lesser portion of the balance, of the rTSR CAGR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rTSR CAGR Performance Units will result in the imposition of additional tax under Section 409A if paid to Participant on or within the six (6) month period following the cessation of Participant’s status as a Service Provider, then the payment of such accelerated rTSR CAGR Performance Units will not be made until the date six (6) months and one (1) day following the date of cessation of Participant’s status as a Service Provider, unless Participant dies following his or her termination as a Service Provider, in which case, the rTSR CAGR Performance Units will be paid in Shares to Participant’s estate as soon as practicable following his or her death.</w:t>
      </w:r>
    </w:p>
    <w:p>
      <w:pPr>
        <w:spacing w:after="0" w:line="139" w:lineRule="exact"/>
        <w:rPr>
          <w:rFonts w:ascii="Times New Roman" w:cs="Times New Roman" w:eastAsia="Times New Roman" w:hAnsi="Times New Roman"/>
          <w:sz w:val="20"/>
          <w:szCs w:val="20"/>
          <w:color w:val="auto"/>
        </w:rPr>
      </w:pPr>
    </w:p>
    <w:p>
      <w:pPr>
        <w:jc w:val="both"/>
        <w:ind w:firstLine="1186"/>
        <w:spacing w:after="0" w:line="215" w:lineRule="auto"/>
        <w:tabs>
          <w:tab w:leader="none" w:pos="1777"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Award Agreement that it and all payments and benefits to U.S. taxpayers hereunder be exempt from, or comply with, the requirements of Section 409A so that none of the rTSR CAGR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40" w:lineRule="exact"/>
        <w:rPr>
          <w:rFonts w:ascii="Times New Roman" w:cs="Times New Roman" w:eastAsia="Times New Roman" w:hAnsi="Times New Roman"/>
          <w:sz w:val="20"/>
          <w:szCs w:val="20"/>
          <w:color w:val="auto"/>
        </w:rPr>
      </w:pPr>
    </w:p>
    <w:p>
      <w:pPr>
        <w:jc w:val="both"/>
        <w:ind w:firstLine="592"/>
        <w:spacing w:after="0" w:line="216" w:lineRule="auto"/>
        <w:tabs>
          <w:tab w:leader="none" w:pos="11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as a Service Provider</w:t>
      </w:r>
      <w:r>
        <w:rPr>
          <w:rFonts w:ascii="Times New Roman" w:cs="Times New Roman" w:eastAsia="Times New Roman" w:hAnsi="Times New Roman"/>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rTSR CAGR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142"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45" w:lineRule="exact"/>
        <w:rPr>
          <w:sz w:val="20"/>
          <w:szCs w:val="20"/>
          <w:color w:val="auto"/>
        </w:rPr>
      </w:pPr>
    </w:p>
    <w:p>
      <w:pPr>
        <w:jc w:val="both"/>
        <w:ind w:left="-592" w:firstLine="592"/>
        <w:spacing w:after="0" w:line="219" w:lineRule="auto"/>
        <w:tabs>
          <w:tab w:leader="none" w:pos="59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If Participant is deceased, any distribution or delivery under this Award Agreement will be made under such procedures as the Administrator may specify from time to time, or in the absence of such specified procedures, by delivery in the name of the decedent and pursuant to the following additional requirements. Participant’s estate must contact the Company’s stock plan service provider and work directly with the Company’s stock plan service provider to set up an estate account to receive access to the distributed or delivered assets. The estate’s administrator or executor must provide:</w:t>
      </w:r>
    </w:p>
    <w:p>
      <w:pPr>
        <w:spacing w:after="0" w:line="162" w:lineRule="exact"/>
        <w:rPr>
          <w:sz w:val="20"/>
          <w:szCs w:val="20"/>
          <w:color w:val="auto"/>
        </w:rPr>
      </w:pPr>
    </w:p>
    <w:p>
      <w:pPr>
        <w:ind w:left="268" w:hanging="268"/>
        <w:spacing w:after="0"/>
        <w:tabs>
          <w:tab w:leader="none" w:pos="26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confirmation of their authority as the authorized representative, and</w:t>
      </w:r>
    </w:p>
    <w:p>
      <w:pPr>
        <w:spacing w:after="0" w:line="202" w:lineRule="exact"/>
        <w:rPr>
          <w:rFonts w:ascii="Times New Roman" w:cs="Times New Roman" w:eastAsia="Times New Roman" w:hAnsi="Times New Roman"/>
          <w:sz w:val="20"/>
          <w:szCs w:val="20"/>
          <w:color w:val="auto"/>
        </w:rPr>
      </w:pPr>
    </w:p>
    <w:p>
      <w:pPr>
        <w:ind w:left="8" w:hanging="8"/>
        <w:spacing w:after="0" w:line="274" w:lineRule="auto"/>
        <w:tabs>
          <w:tab w:leader="none" w:pos="29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acceptable to the service provider verifying the validity of the transfer and compliance with all applicable laws and regulations.</w:t>
      </w:r>
    </w:p>
    <w:p>
      <w:pPr>
        <w:spacing w:after="0" w:line="130" w:lineRule="exact"/>
        <w:rPr>
          <w:sz w:val="20"/>
          <w:szCs w:val="20"/>
          <w:color w:val="auto"/>
        </w:rPr>
      </w:pPr>
    </w:p>
    <w:p>
      <w:pPr>
        <w:ind w:left="588" w:hanging="588"/>
        <w:spacing w:after="0"/>
        <w:tabs>
          <w:tab w:leader="none" w:pos="58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Obligations</w:t>
      </w:r>
    </w:p>
    <w:p>
      <w:pPr>
        <w:spacing w:after="0" w:line="165" w:lineRule="exact"/>
        <w:rPr>
          <w:rFonts w:ascii="Times New Roman" w:cs="Times New Roman" w:eastAsia="Times New Roman" w:hAnsi="Times New Roman"/>
          <w:sz w:val="20"/>
          <w:szCs w:val="20"/>
          <w:color w:val="auto"/>
        </w:rPr>
      </w:pPr>
    </w:p>
    <w:p>
      <w:pPr>
        <w:jc w:val="both"/>
        <w:ind w:left="-592" w:firstLine="1186"/>
        <w:spacing w:after="0" w:line="209" w:lineRule="auto"/>
        <w:tabs>
          <w:tab w:leader="none" w:pos="1177"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Participant acknowledges that, regardless of any action taken by the Company or, if different, Participant’s employer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or any Parent or Subsidiary to which Participant is providing services (together, the “</w:t>
      </w: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Recipients</w:t>
      </w:r>
      <w:r>
        <w:rPr>
          <w:rFonts w:ascii="Times New Roman" w:cs="Times New Roman" w:eastAsia="Times New Roman" w:hAnsi="Times New Roman"/>
          <w:sz w:val="20"/>
          <w:szCs w:val="20"/>
          <w:color w:val="auto"/>
        </w:rPr>
        <w:t>”), the ultimate liability for any tax and/or social insurance liability obligations and requirements in connection with the rTSR CAGR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rTSR CAGR Performance Units or sale of Shares, and (iii) any other Service Recipient taxes the responsibility for which Participant has, or has agreed to bear, with respect to the rTSR CAGR Performance Units (or settlement thereof or issuance of Shares thereunder) (collectively, the “</w:t>
      </w:r>
      <w:r>
        <w:rPr>
          <w:rFonts w:ascii="Times New Roman" w:cs="Times New Roman" w:eastAsia="Times New Roman" w:hAnsi="Times New Roman"/>
          <w:sz w:val="20"/>
          <w:szCs w:val="20"/>
          <w:u w:val="single" w:color="auto"/>
          <w:color w:val="auto"/>
        </w:rPr>
        <w:t>Tax Obligations</w:t>
      </w:r>
      <w:r>
        <w:rPr>
          <w:rFonts w:ascii="Times New Roman" w:cs="Times New Roman" w:eastAsia="Times New Roman" w:hAnsi="Times New Roman"/>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rTSR CAGR Performance Units, including, but not limited to, the grant, vesting or settlement of the rTSR CAGR Performance Units, the subsequent sale of Shares acquired pursuant to such settlement and the receipt of any dividends or other distributions, and (B) makes any commitment to and is under any obligation to structure the terms of the grant or any aspect of the rTSR CAGR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ectPr>
          <w:pgSz w:w="11900" w:h="16838" w:orient="portrait"/>
          <w:cols w:equalWidth="0" w:num="1">
            <w:col w:w="10648"/>
          </w:cols>
          <w:pgMar w:left="912" w:top="1440" w:right="339" w:bottom="1440" w:gutter="0" w:footer="0" w:header="0"/>
        </w:sectPr>
      </w:pPr>
    </w:p>
    <w:bookmarkStart w:id="115" w:name="page116"/>
    <w:bookmarkEnd w:id="115"/>
    <w:p>
      <w:pPr>
        <w:spacing w:after="0" w:line="245" w:lineRule="exact"/>
        <w:rPr>
          <w:sz w:val="20"/>
          <w:szCs w:val="20"/>
          <w:color w:val="auto"/>
        </w:rPr>
      </w:pPr>
    </w:p>
    <w:p>
      <w:pPr>
        <w:jc w:val="both"/>
        <w:ind w:left="-592" w:firstLine="1186"/>
        <w:spacing w:after="0" w:line="215" w:lineRule="auto"/>
        <w:tabs>
          <w:tab w:leader="none" w:pos="117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and Default Method of Tax Withholding</w:t>
      </w:r>
      <w:r>
        <w:rPr>
          <w:rFonts w:ascii="Times New Roman" w:cs="Times New Roman" w:eastAsia="Times New Roman" w:hAnsi="Times New Roman"/>
          <w:sz w:val="20"/>
          <w:szCs w:val="20"/>
          <w:color w:val="auto"/>
        </w:rPr>
        <w:t>. When Shares are issued as payment for vested rTSR CAGR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40" w:lineRule="exact"/>
        <w:rPr>
          <w:rFonts w:ascii="Times New Roman" w:cs="Times New Roman" w:eastAsia="Times New Roman" w:hAnsi="Times New Roman"/>
          <w:sz w:val="20"/>
          <w:szCs w:val="20"/>
          <w:color w:val="auto"/>
        </w:rPr>
      </w:pPr>
    </w:p>
    <w:p>
      <w:pPr>
        <w:jc w:val="both"/>
        <w:ind w:left="-592" w:firstLine="1186"/>
        <w:spacing w:after="0" w:line="211" w:lineRule="auto"/>
        <w:tabs>
          <w:tab w:leader="none" w:pos="118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40" w:lineRule="exact"/>
        <w:rPr>
          <w:rFonts w:ascii="Times New Roman" w:cs="Times New Roman" w:eastAsia="Times New Roman" w:hAnsi="Times New Roman"/>
          <w:sz w:val="20"/>
          <w:szCs w:val="20"/>
          <w:color w:val="auto"/>
        </w:rPr>
      </w:pPr>
    </w:p>
    <w:p>
      <w:pPr>
        <w:jc w:val="both"/>
        <w:ind w:left="-592" w:firstLine="1186"/>
        <w:spacing w:after="0" w:line="215" w:lineRule="auto"/>
        <w:tabs>
          <w:tab w:leader="none" w:pos="117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Obligation to Deliver Shares</w:t>
      </w:r>
      <w:r>
        <w:rPr>
          <w:rFonts w:ascii="Times New Roman" w:cs="Times New Roman" w:eastAsia="Times New Roman" w:hAnsi="Times New Roman"/>
          <w:sz w:val="20"/>
          <w:szCs w:val="20"/>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rTSR CAGR Performance Units otherwise are scheduled to vest pursuant to Sections 3 or 4 or Participant’s Tax Withholding Obligations otherwise become due, Participant will permanently forfeit such rTSR CAGR Performance Units to which Participant’s Tax Withholding Obligation relates and any right to receive Shares thereunder and such rTSR CAGR Performance Units will be returned to the Company at no cost to the Company.</w:t>
      </w:r>
    </w:p>
    <w:p>
      <w:pPr>
        <w:spacing w:after="0" w:line="140" w:lineRule="exact"/>
        <w:rPr>
          <w:rFonts w:ascii="Times New Roman" w:cs="Times New Roman" w:eastAsia="Times New Roman" w:hAnsi="Times New Roman"/>
          <w:sz w:val="20"/>
          <w:szCs w:val="20"/>
          <w:color w:val="auto"/>
        </w:rPr>
      </w:pPr>
    </w:p>
    <w:p>
      <w:pPr>
        <w:jc w:val="both"/>
        <w:ind w:left="-592" w:firstLine="592"/>
        <w:spacing w:after="0" w:line="219" w:lineRule="auto"/>
        <w:tabs>
          <w:tab w:leader="none" w:pos="5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Company declares and pays a cash dividend on Shares for which the record date occurs while rTSR CAGR Performance Units subject to this Award Agreement remain outstanding, then certain cash amounts (referred to as “</w:t>
      </w:r>
      <w:r>
        <w:rPr>
          <w:rFonts w:ascii="Times New Roman" w:cs="Times New Roman" w:eastAsia="Times New Roman" w:hAnsi="Times New Roman"/>
          <w:sz w:val="20"/>
          <w:szCs w:val="20"/>
          <w:u w:val="single" w:color="auto"/>
          <w:color w:val="auto"/>
        </w:rPr>
        <w:t>DEUs</w:t>
      </w:r>
      <w:r>
        <w:rPr>
          <w:rFonts w:ascii="Times New Roman" w:cs="Times New Roman" w:eastAsia="Times New Roman" w:hAnsi="Times New Roman"/>
          <w:sz w:val="20"/>
          <w:szCs w:val="20"/>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62" w:lineRule="exact"/>
        <w:rPr>
          <w:sz w:val="20"/>
          <w:szCs w:val="20"/>
          <w:color w:val="auto"/>
        </w:rPr>
      </w:pPr>
    </w:p>
    <w:p>
      <w:pPr>
        <w:ind w:left="288" w:hanging="288"/>
        <w:spacing w:after="0"/>
        <w:tabs>
          <w:tab w:leader="none" w:pos="28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is the aggregate cash amount of the DEUs to be credited with respect to that cash dividend.</w:t>
      </w:r>
    </w:p>
    <w:p>
      <w:pPr>
        <w:sectPr>
          <w:pgSz w:w="11900" w:h="16838" w:orient="portrait"/>
          <w:cols w:equalWidth="0" w:num="1">
            <w:col w:w="10648"/>
          </w:cols>
          <w:pgMar w:left="912" w:top="1440" w:right="339" w:bottom="1440" w:gutter="0" w:footer="0" w:header="0"/>
        </w:sectPr>
      </w:pPr>
    </w:p>
    <w:bookmarkStart w:id="116" w:name="page117"/>
    <w:bookmarkEnd w:id="116"/>
    <w:p>
      <w:pPr>
        <w:spacing w:after="0" w:line="270" w:lineRule="exact"/>
        <w:rPr>
          <w:sz w:val="20"/>
          <w:szCs w:val="20"/>
          <w:color w:val="auto"/>
        </w:rPr>
      </w:pPr>
    </w:p>
    <w:p>
      <w:pPr>
        <w:ind w:left="288" w:hanging="288"/>
        <w:spacing w:after="0" w:line="274" w:lineRule="auto"/>
        <w:tabs>
          <w:tab w:leader="none" w:pos="28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42" w:lineRule="exact"/>
        <w:rPr>
          <w:rFonts w:ascii="Times New Roman" w:cs="Times New Roman" w:eastAsia="Times New Roman" w:hAnsi="Times New Roman"/>
          <w:sz w:val="20"/>
          <w:szCs w:val="20"/>
          <w:color w:val="auto"/>
        </w:rPr>
      </w:pPr>
    </w:p>
    <w:p>
      <w:pPr>
        <w:ind w:left="288" w:hanging="288"/>
        <w:spacing w:after="0" w:line="287" w:lineRule="auto"/>
        <w:tabs>
          <w:tab w:leader="none" w:pos="28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is the number of rTSR CAGR Performance Units remaining subject to this Award Agreement as of the cash dividend record date but immediately prior to the application of this Section 9 for that cash dividend.</w:t>
      </w:r>
    </w:p>
    <w:p>
      <w:pPr>
        <w:spacing w:after="0" w:line="105" w:lineRule="exact"/>
        <w:rPr>
          <w:rFonts w:ascii="Times New Roman" w:cs="Times New Roman" w:eastAsia="Times New Roman" w:hAnsi="Times New Roman"/>
          <w:sz w:val="20"/>
          <w:szCs w:val="20"/>
          <w:color w:val="auto"/>
        </w:rPr>
      </w:pPr>
    </w:p>
    <w:p>
      <w:pPr>
        <w:jc w:val="both"/>
        <w:ind w:left="-592" w:firstLine="1186"/>
        <w:spacing w:after="0" w:line="215" w:lineRule="auto"/>
        <w:tabs>
          <w:tab w:leader="none" w:pos="118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DEUs</w:t>
      </w:r>
      <w:r>
        <w:rPr>
          <w:rFonts w:ascii="Times New Roman" w:cs="Times New Roman" w:eastAsia="Times New Roman" w:hAnsi="Times New Roman"/>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40" w:lineRule="exact"/>
        <w:rPr>
          <w:rFonts w:ascii="Times New Roman" w:cs="Times New Roman" w:eastAsia="Times New Roman" w:hAnsi="Times New Roman"/>
          <w:sz w:val="20"/>
          <w:szCs w:val="20"/>
          <w:color w:val="auto"/>
        </w:rPr>
      </w:pPr>
    </w:p>
    <w:p>
      <w:pPr>
        <w:jc w:val="both"/>
        <w:ind w:left="-592" w:firstLine="1186"/>
        <w:spacing w:after="0" w:line="219" w:lineRule="auto"/>
        <w:tabs>
          <w:tab w:leader="none" w:pos="118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and General</w:t>
      </w:r>
      <w:r>
        <w:rPr>
          <w:rFonts w:ascii="Times New Roman" w:cs="Times New Roman" w:eastAsia="Times New Roman" w:hAnsi="Times New Roman"/>
          <w:sz w:val="20"/>
          <w:szCs w:val="20"/>
          <w:color w:val="auto"/>
        </w:rPr>
        <w:t>. DEUs credited under this Section 9 will be subject to the same terms and conditions as the other Shares underlying the rTSR CAGR Performance Units on which the DEUs were paid including (but not limited to) being settled at the same time as the settlement of the rTSR CAGR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37" w:lineRule="exact"/>
        <w:rPr>
          <w:rFonts w:ascii="Times New Roman" w:cs="Times New Roman" w:eastAsia="Times New Roman" w:hAnsi="Times New Roman"/>
          <w:sz w:val="20"/>
          <w:szCs w:val="20"/>
          <w:color w:val="auto"/>
        </w:rPr>
      </w:pPr>
    </w:p>
    <w:p>
      <w:pPr>
        <w:jc w:val="both"/>
        <w:ind w:left="-592" w:firstLine="1186"/>
        <w:spacing w:after="0" w:line="214" w:lineRule="auto"/>
        <w:tabs>
          <w:tab w:leader="none" w:pos="117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w:t>
      </w:r>
      <w:r>
        <w:rPr>
          <w:rFonts w:ascii="Times New Roman" w:cs="Times New Roman" w:eastAsia="Times New Roman" w:hAnsi="Times New Roman"/>
          <w:sz w:val="20"/>
          <w:szCs w:val="20"/>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rTSR CAGR Performance Units, DEUs or cash will be credited with respect to any rTSR CAGR Performance Units that previously vested and were settled.</w:t>
      </w:r>
    </w:p>
    <w:p>
      <w:pPr>
        <w:spacing w:after="0" w:line="140" w:lineRule="exact"/>
        <w:rPr>
          <w:sz w:val="20"/>
          <w:szCs w:val="20"/>
          <w:color w:val="auto"/>
        </w:rPr>
      </w:pPr>
    </w:p>
    <w:p>
      <w:pPr>
        <w:jc w:val="both"/>
        <w:ind w:left="-592" w:firstLine="592"/>
        <w:spacing w:after="0" w:line="216" w:lineRule="auto"/>
        <w:tabs>
          <w:tab w:leader="none" w:pos="5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ectPr>
          <w:pgSz w:w="11900" w:h="16838" w:orient="portrait"/>
          <w:cols w:equalWidth="0" w:num="1">
            <w:col w:w="10648"/>
          </w:cols>
          <w:pgMar w:left="912" w:top="1440" w:right="339" w:bottom="1440" w:gutter="0" w:footer="0" w:header="0"/>
        </w:sectPr>
      </w:pPr>
    </w:p>
    <w:bookmarkStart w:id="117" w:name="page118"/>
    <w:bookmarkEnd w:id="117"/>
    <w:p>
      <w:pPr>
        <w:spacing w:after="0" w:line="245" w:lineRule="exact"/>
        <w:rPr>
          <w:sz w:val="20"/>
          <w:szCs w:val="20"/>
          <w:color w:val="auto"/>
        </w:rPr>
      </w:pPr>
    </w:p>
    <w:p>
      <w:pPr>
        <w:jc w:val="both"/>
        <w:ind w:firstLine="592"/>
        <w:spacing w:after="0" w:line="212" w:lineRule="auto"/>
        <w:tabs>
          <w:tab w:leader="none" w:pos="118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THE rTSR CAGR PERFORMANCE UNITS PURSUANT TO THE VESTING SCHEDULE HEREOF IS EARNED ONLY BY REMAINING A SERVICE PROVIDER, WHICH UNLESS PROVIDED OTHERWISE UNDER APPLICABLE LAW IS AT THE WILL OF THE APPLICABLE SERVICE RECIPIENT AND NOT THROUGH THE ACT OF BEING HIRED, BEING GRANTED THIS rTSR CAGR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39" w:lineRule="exact"/>
        <w:rPr>
          <w:rFonts w:ascii="Times New Roman" w:cs="Times New Roman" w:eastAsia="Times New Roman" w:hAnsi="Times New Roman"/>
          <w:sz w:val="20"/>
          <w:szCs w:val="20"/>
          <w:color w:val="auto"/>
        </w:rPr>
      </w:pPr>
    </w:p>
    <w:p>
      <w:pPr>
        <w:jc w:val="both"/>
        <w:ind w:firstLine="592"/>
        <w:spacing w:after="0" w:line="214" w:lineRule="auto"/>
        <w:tabs>
          <w:tab w:leader="none" w:pos="117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20"/>
          <w:szCs w:val="20"/>
          <w:u w:val="single" w:color="auto"/>
          <w:color w:val="auto"/>
        </w:rPr>
        <w:t>QDRO</w:t>
      </w:r>
      <w:r>
        <w:rPr>
          <w:rFonts w:ascii="Times New Roman" w:cs="Times New Roman" w:eastAsia="Times New Roman" w:hAnsi="Times New Roman"/>
          <w:sz w:val="20"/>
          <w:szCs w:val="20"/>
          <w:color w:val="auto"/>
        </w:rPr>
        <w:t>”) will be permitted so long as such transfer complies with the QDRO procedures then in effect, as specified by the Administrator or the Company.</w:t>
      </w:r>
    </w:p>
    <w:p>
      <w:pPr>
        <w:spacing w:after="0" w:line="129" w:lineRule="exact"/>
        <w:rPr>
          <w:rFonts w:ascii="Times New Roman" w:cs="Times New Roman" w:eastAsia="Times New Roman" w:hAnsi="Times New Roman"/>
          <w:sz w:val="20"/>
          <w:szCs w:val="20"/>
          <w:color w:val="auto"/>
        </w:rPr>
      </w:pPr>
    </w:p>
    <w:p>
      <w:pPr>
        <w:ind w:left="1180" w:hanging="588"/>
        <w:spacing w:after="0"/>
        <w:tabs>
          <w:tab w:leader="none" w:pos="11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Award of rTSR CAGR Performance Units, Participant acknowledges, understands and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w:t>
      </w:r>
    </w:p>
    <w:p>
      <w:pPr>
        <w:spacing w:after="0" w:line="143" w:lineRule="exact"/>
        <w:rPr>
          <w:rFonts w:ascii="Times New Roman" w:cs="Times New Roman" w:eastAsia="Times New Roman" w:hAnsi="Times New Roman"/>
          <w:sz w:val="20"/>
          <w:szCs w:val="20"/>
          <w:color w:val="auto"/>
        </w:rPr>
      </w:pPr>
    </w:p>
    <w:p>
      <w:pPr>
        <w:ind w:firstLine="1186"/>
        <w:spacing w:after="0" w:line="260" w:lineRule="auto"/>
        <w:tabs>
          <w:tab w:leader="none" w:pos="1777"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rTSR CAGR Performance Units is voluntary and occasional and does not create any contractual or other right to receive future grants of equity awards, or benefits in lieu of equity awards, even if equity awards have been granted in the past;</w:t>
      </w:r>
    </w:p>
    <w:p>
      <w:pPr>
        <w:spacing w:after="0" w:line="120" w:lineRule="exact"/>
        <w:rPr>
          <w:rFonts w:ascii="Times New Roman" w:cs="Times New Roman" w:eastAsia="Times New Roman" w:hAnsi="Times New Roman"/>
          <w:sz w:val="19"/>
          <w:szCs w:val="19"/>
          <w:color w:val="auto"/>
        </w:rPr>
      </w:pPr>
    </w:p>
    <w:p>
      <w:pPr>
        <w:ind w:left="1780" w:hanging="594"/>
        <w:spacing w:after="0"/>
        <w:tabs>
          <w:tab w:leader="none" w:pos="178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equity award grants, if any, will be at the sole discretion of the Administrator;</w:t>
      </w:r>
    </w:p>
    <w:p>
      <w:pPr>
        <w:spacing w:after="0" w:line="165"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165" w:lineRule="exact"/>
        <w:rPr>
          <w:rFonts w:ascii="Times New Roman" w:cs="Times New Roman" w:eastAsia="Times New Roman" w:hAnsi="Times New Roman"/>
          <w:sz w:val="20"/>
          <w:szCs w:val="20"/>
          <w:color w:val="auto"/>
        </w:rPr>
      </w:pPr>
    </w:p>
    <w:p>
      <w:pPr>
        <w:ind w:firstLine="1186"/>
        <w:spacing w:after="0" w:line="237" w:lineRule="auto"/>
        <w:tabs>
          <w:tab w:leader="none" w:pos="177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rTSR CAGR Performance Units and the Shares subject to the rTSR CAGR Performance Units, and the income from and value of same, are not intended to replace any pension rights or compensation;</w:t>
      </w:r>
    </w:p>
    <w:p>
      <w:pPr>
        <w:spacing w:after="0" w:line="139" w:lineRule="exact"/>
        <w:rPr>
          <w:rFonts w:ascii="Times New Roman" w:cs="Times New Roman" w:eastAsia="Times New Roman" w:hAnsi="Times New Roman"/>
          <w:sz w:val="20"/>
          <w:szCs w:val="20"/>
          <w:color w:val="auto"/>
        </w:rPr>
      </w:pPr>
    </w:p>
    <w:p>
      <w:pPr>
        <w:jc w:val="both"/>
        <w:ind w:firstLine="1186"/>
        <w:spacing w:after="0" w:line="222" w:lineRule="auto"/>
        <w:tabs>
          <w:tab w:leader="none" w:pos="1777"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rTSR CAGR Performance Units and the Shares subject to the rTSR CAGR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45" w:lineRule="exact"/>
        <w:rPr>
          <w:sz w:val="20"/>
          <w:szCs w:val="20"/>
          <w:color w:val="auto"/>
        </w:rPr>
      </w:pPr>
    </w:p>
    <w:p>
      <w:pPr>
        <w:jc w:val="both"/>
        <w:ind w:firstLine="1186"/>
        <w:spacing w:after="0" w:line="227" w:lineRule="auto"/>
        <w:tabs>
          <w:tab w:leader="none" w:pos="17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28" w:lineRule="exact"/>
        <w:rPr>
          <w:rFonts w:ascii="Times New Roman" w:cs="Times New Roman" w:eastAsia="Times New Roman" w:hAnsi="Times New Roman"/>
          <w:sz w:val="20"/>
          <w:szCs w:val="20"/>
          <w:color w:val="auto"/>
        </w:rPr>
      </w:pPr>
    </w:p>
    <w:p>
      <w:pPr>
        <w:ind w:left="1780" w:hanging="594"/>
        <w:spacing w:after="0"/>
        <w:tabs>
          <w:tab w:leader="none" w:pos="17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rTSR CAGR Performance Units is unknown, indeterminable, and cannot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predicted;</w:t>
      </w:r>
    </w:p>
    <w:p>
      <w:pPr>
        <w:spacing w:after="0" w:line="143" w:lineRule="exact"/>
        <w:rPr>
          <w:rFonts w:ascii="Times New Roman" w:cs="Times New Roman" w:eastAsia="Times New Roman" w:hAnsi="Times New Roman"/>
          <w:sz w:val="20"/>
          <w:szCs w:val="20"/>
          <w:color w:val="auto"/>
        </w:rPr>
      </w:pPr>
    </w:p>
    <w:p>
      <w:pPr>
        <w:jc w:val="both"/>
        <w:ind w:firstLine="1186"/>
        <w:spacing w:after="0" w:line="211" w:lineRule="auto"/>
        <w:tabs>
          <w:tab w:leader="none" w:pos="177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rTSR CAGR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rTSR CAGR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rTSR CAGR Performance Units grant (including whether Participant may still be considered to be providing services while on a leave of absence and consistent with local law);</w:t>
      </w:r>
    </w:p>
    <w:p>
      <w:pPr>
        <w:spacing w:after="0" w:line="145" w:lineRule="exact"/>
        <w:rPr>
          <w:rFonts w:ascii="Times New Roman" w:cs="Times New Roman" w:eastAsia="Times New Roman" w:hAnsi="Times New Roman"/>
          <w:sz w:val="20"/>
          <w:szCs w:val="20"/>
          <w:color w:val="auto"/>
        </w:rPr>
      </w:pPr>
    </w:p>
    <w:p>
      <w:pPr>
        <w:jc w:val="both"/>
        <w:ind w:firstLine="1186"/>
        <w:spacing w:after="0" w:line="222" w:lineRule="auto"/>
        <w:tabs>
          <w:tab w:leader="none" w:pos="176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Administrator in its discretion, the rTSR CAGR Performance Units and the benefits evidenced by this Award Agreement do not create any entitlement to have the rTSR CAGR Performance Units or any such benefits transferred to, or assumed by, another company nor be exchanged, cashed out or substituted for, in connection with any corporate transaction affecting the Shares; and</w:t>
      </w:r>
    </w:p>
    <w:p>
      <w:pPr>
        <w:spacing w:after="0" w:line="138" w:lineRule="exact"/>
        <w:rPr>
          <w:rFonts w:ascii="Times New Roman" w:cs="Times New Roman" w:eastAsia="Times New Roman" w:hAnsi="Times New Roman"/>
          <w:sz w:val="20"/>
          <w:szCs w:val="20"/>
          <w:color w:val="auto"/>
        </w:rPr>
      </w:pPr>
    </w:p>
    <w:p>
      <w:pPr>
        <w:ind w:left="1760" w:hanging="574"/>
        <w:spacing w:after="0"/>
        <w:tabs>
          <w:tab w:leader="none" w:pos="17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Participant is providing services outside the United States:</w:t>
      </w:r>
    </w:p>
    <w:p>
      <w:pPr>
        <w:spacing w:after="0" w:line="165" w:lineRule="exact"/>
        <w:rPr>
          <w:rFonts w:ascii="Times New Roman" w:cs="Times New Roman" w:eastAsia="Times New Roman" w:hAnsi="Times New Roman"/>
          <w:sz w:val="20"/>
          <w:szCs w:val="20"/>
          <w:color w:val="auto"/>
        </w:rPr>
      </w:pPr>
    </w:p>
    <w:p>
      <w:pPr>
        <w:ind w:firstLine="1779"/>
        <w:spacing w:after="0" w:line="237" w:lineRule="auto"/>
        <w:tabs>
          <w:tab w:leader="none" w:pos="236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rTSR CAGR Performance Units and the Shares subject to the rTSR CAGR Performance Units are not part of normal or expected compensation or salary for any purpose;</w:t>
      </w:r>
    </w:p>
    <w:p>
      <w:pPr>
        <w:spacing w:after="0" w:line="139" w:lineRule="exact"/>
        <w:rPr>
          <w:rFonts w:ascii="Times New Roman" w:cs="Times New Roman" w:eastAsia="Times New Roman" w:hAnsi="Times New Roman"/>
          <w:sz w:val="20"/>
          <w:szCs w:val="20"/>
          <w:color w:val="auto"/>
        </w:rPr>
      </w:pPr>
    </w:p>
    <w:p>
      <w:pPr>
        <w:jc w:val="both"/>
        <w:ind w:firstLine="1779"/>
        <w:spacing w:after="0" w:line="222" w:lineRule="auto"/>
        <w:tabs>
          <w:tab w:leader="none" w:pos="236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and agrees that no Service Recipient shall be liable for any foreign exchange rate fluctuation between Participant’s local currency and the United States Dollar that may affect the value of the rTSR CAGR Performance Units or of any amounts due to Participant pursuant to the settlement of the rTSR CAGR Performance Units or the subsequent sale of any Shares acquired upon settlement; and</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45" w:lineRule="exact"/>
        <w:rPr>
          <w:sz w:val="20"/>
          <w:szCs w:val="20"/>
          <w:color w:val="auto"/>
        </w:rPr>
      </w:pPr>
    </w:p>
    <w:p>
      <w:pPr>
        <w:jc w:val="both"/>
        <w:ind w:firstLine="1779"/>
        <w:spacing w:after="0" w:line="212" w:lineRule="auto"/>
        <w:tabs>
          <w:tab w:leader="none" w:pos="237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the forfeiture of the rTSR CAGR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rTSR CAGR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44"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Participant’s acquisition or sale of the Shares underlying the rTSR CAGR Performance Units. Participant is hereby advised to consult with his or her own personal tax, legal, and financial advisors regarding his or her participation in the Plan before taking any action related to the Plan.</w:t>
      </w:r>
    </w:p>
    <w:p>
      <w:pPr>
        <w:spacing w:after="0" w:line="134" w:lineRule="exact"/>
        <w:rPr>
          <w:rFonts w:ascii="Times New Roman" w:cs="Times New Roman" w:eastAsia="Times New Roman" w:hAnsi="Times New Roman"/>
          <w:sz w:val="20"/>
          <w:szCs w:val="20"/>
          <w:color w:val="auto"/>
        </w:rPr>
      </w:pPr>
    </w:p>
    <w:p>
      <w:pPr>
        <w:jc w:val="both"/>
        <w:ind w:firstLine="592"/>
        <w:spacing w:after="0" w:line="223" w:lineRule="auto"/>
        <w:tabs>
          <w:tab w:leader="none" w:pos="11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Participant hereby explicitly and unambiguously consents to the collection, use and transfer, in electronic or other form, of Participant’s personal data as described in this Award Agreement and any other rTSR CAGR Performance Unit grant materials by and among, as applicable, the Service Recipients for the exclusive purpose of implementing, administering and managing Participant’s participation in the Plan.</w:t>
      </w:r>
    </w:p>
    <w:p>
      <w:pPr>
        <w:spacing w:after="0" w:line="159" w:lineRule="exact"/>
        <w:rPr>
          <w:sz w:val="20"/>
          <w:szCs w:val="20"/>
          <w:color w:val="auto"/>
        </w:rPr>
      </w:pPr>
    </w:p>
    <w:p>
      <w:pPr>
        <w:jc w:val="both"/>
        <w:ind w:firstLine="59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rTSR CAGR Performance Units or any other entitlement to Shares awarded, canceled, exercised, vested, unvested, or outstanding in Participant’s favor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for the exclusive purpose of implementing, administering, and managing the Plan.</w:t>
      </w:r>
    </w:p>
    <w:p>
      <w:pPr>
        <w:spacing w:after="0" w:line="158" w:lineRule="exact"/>
        <w:rPr>
          <w:sz w:val="20"/>
          <w:szCs w:val="20"/>
          <w:color w:val="auto"/>
        </w:rPr>
      </w:pPr>
    </w:p>
    <w:p>
      <w:pPr>
        <w:jc w:val="both"/>
        <w:ind w:firstLine="59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43" w:lineRule="exact"/>
        <w:rPr>
          <w:sz w:val="20"/>
          <w:szCs w:val="20"/>
          <w:color w:val="auto"/>
        </w:rPr>
      </w:pPr>
    </w:p>
    <w:p>
      <w:pPr>
        <w:jc w:val="both"/>
        <w:ind w:firstLine="592"/>
        <w:spacing w:after="0" w:line="227"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38"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the rTSR CAGR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37" w:lineRule="exact"/>
        <w:rPr>
          <w:rFonts w:ascii="Times New Roman" w:cs="Times New Roman" w:eastAsia="Times New Roman" w:hAnsi="Times New Roman"/>
          <w:sz w:val="20"/>
          <w:szCs w:val="20"/>
          <w:color w:val="auto"/>
        </w:rPr>
      </w:pPr>
    </w:p>
    <w:p>
      <w:pPr>
        <w:jc w:val="both"/>
        <w:ind w:firstLine="592"/>
        <w:spacing w:after="0" w:line="222"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38" w:lineRule="exact"/>
        <w:rPr>
          <w:rFonts w:ascii="Times New Roman" w:cs="Times New Roman" w:eastAsia="Times New Roman" w:hAnsi="Times New Roman"/>
          <w:sz w:val="20"/>
          <w:szCs w:val="20"/>
          <w:color w:val="auto"/>
        </w:rPr>
      </w:pPr>
    </w:p>
    <w:p>
      <w:pPr>
        <w:jc w:val="both"/>
        <w:ind w:firstLine="592"/>
        <w:spacing w:after="0" w:line="219"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45" w:lineRule="exact"/>
        <w:rPr>
          <w:sz w:val="20"/>
          <w:szCs w:val="20"/>
          <w:color w:val="auto"/>
        </w:rPr>
      </w:pPr>
    </w:p>
    <w:p>
      <w:pPr>
        <w:jc w:val="both"/>
        <w:ind w:left="-592" w:firstLine="592"/>
        <w:spacing w:after="0" w:line="211" w:lineRule="auto"/>
        <w:tabs>
          <w:tab w:leader="none" w:pos="5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rTSR CAGR Performance Units as the Administrator may establish from time to time for reasons of administrative convenience.</w:t>
      </w:r>
    </w:p>
    <w:p>
      <w:pPr>
        <w:spacing w:after="0" w:line="145"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rTSR CAGR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42" w:lineRule="exact"/>
        <w:rPr>
          <w:rFonts w:ascii="Times New Roman" w:cs="Times New Roman" w:eastAsia="Times New Roman" w:hAnsi="Times New Roman"/>
          <w:sz w:val="20"/>
          <w:szCs w:val="20"/>
          <w:color w:val="auto"/>
        </w:rPr>
      </w:pPr>
    </w:p>
    <w:p>
      <w:pPr>
        <w:ind w:left="-592" w:firstLine="592"/>
        <w:spacing w:after="0" w:line="237" w:lineRule="auto"/>
        <w:tabs>
          <w:tab w:leader="none" w:pos="5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Award Agreement.</w:t>
      </w:r>
    </w:p>
    <w:p>
      <w:pPr>
        <w:spacing w:after="0" w:line="139" w:lineRule="exact"/>
        <w:rPr>
          <w:rFonts w:ascii="Times New Roman" w:cs="Times New Roman" w:eastAsia="Times New Roman" w:hAnsi="Times New Roman"/>
          <w:sz w:val="20"/>
          <w:szCs w:val="20"/>
          <w:color w:val="auto"/>
        </w:rPr>
      </w:pPr>
    </w:p>
    <w:p>
      <w:pPr>
        <w:jc w:val="both"/>
        <w:ind w:left="-592" w:firstLine="592"/>
        <w:spacing w:after="0" w:line="222" w:lineRule="auto"/>
        <w:tabs>
          <w:tab w:leader="none" w:pos="59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By accepting this Award, Participant expressly warrants that Participant has received an Award of rTSR CAGR Performance Units under the Plan, and has received, read and understood a description of the Plan. Participant understands that the Plan is discretionary in nature and may be amended, suspended, or terminated by the Administrator at any time.</w:t>
      </w:r>
    </w:p>
    <w:p>
      <w:pPr>
        <w:sectPr>
          <w:pgSz w:w="11900" w:h="16838" w:orient="portrait"/>
          <w:cols w:equalWidth="0" w:num="1">
            <w:col w:w="10648"/>
          </w:cols>
          <w:pgMar w:left="912" w:top="1440" w:right="339" w:bottom="1440" w:gutter="0" w:footer="0" w:header="0"/>
        </w:sectPr>
      </w:pPr>
    </w:p>
    <w:bookmarkStart w:id="122" w:name="page123"/>
    <w:bookmarkEnd w:id="122"/>
    <w:p>
      <w:pPr>
        <w:spacing w:after="0" w:line="245" w:lineRule="exact"/>
        <w:rPr>
          <w:sz w:val="20"/>
          <w:szCs w:val="20"/>
          <w:color w:val="auto"/>
        </w:rPr>
      </w:pPr>
    </w:p>
    <w:p>
      <w:pPr>
        <w:jc w:val="both"/>
        <w:ind w:firstLine="592"/>
        <w:spacing w:after="0" w:line="212" w:lineRule="auto"/>
        <w:tabs>
          <w:tab w:leader="none" w:pos="118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Award Agreement</w:t>
      </w:r>
      <w:r>
        <w:rPr>
          <w:rFonts w:ascii="Times New Roman" w:cs="Times New Roman" w:eastAsia="Times New Roman" w:hAnsi="Times New Roman"/>
          <w:sz w:val="20"/>
          <w:szCs w:val="20"/>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rTSR CAGR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39" w:lineRule="exact"/>
        <w:rPr>
          <w:rFonts w:ascii="Times New Roman" w:cs="Times New Roman" w:eastAsia="Times New Roman" w:hAnsi="Times New Roman"/>
          <w:sz w:val="20"/>
          <w:szCs w:val="20"/>
          <w:color w:val="auto"/>
        </w:rPr>
      </w:pPr>
    </w:p>
    <w:p>
      <w:pPr>
        <w:jc w:val="both"/>
        <w:ind w:firstLine="592"/>
        <w:spacing w:after="0" w:line="211" w:lineRule="auto"/>
        <w:tabs>
          <w:tab w:leader="none" w:pos="118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Under Policy or Law</w:t>
      </w:r>
      <w:r>
        <w:rPr>
          <w:rFonts w:ascii="Times New Roman" w:cs="Times New Roman" w:eastAsia="Times New Roman" w:hAnsi="Times New Roman"/>
          <w:sz w:val="20"/>
          <w:szCs w:val="20"/>
          <w:color w:val="auto"/>
        </w:rPr>
        <w:t>. Participant’s rights with respect to this Award Agreement and the Award of rTSR CAGR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rTSR CAGR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66" w:lineRule="exact"/>
        <w:rPr>
          <w:sz w:val="20"/>
          <w:szCs w:val="20"/>
          <w:color w:val="auto"/>
        </w:rPr>
      </w:pPr>
    </w:p>
    <w:p>
      <w:pPr>
        <w:jc w:val="both"/>
        <w:ind w:firstLine="593"/>
        <w:spacing w:after="0" w:line="255" w:lineRule="auto"/>
        <w:rPr>
          <w:sz w:val="20"/>
          <w:szCs w:val="20"/>
          <w:color w:val="auto"/>
        </w:rPr>
      </w:pPr>
      <w:r>
        <w:rPr>
          <w:rFonts w:ascii="Times New Roman" w:cs="Times New Roman" w:eastAsia="Times New Roman" w:hAnsi="Times New Roman"/>
          <w:sz w:val="20"/>
          <w:szCs w:val="20"/>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rTSR CAGR Performance Units to re-convey, transfer or otherwise return the Shares and/or other amounts to the Company upon the Company’s enforcement of any Clawback Policy or recovery policy.</w:t>
      </w:r>
    </w:p>
    <w:p>
      <w:pPr>
        <w:spacing w:after="0" w:line="138" w:lineRule="exact"/>
        <w:rPr>
          <w:sz w:val="20"/>
          <w:szCs w:val="20"/>
          <w:color w:val="auto"/>
        </w:rPr>
      </w:pPr>
    </w:p>
    <w:p>
      <w:pPr>
        <w:jc w:val="both"/>
        <w:ind w:firstLine="592"/>
        <w:spacing w:after="0" w:line="215" w:lineRule="auto"/>
        <w:tabs>
          <w:tab w:leader="none" w:pos="118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Severability</w:t>
      </w:r>
      <w:r>
        <w:rPr>
          <w:rFonts w:ascii="Times New Roman" w:cs="Times New Roman" w:eastAsia="Times New Roman" w:hAnsi="Times New Roman"/>
          <w:sz w:val="20"/>
          <w:szCs w:val="20"/>
          <w:color w:val="auto"/>
        </w:rPr>
        <w:t>. This Award Agreement and the rTSR CAGR Performance Units are governed by the internal substantive laws, but not the choice of law rules, of the State of Delaware. For purposes of litigating any dispute that arises under these rTSR CAGR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45" w:lineRule="exact"/>
        <w:rPr>
          <w:sz w:val="20"/>
          <w:szCs w:val="20"/>
          <w:color w:val="auto"/>
        </w:rPr>
      </w:pPr>
    </w:p>
    <w:p>
      <w:pPr>
        <w:jc w:val="both"/>
        <w:ind w:left="-592" w:firstLine="592"/>
        <w:spacing w:after="0" w:line="227" w:lineRule="auto"/>
        <w:tabs>
          <w:tab w:leader="none" w:pos="59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38" w:lineRule="exact"/>
        <w:rPr>
          <w:rFonts w:ascii="Times New Roman" w:cs="Times New Roman" w:eastAsia="Times New Roman" w:hAnsi="Times New Roman"/>
          <w:sz w:val="20"/>
          <w:szCs w:val="20"/>
          <w:color w:val="auto"/>
        </w:rPr>
      </w:pPr>
    </w:p>
    <w:p>
      <w:pPr>
        <w:jc w:val="both"/>
        <w:ind w:left="-592" w:firstLine="592"/>
        <w:spacing w:after="0" w:line="216" w:lineRule="auto"/>
        <w:tabs>
          <w:tab w:leader="none" w:pos="59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Notwithstanding any provisions in this Award Agreement, the rTSR CAGR Performance Unit grant shall be subject to any special terms and conditions set forth in an appendix (if any) to this Award Agreement for any country whose laws are applicable to Participant and this rTSR CAGR Performance Unit Award (as determined by the Administrator in its sole discretion) (the “</w:t>
      </w: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67" w:lineRule="exact"/>
        <w:rPr>
          <w:rFonts w:ascii="Times New Roman" w:cs="Times New Roman" w:eastAsia="Times New Roman" w:hAnsi="Times New Roman"/>
          <w:sz w:val="20"/>
          <w:szCs w:val="20"/>
          <w:color w:val="auto"/>
        </w:rPr>
      </w:pPr>
    </w:p>
    <w:p>
      <w:pPr>
        <w:ind w:left="438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648"/>
          </w:cols>
          <w:pgMar w:left="912" w:top="1440" w:right="339" w:bottom="1440" w:gutter="0" w:footer="0" w:header="0"/>
        </w:sectPr>
      </w:pPr>
    </w:p>
    <w:bookmarkStart w:id="124" w:name="page125"/>
    <w:bookmarkEnd w:id="124"/>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ADDITIONAL TERMS OF rTSR CAGR PERFORMANCE UNITS</w:t>
      </w:r>
    </w:p>
    <w:p>
      <w:pPr>
        <w:spacing w:after="0" w:line="207"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20"/>
          <w:szCs w:val="20"/>
          <w:color w:val="auto"/>
        </w:rPr>
        <w:t>The rTSR CAGR Performance Units may be earned, in whole or in part, based on (i) Participant continuing to be a Service Provider, and (ii) the achievement of the performance goals, as set forth below.</w:t>
      </w:r>
    </w:p>
    <w:p>
      <w:pPr>
        <w:spacing w:after="0" w:line="126"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Performance Period</w:t>
      </w:r>
      <w:r>
        <w:rPr>
          <w:rFonts w:ascii="Times New Roman" w:cs="Times New Roman" w:eastAsia="Times New Roman" w:hAnsi="Times New Roman"/>
          <w:sz w:val="20"/>
          <w:szCs w:val="20"/>
          <w:color w:val="auto"/>
        </w:rPr>
        <w:t>. For purposes of this Award of rTSR CAGR Performance Units,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of three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years of the Company (“</w:t>
      </w:r>
      <w:r>
        <w:rPr>
          <w:rFonts w:ascii="Times New Roman" w:cs="Times New Roman" w:eastAsia="Times New Roman" w:hAnsi="Times New Roman"/>
          <w:sz w:val="20"/>
          <w:szCs w:val="20"/>
          <w:u w:val="single" w:color="auto"/>
          <w:color w:val="auto"/>
        </w:rPr>
        <w:t>Fiscal Years</w:t>
      </w:r>
      <w:r>
        <w:rPr>
          <w:rFonts w:ascii="Times New Roman" w:cs="Times New Roman" w:eastAsia="Times New Roman" w:hAnsi="Times New Roman"/>
          <w:sz w:val="20"/>
          <w:szCs w:val="20"/>
          <w:color w:val="auto"/>
        </w:rPr>
        <w:t>”) beginning August 29, 2025, and ending on (and inclusive of) August 31, 2028.</w:t>
      </w:r>
    </w:p>
    <w:p>
      <w:pPr>
        <w:spacing w:after="0" w:line="135"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Performance Goal</w:t>
      </w:r>
      <w:r>
        <w:rPr>
          <w:rFonts w:ascii="Times New Roman" w:cs="Times New Roman" w:eastAsia="Times New Roman" w:hAnsi="Times New Roman"/>
          <w:sz w:val="20"/>
          <w:szCs w:val="20"/>
          <w:color w:val="auto"/>
        </w:rPr>
        <w:t>. 100% of the rTSR CAGR Performance Units are eligible to be earned assuming at-target achievement of the relative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total shareholder return 3-year compound annual growth rate goal (the “</w:t>
      </w:r>
      <w:r>
        <w:rPr>
          <w:rFonts w:ascii="Times New Roman" w:cs="Times New Roman" w:eastAsia="Times New Roman" w:hAnsi="Times New Roman"/>
          <w:sz w:val="20"/>
          <w:szCs w:val="20"/>
          <w:u w:val="single" w:color="auto"/>
          <w:color w:val="auto"/>
        </w:rPr>
        <w:t>rTSR CAGR Goal</w:t>
      </w:r>
      <w:r>
        <w:rPr>
          <w:rFonts w:ascii="Times New Roman" w:cs="Times New Roman" w:eastAsia="Times New Roman" w:hAnsi="Times New Roman"/>
          <w:sz w:val="20"/>
          <w:szCs w:val="20"/>
          <w:color w:val="auto"/>
        </w:rPr>
        <w:t>”). The actual number of rTSR CAGR Performance Units earned with respect to the rTSR CAGR Goal will be determined by reference to the payout factor (the “</w:t>
      </w:r>
      <w:r>
        <w:rPr>
          <w:rFonts w:ascii="Times New Roman" w:cs="Times New Roman" w:eastAsia="Times New Roman" w:hAnsi="Times New Roman"/>
          <w:sz w:val="20"/>
          <w:szCs w:val="20"/>
          <w:u w:val="single" w:color="auto"/>
          <w:color w:val="auto"/>
        </w:rPr>
        <w:t>rTSR CAGR Payout Factor</w:t>
      </w:r>
      <w:r>
        <w:rPr>
          <w:rFonts w:ascii="Times New Roman" w:cs="Times New Roman" w:eastAsia="Times New Roman" w:hAnsi="Times New Roman"/>
          <w:sz w:val="20"/>
          <w:szCs w:val="20"/>
          <w:color w:val="auto"/>
        </w:rPr>
        <w:t>”) determined based on the achievement level as set forth below.</w:t>
      </w:r>
    </w:p>
    <w:p>
      <w:pPr>
        <w:spacing w:after="0" w:line="46" w:lineRule="exact"/>
        <w:rPr>
          <w:sz w:val="20"/>
          <w:szCs w:val="20"/>
          <w:color w:val="auto"/>
        </w:rPr>
      </w:pPr>
    </w:p>
    <w:p>
      <w:pPr>
        <w:jc w:val="both"/>
        <w:ind w:left="600" w:right="100" w:hanging="304"/>
        <w:spacing w:after="0" w:line="253" w:lineRule="auto"/>
        <w:tabs>
          <w:tab w:leader="none" w:pos="59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first Measurement Date (as defined below), the actual number of rTSR CAGR Performance Units earned, if any, will be determined by multiplying (i) the Target Number of Shares Subject to rTSR CAGR Performance Units (as set forth in the Notice of Grant) by (ii) the applicable rTSR CAGR Payout Factor.</w:t>
      </w:r>
    </w:p>
    <w:p>
      <w:pPr>
        <w:spacing w:after="0" w:line="150" w:lineRule="exact"/>
        <w:rPr>
          <w:rFonts w:ascii="Times New Roman" w:cs="Times New Roman" w:eastAsia="Times New Roman" w:hAnsi="Times New Roman"/>
          <w:sz w:val="20"/>
          <w:szCs w:val="20"/>
          <w:color w:val="auto"/>
        </w:rPr>
      </w:pPr>
    </w:p>
    <w:p>
      <w:pPr>
        <w:jc w:val="both"/>
        <w:ind w:left="600" w:right="100" w:hanging="304"/>
        <w:spacing w:after="0" w:line="246" w:lineRule="auto"/>
        <w:tabs>
          <w:tab w:leader="none" w:pos="59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rTSR CAGR Payout Factor on any subsequent Measurement Date exceeds the highest rTSR CAGR Payout Factor previously recorded on a preceding Measurement Date, then the actual number of additional rTSR CAGR Performance Units earned, if any, upon such Measurement Date will be determined by multiplying (i) the Target Number of Shares Subject to rTSR CAGR Performance Units by (ii) the excess of the rTSR CAGR Payout Factor on such Measurement Date over the highest rTSR CAGR Payout Factor of all preceding Measurement Dates.</w:t>
      </w:r>
    </w:p>
    <w:p>
      <w:pPr>
        <w:spacing w:after="0" w:line="18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Therefore, more or less than 100% of the Target Number of Shares Subject to rTSR CAGR Performance Units may be earned during the Performance Period based on the level of achievement measured against the rTSR CAGR Goal, as shown in the following table. Additionally, the number of rTSR CAGR Performance Units earned on any Measurement Date with respect to the rTSR CAGR Goal may be adjusted downward as a result of the 2x Limit (as defined below).</w:t>
      </w:r>
    </w:p>
    <w:p>
      <w:pPr>
        <w:spacing w:after="0" w:line="200" w:lineRule="exact"/>
        <w:rPr>
          <w:sz w:val="20"/>
          <w:szCs w:val="20"/>
          <w:color w:val="auto"/>
        </w:rPr>
      </w:pPr>
    </w:p>
    <w:tbl>
      <w:tblPr>
        <w:tblLayout w:type="fixed"/>
        <w:tblInd w:w="610" w:type="dxa"/>
        <w:tblCellMar>
          <w:top w:w="0" w:type="dxa"/>
          <w:left w:w="0" w:type="dxa"/>
          <w:bottom w:w="0" w:type="dxa"/>
          <w:right w:w="0" w:type="dxa"/>
        </w:tblCellMar>
      </w:tblPr>
      <w:tr>
        <w:trPr>
          <w:trHeight w:val="332"/>
        </w:trPr>
        <w:tc>
          <w:tcPr>
            <w:tcW w:w="9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280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w w:val="99"/>
              </w:rPr>
              <w:t>rTSR CAGR Payout Factor</w:t>
            </w:r>
          </w:p>
        </w:tc>
        <w:tc>
          <w:tcPr>
            <w:tcW w:w="0" w:type="dxa"/>
            <w:vAlign w:val="bottom"/>
          </w:tcPr>
          <w:p>
            <w:pPr>
              <w:spacing w:after="0"/>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5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96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Fiscal</w:t>
            </w:r>
          </w:p>
        </w:tc>
        <w:tc>
          <w:tcPr>
            <w:tcW w:w="6980" w:type="dxa"/>
            <w:vAlign w:val="bottom"/>
            <w:tcBorders>
              <w:right w:val="single" w:sz="8" w:color="auto"/>
            </w:tcBorders>
            <w:gridSpan w:val="3"/>
            <w:vMerge w:val="restart"/>
          </w:tcPr>
          <w:p>
            <w:pPr>
              <w:ind w:left="3260"/>
              <w:spacing w:after="0"/>
              <w:rPr>
                <w:sz w:val="20"/>
                <w:szCs w:val="20"/>
                <w:color w:val="auto"/>
              </w:rPr>
            </w:pPr>
            <w:r>
              <w:rPr>
                <w:rFonts w:ascii="Times New Roman" w:cs="Times New Roman" w:eastAsia="Times New Roman" w:hAnsi="Times New Roman"/>
                <w:sz w:val="20"/>
                <w:szCs w:val="20"/>
                <w:b w:val="1"/>
                <w:bCs w:val="1"/>
                <w:color w:val="auto"/>
              </w:rPr>
              <w:t>Goal</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0.50x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1.0x</w:t>
            </w:r>
          </w:p>
        </w:tc>
        <w:tc>
          <w:tcPr>
            <w:tcW w:w="560" w:type="dxa"/>
            <w:vAlign w:val="bottom"/>
            <w:vMerge w:val="restart"/>
          </w:tcPr>
          <w:p>
            <w:pPr>
              <w:jc w:val="center"/>
              <w:ind w:left="167"/>
              <w:spacing w:after="0"/>
              <w:rPr>
                <w:sz w:val="20"/>
                <w:szCs w:val="20"/>
                <w:color w:val="auto"/>
              </w:rPr>
            </w:pPr>
            <w:r>
              <w:rPr>
                <w:rFonts w:ascii="Times New Roman" w:cs="Times New Roman" w:eastAsia="Times New Roman" w:hAnsi="Times New Roman"/>
                <w:sz w:val="20"/>
                <w:szCs w:val="20"/>
                <w:b w:val="1"/>
                <w:bCs w:val="1"/>
                <w:color w:val="auto"/>
              </w:rPr>
              <w:t>1.5</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Year</w:t>
            </w:r>
          </w:p>
        </w:tc>
        <w:tc>
          <w:tcPr>
            <w:tcW w:w="6980" w:type="dxa"/>
            <w:vAlign w:val="bottom"/>
            <w:tcBorders>
              <w:right w:val="single" w:sz="8" w:color="auto"/>
            </w:tcBorders>
            <w:gridSpan w:val="3"/>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9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2027</w:t>
            </w:r>
          </w:p>
        </w:tc>
        <w:tc>
          <w:tcPr>
            <w:tcW w:w="69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Difference between Micron’s and the 55</w:t>
            </w:r>
            <w:r>
              <w:rPr>
                <w:rFonts w:ascii="Times New Roman" w:cs="Times New Roman" w:eastAsia="Times New Roman" w:hAnsi="Times New Roman"/>
                <w:sz w:val="25"/>
                <w:szCs w:val="25"/>
                <w:color w:val="auto"/>
                <w:w w:val="99"/>
                <w:vertAlign w:val="superscript"/>
              </w:rPr>
              <w:t>th</w:t>
            </w:r>
            <w:r>
              <w:rPr>
                <w:rFonts w:ascii="Times New Roman" w:cs="Times New Roman" w:eastAsia="Times New Roman" w:hAnsi="Times New Roman"/>
                <w:sz w:val="20"/>
                <w:szCs w:val="20"/>
                <w:color w:val="auto"/>
                <w:w w:val="99"/>
              </w:rPr>
              <w:t xml:space="preserve"> percentile SOX (i.e., PHLX Semiconductor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560" w:type="dxa"/>
            <w:vAlign w:val="bottom"/>
          </w:tcPr>
          <w:p>
            <w:pPr>
              <w:jc w:val="center"/>
              <w:ind w:left="167"/>
              <w:spacing w:after="0"/>
              <w:rPr>
                <w:sz w:val="20"/>
                <w:szCs w:val="20"/>
                <w:color w:val="auto"/>
              </w:rPr>
            </w:pPr>
            <w:r>
              <w:rPr>
                <w:rFonts w:ascii="Times New Roman" w:cs="Times New Roman" w:eastAsia="Times New Roman" w:hAnsi="Times New Roman"/>
                <w:sz w:val="18"/>
                <w:szCs w:val="18"/>
                <w:b w:val="1"/>
                <w:bCs w:val="1"/>
                <w:color w:val="auto"/>
                <w:w w:val="90"/>
              </w:rPr>
              <w:t>[***</w:t>
            </w:r>
          </w:p>
        </w:tc>
        <w:tc>
          <w:tcPr>
            <w:tcW w:w="0" w:type="dxa"/>
            <w:vAlign w:val="bottom"/>
          </w:tcPr>
          <w:p>
            <w:pPr>
              <w:spacing w:after="0"/>
              <w:rPr>
                <w:sz w:val="1"/>
                <w:szCs w:val="1"/>
                <w:color w:val="auto"/>
              </w:rPr>
            </w:pPr>
          </w:p>
        </w:tc>
      </w:tr>
      <w:tr>
        <w:trPr>
          <w:trHeight w:val="51"/>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right w:val="single" w:sz="8" w:color="auto"/>
            </w:tcBorders>
            <w:gridSpan w:val="3"/>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60" w:type="dxa"/>
            <w:vAlign w:val="bottom"/>
            <w:tcBorders>
              <w:left w:val="single" w:sz="8" w:color="auto"/>
              <w:right w:val="single" w:sz="8" w:color="auto"/>
            </w:tcBorders>
          </w:tcPr>
          <w:p>
            <w:pPr>
              <w:spacing w:after="0"/>
              <w:rPr>
                <w:sz w:val="12"/>
                <w:szCs w:val="12"/>
                <w:color w:val="auto"/>
              </w:rPr>
            </w:pPr>
          </w:p>
        </w:tc>
        <w:tc>
          <w:tcPr>
            <w:tcW w:w="6980" w:type="dxa"/>
            <w:vAlign w:val="bottom"/>
            <w:tcBorders>
              <w:right w:val="single" w:sz="8" w:color="auto"/>
            </w:tcBorders>
            <w:gridSpan w:val="3"/>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2028</w:t>
            </w:r>
          </w:p>
        </w:tc>
        <w:tc>
          <w:tcPr>
            <w:tcW w:w="6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Sector) index company’s 60 consecutive, trailing, Trading Day average 3-year total</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560" w:type="dxa"/>
            <w:vAlign w:val="bottom"/>
            <w:vMerge w:val="restart"/>
          </w:tcPr>
          <w:p>
            <w:pPr>
              <w:jc w:val="center"/>
              <w:ind w:left="167"/>
              <w:spacing w:after="0"/>
              <w:rPr>
                <w:sz w:val="20"/>
                <w:szCs w:val="20"/>
                <w:color w:val="auto"/>
              </w:rPr>
            </w:pPr>
            <w:r>
              <w:rPr>
                <w:rFonts w:ascii="Times New Roman" w:cs="Times New Roman" w:eastAsia="Times New Roman" w:hAnsi="Times New Roman"/>
                <w:sz w:val="18"/>
                <w:szCs w:val="18"/>
                <w:b w:val="1"/>
                <w:bCs w:val="1"/>
                <w:color w:val="auto"/>
                <w:w w:val="90"/>
              </w:rPr>
              <w:t>[***</w:t>
            </w: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vMerge w:val="continue"/>
          </w:tcPr>
          <w:p>
            <w:pPr>
              <w:spacing w:after="0"/>
              <w:rPr>
                <w:sz w:val="18"/>
                <w:szCs w:val="18"/>
                <w:color w:val="auto"/>
              </w:rPr>
            </w:pPr>
          </w:p>
        </w:tc>
        <w:tc>
          <w:tcPr>
            <w:tcW w:w="6980" w:type="dxa"/>
            <w:vAlign w:val="bottom"/>
            <w:tcBorders>
              <w:right w:val="single" w:sz="8" w:color="auto"/>
            </w:tcBorders>
            <w:gridSpan w:val="3"/>
          </w:tcPr>
          <w:p>
            <w:pPr>
              <w:ind w:left="40"/>
              <w:spacing w:after="0" w:line="210" w:lineRule="exact"/>
              <w:rPr>
                <w:sz w:val="20"/>
                <w:szCs w:val="20"/>
                <w:color w:val="auto"/>
              </w:rPr>
            </w:pPr>
            <w:r>
              <w:rPr>
                <w:rFonts w:ascii="Times New Roman" w:cs="Times New Roman" w:eastAsia="Times New Roman" w:hAnsi="Times New Roman"/>
                <w:sz w:val="20"/>
                <w:szCs w:val="20"/>
                <w:color w:val="auto"/>
              </w:rPr>
              <w:t>shareholder return compound annual growth rate performance (“TSR CAGR”)*</w:t>
            </w:r>
          </w:p>
        </w:tc>
        <w:tc>
          <w:tcPr>
            <w:tcW w:w="112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440" w:right="239" w:bottom="1440" w:gutter="0" w:footer="0" w:header="0"/>
        </w:sectPr>
      </w:pPr>
    </w:p>
    <w:bookmarkStart w:id="125" w:name="page126"/>
    <w:bookmarkEnd w:id="125"/>
    <w:p>
      <w:pPr>
        <w:spacing w:after="0" w:line="72" w:lineRule="exact"/>
        <w:rPr>
          <w:sz w:val="20"/>
          <w:szCs w:val="20"/>
          <w:color w:val="auto"/>
        </w:rPr>
      </w:pPr>
    </w:p>
    <w:p>
      <w:pPr>
        <w:ind w:left="301" w:hanging="301"/>
        <w:spacing w:after="0"/>
        <w:tabs>
          <w:tab w:leader="none" w:pos="301"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Targets are represented as percentage points (ppts).</w:t>
      </w:r>
    </w:p>
    <w:p>
      <w:pPr>
        <w:spacing w:after="0" w:line="227" w:lineRule="exact"/>
        <w:rPr>
          <w:rFonts w:ascii="Times New Roman" w:cs="Times New Roman" w:eastAsia="Times New Roman" w:hAnsi="Times New Roman"/>
          <w:sz w:val="20"/>
          <w:szCs w:val="20"/>
          <w:b w:val="1"/>
          <w:bCs w:val="1"/>
          <w:color w:val="auto"/>
        </w:rPr>
      </w:pPr>
    </w:p>
    <w:p>
      <w:pPr>
        <w:jc w:val="both"/>
        <w:ind w:left="601" w:hanging="304"/>
        <w:spacing w:after="0" w:line="259" w:lineRule="auto"/>
        <w:tabs>
          <w:tab w:leader="none" w:pos="59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performance is between performance levels set forth in the table above, the rTSR CAGR Payout Factor will be determined based on straight line interpolation. For the avoidance of doubt and notwithstanding any contrary provision of the Award Agreement, if highest performance is below the 0.5x level on the final Measurement Date in the applicable Fiscal Year, the rTSR CAGR Payout Factor for such Fiscal Year will be zero.</w:t>
      </w:r>
    </w:p>
    <w:p>
      <w:pPr>
        <w:spacing w:after="0" w:line="157"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rTSR CAGR Payout Factor will be rounded to the second decimal place, as needed.</w:t>
      </w:r>
    </w:p>
    <w:p>
      <w:pPr>
        <w:spacing w:after="0" w:line="202" w:lineRule="exact"/>
        <w:rPr>
          <w:rFonts w:ascii="Times New Roman" w:cs="Times New Roman" w:eastAsia="Times New Roman" w:hAnsi="Times New Roman"/>
          <w:sz w:val="20"/>
          <w:szCs w:val="20"/>
          <w:color w:val="auto"/>
        </w:rPr>
      </w:pPr>
    </w:p>
    <w:p>
      <w:pPr>
        <w:ind w:left="581" w:hanging="284"/>
        <w:spacing w:after="0"/>
        <w:tabs>
          <w:tab w:leader="none" w:pos="58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goal result will be the highest rTSR CAGR Payout Factor during Fiscal Years 2027 and 2028.</w:t>
      </w:r>
    </w:p>
    <w:p>
      <w:pPr>
        <w:spacing w:after="0" w:line="202" w:lineRule="exact"/>
        <w:rPr>
          <w:rFonts w:ascii="Times New Roman" w:cs="Times New Roman" w:eastAsia="Times New Roman" w:hAnsi="Times New Roman"/>
          <w:sz w:val="20"/>
          <w:szCs w:val="20"/>
          <w:color w:val="auto"/>
        </w:rPr>
      </w:pPr>
    </w:p>
    <w:p>
      <w:pPr>
        <w:jc w:val="both"/>
        <w:ind w:left="601" w:hanging="304"/>
        <w:spacing w:after="0" w:line="237" w:lineRule="auto"/>
        <w:tabs>
          <w:tab w:leader="none" w:pos="59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company in the SOX index, such percentile is determined among the companies comprising the SOX index as of the Measurement Date, provided that any SOX index company that did not have stock listed on any established stock exchange or a national market system on the date three years prior to such Measurement Date will be excluded in determining such percentile. As an example, if there are 30 companies in the SOX index as of a Measurement Date, all of which had stock listed on an established stock exchange on the date three years prior to such Measurement Date, then the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will be determined by linear interpolation between the 16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company, ranked in order based on each company’s TSR CAGR.</w:t>
      </w:r>
    </w:p>
    <w:p>
      <w:pPr>
        <w:spacing w:after="0" w:line="86" w:lineRule="exact"/>
        <w:rPr>
          <w:rFonts w:ascii="Times New Roman" w:cs="Times New Roman" w:eastAsia="Times New Roman" w:hAnsi="Times New Roman"/>
          <w:sz w:val="20"/>
          <w:szCs w:val="20"/>
          <w:color w:val="auto"/>
        </w:rPr>
      </w:pPr>
    </w:p>
    <w:p>
      <w:pPr>
        <w:ind w:left="601" w:hanging="304"/>
        <w:spacing w:after="0" w:line="287" w:lineRule="auto"/>
        <w:tabs>
          <w:tab w:leader="none" w:pos="59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rTSR CAGR Payout Factors shown in the table above, if the Company’s highest TSR CAGR is negative, then the rTSR CAGR Payout Factor will not exceed 1.0x.</w:t>
      </w:r>
    </w:p>
    <w:p>
      <w:pPr>
        <w:spacing w:after="0" w:line="126"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0"/>
          <w:szCs w:val="20"/>
          <w:b w:val="1"/>
          <w:bCs w:val="1"/>
          <w:u w:val="single" w:color="auto"/>
          <w:color w:val="auto"/>
        </w:rPr>
        <w:t>Achievement Determination and Banked Units</w:t>
      </w:r>
      <w:r>
        <w:rPr>
          <w:rFonts w:ascii="Times New Roman" w:cs="Times New Roman" w:eastAsia="Times New Roman" w:hAnsi="Times New Roman"/>
          <w:sz w:val="20"/>
          <w:szCs w:val="20"/>
          <w:color w:val="auto"/>
        </w:rPr>
        <w:t>. Achievement levels with respect to the rTSR CAGR Payout Factor will be measured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trading day of the Shares on the Exchange on which Shares primarily are traded (a “</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during the Performance Period beginning on the first Trading Day of Fiscal Year 2027 (any such date, a “</w:t>
      </w:r>
      <w:r>
        <w:rPr>
          <w:rFonts w:ascii="Times New Roman" w:cs="Times New Roman" w:eastAsia="Times New Roman" w:hAnsi="Times New Roman"/>
          <w:sz w:val="20"/>
          <w:szCs w:val="20"/>
          <w:u w:val="single" w:color="auto"/>
          <w:color w:val="auto"/>
        </w:rPr>
        <w:t>Measurement Date</w:t>
      </w:r>
      <w:r>
        <w:rPr>
          <w:rFonts w:ascii="Times New Roman" w:cs="Times New Roman" w:eastAsia="Times New Roman" w:hAnsi="Times New Roman"/>
          <w:sz w:val="20"/>
          <w:szCs w:val="20"/>
          <w:color w:val="auto"/>
        </w:rPr>
        <w:t>”). As a simplified example, assume for illustration purposes, that as of a particular Measurement Date, the 60 consecutive, trailing Trading Day average closing prices of the Company’s common stock is $240.00 and the 60 consecutive, trailing Trading Day average closing prices of a share of the Company’s common stock on the date immediately prior to the 3-year period that ends with such Measurement Date is $180.00. Also assume for illustration purposes there were no dividend distributions across the 3-year period, however, in 3-year TSR calculation any dividends distributed are included. Based on these prices, the Company’s TSR CAGR is 10%. Assume further that the 60 consecutive, trailing Trading Day average closing prices of the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SOX index company’s stock is $40.00 both as of the same Measurement Date and the date immediately prior to the 3-year period that ends with such Measurement Date and no dividend distributions across the 3-year period, such that its TSR CAGR is 0%. The difference between the TSR CAGRs for such Measurement Date is 10 ppts, and the resulting rTSR CAGR Payout Factor with respect to such Measurement Date is 1.1x.</w:t>
      </w:r>
    </w:p>
    <w:p>
      <w:pPr>
        <w:sectPr>
          <w:pgSz w:w="11900" w:h="16838" w:orient="portrait"/>
          <w:cols w:equalWidth="0" w:num="1">
            <w:col w:w="11241"/>
          </w:cols>
          <w:pgMar w:left="319" w:top="1440" w:right="339" w:bottom="1440" w:gutter="0" w:footer="0" w:header="0"/>
        </w:sectPr>
      </w:pPr>
    </w:p>
    <w:bookmarkStart w:id="126" w:name="page127"/>
    <w:bookmarkEnd w:id="126"/>
    <w:p>
      <w:pPr>
        <w:spacing w:after="0" w:line="2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rTSR CAGR Performance Units are earned based on every new high reached in the 60 consecutive, trailing Trading Day average TSR 3-year CAGR differential between Micron and the median SOX index company starting on the first Trading Day of Fiscal Year 2027. rTSR CAGR Performance Units that are earned by application of the rTSR CAGR Payout Factor are referred to herein as “</w:t>
      </w:r>
      <w:r>
        <w:rPr>
          <w:rFonts w:ascii="Times New Roman" w:cs="Times New Roman" w:eastAsia="Times New Roman" w:hAnsi="Times New Roman"/>
          <w:sz w:val="20"/>
          <w:szCs w:val="20"/>
          <w:u w:val="single" w:color="auto"/>
          <w:color w:val="auto"/>
        </w:rPr>
        <w:t>Banked rTSR CAGR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(regardless of whether such rTSR CAGR Performance Units have vested).</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As of the Certification Date that immediately follows the end of Fiscal Year 2028, 100% of the then-unvested Banked rTSR CAGR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Units (for the avoidance of doubt, inclusive of any rTSR CAGR Performance Units becoming Banked rTSR CAGR Performance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rTSR CAGR Performance Units have become Banked rTSR CAGR Performance Units, such Banked rTSR CAGR Performance Units will continue to vest and be paid pursuant to the original schedule.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 means Certification Date as defined with respect to the HBM3E Award (as defined below) and Data Center DRAM Mix Award (as defined below).</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Vesting Upon a Qualifying Event</w:t>
      </w:r>
      <w:r>
        <w:rPr>
          <w:rFonts w:ascii="Times New Roman" w:cs="Times New Roman" w:eastAsia="Times New Roman" w:hAnsi="Times New Roman"/>
          <w:sz w:val="20"/>
          <w:szCs w:val="20"/>
          <w:color w:val="auto"/>
        </w:rPr>
        <w:t>. This paragraph shall apply only to the extent that Participant and the Company have entered into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offer letter or similar written agreement (the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0"/>
          <w:szCs w:val="20"/>
          <w:u w:val="single" w:color="auto"/>
          <w:color w:val="auto"/>
        </w:rPr>
        <w:t>Qualifying Event</w:t>
      </w:r>
      <w:r>
        <w:rPr>
          <w:rFonts w:ascii="Times New Roman" w:cs="Times New Roman" w:eastAsia="Times New Roman" w:hAnsi="Times New Roman"/>
          <w:sz w:val="20"/>
          <w:szCs w:val="20"/>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Payout Timing (Conversion to Shares)</w:t>
      </w:r>
      <w:r>
        <w:rPr>
          <w:rFonts w:ascii="Times New Roman" w:cs="Times New Roman" w:eastAsia="Times New Roman" w:hAnsi="Times New Roman"/>
          <w:sz w:val="20"/>
          <w:szCs w:val="20"/>
          <w:color w:val="auto"/>
        </w:rPr>
        <w:t>. The Banked rTSR CAGR Performance Units vesting as of the Certification Date that immediately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 the end of Fiscal Year 2028 (such rTSR CAGR Performance Units, the “</w:t>
      </w:r>
      <w:r>
        <w:rPr>
          <w:rFonts w:ascii="Times New Roman" w:cs="Times New Roman" w:eastAsia="Times New Roman" w:hAnsi="Times New Roman"/>
          <w:sz w:val="20"/>
          <w:szCs w:val="20"/>
          <w:u w:val="single" w:color="auto"/>
          <w:color w:val="auto"/>
        </w:rPr>
        <w:t>Vested rTSR CAGR Performance Units</w:t>
      </w:r>
      <w:r>
        <w:rPr>
          <w:rFonts w:ascii="Times New Roman" w:cs="Times New Roman" w:eastAsia="Times New Roman" w:hAnsi="Times New Roman"/>
          <w:sz w:val="20"/>
          <w:szCs w:val="20"/>
          <w:color w:val="auto"/>
        </w:rPr>
        <w:t>”) shall automatically convert to Shares on the Certification Date (the “</w:t>
      </w:r>
      <w:r>
        <w:rPr>
          <w:rFonts w:ascii="Times New Roman" w:cs="Times New Roman" w:eastAsia="Times New Roman" w:hAnsi="Times New Roman"/>
          <w:sz w:val="20"/>
          <w:szCs w:val="20"/>
          <w:u w:val="single" w:color="auto"/>
          <w:color w:val="auto"/>
        </w:rPr>
        <w:t>Conversion Date</w:t>
      </w:r>
      <w:r>
        <w:rPr>
          <w:rFonts w:ascii="Times New Roman" w:cs="Times New Roman" w:eastAsia="Times New Roman" w:hAnsi="Times New Roman"/>
          <w:sz w:val="20"/>
          <w:szCs w:val="20"/>
          <w:color w:val="auto"/>
        </w:rPr>
        <w:t>”), except that if Participant is terminated for Cause, no further rTSR CAGR Performance Units shall vest after the date of termination.</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color w:val="auto"/>
        </w:rPr>
        <w:t>Certain Award Limitations</w:t>
      </w:r>
      <w:r>
        <w:rPr>
          <w:rFonts w:ascii="Times New Roman" w:cs="Times New Roman" w:eastAsia="Times New Roman" w:hAnsi="Times New Roman"/>
          <w:sz w:val="20"/>
          <w:szCs w:val="20"/>
          <w:color w:val="auto"/>
        </w:rPr>
        <w:t>. The maximum number of rTSR CAGR Performance Units that may vest under this Award is the Maximum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Shares Subject to rTSR CAGR Performance Units as set forth in the Notice of Grant, subject to the following.</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Concurrently with this Award of rTSR CAGR Performance Units, Participant is receiving (a) an award of HBM3E+ Performance Units, which are performance-based Restricted Stock Units that may be earned based upon achievement of certain goals related to HBM3E+ market share or bit shipments (the “</w:t>
      </w:r>
      <w:r>
        <w:rPr>
          <w:rFonts w:ascii="Times New Roman" w:cs="Times New Roman" w:eastAsia="Times New Roman" w:hAnsi="Times New Roman"/>
          <w:sz w:val="19"/>
          <w:szCs w:val="19"/>
          <w:u w:val="single" w:color="auto"/>
          <w:color w:val="auto"/>
        </w:rPr>
        <w:t>HBM3E Award</w:t>
      </w:r>
      <w:r>
        <w:rPr>
          <w:rFonts w:ascii="Times New Roman" w:cs="Times New Roman" w:eastAsia="Times New Roman" w:hAnsi="Times New Roman"/>
          <w:sz w:val="19"/>
          <w:szCs w:val="19"/>
          <w:color w:val="auto"/>
        </w:rPr>
        <w:t>”), as described in the award agreement covering the HBM3E Award, and (b) an award of Data Center DRAM Mix Performance Units, which are performance-based Restricted Stock Units that may be earned based upon achievement of certain goals related to the difference in the Company’s DRAM revenue percentage mix for the data center market segment compared to the total available market’s revenue percentage mix for the data center market segment (such award, the “</w:t>
      </w:r>
      <w:r>
        <w:rPr>
          <w:rFonts w:ascii="Times New Roman" w:cs="Times New Roman" w:eastAsia="Times New Roman" w:hAnsi="Times New Roman"/>
          <w:sz w:val="19"/>
          <w:szCs w:val="19"/>
          <w:u w:val="single" w:color="auto"/>
          <w:color w:val="auto"/>
        </w:rPr>
        <w:t>Data Center DRAM Mix Award</w:t>
      </w:r>
      <w:r>
        <w:rPr>
          <w:rFonts w:ascii="Times New Roman" w:cs="Times New Roman" w:eastAsia="Times New Roman" w:hAnsi="Times New Roman"/>
          <w:sz w:val="19"/>
          <w:szCs w:val="19"/>
          <w:color w:val="auto"/>
        </w:rPr>
        <w:t>”), as described in the award agreement covering the Data Center DRAM Mix Award. This Award of rTSR CAGR Performance Units, together with the HBM3E Award and Data Center DRAM Mix Award, are referred to as the “</w:t>
      </w:r>
      <w:r>
        <w:rPr>
          <w:rFonts w:ascii="Times New Roman" w:cs="Times New Roman" w:eastAsia="Times New Roman" w:hAnsi="Times New Roman"/>
          <w:sz w:val="19"/>
          <w:szCs w:val="19"/>
          <w:u w:val="single" w:color="auto"/>
          <w:color w:val="auto"/>
        </w:rPr>
        <w:t>FY 2026 Performance Awards</w:t>
      </w:r>
      <w:r>
        <w:rPr>
          <w:rFonts w:ascii="Times New Roman" w:cs="Times New Roman" w:eastAsia="Times New Roman" w:hAnsi="Times New Roman"/>
          <w:sz w:val="19"/>
          <w:szCs w:val="19"/>
          <w:color w:val="auto"/>
        </w:rPr>
        <w:t>,” and the total number of Restricted Stock Units under the FY 2026 Performance Awards (the “</w:t>
      </w:r>
      <w:r>
        <w:rPr>
          <w:rFonts w:ascii="Times New Roman" w:cs="Times New Roman" w:eastAsia="Times New Roman" w:hAnsi="Times New Roman"/>
          <w:sz w:val="19"/>
          <w:szCs w:val="19"/>
          <w:u w:val="single" w:color="auto"/>
          <w:color w:val="auto"/>
        </w:rPr>
        <w:t>Performance Units</w:t>
      </w:r>
      <w:r>
        <w:rPr>
          <w:rFonts w:ascii="Times New Roman" w:cs="Times New Roman" w:eastAsia="Times New Roman" w:hAnsi="Times New Roman"/>
          <w:sz w:val="19"/>
          <w:szCs w:val="19"/>
          <w:color w:val="auto"/>
        </w:rPr>
        <w:t>”) eligible to be earned under the FY 2026 Performance Awards assuming at-target achievement is referred to as the “</w:t>
      </w:r>
      <w:r>
        <w:rPr>
          <w:rFonts w:ascii="Times New Roman" w:cs="Times New Roman" w:eastAsia="Times New Roman" w:hAnsi="Times New Roman"/>
          <w:sz w:val="19"/>
          <w:szCs w:val="19"/>
          <w:u w:val="single" w:color="auto"/>
          <w:color w:val="auto"/>
        </w:rPr>
        <w:t>Target Total Award</w:t>
      </w:r>
      <w:r>
        <w:rPr>
          <w:rFonts w:ascii="Times New Roman" w:cs="Times New Roman" w:eastAsia="Times New Roman" w:hAnsi="Times New Roman"/>
          <w:sz w:val="19"/>
          <w:szCs w:val="19"/>
          <w:color w:val="auto"/>
        </w:rPr>
        <w:t>” and is calculated as the sum of (i) the Target Number of Shares Subject to rTSR CAGR Performance Units under this Award of rTSR CAGR Performance Units, plus (ii) the Target Number of Shares Subject to HBM3E+ Performance Units as specified in the HBM3E Award, plus (iii) the Target Number of Shares Subject to Data Center DRAM Mix Performance Units as specified in the Data Center DRAM Mix Award. Notwithstanding any contrary provision of this Award Agreement, the number of Performance Units that may be earned under the FY 2026 Performance Awards (taken together) during the Performance Period will not exceed two (2) times the Target Total Award (the “</w:t>
      </w:r>
      <w:r>
        <w:rPr>
          <w:rFonts w:ascii="Times New Roman" w:cs="Times New Roman" w:eastAsia="Times New Roman" w:hAnsi="Times New Roman"/>
          <w:sz w:val="19"/>
          <w:szCs w:val="19"/>
          <w:u w:val="single" w:color="auto"/>
          <w:color w:val="auto"/>
        </w:rPr>
        <w:t>2x Limit</w:t>
      </w:r>
      <w:r>
        <w:rPr>
          <w:rFonts w:ascii="Times New Roman" w:cs="Times New Roman" w:eastAsia="Times New Roman" w:hAnsi="Times New Roman"/>
          <w:sz w:val="19"/>
          <w:szCs w:val="19"/>
          <w:color w:val="auto"/>
        </w:rPr>
        <w:t xml:space="preserve">”). To the extent that, as of any applicable date, the aggregate number of Performance Units that would otherwise be earned under the FY 2026 Performance Awards in accordance with the applicable provisions as of such date, together,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all Performance Units that were earned previously in the Performance Period with respect to the FY 2026 Performance Awards, would exceed the 2x Limit, the number of Performance Units becoming earned with respect to the rTSR CAGR Award will be reduced (the “</w:t>
      </w:r>
      <w:r>
        <w:rPr>
          <w:rFonts w:ascii="Times New Roman" w:cs="Times New Roman" w:eastAsia="Times New Roman" w:hAnsi="Times New Roman"/>
          <w:sz w:val="19"/>
          <w:szCs w:val="19"/>
          <w:u w:val="single" w:color="auto"/>
          <w:color w:val="auto"/>
        </w:rPr>
        <w:t>Reduction Units</w:t>
      </w:r>
      <w:r>
        <w:rPr>
          <w:rFonts w:ascii="Times New Roman" w:cs="Times New Roman" w:eastAsia="Times New Roman" w:hAnsi="Times New Roman"/>
          <w:sz w:val="19"/>
          <w:szCs w:val="19"/>
          <w:color w:val="auto"/>
        </w:rPr>
        <w:t xml:space="preserve">”) such that the aggregate number of Performance Units becoming earned as of such date with respect to the FY 2026 Performance Awards upon such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all Performance Units that have become earned previously during the Performance Period with respect to the FY 2026 Performance Awards is equal to the 2x Limit. For the avoidance of doubt, if such reduction is required as of the Certification Date (as defined below) that immediately follows the end of Fiscal Year 2027, then the rTSR CAGR Performance Units that otherwise would be considered Banked rTSR CAGR Performance Units on such Certification Date will be reduced by the total number of Reduction Units but not to less than zero, and any remaining or additional Reduction Units will reduce the rTSR CAGR Performance Units that are scheduled to vest as of the Certification Date that immediately follows the end of Fiscal Year 2028. If, immediately after any date during the Performance Period, the aggregate number of Performance Units that have become earned pursuant to the FY 2026 Performance Awards is less than the 2x Limit, then the opportunity to earn the excess of the 2x Limit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aggregate number of Performance Units that have been earned will exist in any remaining Performance Period Fiscal Year(s).</w:t>
      </w: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Notwithstanding anything to the contrary herein, the maximum aggregate grant of awards may not exceed 5,000,000 shares of the Company’s Common Stock in any one calendar year to any one participant (including for calendar year 2025, the FY 2026 Performance Awards granted to Participant), as provided in Section 4.6 of the Plan.</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Recoupment</w:t>
      </w:r>
      <w:r>
        <w:rPr>
          <w:rFonts w:ascii="Times New Roman" w:cs="Times New Roman" w:eastAsia="Times New Roman" w:hAnsi="Times New Roman"/>
          <w:sz w:val="20"/>
          <w:szCs w:val="20"/>
          <w:color w:val="auto"/>
        </w:rPr>
        <w:t>. As provided in further detail in Section 26 of the Terms and Conditions of Performance Unit Grant comprising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Agreement, the rTSR CAGR Performance Units are subject to any Clawback Policy, or other recovery obligation as may be necessary to comply with applicable laws.</w:t>
      </w:r>
    </w:p>
    <w:p>
      <w:pPr>
        <w:spacing w:after="0" w:line="2" w:lineRule="exact"/>
        <w:rPr>
          <w:sz w:val="20"/>
          <w:szCs w:val="20"/>
          <w:color w:val="auto"/>
        </w:rPr>
      </w:pPr>
    </w:p>
    <w:p>
      <w:pPr>
        <w:spacing w:after="0"/>
        <w:tabs>
          <w:tab w:leader="none" w:pos="580" w:val="left"/>
          <w:tab w:leader="none" w:pos="11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UNIT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 ADDENDUM</w:t>
      </w:r>
    </w:p>
    <w:p>
      <w:pPr>
        <w:spacing w:after="0" w:line="18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0"/>
          <w:szCs w:val="20"/>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11200"/>
          </w:cols>
          <w:pgMar w:left="340" w:top="1440" w:right="35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31.1</w:t>
      </w:r>
    </w:p>
    <w:p>
      <w:pPr>
        <w:spacing w:after="0" w:line="9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RULE 13a-14(a) CERTIFICATION OF</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CHIEF EXECUTIVE OFFICER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Sanjay Mehrotra, certify that:</w:t>
      </w:r>
    </w:p>
    <w:p>
      <w:pPr>
        <w:spacing w:after="0" w:line="162" w:lineRule="exact"/>
        <w:rPr>
          <w:sz w:val="20"/>
          <w:szCs w:val="20"/>
          <w:color w:val="auto"/>
        </w:rPr>
      </w:pPr>
    </w:p>
    <w:p>
      <w:pPr>
        <w:ind w:left="281" w:hanging="281"/>
        <w:spacing w:after="0"/>
        <w:tabs>
          <w:tab w:leader="none" w:pos="2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162" w:lineRule="exact"/>
        <w:rPr>
          <w:rFonts w:ascii="Arial" w:cs="Arial" w:eastAsia="Arial" w:hAnsi="Arial"/>
          <w:sz w:val="16"/>
          <w:szCs w:val="16"/>
          <w:color w:val="auto"/>
        </w:rPr>
      </w:pPr>
    </w:p>
    <w:p>
      <w:pPr>
        <w:jc w:val="both"/>
        <w:ind w:left="301" w:right="300" w:hanging="301"/>
        <w:spacing w:after="0" w:line="279" w:lineRule="auto"/>
        <w:tabs>
          <w:tab w:leader="none" w:pos="2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left="301" w:right="440" w:hanging="301"/>
        <w:spacing w:after="0" w:line="301" w:lineRule="auto"/>
        <w:tabs>
          <w:tab w:leader="none" w:pos="2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301" w:right="40" w:hanging="301"/>
        <w:spacing w:after="0" w:line="279" w:lineRule="auto"/>
        <w:tabs>
          <w:tab w:leader="none" w:pos="2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6"/>
          <w:szCs w:val="16"/>
          <w:color w:val="auto"/>
        </w:rPr>
      </w:pPr>
    </w:p>
    <w:p>
      <w:pPr>
        <w:ind w:left="601" w:right="180" w:hanging="304"/>
        <w:spacing w:after="0" w:line="279" w:lineRule="auto"/>
        <w:tabs>
          <w:tab w:leader="none" w:pos="5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601" w:right="60" w:hanging="304"/>
        <w:spacing w:after="0" w:line="279" w:lineRule="auto"/>
        <w:tabs>
          <w:tab w:leader="none" w:pos="5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jc w:val="both"/>
        <w:ind w:left="601" w:right="720" w:hanging="304"/>
        <w:spacing w:after="0" w:line="301" w:lineRule="auto"/>
        <w:tabs>
          <w:tab w:leader="none" w:pos="59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601" w:right="140" w:hanging="304"/>
        <w:spacing w:after="0" w:line="279" w:lineRule="auto"/>
        <w:tabs>
          <w:tab w:leader="none" w:pos="5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0" w:lineRule="exact"/>
        <w:rPr>
          <w:rFonts w:ascii="Arial" w:cs="Arial" w:eastAsia="Arial" w:hAnsi="Arial"/>
          <w:sz w:val="16"/>
          <w:szCs w:val="16"/>
          <w:color w:val="auto"/>
        </w:rPr>
      </w:pPr>
    </w:p>
    <w:p>
      <w:pPr>
        <w:ind w:left="301" w:right="180" w:hanging="301"/>
        <w:spacing w:after="0" w:line="301" w:lineRule="auto"/>
        <w:tabs>
          <w:tab w:leader="none" w:pos="2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601" w:right="360" w:hanging="304"/>
        <w:spacing w:after="0" w:line="301" w:lineRule="auto"/>
        <w:tabs>
          <w:tab w:leader="none" w:pos="5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601" w:right="300" w:hanging="304"/>
        <w:spacing w:after="0" w:line="301" w:lineRule="auto"/>
        <w:tabs>
          <w:tab w:leader="none" w:pos="5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ind w:left="481"/>
        <w:spacing w:after="0"/>
        <w:tabs>
          <w:tab w:leader="none" w:pos="1201" w:val="left"/>
          <w:tab w:leader="none" w:pos="5541"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18, 2026</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19685</wp:posOffset>
            </wp:positionV>
            <wp:extent cx="33286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28670" cy="7620"/>
                    </a:xfrm>
                    <a:prstGeom prst="rect">
                      <a:avLst/>
                    </a:prstGeom>
                    <a:noFill/>
                  </pic:spPr>
                </pic:pic>
              </a:graphicData>
            </a:graphic>
          </wp:anchor>
        </w:drawing>
      </w:r>
    </w:p>
    <w:p>
      <w:pPr>
        <w:spacing w:after="0" w:line="61" w:lineRule="exact"/>
        <w:rPr>
          <w:sz w:val="20"/>
          <w:szCs w:val="20"/>
          <w:color w:val="auto"/>
        </w:rPr>
      </w:pPr>
    </w:p>
    <w:p>
      <w:pPr>
        <w:ind w:left="5561"/>
        <w:spacing w:after="0"/>
        <w:rPr>
          <w:sz w:val="20"/>
          <w:szCs w:val="20"/>
          <w:color w:val="auto"/>
        </w:rPr>
      </w:pPr>
      <w:r>
        <w:rPr>
          <w:rFonts w:ascii="Arial" w:cs="Arial" w:eastAsia="Arial" w:hAnsi="Arial"/>
          <w:sz w:val="16"/>
          <w:szCs w:val="16"/>
          <w:color w:val="auto"/>
        </w:rPr>
        <w:t>Sanjay Mehrotra</w:t>
      </w:r>
    </w:p>
    <w:p>
      <w:pPr>
        <w:ind w:left="5561"/>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1"/>
          </w:cols>
          <w:pgMar w:left="319" w:top="91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31.2</w:t>
      </w:r>
    </w:p>
    <w:p>
      <w:pPr>
        <w:spacing w:after="0" w:line="9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RULE 13a-14(a) CERTIFICATION OF</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CHIEF FINANCIAL OFFICER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Mark Murphy, certify that:</w:t>
      </w:r>
    </w:p>
    <w:p>
      <w:pPr>
        <w:spacing w:after="0" w:line="162" w:lineRule="exact"/>
        <w:rPr>
          <w:sz w:val="20"/>
          <w:szCs w:val="20"/>
          <w:color w:val="auto"/>
        </w:rPr>
      </w:pPr>
    </w:p>
    <w:p>
      <w:pPr>
        <w:ind w:left="281" w:hanging="281"/>
        <w:spacing w:after="0"/>
        <w:tabs>
          <w:tab w:leader="none" w:pos="28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162" w:lineRule="exact"/>
        <w:rPr>
          <w:rFonts w:ascii="Arial" w:cs="Arial" w:eastAsia="Arial" w:hAnsi="Arial"/>
          <w:sz w:val="16"/>
          <w:szCs w:val="16"/>
          <w:color w:val="auto"/>
        </w:rPr>
      </w:pPr>
    </w:p>
    <w:p>
      <w:pPr>
        <w:jc w:val="both"/>
        <w:ind w:left="301" w:right="300" w:hanging="301"/>
        <w:spacing w:after="0" w:line="279" w:lineRule="auto"/>
        <w:tabs>
          <w:tab w:leader="none" w:pos="2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left="301" w:right="440" w:hanging="301"/>
        <w:spacing w:after="0" w:line="301" w:lineRule="auto"/>
        <w:tabs>
          <w:tab w:leader="none" w:pos="2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301" w:right="40" w:hanging="301"/>
        <w:spacing w:after="0" w:line="279" w:lineRule="auto"/>
        <w:tabs>
          <w:tab w:leader="none" w:pos="2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6"/>
          <w:szCs w:val="16"/>
          <w:color w:val="auto"/>
        </w:rPr>
      </w:pPr>
    </w:p>
    <w:p>
      <w:pPr>
        <w:ind w:left="601" w:right="180" w:hanging="304"/>
        <w:spacing w:after="0" w:line="279" w:lineRule="auto"/>
        <w:tabs>
          <w:tab w:leader="none" w:pos="5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601" w:right="60" w:hanging="304"/>
        <w:spacing w:after="0" w:line="279" w:lineRule="auto"/>
        <w:tabs>
          <w:tab w:leader="none" w:pos="5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jc w:val="both"/>
        <w:ind w:left="601" w:right="720" w:hanging="304"/>
        <w:spacing w:after="0" w:line="301" w:lineRule="auto"/>
        <w:tabs>
          <w:tab w:leader="none" w:pos="59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601" w:right="140" w:hanging="304"/>
        <w:spacing w:after="0" w:line="279" w:lineRule="auto"/>
        <w:tabs>
          <w:tab w:leader="none" w:pos="5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0" w:lineRule="exact"/>
        <w:rPr>
          <w:rFonts w:ascii="Arial" w:cs="Arial" w:eastAsia="Arial" w:hAnsi="Arial"/>
          <w:sz w:val="16"/>
          <w:szCs w:val="16"/>
          <w:color w:val="auto"/>
        </w:rPr>
      </w:pPr>
    </w:p>
    <w:p>
      <w:pPr>
        <w:ind w:left="301" w:right="180" w:hanging="301"/>
        <w:spacing w:after="0" w:line="301" w:lineRule="auto"/>
        <w:tabs>
          <w:tab w:leader="none" w:pos="2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601" w:right="360" w:hanging="304"/>
        <w:spacing w:after="0" w:line="301" w:lineRule="auto"/>
        <w:tabs>
          <w:tab w:leader="none" w:pos="5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601" w:right="300" w:hanging="304"/>
        <w:spacing w:after="0" w:line="301" w:lineRule="auto"/>
        <w:tabs>
          <w:tab w:leader="none" w:pos="5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41"/>
        <w:spacing w:after="0"/>
        <w:tabs>
          <w:tab w:leader="none" w:pos="661" w:val="left"/>
          <w:tab w:leader="none" w:pos="5621" w:val="left"/>
        </w:tabs>
        <w:rPr>
          <w:sz w:val="20"/>
          <w:szCs w:val="20"/>
          <w:color w:val="auto"/>
        </w:rPr>
      </w:pPr>
      <w:r>
        <w:rPr>
          <w:rFonts w:ascii="Arial" w:cs="Arial" w:eastAsia="Arial" w:hAnsi="Arial"/>
          <w:sz w:val="16"/>
          <w:szCs w:val="16"/>
          <w:color w:val="auto"/>
        </w:rPr>
        <w:t>Date:</w:t>
        <w:tab/>
        <w:t>March 18, 2026</w:t>
      </w:r>
      <w:r>
        <w:rPr>
          <w:sz w:val="20"/>
          <w:szCs w:val="20"/>
          <w:color w:val="auto"/>
        </w:rPr>
        <w:tab/>
      </w:r>
      <w:r>
        <w:rPr>
          <w:rFonts w:ascii="Arial" w:cs="Arial" w:eastAsia="Arial" w:hAnsi="Arial"/>
          <w:sz w:val="16"/>
          <w:szCs w:val="16"/>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35560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556000" cy="7620"/>
                    </a:xfrm>
                    <a:prstGeom prst="rect">
                      <a:avLst/>
                    </a:prstGeom>
                    <a:noFill/>
                  </pic:spPr>
                </pic:pic>
              </a:graphicData>
            </a:graphic>
          </wp:anchor>
        </w:drawing>
      </w:r>
    </w:p>
    <w:p>
      <w:pPr>
        <w:spacing w:after="0" w:line="68" w:lineRule="exact"/>
        <w:rPr>
          <w:sz w:val="20"/>
          <w:szCs w:val="20"/>
          <w:color w:val="auto"/>
        </w:rPr>
      </w:pPr>
    </w:p>
    <w:p>
      <w:pPr>
        <w:ind w:left="5641"/>
        <w:spacing w:after="0"/>
        <w:rPr>
          <w:sz w:val="20"/>
          <w:szCs w:val="20"/>
          <w:color w:val="auto"/>
        </w:rPr>
      </w:pPr>
      <w:r>
        <w:rPr>
          <w:rFonts w:ascii="Arial" w:cs="Arial" w:eastAsia="Arial" w:hAnsi="Arial"/>
          <w:sz w:val="16"/>
          <w:szCs w:val="16"/>
          <w:color w:val="auto"/>
        </w:rPr>
        <w:t>Mark Murphy</w:t>
      </w:r>
    </w:p>
    <w:p>
      <w:pPr>
        <w:spacing w:after="0" w:line="33" w:lineRule="exact"/>
        <w:rPr>
          <w:sz w:val="20"/>
          <w:szCs w:val="20"/>
          <w:color w:val="auto"/>
        </w:rPr>
      </w:pPr>
    </w:p>
    <w:p>
      <w:pPr>
        <w:ind w:left="5641"/>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1"/>
          </w:cols>
          <w:pgMar w:left="319" w:top="91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32.1</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PURSUANT TO 18 U.S.C. 1350</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 Sanjay Mehrotra, certify, pursuant to 18 U.S.C. 1350, as adopted pursuant to Section 906 of the Sarbanes-Oxley Act of 2002, that the Quarterly Report of Micron Technology, Inc. on Form 10-Q for the period ended February 26, 2026,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4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18, 2026</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19685</wp:posOffset>
            </wp:positionV>
            <wp:extent cx="35642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Sanjay Mehrotra</w:t>
      </w:r>
    </w:p>
    <w:p>
      <w:pPr>
        <w:spacing w:after="0" w:line="3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0"/>
          </w:cols>
          <w:pgMar w:left="320" w:top="91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32.2</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PURSUANT TO 18 U.S.C. 1350</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 Mark Murphy, certify, pursuant to 18 U.S.C. 1350, as adopted pursuant to Section 906 of the Sarbanes-Oxley Act of 2002, that the Quarterly Report of Micron Technology, Inc. on Form 10-Q for the period ended February 26, 2026,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4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18, 2026</w:t>
      </w:r>
      <w:r>
        <w:rPr>
          <w:sz w:val="20"/>
          <w:szCs w:val="20"/>
          <w:color w:val="auto"/>
        </w:rPr>
        <w:tab/>
      </w:r>
      <w:r>
        <w:rPr>
          <w:rFonts w:ascii="Arial" w:cs="Arial" w:eastAsia="Arial" w:hAnsi="Arial"/>
          <w:sz w:val="16"/>
          <w:szCs w:val="16"/>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19685</wp:posOffset>
            </wp:positionV>
            <wp:extent cx="35560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556000" cy="7620"/>
                    </a:xfrm>
                    <a:prstGeom prst="rect">
                      <a:avLst/>
                    </a:prstGeom>
                    <a:noFill/>
                  </pic:spPr>
                </pic:pic>
              </a:graphicData>
            </a:graphic>
          </wp:anchor>
        </w:drawing>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Mark Murphy</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sectPr>
      <w:pgSz w:w="11900" w:h="16838" w:orient="portrait"/>
      <w:cols w:equalWidth="0" w:num="1">
        <w:col w:w="11240"/>
      </w:cols>
      <w:pgMar w:left="320" w:top="9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1)"/>
      <w:numFmt w:val="decimal"/>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5"/>
    </w:lvl>
  </w:abstractNum>
  <w:abstractNum w:abstractNumId="35">
    <w:nsid w:val="5DC79EA8"/>
    <w:multiLevelType w:val="hybridMultilevel"/>
    <w:lvl w:ilvl="0">
      <w:lvlJc w:val="left"/>
      <w:lvlText w:val="%1."/>
      <w:numFmt w:val="decimal"/>
      <w:start w:val="8"/>
    </w:lvl>
  </w:abstractNum>
  <w:abstractNum w:abstractNumId="36">
    <w:nsid w:val="540A471C"/>
    <w:multiLevelType w:val="hybridMultilevel"/>
    <w:lvl w:ilvl="0">
      <w:lvlJc w:val="left"/>
      <w:lvlText w:val="%1."/>
      <w:numFmt w:val="decimal"/>
      <w:start w:val="9"/>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1."/>
      <w:numFmt w:val="decimal"/>
      <w:start w:val="4"/>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2">
    <w:nsid w:val="42963E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
    <w:nsid w:val="A0382C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8F2B15E"/>
    <w:multiLevelType w:val="hybridMultilevel"/>
    <w:lvl w:ilvl="0">
      <w:lvlJc w:val="left"/>
      <w:lvlText w:val="%1."/>
      <w:numFmt w:val="decimal"/>
      <w:start w:val="7"/>
    </w:lvl>
    <w:lvl w:ilvl="1">
      <w:lvlJc w:val="left"/>
      <w:lvlText w:val="(%2)"/>
      <w:numFmt w:val="lowerLetter"/>
      <w:start w:val="1"/>
    </w:lvl>
  </w:abstractNum>
  <w:abstractNum w:abstractNumId="45">
    <w:nsid w:val="1A32234B"/>
    <w:multiLevelType w:val="hybridMultilevel"/>
    <w:lvl w:ilvl="0">
      <w:lvlJc w:val="left"/>
      <w:lvlText w:val="(%1)"/>
      <w:numFmt w:val="lowerLetter"/>
      <w:start w:val="2"/>
    </w:lvl>
  </w:abstractNum>
  <w:abstractNum w:abstractNumId="46">
    <w:nsid w:val="3B0FD379"/>
    <w:multiLevelType w:val="hybridMultilevel"/>
    <w:lvl w:ilvl="0">
      <w:lvlJc w:val="left"/>
      <w:lvlText w:val="%1."/>
      <w:numFmt w:val="decimal"/>
      <w:start w:val="11"/>
    </w:lvl>
  </w:abstractNum>
  <w:abstractNum w:abstractNumId="47">
    <w:nsid w:val="68EB2F63"/>
    <w:multiLevelType w:val="hybridMultilevel"/>
    <w:lvl w:ilvl="0">
      <w:lvlJc w:val="left"/>
      <w:lvlText w:val="•"/>
      <w:numFmt w:val="bullet"/>
      <w:start w:val="1"/>
    </w:lvl>
    <w:lvl w:ilvl="1">
      <w:lvlJc w:val="left"/>
      <w:lvlText w:val="(%2)"/>
      <w:numFmt w:val="lowerLetter"/>
      <w:start w:val="1"/>
    </w:lvl>
  </w:abstractNum>
  <w:abstractNum w:abstractNumId="48">
    <w:nsid w:val="4962813B"/>
    <w:multiLevelType w:val="hybridMultilevel"/>
    <w:lvl w:ilvl="0">
      <w:lvlJc w:val="left"/>
      <w:lvlText w:val="%1."/>
      <w:numFmt w:val="decimal"/>
      <w:start w:val="12"/>
    </w:lvl>
    <w:lvl w:ilvl="1">
      <w:lvlJc w:val="left"/>
      <w:lvlText w:val="(%2)"/>
      <w:numFmt w:val="lowerLetter"/>
      <w:start w:val="1"/>
    </w:lvl>
  </w:abstractNum>
  <w:abstractNum w:abstractNumId="49">
    <w:nsid w:val="60B6DF70"/>
    <w:multiLevelType w:val="hybridMultilevel"/>
    <w:lvl w:ilvl="0">
      <w:lvlJc w:val="left"/>
      <w:lvlText w:val="(%1)"/>
      <w:numFmt w:val="lowerLetter"/>
      <w:start w:val="5"/>
    </w:lvl>
    <w:lvl w:ilvl="1">
      <w:lvlJc w:val="left"/>
      <w:lvlText w:val="(%2)"/>
      <w:numFmt w:val="lowerRoman"/>
      <w:start w:val="1"/>
    </w:lvl>
  </w:abstractNum>
  <w:abstractNum w:abstractNumId="50">
    <w:nsid w:val="6A5EE64"/>
    <w:multiLevelType w:val="hybridMultilevel"/>
    <w:lvl w:ilvl="0">
      <w:lvlJc w:val="left"/>
      <w:lvlText w:val="%1"/>
      <w:numFmt w:val="decimal"/>
      <w:start w:val="1"/>
    </w:lvl>
    <w:lvl w:ilvl="1">
      <w:lvlJc w:val="left"/>
      <w:lvlText w:val="(%2)"/>
      <w:numFmt w:val="lowerRoman"/>
      <w:start w:val="3"/>
    </w:lvl>
  </w:abstractNum>
  <w:abstractNum w:abstractNumId="51">
    <w:nsid w:val="14330624"/>
    <w:multiLevelType w:val="hybridMultilevel"/>
    <w:lvl w:ilvl="0">
      <w:lvlJc w:val="left"/>
      <w:lvlText w:val="%1."/>
      <w:numFmt w:val="decimal"/>
      <w:start w:val="16"/>
    </w:lvl>
    <w:lvl w:ilvl="1">
      <w:lvlJc w:val="left"/>
      <w:lvlText w:val="%2"/>
      <w:numFmt w:val="lowerRoman"/>
      <w:start w:val="1"/>
    </w:lvl>
  </w:abstractNum>
  <w:abstractNum w:abstractNumId="52">
    <w:nsid w:val="7FFFCA11"/>
    <w:multiLevelType w:val="hybridMultilevel"/>
    <w:lvl w:ilvl="0">
      <w:lvlJc w:val="left"/>
      <w:lvlText w:val="%1."/>
      <w:numFmt w:val="decimal"/>
      <w:start w:val="18"/>
    </w:lvl>
  </w:abstractNum>
  <w:abstractNum w:abstractNumId="53">
    <w:nsid w:val="1A27709E"/>
    <w:multiLevelType w:val="hybridMultilevel"/>
    <w:lvl w:ilvl="0">
      <w:lvlJc w:val="left"/>
      <w:lvlText w:val="%1."/>
      <w:numFmt w:val="decimal"/>
      <w:start w:val="21"/>
    </w:lvl>
  </w:abstractNum>
  <w:abstractNum w:abstractNumId="54">
    <w:nsid w:val="71EA1109"/>
    <w:multiLevelType w:val="hybridMultilevel"/>
    <w:lvl w:ilvl="0">
      <w:lvlJc w:val="left"/>
      <w:lvlText w:val="%1."/>
      <w:numFmt w:val="decimal"/>
      <w:start w:val="27"/>
    </w:lvl>
  </w:abstractNum>
  <w:abstractNum w:abstractNumId="55">
    <w:nsid w:val="100F59DC"/>
    <w:multiLevelType w:val="hybridMultilevel"/>
    <w:lvl w:ilvl="0">
      <w:lvlJc w:val="left"/>
      <w:lvlText w:val="%1."/>
      <w:numFmt w:val="decimal"/>
      <w:start w:val="29"/>
    </w:lvl>
    <w:lvl w:ilvl="1">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lvl w:ilvl="1">
      <w:lvlJc w:val="left"/>
      <w:lvlText w:val="•"/>
      <w:numFmt w:val="bullet"/>
      <w:start w:val="1"/>
    </w:lvl>
  </w:abstractNum>
  <w:abstractNum w:abstractNumId="58">
    <w:nsid w:val="6F6DD9AC"/>
    <w:multiLevelType w:val="hybridMultilevel"/>
    <w:lvl w:ilvl="0">
      <w:lvlJc w:val="left"/>
      <w:lvlText w:val="*"/>
      <w:numFmt w:val="bullet"/>
      <w:start w:val="1"/>
    </w:lvl>
    <w:lvl w:ilvl="1">
      <w:lvlJc w:val="left"/>
      <w:lvlText w:val="•"/>
      <w:numFmt w:val="bullet"/>
      <w:start w:val="1"/>
    </w:lvl>
  </w:abstractNum>
  <w:abstractNum w:abstractNumId="59">
    <w:nsid w:val="94211F2"/>
    <w:multiLevelType w:val="hybridMultilevel"/>
    <w:lvl w:ilvl="0">
      <w:lvlJc w:val="left"/>
      <w:lvlText w:val="o"/>
      <w:numFmt w:val="bullet"/>
      <w:start w:val="1"/>
    </w:lvl>
  </w:abstractNum>
  <w:abstractNum w:abstractNumId="60">
    <w:nsid w:val="885E1B"/>
    <w:multiLevelType w:val="hybridMultilevel"/>
    <w:lvl w:ilvl="0">
      <w:lvlJc w:val="left"/>
      <w:lvlText w:val="o"/>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4">
    <w:nsid w:val="14E17E3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5">
    <w:nsid w:val="3222E7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74DE0EE3"/>
    <w:multiLevelType w:val="hybridMultilevel"/>
    <w:lvl w:ilvl="0">
      <w:lvlJc w:val="left"/>
      <w:lvlText w:val="%1."/>
      <w:numFmt w:val="decimal"/>
      <w:start w:val="7"/>
    </w:lvl>
    <w:lvl w:ilvl="1">
      <w:lvlJc w:val="left"/>
      <w:lvlText w:val="(%2)"/>
      <w:numFmt w:val="lowerLetter"/>
      <w:start w:val="5"/>
    </w:lvl>
  </w:abstractNum>
  <w:abstractNum w:abstractNumId="67">
    <w:nsid w:val="68EBC550"/>
    <w:multiLevelType w:val="hybridMultilevel"/>
    <w:lvl w:ilvl="0">
      <w:lvlJc w:val="left"/>
      <w:lvlText w:val="(%1)"/>
      <w:numFmt w:val="lowerLetter"/>
      <w:start w:val="6"/>
    </w:lvl>
  </w:abstractNum>
  <w:abstractNum w:abstractNumId="68">
    <w:nsid w:val="2DF6D648"/>
    <w:multiLevelType w:val="hybridMultilevel"/>
    <w:lvl w:ilvl="0">
      <w:lvlJc w:val="left"/>
      <w:lvlText w:val="%1."/>
      <w:numFmt w:val="decimal"/>
      <w:start w:val="11"/>
    </w:lvl>
  </w:abstractNum>
  <w:abstractNum w:abstractNumId="69">
    <w:nsid w:val="46B7D447"/>
    <w:multiLevelType w:val="hybridMultilevel"/>
    <w:lvl w:ilvl="0">
      <w:lvlJc w:val="left"/>
      <w:lvlText w:val="•"/>
      <w:numFmt w:val="bullet"/>
      <w:start w:val="1"/>
    </w:lvl>
    <w:lvl w:ilvl="1">
      <w:lvlJc w:val="left"/>
      <w:lvlText w:val="(%2)"/>
      <w:numFmt w:val="lowerLetter"/>
      <w:start w:val="4"/>
    </w:lvl>
  </w:abstractNum>
  <w:abstractNum w:abstractNumId="70">
    <w:nsid w:val="4A2AC315"/>
    <w:multiLevelType w:val="hybridMultilevel"/>
    <w:lvl w:ilvl="0">
      <w:lvlJc w:val="left"/>
      <w:lvlText w:val="%1."/>
      <w:numFmt w:val="decimal"/>
      <w:start w:val="12"/>
    </w:lvl>
    <w:lvl w:ilvl="1">
      <w:lvlJc w:val="left"/>
      <w:lvlText w:val="(%2)"/>
      <w:numFmt w:val="lowerLetter"/>
      <w:start w:val="1"/>
    </w:lvl>
  </w:abstractNum>
  <w:abstractNum w:abstractNumId="71">
    <w:nsid w:val="39EE015C"/>
    <w:multiLevelType w:val="hybridMultilevel"/>
    <w:lvl w:ilvl="0">
      <w:lvlJc w:val="left"/>
      <w:lvlText w:val="(%1)"/>
      <w:numFmt w:val="lowerLetter"/>
      <w:start w:val="5"/>
    </w:lvl>
    <w:lvl w:ilvl="1">
      <w:lvlJc w:val="left"/>
      <w:lvlText w:val="(%2)"/>
      <w:numFmt w:val="lowerRoman"/>
      <w:start w:val="1"/>
    </w:lvl>
  </w:abstractNum>
  <w:abstractNum w:abstractNumId="72">
    <w:nsid w:val="57FC4FBB"/>
    <w:multiLevelType w:val="hybridMultilevel"/>
    <w:lvl w:ilvl="0">
      <w:lvlJc w:val="left"/>
      <w:lvlText w:val="%1"/>
      <w:numFmt w:val="decimal"/>
      <w:start w:val="1"/>
    </w:lvl>
    <w:lvl w:ilvl="1">
      <w:lvlJc w:val="left"/>
      <w:lvlText w:val="(%2)"/>
      <w:numFmt w:val="lowerRoman"/>
      <w:start w:val="3"/>
    </w:lvl>
  </w:abstractNum>
  <w:abstractNum w:abstractNumId="73">
    <w:nsid w:val="CC1016F"/>
    <w:multiLevelType w:val="hybridMultilevel"/>
    <w:lvl w:ilvl="0">
      <w:lvlJc w:val="left"/>
      <w:lvlText w:val="%1."/>
      <w:numFmt w:val="decimal"/>
      <w:start w:val="16"/>
    </w:lvl>
    <w:lvl w:ilvl="1">
      <w:lvlJc w:val="left"/>
      <w:lvlText w:val="%2"/>
      <w:numFmt w:val="lowerRoman"/>
      <w:start w:val="1"/>
    </w:lvl>
  </w:abstractNum>
  <w:abstractNum w:abstractNumId="74">
    <w:nsid w:val="43F18422"/>
    <w:multiLevelType w:val="hybridMultilevel"/>
    <w:lvl w:ilvl="0">
      <w:lvlJc w:val="left"/>
      <w:lvlText w:val="%1."/>
      <w:numFmt w:val="decimal"/>
      <w:start w:val="18"/>
    </w:lvl>
  </w:abstractNum>
  <w:abstractNum w:abstractNumId="75">
    <w:nsid w:val="60EF0119"/>
    <w:multiLevelType w:val="hybridMultilevel"/>
    <w:lvl w:ilvl="0">
      <w:lvlJc w:val="left"/>
      <w:lvlText w:val="%1."/>
      <w:numFmt w:val="decimal"/>
      <w:start w:val="21"/>
    </w:lvl>
  </w:abstractNum>
  <w:abstractNum w:abstractNumId="76">
    <w:nsid w:val="26F324BA"/>
    <w:multiLevelType w:val="hybridMultilevel"/>
    <w:lvl w:ilvl="0">
      <w:lvlJc w:val="left"/>
      <w:lvlText w:val="%1."/>
      <w:numFmt w:val="decimal"/>
      <w:start w:val="27"/>
    </w:lvl>
  </w:abstractNum>
  <w:abstractNum w:abstractNumId="77">
    <w:nsid w:val="7F01579B"/>
    <w:multiLevelType w:val="hybridMultilevel"/>
    <w:lvl w:ilvl="0">
      <w:lvlJc w:val="left"/>
      <w:lvlText w:val="%1."/>
      <w:numFmt w:val="decimal"/>
      <w:start w:val="29"/>
    </w:lvl>
  </w:abstractNum>
  <w:abstractNum w:abstractNumId="78">
    <w:nsid w:val="49DA307D"/>
    <w:multiLevelType w:val="hybridMultilevel"/>
    <w:lvl w:ilvl="0">
      <w:lvlJc w:val="left"/>
      <w:lvlText w:val="%1."/>
      <w:numFmt w:val="decimal"/>
      <w:start w:val="30"/>
    </w:lvl>
    <w:lvl w:ilvl="1">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lvl w:ilvl="1">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lvl w:ilvl="1">
      <w:lvlJc w:val="left"/>
      <w:lvlText w:val="•"/>
      <w:numFmt w:val="bullet"/>
      <w:start w:val="1"/>
    </w:lvl>
  </w:abstractNum>
  <w:abstractNum w:abstractNumId="83">
    <w:nsid w:val="5FB8011C"/>
    <w:multiLevelType w:val="hybridMultilevel"/>
    <w:lvl w:ilvl="0">
      <w:lvlJc w:val="left"/>
      <w:lvlText w:val="o"/>
      <w:numFmt w:val="bullet"/>
      <w:start w:val="1"/>
    </w:lvl>
  </w:abstractNum>
  <w:abstractNum w:abstractNumId="84">
    <w:nsid w:val="6AA78F7F"/>
    <w:multiLevelType w:val="hybridMultilevel"/>
    <w:lvl w:ilvl="0">
      <w:lvlJc w:val="left"/>
      <w:lvlText w:val="o"/>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9">
    <w:nsid w:val="5F3534A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73A182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1">
    <w:nsid w:val="7DE67713"/>
    <w:multiLevelType w:val="hybridMultilevel"/>
    <w:lvl w:ilvl="0">
      <w:lvlJc w:val="left"/>
      <w:lvlText w:val="%1."/>
      <w:numFmt w:val="decimal"/>
      <w:start w:val="6"/>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decimal"/>
      <w:start w:val="7"/>
    </w:lvl>
    <w:lvl w:ilvl="1">
      <w:lvlJc w:val="left"/>
      <w:lvlText w:val="(%2)"/>
      <w:numFmt w:val="lowerRoman"/>
      <w:start w:val="1"/>
    </w:lvl>
  </w:abstractNum>
  <w:abstractNum w:abstractNumId="94">
    <w:nsid w:val="14FCE74E"/>
    <w:multiLevelType w:val="hybridMultilevel"/>
    <w:lvl w:ilvl="0">
      <w:lvlJc w:val="left"/>
      <w:lvlText w:val="%1"/>
      <w:numFmt w:val="decimal"/>
      <w:start w:val="1"/>
    </w:lvl>
    <w:lvl w:ilvl="1">
      <w:lvlJc w:val="left"/>
      <w:lvlText w:val="(%2)"/>
      <w:numFmt w:val="lowerLetter"/>
      <w:start w:val="10"/>
    </w:lvl>
  </w:abstractNum>
  <w:abstractNum w:abstractNumId="95">
    <w:nsid w:val="6A3DD3E8"/>
    <w:multiLevelType w:val="hybridMultilevel"/>
    <w:lvl w:ilvl="0">
      <w:lvlJc w:val="left"/>
      <w:lvlText w:val="%1."/>
      <w:numFmt w:val="decimal"/>
      <w:start w:val="8"/>
    </w:lvl>
    <w:lvl w:ilvl="1">
      <w:lvlJc w:val="left"/>
      <w:lvlText w:val="%2"/>
      <w:numFmt w:val="lowerLetter"/>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
      <w:numFmt w:val="bullet"/>
      <w:start w:val="1"/>
    </w:lvl>
    <w:lvl w:ilvl="1">
      <w:lvlJc w:val="left"/>
      <w:lvlText w:val="(%2)"/>
      <w:numFmt w:val="lowerLetter"/>
      <w:start w:val="7"/>
    </w:lvl>
  </w:abstractNum>
  <w:abstractNum w:abstractNumId="98">
    <w:nsid w:val="53299938"/>
    <w:multiLevelType w:val="hybridMultilevel"/>
    <w:lvl w:ilvl="0">
      <w:lvlJc w:val="left"/>
      <w:lvlText w:val="%1."/>
      <w:numFmt w:val="decimal"/>
      <w:start w:val="9"/>
    </w:lvl>
  </w:abstractNum>
  <w:abstractNum w:abstractNumId="99">
    <w:nsid w:val="1FBFE8E0"/>
    <w:multiLevelType w:val="hybridMultilevel"/>
    <w:lvl w:ilvl="0">
      <w:lvlJc w:val="left"/>
      <w:lvlText w:val="%1."/>
      <w:numFmt w:val="decimal"/>
      <w:start w:val="10"/>
    </w:lvl>
    <w:lvl w:ilvl="1">
      <w:lvlJc w:val="left"/>
      <w:lvlText w:val="(%2)"/>
      <w:numFmt w:val="lowerLetter"/>
      <w:start w:val="1"/>
    </w:lvl>
  </w:abstractNum>
  <w:abstractNum w:abstractNumId="100">
    <w:nsid w:val="5092CA79"/>
    <w:multiLevelType w:val="hybridMultilevel"/>
    <w:lvl w:ilvl="0">
      <w:lvlJc w:val="left"/>
      <w:lvlText w:val="(%1)"/>
      <w:numFmt w:val="lowerLetter"/>
      <w:start w:val="6"/>
    </w:lvl>
    <w:lvl w:ilvl="1">
      <w:lvlJc w:val="left"/>
      <w:lvlText w:val="(%2)"/>
      <w:numFmt w:val="lowerRoman"/>
      <w:start w:val="1"/>
    </w:lvl>
  </w:abstractNum>
  <w:abstractNum w:abstractNumId="101">
    <w:nsid w:val="1D545C4D"/>
    <w:multiLevelType w:val="hybridMultilevel"/>
    <w:lvl w:ilvl="0">
      <w:lvlJc w:val="left"/>
      <w:lvlText w:val="%1"/>
      <w:numFmt w:val="decimal"/>
      <w:start w:val="1"/>
    </w:lvl>
    <w:lvl w:ilvl="1">
      <w:lvlJc w:val="left"/>
      <w:lvlText w:val="(%2)"/>
      <w:numFmt w:val="lowerRoman"/>
      <w:start w:val="3"/>
    </w:lvl>
  </w:abstractNum>
  <w:abstractNum w:abstractNumId="102">
    <w:nsid w:val="59ADEA3D"/>
    <w:multiLevelType w:val="hybridMultilevel"/>
    <w:lvl w:ilvl="0">
      <w:lvlJc w:val="left"/>
      <w:lvlText w:val="%1."/>
      <w:numFmt w:val="decimal"/>
      <w:start w:val="13"/>
    </w:lvl>
    <w:lvl w:ilvl="1">
      <w:lvlJc w:val="left"/>
      <w:lvlText w:val="%2"/>
      <w:numFmt w:val="lowerRoman"/>
      <w:start w:val="1"/>
    </w:lvl>
  </w:abstractNum>
  <w:abstractNum w:abstractNumId="103">
    <w:nsid w:val="288F1A34"/>
    <w:multiLevelType w:val="hybridMultilevel"/>
    <w:lvl w:ilvl="0">
      <w:lvlJc w:val="left"/>
      <w:lvlText w:val="%1."/>
      <w:numFmt w:val="decimal"/>
      <w:start w:val="15"/>
    </w:lvl>
  </w:abstractNum>
  <w:abstractNum w:abstractNumId="104">
    <w:nsid w:val="2A155DBC"/>
    <w:multiLevelType w:val="hybridMultilevel"/>
    <w:lvl w:ilvl="0">
      <w:lvlJc w:val="left"/>
      <w:lvlText w:val="%1."/>
      <w:numFmt w:val="decimal"/>
      <w:start w:val="19"/>
    </w:lvl>
  </w:abstractNum>
  <w:abstractNum w:abstractNumId="105">
    <w:nsid w:val="1D9F6E5F"/>
    <w:multiLevelType w:val="hybridMultilevel"/>
    <w:lvl w:ilvl="0">
      <w:lvlJc w:val="left"/>
      <w:lvlText w:val="%1."/>
      <w:numFmt w:val="decimal"/>
      <w:start w:val="24"/>
    </w:lvl>
  </w:abstractNum>
  <w:abstractNum w:abstractNumId="106">
    <w:nsid w:val="97E1B4E"/>
    <w:multiLevelType w:val="hybridMultilevel"/>
    <w:lvl w:ilvl="0">
      <w:lvlJc w:val="left"/>
      <w:lvlText w:val="%1."/>
      <w:numFmt w:val="decimal"/>
      <w:start w:val="26"/>
    </w:lvl>
  </w:abstractNum>
  <w:abstractNum w:abstractNumId="107">
    <w:nsid w:val="51088277"/>
    <w:multiLevelType w:val="hybridMultilevel"/>
    <w:lvl w:ilvl="0">
      <w:lvlJc w:val="left"/>
      <w:lvlText w:val="%1."/>
      <w:numFmt w:val="decimal"/>
      <w:start w:val="27"/>
    </w:lvl>
    <w:lvl w:ilvl="1">
      <w:lvlJc w:val="left"/>
      <w:lvlText w:val="*"/>
      <w:numFmt w:val="bullet"/>
      <w:start w:val="1"/>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
      <w:numFmt w:val="bullet"/>
      <w:start w:val="1"/>
    </w:lvl>
    <w:lvl w:ilvl="1">
      <w:lvlJc w:val="left"/>
      <w:lvlText w:val="•"/>
      <w:numFmt w:val="bullet"/>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03" Type="http://schemas.openxmlformats.org/officeDocument/2006/relationships/hyperlink" Target="https://www.sec.gov/Archives/edgar/data/723125/000110465925069019/tm2521153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2026-03-19T05:10:45Z</dcterms:created>
  <dcterms:modified xsi:type="dcterms:W3CDTF">2026-03-19T05:10:45Z</dcterms:modified>
</cp:coreProperties>
</file>