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October 3, 2014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1"/>
              </w:rPr>
              <w:t>Delaware</w:t>
            </w:r>
          </w:p>
        </w:tc>
        <w:tc>
          <w:tcPr>
            <w:tcW w:w="410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2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90"/>
              <w:spacing w:after="0"/>
              <w:rPr>
                <w:sz w:val="20"/>
                <w:szCs w:val="20"/>
                <w:color w:val="auto"/>
              </w:rPr>
            </w:pPr>
            <w:r>
              <w:rPr>
                <w:rFonts w:ascii="Arial" w:cs="Arial" w:eastAsia="Arial" w:hAnsi="Arial"/>
                <w:sz w:val="18"/>
                <w:szCs w:val="18"/>
                <w:color w:val="auto"/>
                <w:w w:val="92"/>
              </w:rPr>
              <w:t>(State or other jurisdiction of incorporation)</w:t>
            </w:r>
          </w:p>
        </w:tc>
        <w:tc>
          <w:tcPr>
            <w:tcW w:w="4100" w:type="dxa"/>
            <w:vAlign w:val="bottom"/>
          </w:tcPr>
          <w:p>
            <w:pPr>
              <w:jc w:val="center"/>
              <w:ind w:left="210"/>
              <w:spacing w:after="0"/>
              <w:rPr>
                <w:sz w:val="20"/>
                <w:szCs w:val="20"/>
                <w:color w:val="auto"/>
              </w:rPr>
            </w:pPr>
            <w:r>
              <w:rPr>
                <w:rFonts w:ascii="Arial" w:cs="Arial" w:eastAsia="Arial" w:hAnsi="Arial"/>
                <w:sz w:val="18"/>
                <w:szCs w:val="18"/>
                <w:color w:val="auto"/>
                <w:w w:val="93"/>
              </w:rPr>
              <w:t>(Commission File Number)</w:t>
            </w:r>
          </w:p>
        </w:tc>
        <w:tc>
          <w:tcPr>
            <w:tcW w:w="3520" w:type="dxa"/>
            <w:vAlign w:val="bottom"/>
          </w:tcPr>
          <w:p>
            <w:pPr>
              <w:jc w:val="right"/>
              <w:ind w:right="37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b w:val="1"/>
                <w:bCs w:val="1"/>
                <w:color w:val="auto"/>
                <w:w w:val="91"/>
              </w:rPr>
              <w:t>8000 South Federal Way</w:t>
            </w:r>
          </w:p>
        </w:tc>
        <w:tc>
          <w:tcPr>
            <w:tcW w:w="352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Boise, Idaho 83716-9632</w:t>
            </w:r>
          </w:p>
        </w:tc>
        <w:tc>
          <w:tcPr>
            <w:tcW w:w="352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20" w:type="dxa"/>
            <w:vAlign w:val="bottom"/>
          </w:tcPr>
          <w:p>
            <w:pPr>
              <w:spacing w:after="0"/>
              <w:rPr>
                <w:sz w:val="20"/>
                <w:szCs w:val="20"/>
                <w:color w:val="auto"/>
              </w:rPr>
            </w:pPr>
          </w:p>
        </w:tc>
      </w:tr>
    </w:tbl>
    <w:p>
      <w:pPr>
        <w:spacing w:after="0" w:line="210" w:lineRule="exact"/>
        <w:rPr>
          <w:sz w:val="24"/>
          <w:szCs w:val="24"/>
          <w:color w:val="auto"/>
        </w:rPr>
      </w:pPr>
    </w:p>
    <w:p>
      <w:pPr>
        <w:jc w:val="center"/>
        <w:ind w:left="58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2140585</wp:posOffset>
            </wp:positionH>
            <wp:positionV relativeFrom="paragraph">
              <wp:posOffset>17145</wp:posOffset>
            </wp:positionV>
            <wp:extent cx="33445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44545" cy="17145"/>
                    </a:xfrm>
                    <a:prstGeom prst="rect">
                      <a:avLst/>
                    </a:prstGeom>
                    <a:noFill/>
                  </pic:spPr>
                </pic:pic>
              </a:graphicData>
            </a:graphic>
          </wp:anchor>
        </w:drawing>
      </w:r>
    </w:p>
    <w:p>
      <w:pPr>
        <w:spacing w:after="0" w:line="20" w:lineRule="exact"/>
        <w:rPr>
          <w:sz w:val="24"/>
          <w:szCs w:val="24"/>
          <w:color w:val="auto"/>
        </w:rPr>
      </w:pPr>
    </w:p>
    <w:p>
      <w:pPr>
        <w:jc w:val="center"/>
        <w:ind w:left="58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On October 3, 2014, Robert L. Bailey, a member of the Company’s Board of Directors, adopted a prearranged trading plan under Rule 10b5-1 of the Securities and Exchange Act of 1934 (the “Exchange Act”). Rule 10b5-1 permits officers and directors of public companies to adopt predetermined plans for selling specified amounts of stock. Mr. Bailey’s trading plan provides for the sale of up to 48,000 shares of the Company’s stock over a 12-month period.</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56"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660" w:type="dxa"/>
            <w:vAlign w:val="bottom"/>
            <w:gridSpan w:val="2"/>
          </w:tcPr>
          <w:p>
            <w:pPr>
              <w:ind w:left="318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3760" w:type="dxa"/>
            <w:vAlign w:val="bottom"/>
          </w:tcPr>
          <w:p>
            <w:pPr>
              <w:spacing w:after="0"/>
              <w:rPr>
                <w:sz w:val="20"/>
                <w:szCs w:val="20"/>
                <w:color w:val="auto"/>
              </w:rPr>
            </w:pPr>
            <w:r>
              <w:rPr>
                <w:rFonts w:ascii="Arial" w:cs="Arial" w:eastAsia="Arial" w:hAnsi="Arial"/>
                <w:sz w:val="18"/>
                <w:szCs w:val="18"/>
                <w:color w:val="auto"/>
              </w:rPr>
              <w:t>Date:   October 17, 2013</w:t>
            </w:r>
          </w:p>
        </w:tc>
        <w:tc>
          <w:tcPr>
            <w:tcW w:w="3960" w:type="dxa"/>
            <w:vAlign w:val="bottom"/>
          </w:tcPr>
          <w:p>
            <w:pPr>
              <w:ind w:left="3180"/>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r>
      <w:tr>
        <w:trPr>
          <w:trHeight w:val="202"/>
        </w:trPr>
        <w:tc>
          <w:tcPr>
            <w:tcW w:w="3760" w:type="dxa"/>
            <w:vAlign w:val="bottom"/>
          </w:tcPr>
          <w:p>
            <w:pPr>
              <w:spacing w:after="0"/>
              <w:rPr>
                <w:sz w:val="17"/>
                <w:szCs w:val="17"/>
                <w:color w:val="auto"/>
              </w:rPr>
            </w:pPr>
          </w:p>
        </w:tc>
        <w:tc>
          <w:tcPr>
            <w:tcW w:w="3960" w:type="dxa"/>
            <w:vAlign w:val="bottom"/>
          </w:tcPr>
          <w:p>
            <w:pPr>
              <w:ind w:left="3180"/>
              <w:spacing w:after="0" w:line="201" w:lineRule="exact"/>
              <w:rPr>
                <w:sz w:val="20"/>
                <w:szCs w:val="20"/>
                <w:color w:val="auto"/>
              </w:rPr>
            </w:pPr>
            <w:r>
              <w:rPr>
                <w:rFonts w:ascii="Arial" w:cs="Arial" w:eastAsia="Arial" w:hAnsi="Arial"/>
                <w:sz w:val="18"/>
                <w:szCs w:val="18"/>
                <w:color w:val="auto"/>
              </w:rPr>
              <w:t>Name:</w:t>
            </w:r>
          </w:p>
        </w:tc>
        <w:tc>
          <w:tcPr>
            <w:tcW w:w="3700" w:type="dxa"/>
            <w:vAlign w:val="bottom"/>
          </w:tcPr>
          <w:p>
            <w:pPr>
              <w:spacing w:after="0" w:line="201" w:lineRule="exact"/>
              <w:rPr>
                <w:sz w:val="20"/>
                <w:szCs w:val="20"/>
                <w:color w:val="auto"/>
              </w:rPr>
            </w:pPr>
            <w:r>
              <w:rPr>
                <w:rFonts w:ascii="Arial" w:cs="Arial" w:eastAsia="Arial" w:hAnsi="Arial"/>
                <w:sz w:val="18"/>
                <w:szCs w:val="18"/>
                <w:color w:val="auto"/>
              </w:rPr>
              <w:t>Ronald C. Foster</w:t>
            </w:r>
          </w:p>
        </w:tc>
      </w:tr>
      <w:tr>
        <w:trPr>
          <w:trHeight w:val="216"/>
        </w:trPr>
        <w:tc>
          <w:tcPr>
            <w:tcW w:w="3760" w:type="dxa"/>
            <w:vAlign w:val="bottom"/>
          </w:tcPr>
          <w:p>
            <w:pPr>
              <w:spacing w:after="0"/>
              <w:rPr>
                <w:sz w:val="18"/>
                <w:szCs w:val="18"/>
                <w:color w:val="auto"/>
              </w:rPr>
            </w:pPr>
          </w:p>
        </w:tc>
        <w:tc>
          <w:tcPr>
            <w:tcW w:w="3960" w:type="dxa"/>
            <w:vAlign w:val="bottom"/>
          </w:tcPr>
          <w:p>
            <w:pPr>
              <w:ind w:left="3180"/>
              <w:spacing w:after="0"/>
              <w:rPr>
                <w:sz w:val="20"/>
                <w:szCs w:val="20"/>
                <w:color w:val="auto"/>
              </w:rPr>
            </w:pPr>
            <w:r>
              <w:rPr>
                <w:rFonts w:ascii="Arial" w:cs="Arial" w:eastAsia="Arial" w:hAnsi="Arial"/>
                <w:sz w:val="18"/>
                <w:szCs w:val="18"/>
                <w:color w:val="auto"/>
              </w:rPr>
              <w:t>Title:</w:t>
            </w:r>
          </w:p>
        </w:tc>
        <w:tc>
          <w:tcPr>
            <w:tcW w:w="3700" w:type="dxa"/>
            <w:vAlign w:val="bottom"/>
          </w:tcPr>
          <w:p>
            <w:pPr>
              <w:spacing w:after="0"/>
              <w:rPr>
                <w:sz w:val="20"/>
                <w:szCs w:val="20"/>
                <w:color w:val="auto"/>
              </w:rPr>
            </w:pPr>
            <w:r>
              <w:rPr>
                <w:rFonts w:ascii="Arial" w:cs="Arial" w:eastAsia="Arial" w:hAnsi="Arial"/>
                <w:sz w:val="18"/>
                <w:szCs w:val="18"/>
                <w:color w:val="auto"/>
              </w:rPr>
              <w:t>Chief Financial Officer and</w:t>
            </w:r>
          </w:p>
        </w:tc>
      </w:tr>
      <w:tr>
        <w:trPr>
          <w:trHeight w:val="230"/>
        </w:trPr>
        <w:tc>
          <w:tcPr>
            <w:tcW w:w="37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Vice President of Finance</w:t>
            </w:r>
          </w:p>
        </w:tc>
      </w:tr>
      <w:tr>
        <w:trPr>
          <w:trHeight w:val="459"/>
        </w:trPr>
        <w:tc>
          <w:tcPr>
            <w:tcW w:w="3760" w:type="dxa"/>
            <w:vAlign w:val="bottom"/>
          </w:tcPr>
          <w:p>
            <w:pPr>
              <w:spacing w:after="0"/>
              <w:rPr>
                <w:sz w:val="24"/>
                <w:szCs w:val="24"/>
                <w:color w:val="auto"/>
              </w:rPr>
            </w:pPr>
          </w:p>
        </w:tc>
        <w:tc>
          <w:tcPr>
            <w:tcW w:w="3960" w:type="dxa"/>
            <w:vAlign w:val="bottom"/>
          </w:tcPr>
          <w:p>
            <w:pPr>
              <w:ind w:left="1900"/>
              <w:spacing w:after="0"/>
              <w:rPr>
                <w:sz w:val="20"/>
                <w:szCs w:val="20"/>
                <w:color w:val="auto"/>
              </w:rPr>
            </w:pPr>
            <w:r>
              <w:rPr>
                <w:rFonts w:ascii="Arial" w:cs="Arial" w:eastAsia="Arial" w:hAnsi="Arial"/>
                <w:sz w:val="18"/>
                <w:szCs w:val="18"/>
                <w:color w:val="auto"/>
              </w:rPr>
              <w:t>2</w:t>
            </w:r>
          </w:p>
        </w:tc>
        <w:tc>
          <w:tcPr>
            <w:tcW w:w="3700" w:type="dxa"/>
            <w:vAlign w:val="bottom"/>
          </w:tcPr>
          <w:p>
            <w:pPr>
              <w:spacing w:after="0"/>
              <w:rPr>
                <w:sz w:val="24"/>
                <w:szCs w:val="24"/>
                <w:color w:val="auto"/>
              </w:rPr>
            </w:pPr>
          </w:p>
        </w:tc>
      </w:tr>
      <w:tr>
        <w:trPr>
          <w:trHeight w:val="361"/>
        </w:trPr>
        <w:tc>
          <w:tcPr>
            <w:tcW w:w="37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71"/>
        </w:trPr>
        <w:tc>
          <w:tcPr>
            <w:tcW w:w="3760" w:type="dxa"/>
            <w:vAlign w:val="bottom"/>
            <w:shd w:val="clear" w:color="auto" w:fill="808080"/>
          </w:tcPr>
          <w:p>
            <w:pPr>
              <w:spacing w:after="0"/>
              <w:rPr>
                <w:sz w:val="6"/>
                <w:szCs w:val="6"/>
                <w:color w:val="auto"/>
              </w:rPr>
            </w:pPr>
          </w:p>
        </w:tc>
        <w:tc>
          <w:tcPr>
            <w:tcW w:w="3960" w:type="dxa"/>
            <w:vAlign w:val="bottom"/>
            <w:shd w:val="clear" w:color="auto" w:fill="808080"/>
          </w:tcPr>
          <w:p>
            <w:pPr>
              <w:spacing w:after="0"/>
              <w:rPr>
                <w:sz w:val="6"/>
                <w:szCs w:val="6"/>
                <w:color w:val="auto"/>
              </w:rPr>
            </w:pPr>
          </w:p>
        </w:tc>
        <w:tc>
          <w:tcPr>
            <w:tcW w:w="370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7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2019-12-05T19:38:56Z</dcterms:created>
  <dcterms:modified xsi:type="dcterms:W3CDTF">2019-12-05T19:38:56Z</dcterms:modified>
</cp:coreProperties>
</file>