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ARNZEN APRIL S</w:t>
              </w:r>
            </w:hyperlink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03/24/2022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Chief People Officer</w:t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03/24/2022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5,600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89,172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 reported on this Form 4 was effected pursuant to a Rule 10b5-1 trading plan adopted by the reporting person on November 16, 2021.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322 shares acquired on January 31, 2022 under the Micron Technology, Inc. Employee Stock Purchase Plan, which acquisition is exempt from reporting under Rules 16a-3(g)(1) and 16b-3(c).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 Beard, Attorney-in-fact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03/28/2022</w:t>
            </w:r>
          </w:p>
        </w:tc>
      </w:tr>
      <w:tr>
        <w:trPr>
          <w:trHeight w:val="235"/>
        </w:trPr>
        <w:tc>
          <w:tcPr>
            <w:tcW w:w="1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3206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2022-03-28T16:11:23Z</dcterms:created>
  <dcterms:modified xsi:type="dcterms:W3CDTF">2022-03-28T16:11:23Z</dcterms:modified>
</cp:coreProperties>
</file>