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107950</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December 18, 2009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Date of Report (date of earliest event reported)</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26884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800" w:type="dxa"/>
            <w:vAlign w:val="bottom"/>
            <w:tcBorders>
              <w:bottom w:val="single" w:sz="8" w:color="auto"/>
            </w:tcBorders>
          </w:tcPr>
          <w:p>
            <w:pPr>
              <w:jc w:val="center"/>
              <w:ind w:left="325"/>
              <w:spacing w:after="0"/>
              <w:rPr>
                <w:sz w:val="20"/>
                <w:szCs w:val="20"/>
                <w:color w:val="auto"/>
              </w:rPr>
            </w:pPr>
            <w:r>
              <w:rPr>
                <w:rFonts w:ascii="Arial" w:cs="Arial" w:eastAsia="Arial" w:hAnsi="Arial"/>
                <w:sz w:val="15"/>
                <w:szCs w:val="15"/>
                <w:b w:val="1"/>
                <w:bCs w:val="1"/>
                <w:color w:val="auto"/>
                <w:w w:val="91"/>
              </w:rPr>
              <w:t>Delaware</w:t>
            </w:r>
          </w:p>
        </w:tc>
        <w:tc>
          <w:tcPr>
            <w:tcW w:w="4080" w:type="dxa"/>
            <w:vAlign w:val="bottom"/>
            <w:tcBorders>
              <w:bottom w:val="single" w:sz="8" w:color="auto"/>
            </w:tcBorders>
          </w:tcPr>
          <w:p>
            <w:pPr>
              <w:jc w:val="right"/>
              <w:ind w:right="1585"/>
              <w:spacing w:after="0"/>
              <w:rPr>
                <w:sz w:val="20"/>
                <w:szCs w:val="20"/>
                <w:color w:val="auto"/>
              </w:rPr>
            </w:pPr>
            <w:r>
              <w:rPr>
                <w:rFonts w:ascii="Arial" w:cs="Arial" w:eastAsia="Arial" w:hAnsi="Arial"/>
                <w:sz w:val="15"/>
                <w:szCs w:val="15"/>
                <w:b w:val="1"/>
                <w:bCs w:val="1"/>
                <w:color w:val="auto"/>
              </w:rPr>
              <w:t>1-10658</w:t>
            </w:r>
          </w:p>
        </w:tc>
        <w:tc>
          <w:tcPr>
            <w:tcW w:w="3560" w:type="dxa"/>
            <w:vAlign w:val="bottom"/>
            <w:tcBorders>
              <w:bottom w:val="single" w:sz="8" w:color="auto"/>
            </w:tcBorders>
          </w:tcPr>
          <w:p>
            <w:pPr>
              <w:jc w:val="right"/>
              <w:ind w:right="1405"/>
              <w:spacing w:after="0"/>
              <w:rPr>
                <w:sz w:val="20"/>
                <w:szCs w:val="20"/>
                <w:color w:val="auto"/>
              </w:rPr>
            </w:pPr>
            <w:r>
              <w:rPr>
                <w:rFonts w:ascii="Arial" w:cs="Arial" w:eastAsia="Arial" w:hAnsi="Arial"/>
                <w:sz w:val="15"/>
                <w:szCs w:val="15"/>
                <w:b w:val="1"/>
                <w:bCs w:val="1"/>
                <w:color w:val="auto"/>
              </w:rPr>
              <w:t>75-1618004</w:t>
            </w:r>
          </w:p>
        </w:tc>
      </w:tr>
      <w:tr>
        <w:trPr>
          <w:trHeight w:val="190"/>
        </w:trPr>
        <w:tc>
          <w:tcPr>
            <w:tcW w:w="3800" w:type="dxa"/>
            <w:vAlign w:val="bottom"/>
          </w:tcPr>
          <w:p>
            <w:pPr>
              <w:jc w:val="center"/>
              <w:ind w:left="325"/>
              <w:spacing w:after="0"/>
              <w:rPr>
                <w:sz w:val="20"/>
                <w:szCs w:val="20"/>
                <w:color w:val="auto"/>
              </w:rPr>
            </w:pPr>
            <w:r>
              <w:rPr>
                <w:rFonts w:ascii="Arial" w:cs="Arial" w:eastAsia="Arial" w:hAnsi="Arial"/>
                <w:sz w:val="15"/>
                <w:szCs w:val="15"/>
                <w:color w:val="auto"/>
                <w:w w:val="93"/>
              </w:rPr>
              <w:t>(State or other jurisdiction of incorporation)</w:t>
            </w:r>
          </w:p>
        </w:tc>
        <w:tc>
          <w:tcPr>
            <w:tcW w:w="4080" w:type="dxa"/>
            <w:vAlign w:val="bottom"/>
          </w:tcPr>
          <w:p>
            <w:pPr>
              <w:jc w:val="center"/>
              <w:ind w:left="185"/>
              <w:spacing w:after="0"/>
              <w:rPr>
                <w:sz w:val="20"/>
                <w:szCs w:val="20"/>
                <w:color w:val="auto"/>
              </w:rPr>
            </w:pPr>
            <w:r>
              <w:rPr>
                <w:rFonts w:ascii="Arial" w:cs="Arial" w:eastAsia="Arial" w:hAnsi="Arial"/>
                <w:sz w:val="15"/>
                <w:szCs w:val="15"/>
                <w:color w:val="auto"/>
                <w:w w:val="93"/>
              </w:rPr>
              <w:t>(Commission File Number)</w:t>
            </w:r>
          </w:p>
        </w:tc>
        <w:tc>
          <w:tcPr>
            <w:tcW w:w="3560" w:type="dxa"/>
            <w:vAlign w:val="bottom"/>
          </w:tcPr>
          <w:p>
            <w:pPr>
              <w:jc w:val="right"/>
              <w:ind w:right="605"/>
              <w:spacing w:after="0"/>
              <w:rPr>
                <w:sz w:val="20"/>
                <w:szCs w:val="20"/>
                <w:color w:val="auto"/>
              </w:rPr>
            </w:pPr>
            <w:r>
              <w:rPr>
                <w:rFonts w:ascii="Arial" w:cs="Arial" w:eastAsia="Arial" w:hAnsi="Arial"/>
                <w:sz w:val="15"/>
                <w:szCs w:val="15"/>
                <w:color w:val="auto"/>
              </w:rPr>
              <w:t>(I.R.S. Employer Identification No.)</w:t>
            </w:r>
          </w:p>
        </w:tc>
      </w:tr>
      <w:tr>
        <w:trPr>
          <w:trHeight w:val="361"/>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5"/>
                <w:szCs w:val="15"/>
                <w:b w:val="1"/>
                <w:bCs w:val="1"/>
                <w:color w:val="auto"/>
                <w:w w:val="91"/>
              </w:rPr>
              <w:t>8000 South Federal Way</w:t>
            </w:r>
          </w:p>
        </w:tc>
        <w:tc>
          <w:tcPr>
            <w:tcW w:w="3560" w:type="dxa"/>
            <w:vAlign w:val="bottom"/>
          </w:tcPr>
          <w:p>
            <w:pPr>
              <w:spacing w:after="0"/>
              <w:rPr>
                <w:sz w:val="24"/>
                <w:szCs w:val="24"/>
                <w:color w:val="auto"/>
              </w:rPr>
            </w:pPr>
          </w:p>
        </w:tc>
      </w:tr>
      <w:tr>
        <w:trPr>
          <w:trHeight w:val="198"/>
        </w:trPr>
        <w:tc>
          <w:tcPr>
            <w:tcW w:w="3800" w:type="dxa"/>
            <w:vAlign w:val="bottom"/>
          </w:tcPr>
          <w:p>
            <w:pPr>
              <w:spacing w:after="0"/>
              <w:rPr>
                <w:sz w:val="17"/>
                <w:szCs w:val="17"/>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Boise, Idaho 83716-9632</w:t>
            </w:r>
          </w:p>
        </w:tc>
        <w:tc>
          <w:tcPr>
            <w:tcW w:w="3560" w:type="dxa"/>
            <w:vAlign w:val="bottom"/>
          </w:tcPr>
          <w:p>
            <w:pPr>
              <w:spacing w:after="0"/>
              <w:rPr>
                <w:sz w:val="17"/>
                <w:szCs w:val="17"/>
                <w:color w:val="auto"/>
              </w:rPr>
            </w:pPr>
          </w:p>
        </w:tc>
      </w:tr>
      <w:tr>
        <w:trPr>
          <w:trHeight w:val="190"/>
        </w:trPr>
        <w:tc>
          <w:tcPr>
            <w:tcW w:w="380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5"/>
                <w:szCs w:val="15"/>
                <w:color w:val="auto"/>
                <w:w w:val="93"/>
              </w:rPr>
              <w:t>(Address of principal executive offices)</w:t>
            </w:r>
          </w:p>
        </w:tc>
        <w:tc>
          <w:tcPr>
            <w:tcW w:w="3560" w:type="dxa"/>
            <w:vAlign w:val="bottom"/>
          </w:tcPr>
          <w:p>
            <w:pPr>
              <w:spacing w:after="0"/>
              <w:rPr>
                <w:sz w:val="16"/>
                <w:szCs w:val="16"/>
                <w:color w:val="auto"/>
              </w:rPr>
            </w:pPr>
          </w:p>
        </w:tc>
      </w:tr>
    </w:tbl>
    <w:p>
      <w:pPr>
        <w:spacing w:after="0" w:line="180" w:lineRule="exact"/>
        <w:rPr>
          <w:sz w:val="24"/>
          <w:szCs w:val="24"/>
          <w:color w:val="auto"/>
        </w:rPr>
      </w:pPr>
    </w:p>
    <w:p>
      <w:pPr>
        <w:jc w:val="center"/>
        <w:ind w:left="560"/>
        <w:spacing w:after="0"/>
        <w:rPr>
          <w:sz w:val="20"/>
          <w:szCs w:val="20"/>
          <w:color w:val="auto"/>
        </w:rPr>
      </w:pPr>
      <w:r>
        <w:rPr>
          <w:rFonts w:ascii="Arial" w:cs="Arial" w:eastAsia="Arial" w:hAnsi="Arial"/>
          <w:sz w:val="15"/>
          <w:szCs w:val="15"/>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2155825</wp:posOffset>
            </wp:positionH>
            <wp:positionV relativeFrom="paragraph">
              <wp:posOffset>14605</wp:posOffset>
            </wp:positionV>
            <wp:extent cx="328993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9935" cy="14605"/>
                    </a:xfrm>
                    <a:prstGeom prst="rect">
                      <a:avLst/>
                    </a:prstGeom>
                    <a:noFill/>
                  </pic:spPr>
                </pic:pic>
              </a:graphicData>
            </a:graphic>
          </wp:anchor>
        </w:drawing>
      </w:r>
    </w:p>
    <w:p>
      <w:pPr>
        <w:spacing w:after="0" w:line="15" w:lineRule="exact"/>
        <w:rPr>
          <w:sz w:val="24"/>
          <w:szCs w:val="24"/>
          <w:color w:val="auto"/>
        </w:rPr>
      </w:pPr>
    </w:p>
    <w:p>
      <w:pPr>
        <w:jc w:val="center"/>
        <w:ind w:left="560"/>
        <w:spacing w:after="0"/>
        <w:rPr>
          <w:sz w:val="20"/>
          <w:szCs w:val="20"/>
          <w:color w:val="auto"/>
        </w:rPr>
      </w:pPr>
      <w:r>
        <w:rPr>
          <w:rFonts w:ascii="Arial" w:cs="Arial" w:eastAsia="Arial" w:hAnsi="Arial"/>
          <w:sz w:val="15"/>
          <w:szCs w:val="15"/>
          <w:color w:val="auto"/>
        </w:rPr>
        <w:t>(Registrant’s telephone number, including area code)</w:t>
      </w:r>
    </w:p>
    <w:p>
      <w:pPr>
        <w:spacing w:after="0" w:line="212" w:lineRule="exact"/>
        <w:rPr>
          <w:sz w:val="24"/>
          <w:szCs w:val="24"/>
          <w:color w:val="auto"/>
        </w:rPr>
      </w:pPr>
    </w:p>
    <w:p>
      <w:pPr>
        <w:ind w:right="540"/>
        <w:spacing w:after="0" w:line="276"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auto"/>
        </w:rPr>
        <w:t>o Written communications pursuant to Rule 425 under the Securities Act (17 CFR 230.425)</w:t>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o Soliciting material pursuant to Rule 14a-12 under the Exchange Act (17 CFR 240.14a-12)</w:t>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14d-2(b) under the Exchange Act (17 CFR 240.14d-2(b))</w:t>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13e-4(c) under the Exchange Act (17 CFR 240.13e-4c))</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82" w:right="21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5"/>
          <w:szCs w:val="15"/>
          <w:b w:val="1"/>
          <w:bCs w:val="1"/>
          <w:color w:val="auto"/>
        </w:rPr>
        <w:t>ITEM 3.01.</w:t>
      </w:r>
      <w:r>
        <w:rPr>
          <w:sz w:val="20"/>
          <w:szCs w:val="20"/>
          <w:color w:val="auto"/>
        </w:rPr>
        <w:tab/>
      </w:r>
      <w:r>
        <w:rPr>
          <w:rFonts w:ascii="Arial" w:cs="Arial" w:eastAsia="Arial" w:hAnsi="Arial"/>
          <w:sz w:val="15"/>
          <w:szCs w:val="15"/>
          <w:b w:val="1"/>
          <w:bCs w:val="1"/>
          <w:color w:val="auto"/>
        </w:rPr>
        <w:t>NOTICE OF DELISTING OR FAILURE TO SATISFY A CONTINUED LISTING RULE OR STANDARD; TRANSFER OF LISTING.</w:t>
      </w:r>
    </w:p>
    <w:p>
      <w:pPr>
        <w:spacing w:after="0" w:line="216" w:lineRule="exact"/>
        <w:rPr>
          <w:sz w:val="20"/>
          <w:szCs w:val="20"/>
          <w:color w:val="auto"/>
        </w:rPr>
      </w:pPr>
    </w:p>
    <w:p>
      <w:pPr>
        <w:jc w:val="both"/>
        <w:ind w:firstLine="543"/>
        <w:spacing w:after="0" w:line="291" w:lineRule="auto"/>
        <w:rPr>
          <w:sz w:val="20"/>
          <w:szCs w:val="20"/>
          <w:color w:val="auto"/>
        </w:rPr>
      </w:pPr>
      <w:r>
        <w:rPr>
          <w:rFonts w:ascii="Arial" w:cs="Arial" w:eastAsia="Arial" w:hAnsi="Arial"/>
          <w:sz w:val="14"/>
          <w:szCs w:val="14"/>
          <w:color w:val="auto"/>
        </w:rPr>
        <w:t>On December 18, 2009, Micron Technology, Inc., (“Company”), provided written notice to the New York Stock Exchange (“NYSE”) that the Company expects to voluntarily cease trading on the NYSE, prior to the opening of trading on December 30, 2009, and intends to transfer its listing to the NASDAQ Global Select Market (“NASDAQ”) to commence trading on December 30, 2009. The Company’s common stock has been approved for listing on NASDAQ, and will continue to trade under the stock symbol “MU.”</w:t>
      </w:r>
    </w:p>
    <w:p>
      <w:pPr>
        <w:spacing w:after="0" w:line="161" w:lineRule="exact"/>
        <w:rPr>
          <w:sz w:val="20"/>
          <w:szCs w:val="20"/>
          <w:color w:val="auto"/>
        </w:rPr>
      </w:pPr>
    </w:p>
    <w:p>
      <w:pPr>
        <w:ind w:right="440" w:firstLine="543"/>
        <w:spacing w:after="0" w:line="276" w:lineRule="auto"/>
        <w:rPr>
          <w:sz w:val="20"/>
          <w:szCs w:val="20"/>
          <w:color w:val="auto"/>
        </w:rPr>
      </w:pPr>
      <w:r>
        <w:rPr>
          <w:rFonts w:ascii="Arial" w:cs="Arial" w:eastAsia="Arial" w:hAnsi="Arial"/>
          <w:sz w:val="15"/>
          <w:szCs w:val="15"/>
          <w:color w:val="auto"/>
        </w:rPr>
        <w:t>A copy of the press release issued by the Company in connection with its move from the NYSE to NASDAQ is attached hereto as Exhibit 99.1 and is incorporated herein by reference.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100" w:type="dxa"/>
            <w:vAlign w:val="bottom"/>
          </w:tcPr>
          <w:p>
            <w:pPr>
              <w:jc w:val="right"/>
              <w:ind w:right="185"/>
              <w:spacing w:after="0"/>
              <w:rPr>
                <w:sz w:val="20"/>
                <w:szCs w:val="20"/>
                <w:color w:val="auto"/>
              </w:rPr>
            </w:pPr>
            <w:r>
              <w:rPr>
                <w:rFonts w:ascii="Arial" w:cs="Arial" w:eastAsia="Arial" w:hAnsi="Arial"/>
                <w:sz w:val="15"/>
                <w:szCs w:val="15"/>
                <w:b w:val="1"/>
                <w:bCs w:val="1"/>
                <w:color w:val="auto"/>
              </w:rPr>
              <w:t>ITEM 9.01.</w:t>
            </w:r>
          </w:p>
        </w:tc>
        <w:tc>
          <w:tcPr>
            <w:tcW w:w="9860" w:type="dxa"/>
            <w:vAlign w:val="bottom"/>
          </w:tcPr>
          <w:p>
            <w:pPr>
              <w:ind w:left="260"/>
              <w:spacing w:after="0"/>
              <w:rPr>
                <w:sz w:val="20"/>
                <w:szCs w:val="20"/>
                <w:color w:val="auto"/>
              </w:rPr>
            </w:pPr>
            <w:r>
              <w:rPr>
                <w:rFonts w:ascii="Arial" w:cs="Arial" w:eastAsia="Arial" w:hAnsi="Arial"/>
                <w:sz w:val="15"/>
                <w:szCs w:val="15"/>
                <w:b w:val="1"/>
                <w:bCs w:val="1"/>
                <w:color w:val="auto"/>
              </w:rPr>
              <w:t>FINANCIAL STATEMENTS AND EXHIBITS.</w:t>
            </w:r>
          </w:p>
        </w:tc>
      </w:tr>
      <w:tr>
        <w:trPr>
          <w:trHeight w:val="36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60" w:type="dxa"/>
            <w:vAlign w:val="bottom"/>
          </w:tcPr>
          <w:p>
            <w:pPr>
              <w:ind w:left="260"/>
              <w:spacing w:after="0"/>
              <w:rPr>
                <w:sz w:val="20"/>
                <w:szCs w:val="20"/>
                <w:color w:val="auto"/>
              </w:rPr>
            </w:pPr>
            <w:r>
              <w:rPr>
                <w:rFonts w:ascii="Arial" w:cs="Arial" w:eastAsia="Arial" w:hAnsi="Arial"/>
                <w:sz w:val="15"/>
                <w:szCs w:val="15"/>
                <w:color w:val="auto"/>
              </w:rPr>
              <w:t>(d) Exhibits.</w:t>
            </w:r>
          </w:p>
        </w:tc>
      </w:tr>
      <w:tr>
        <w:trPr>
          <w:trHeight w:val="366"/>
        </w:trPr>
        <w:tc>
          <w:tcPr>
            <w:tcW w:w="1120" w:type="dxa"/>
            <w:vAlign w:val="bottom"/>
            <w:gridSpan w:val="2"/>
          </w:tcPr>
          <w:p>
            <w:pPr>
              <w:jc w:val="right"/>
              <w:ind w:right="325"/>
              <w:spacing w:after="0"/>
              <w:rPr>
                <w:sz w:val="20"/>
                <w:szCs w:val="20"/>
                <w:color w:val="auto"/>
              </w:rPr>
            </w:pPr>
            <w:r>
              <w:rPr>
                <w:rFonts w:ascii="Arial" w:cs="Arial" w:eastAsia="Arial" w:hAnsi="Arial"/>
                <w:sz w:val="15"/>
                <w:szCs w:val="15"/>
                <w:b w:val="1"/>
                <w:bCs w:val="1"/>
                <w:color w:val="auto"/>
                <w:w w:val="89"/>
              </w:rPr>
              <w:t>Exhibit No.</w:t>
            </w:r>
          </w:p>
        </w:tc>
        <w:tc>
          <w:tcPr>
            <w:tcW w:w="9860" w:type="dxa"/>
            <w:vAlign w:val="bottom"/>
          </w:tcPr>
          <w:p>
            <w:pPr>
              <w:ind w:left="260"/>
              <w:spacing w:after="0"/>
              <w:rPr>
                <w:sz w:val="20"/>
                <w:szCs w:val="20"/>
                <w:color w:val="auto"/>
              </w:rPr>
            </w:pPr>
            <w:r>
              <w:rPr>
                <w:rFonts w:ascii="Arial" w:cs="Arial" w:eastAsia="Arial" w:hAnsi="Arial"/>
                <w:sz w:val="15"/>
                <w:szCs w:val="15"/>
                <w:b w:val="1"/>
                <w:bCs w:val="1"/>
                <w:color w:val="auto"/>
              </w:rPr>
              <w:t>Description</w:t>
            </w:r>
          </w:p>
        </w:tc>
      </w:tr>
      <w:tr>
        <w:trPr>
          <w:trHeight w:val="190"/>
        </w:trPr>
        <w:tc>
          <w:tcPr>
            <w:tcW w:w="20" w:type="dxa"/>
            <w:vAlign w:val="bottom"/>
          </w:tcPr>
          <w:p>
            <w:pPr>
              <w:spacing w:after="0"/>
              <w:rPr>
                <w:sz w:val="16"/>
                <w:szCs w:val="16"/>
                <w:color w:val="auto"/>
              </w:rPr>
            </w:pPr>
          </w:p>
        </w:tc>
        <w:tc>
          <w:tcPr>
            <w:tcW w:w="110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rPr>
              <w:t>99.1</w:t>
            </w:r>
          </w:p>
        </w:tc>
        <w:tc>
          <w:tcPr>
            <w:tcW w:w="9860" w:type="dxa"/>
            <w:vAlign w:val="bottom"/>
            <w:tcBorders>
              <w:top w:val="single" w:sz="8" w:color="auto"/>
            </w:tcBorders>
          </w:tcPr>
          <w:p>
            <w:pPr>
              <w:ind w:left="260"/>
              <w:spacing w:after="0"/>
              <w:rPr>
                <w:sz w:val="20"/>
                <w:szCs w:val="20"/>
                <w:color w:val="auto"/>
              </w:rPr>
            </w:pPr>
            <w:r>
              <w:rPr>
                <w:rFonts w:ascii="Arial" w:cs="Arial" w:eastAsia="Arial" w:hAnsi="Arial"/>
                <w:sz w:val="15"/>
                <w:szCs w:val="15"/>
                <w:color w:val="auto"/>
              </w:rPr>
              <w:t>Press release issued on December 18, 2009</w:t>
            </w:r>
          </w:p>
        </w:tc>
      </w:tr>
    </w:tbl>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86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w:t>
      </w:r>
    </w:p>
    <w:p>
      <w:pPr>
        <w:spacing w:after="0" w:line="216" w:lineRule="exact"/>
        <w:rPr>
          <w:sz w:val="20"/>
          <w:szCs w:val="20"/>
          <w:color w:val="auto"/>
        </w:rPr>
      </w:pPr>
    </w:p>
    <w:p>
      <w:pPr>
        <w:ind w:right="600" w:firstLine="543"/>
        <w:spacing w:after="0" w:line="276"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00" w:type="dxa"/>
            <w:vAlign w:val="bottom"/>
          </w:tcPr>
          <w:p>
            <w:pPr>
              <w:spacing w:after="0"/>
              <w:rPr>
                <w:sz w:val="16"/>
                <w:szCs w:val="16"/>
                <w:color w:val="auto"/>
              </w:rPr>
            </w:pPr>
          </w:p>
        </w:tc>
        <w:tc>
          <w:tcPr>
            <w:tcW w:w="7740" w:type="dxa"/>
            <w:vAlign w:val="bottom"/>
            <w:gridSpan w:val="2"/>
          </w:tcPr>
          <w:p>
            <w:pPr>
              <w:ind w:left="3240"/>
              <w:spacing w:after="0"/>
              <w:rPr>
                <w:sz w:val="20"/>
                <w:szCs w:val="20"/>
                <w:color w:val="auto"/>
              </w:rPr>
            </w:pPr>
            <w:r>
              <w:rPr>
                <w:rFonts w:ascii="Arial" w:cs="Arial" w:eastAsia="Arial" w:hAnsi="Arial"/>
                <w:sz w:val="15"/>
                <w:szCs w:val="15"/>
                <w:b w:val="1"/>
                <w:bCs w:val="1"/>
                <w:color w:val="auto"/>
              </w:rPr>
              <w:t>MICRON TECHNOLOGY, INC.</w:t>
            </w:r>
          </w:p>
        </w:tc>
      </w:tr>
      <w:tr>
        <w:trPr>
          <w:trHeight w:val="547"/>
        </w:trPr>
        <w:tc>
          <w:tcPr>
            <w:tcW w:w="3700" w:type="dxa"/>
            <w:vAlign w:val="bottom"/>
          </w:tcPr>
          <w:p>
            <w:pPr>
              <w:spacing w:after="0"/>
              <w:rPr>
                <w:sz w:val="20"/>
                <w:szCs w:val="20"/>
                <w:color w:val="auto"/>
              </w:rPr>
            </w:pPr>
            <w:r>
              <w:rPr>
                <w:rFonts w:ascii="Arial" w:cs="Arial" w:eastAsia="Arial" w:hAnsi="Arial"/>
                <w:sz w:val="15"/>
                <w:szCs w:val="15"/>
                <w:color w:val="auto"/>
              </w:rPr>
              <w:t>Date:   December 18, 2009</w:t>
            </w:r>
          </w:p>
        </w:tc>
        <w:tc>
          <w:tcPr>
            <w:tcW w:w="4100" w:type="dxa"/>
            <w:vAlign w:val="bottom"/>
          </w:tcPr>
          <w:p>
            <w:pPr>
              <w:ind w:left="3240"/>
              <w:spacing w:after="0"/>
              <w:rPr>
                <w:sz w:val="20"/>
                <w:szCs w:val="20"/>
                <w:color w:val="auto"/>
              </w:rPr>
            </w:pPr>
            <w:r>
              <w:rPr>
                <w:rFonts w:ascii="Arial" w:cs="Arial" w:eastAsia="Arial" w:hAnsi="Arial"/>
                <w:sz w:val="15"/>
                <w:szCs w:val="15"/>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/s/ Ronald C. Foster</w:t>
            </w:r>
          </w:p>
        </w:tc>
      </w:tr>
      <w:tr>
        <w:trPr>
          <w:trHeight w:val="170"/>
        </w:trPr>
        <w:tc>
          <w:tcPr>
            <w:tcW w:w="3700" w:type="dxa"/>
            <w:vAlign w:val="bottom"/>
          </w:tcPr>
          <w:p>
            <w:pPr>
              <w:spacing w:after="0"/>
              <w:rPr>
                <w:sz w:val="14"/>
                <w:szCs w:val="14"/>
                <w:color w:val="auto"/>
              </w:rPr>
            </w:pPr>
          </w:p>
        </w:tc>
        <w:tc>
          <w:tcPr>
            <w:tcW w:w="4100" w:type="dxa"/>
            <w:vAlign w:val="bottom"/>
          </w:tcPr>
          <w:p>
            <w:pPr>
              <w:ind w:left="3240"/>
              <w:spacing w:after="0" w:line="171" w:lineRule="exact"/>
              <w:rPr>
                <w:sz w:val="20"/>
                <w:szCs w:val="20"/>
                <w:color w:val="auto"/>
              </w:rPr>
            </w:pPr>
            <w:r>
              <w:rPr>
                <w:rFonts w:ascii="Arial" w:cs="Arial" w:eastAsia="Arial" w:hAnsi="Arial"/>
                <w:sz w:val="15"/>
                <w:szCs w:val="15"/>
                <w:color w:val="auto"/>
              </w:rPr>
              <w:t>Name:</w:t>
            </w:r>
          </w:p>
        </w:tc>
        <w:tc>
          <w:tcPr>
            <w:tcW w:w="3640" w:type="dxa"/>
            <w:vAlign w:val="bottom"/>
          </w:tcPr>
          <w:p>
            <w:pPr>
              <w:spacing w:after="0" w:line="171" w:lineRule="exact"/>
              <w:rPr>
                <w:sz w:val="20"/>
                <w:szCs w:val="20"/>
                <w:color w:val="auto"/>
              </w:rPr>
            </w:pPr>
            <w:r>
              <w:rPr>
                <w:rFonts w:ascii="Arial" w:cs="Arial" w:eastAsia="Arial" w:hAnsi="Arial"/>
                <w:sz w:val="15"/>
                <w:szCs w:val="15"/>
                <w:color w:val="auto"/>
              </w:rPr>
              <w:t>Ronald C. Foster</w:t>
            </w:r>
          </w:p>
        </w:tc>
      </w:tr>
      <w:tr>
        <w:trPr>
          <w:trHeight w:val="181"/>
        </w:trPr>
        <w:tc>
          <w:tcPr>
            <w:tcW w:w="3700" w:type="dxa"/>
            <w:vAlign w:val="bottom"/>
          </w:tcPr>
          <w:p>
            <w:pPr>
              <w:spacing w:after="0"/>
              <w:rPr>
                <w:sz w:val="15"/>
                <w:szCs w:val="15"/>
                <w:color w:val="auto"/>
              </w:rPr>
            </w:pPr>
          </w:p>
        </w:tc>
        <w:tc>
          <w:tcPr>
            <w:tcW w:w="4100" w:type="dxa"/>
            <w:vAlign w:val="bottom"/>
          </w:tcPr>
          <w:p>
            <w:pPr>
              <w:ind w:left="3240"/>
              <w:spacing w:after="0"/>
              <w:rPr>
                <w:sz w:val="20"/>
                <w:szCs w:val="20"/>
                <w:color w:val="auto"/>
              </w:rPr>
            </w:pPr>
            <w:r>
              <w:rPr>
                <w:rFonts w:ascii="Arial" w:cs="Arial" w:eastAsia="Arial" w:hAnsi="Arial"/>
                <w:sz w:val="15"/>
                <w:szCs w:val="15"/>
                <w:color w:val="auto"/>
              </w:rPr>
              <w:t>Title:</w:t>
            </w:r>
          </w:p>
        </w:tc>
        <w:tc>
          <w:tcPr>
            <w:tcW w:w="3640" w:type="dxa"/>
            <w:vAlign w:val="bottom"/>
          </w:tcPr>
          <w:p>
            <w:pPr>
              <w:spacing w:after="0"/>
              <w:rPr>
                <w:sz w:val="20"/>
                <w:szCs w:val="20"/>
                <w:color w:val="auto"/>
              </w:rPr>
            </w:pPr>
            <w:r>
              <w:rPr>
                <w:rFonts w:ascii="Arial" w:cs="Arial" w:eastAsia="Arial" w:hAnsi="Arial"/>
                <w:sz w:val="15"/>
                <w:szCs w:val="15"/>
                <w:color w:val="auto"/>
              </w:rPr>
              <w:t>Chief Financial Officer and</w:t>
            </w:r>
          </w:p>
        </w:tc>
      </w:tr>
      <w:tr>
        <w:trPr>
          <w:trHeight w:val="190"/>
        </w:trPr>
        <w:tc>
          <w:tcPr>
            <w:tcW w:w="37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Vice President of Finance</w:t>
            </w:r>
          </w:p>
        </w:tc>
      </w:tr>
      <w:tr>
        <w:trPr>
          <w:trHeight w:val="509"/>
        </w:trPr>
        <w:tc>
          <w:tcPr>
            <w:tcW w:w="3700" w:type="dxa"/>
            <w:vAlign w:val="bottom"/>
          </w:tcPr>
          <w:p>
            <w:pPr>
              <w:spacing w:after="0"/>
              <w:rPr>
                <w:sz w:val="24"/>
                <w:szCs w:val="24"/>
                <w:color w:val="auto"/>
              </w:rPr>
            </w:pPr>
          </w:p>
        </w:tc>
        <w:tc>
          <w:tcPr>
            <w:tcW w:w="4100" w:type="dxa"/>
            <w:vAlign w:val="bottom"/>
          </w:tcPr>
          <w:p>
            <w:pPr>
              <w:ind w:left="1980"/>
              <w:spacing w:after="0"/>
              <w:rPr>
                <w:sz w:val="20"/>
                <w:szCs w:val="20"/>
                <w:color w:val="auto"/>
              </w:rPr>
            </w:pPr>
            <w:r>
              <w:rPr>
                <w:rFonts w:ascii="Arial" w:cs="Arial" w:eastAsia="Arial" w:hAnsi="Arial"/>
                <w:sz w:val="15"/>
                <w:szCs w:val="15"/>
                <w:color w:val="auto"/>
              </w:rPr>
              <w:t>3</w:t>
            </w:r>
          </w:p>
        </w:tc>
        <w:tc>
          <w:tcPr>
            <w:tcW w:w="3640" w:type="dxa"/>
            <w:vAlign w:val="bottom"/>
          </w:tcPr>
          <w:p>
            <w:pPr>
              <w:spacing w:after="0"/>
              <w:rPr>
                <w:sz w:val="24"/>
                <w:szCs w:val="24"/>
                <w:color w:val="auto"/>
              </w:rPr>
            </w:pPr>
          </w:p>
        </w:tc>
      </w:tr>
      <w:tr>
        <w:trPr>
          <w:trHeight w:val="99"/>
        </w:trPr>
        <w:tc>
          <w:tcPr>
            <w:tcW w:w="3700" w:type="dxa"/>
            <w:vAlign w:val="bottom"/>
            <w:tcBorders>
              <w:bottom w:val="single" w:sz="8" w:color="808080"/>
            </w:tcBorders>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3" w:name="page4"/>
    <w:bookmarkEnd w:id="3"/>
    <w:p>
      <w:pPr>
        <w:jc w:val="center"/>
        <w:ind w:right="-840"/>
        <w:spacing w:after="0"/>
        <w:rPr>
          <w:sz w:val="20"/>
          <w:szCs w:val="20"/>
          <w:color w:val="auto"/>
        </w:rPr>
      </w:pPr>
      <w:r>
        <w:rPr>
          <w:rFonts w:ascii="Arial" w:cs="Arial" w:eastAsia="Arial" w:hAnsi="Arial"/>
          <w:sz w:val="15"/>
          <w:szCs w:val="15"/>
          <w:b w:val="1"/>
          <w:bCs w:val="1"/>
          <w:color w:val="auto"/>
        </w:rPr>
        <w:t>INDEX TO EXHIBITS FILED WITH</w:t>
      </w:r>
    </w:p>
    <w:p>
      <w:pPr>
        <w:spacing w:after="0" w:line="22"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THE CURRENT REPORT ON FORM 8-K DATED DECEMBER 18, 2009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Exhibit</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726884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pacing w:after="0" w:line="196"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Press release issued on December 18,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102870</wp:posOffset>
            </wp:positionV>
            <wp:extent cx="727456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8735"/>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8578215</wp:posOffset>
            </wp:positionV>
            <wp:extent cx="7274560"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1750"/>
                    </a:xfrm>
                    <a:prstGeom prst="rect">
                      <a:avLst/>
                    </a:prstGeom>
                    <a:noFill/>
                  </pic:spPr>
                </pic:pic>
              </a:graphicData>
            </a:graphic>
          </wp:anchor>
        </w:drawing>
      </w:r>
    </w:p>
    <w:p>
      <w:pPr>
        <w:sectPr>
          <w:pgSz w:w="11900" w:h="16838" w:orient="portrait"/>
          <w:cols w:equalWidth="0" w:num="1">
            <w:col w:w="9839"/>
          </w:cols>
          <w:pgMar w:left="620" w:top="453" w:right="1440" w:bottom="1440" w:gutter="0" w:footer="0" w:header="0"/>
        </w:sectPr>
      </w:pPr>
    </w:p>
    <w:bookmarkStart w:id="4" w:name="page5"/>
    <w:bookmarkEnd w:id="4"/>
    <w:p>
      <w:pPr>
        <w:ind w:left="8740"/>
        <w:spacing w:after="0"/>
        <w:rPr>
          <w:sz w:val="20"/>
          <w:szCs w:val="20"/>
          <w:color w:val="auto"/>
        </w:rPr>
      </w:pPr>
      <w:r>
        <w:rPr>
          <w:rFonts w:ascii="Arial" w:cs="Arial" w:eastAsia="Arial" w:hAnsi="Arial"/>
          <w:sz w:val="15"/>
          <w:szCs w:val="15"/>
          <w:b w:val="1"/>
          <w:bCs w:val="1"/>
          <w:color w:val="auto"/>
        </w:rPr>
        <w:t>EXHIBIT 99.1</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ectPr>
          <w:pgSz w:w="11900" w:h="16838" w:orient="portrait"/>
          <w:cols w:equalWidth="0" w:num="1">
            <w:col w:w="11520"/>
          </w:cols>
          <w:pgMar w:left="240" w:top="713" w:right="139" w:bottom="1440" w:gutter="0" w:footer="0" w:header="0"/>
        </w:sectPr>
      </w:pPr>
    </w:p>
    <w:p>
      <w:pPr>
        <w:spacing w:after="0" w:line="203" w:lineRule="exact"/>
        <w:rPr>
          <w:sz w:val="20"/>
          <w:szCs w:val="20"/>
          <w:color w:val="auto"/>
        </w:rPr>
      </w:pPr>
    </w:p>
    <w:p>
      <w:pPr>
        <w:jc w:val="center"/>
        <w:ind w:left="700"/>
        <w:spacing w:after="0"/>
        <w:rPr>
          <w:sz w:val="20"/>
          <w:szCs w:val="20"/>
          <w:color w:val="auto"/>
        </w:rPr>
      </w:pPr>
      <w:r>
        <w:rPr>
          <w:rFonts w:ascii="Arial" w:cs="Arial" w:eastAsia="Arial" w:hAnsi="Arial"/>
          <w:sz w:val="13"/>
          <w:szCs w:val="13"/>
          <w:color w:val="auto"/>
        </w:rPr>
        <w:t>Contacts: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Daniel Francisco</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Media Relations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dfrancisco@micron.com</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(208) 368-5584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Ivan Donaldson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idonaldson@micron.com</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(208) 368-4093</w:t>
      </w:r>
    </w:p>
    <w:p>
      <w:pPr>
        <w:spacing w:after="0" w:line="199" w:lineRule="exact"/>
        <w:rPr>
          <w:sz w:val="20"/>
          <w:szCs w:val="20"/>
          <w:color w:val="auto"/>
        </w:rPr>
      </w:pPr>
    </w:p>
    <w:p>
      <w:pPr>
        <w:sectPr>
          <w:pgSz w:w="11900" w:h="16838" w:orient="portrait"/>
          <w:cols w:equalWidth="0" w:num="3">
            <w:col w:w="1480" w:space="720"/>
            <w:col w:w="3900" w:space="720"/>
            <w:col w:w="4700"/>
          </w:cols>
          <w:pgMar w:left="240" w:top="713" w:right="139" w:bottom="1440" w:gutter="0" w:footer="0" w:header="0"/>
          <w:type w:val="continuous"/>
        </w:sectPr>
      </w:pPr>
    </w:p>
    <w:p>
      <w:pPr>
        <w:jc w:val="center"/>
        <w:ind w:left="560"/>
        <w:spacing w:after="0"/>
        <w:rPr>
          <w:sz w:val="20"/>
          <w:szCs w:val="20"/>
          <w:color w:val="auto"/>
        </w:rPr>
      </w:pPr>
      <w:r>
        <w:rPr>
          <w:rFonts w:ascii="Arial" w:cs="Arial" w:eastAsia="Arial" w:hAnsi="Arial"/>
          <w:sz w:val="15"/>
          <w:szCs w:val="15"/>
          <w:b w:val="1"/>
          <w:bCs w:val="1"/>
          <w:color w:val="auto"/>
        </w:rPr>
        <w:t>MICRON TECHNOLOGY TO SWITCH STOCK EXCHANGE LISTING TO NASDAQ</w:t>
      </w:r>
    </w:p>
    <w:p>
      <w:pPr>
        <w:spacing w:after="0" w:line="212" w:lineRule="exact"/>
        <w:rPr>
          <w:sz w:val="20"/>
          <w:szCs w:val="20"/>
          <w:color w:val="auto"/>
        </w:rPr>
      </w:pPr>
    </w:p>
    <w:p>
      <w:pPr>
        <w:jc w:val="center"/>
        <w:ind w:left="440"/>
        <w:spacing w:after="0"/>
        <w:rPr>
          <w:sz w:val="20"/>
          <w:szCs w:val="20"/>
          <w:color w:val="auto"/>
        </w:rPr>
      </w:pPr>
      <w:r>
        <w:rPr>
          <w:rFonts w:ascii="Arial" w:cs="Arial" w:eastAsia="Arial" w:hAnsi="Arial"/>
          <w:sz w:val="15"/>
          <w:szCs w:val="15"/>
          <w:b w:val="1"/>
          <w:bCs w:val="1"/>
          <w:color w:val="auto"/>
        </w:rPr>
        <w:t>Company’s Ticker Symbol to Remain ‘MU’</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BOISE, Idaho, Dec. 18, 2009 </w:t>
      </w:r>
      <w:r>
        <w:rPr>
          <w:rFonts w:ascii="Arial" w:cs="Arial" w:eastAsia="Arial" w:hAnsi="Arial"/>
          <w:sz w:val="14"/>
          <w:szCs w:val="14"/>
          <w:color w:val="auto"/>
        </w:rPr>
        <w:t>– Micron Technology, Inc., (NYSE: MU) today announced that it will voluntarily transfer its stock exchange listing from The New York Stock Exchange to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NASDAQ Global Select Market, a market of The NASDAQ OMX Group, (NASDAQ: NDAQ), effective Dec. 30, 2009.</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Micron’s stock will continue to trade under the ticker symbol MU.</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“With many of the technology companies in our industry already traded on the NASDAQ, Micron believes as an innovative semiconductor company that the NASDAQ represents the best fit f company and our shareholders,” said Steve Appleton, Micron Chairman and CEO.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“Micron is a world-leading semiconductor manufacturer providing innovative solutions for products and services that improve our everyday lives,” said Bob Greifeld, Chief Executive Officer NASDAQ OMX. “NASDAQ OMX is the market of choice for forward thinking global companies such as Micron, and we look forward to supporting the company through our transparent ele trading, our public company support services and our global visibility platform.”</w:t>
      </w:r>
    </w:p>
    <w:p>
      <w:pPr>
        <w:spacing w:after="0" w:line="177"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 xml:space="preserve">Micron Technology, Inc. is one of the world's leading providers of advanced semiconductor solutions. Through its worldwide operations, Micron manufactures and markets DRAM, NAND fl memory, CMOS image sensors, other semiconductor components, and memory modules for use in leading-edge computing, consumer, networking, and mobile products. To learn more about Technology, Inc., visit </w:t>
      </w:r>
      <w:r>
        <w:rPr>
          <w:rFonts w:ascii="Arial" w:cs="Arial" w:eastAsia="Arial" w:hAnsi="Arial"/>
          <w:sz w:val="15"/>
          <w:szCs w:val="15"/>
          <w:u w:val="single" w:color="auto"/>
          <w:color w:val="auto"/>
        </w:rPr>
        <w:t>www.micron.com</w:t>
      </w:r>
      <w:r>
        <w:rPr>
          <w:rFonts w:ascii="Arial" w:cs="Arial" w:eastAsia="Arial" w:hAnsi="Arial"/>
          <w:sz w:val="15"/>
          <w:szCs w:val="15"/>
          <w:color w:val="auto"/>
        </w:rPr>
        <w:t>.</w:t>
      </w:r>
    </w:p>
    <w:p>
      <w:pPr>
        <w:spacing w:after="0" w:line="177" w:lineRule="exact"/>
        <w:rPr>
          <w:sz w:val="20"/>
          <w:szCs w:val="20"/>
          <w:color w:val="auto"/>
        </w:rPr>
      </w:pPr>
    </w:p>
    <w:p>
      <w:pPr>
        <w:jc w:val="center"/>
        <w:ind w:left="560"/>
        <w:spacing w:after="0"/>
        <w:rPr>
          <w:sz w:val="20"/>
          <w:szCs w:val="20"/>
          <w:color w:val="auto"/>
        </w:rPr>
      </w:pPr>
      <w:r>
        <w:rPr>
          <w:rFonts w:ascii="Arial" w:cs="Arial" w:eastAsia="Arial" w:hAnsi="Arial"/>
          <w:sz w:val="15"/>
          <w:szCs w:val="15"/>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354330</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520"/>
          </w:cols>
          <w:pgMar w:left="240" w:top="713" w:right="139"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2019-12-10T05:23:03Z</dcterms:created>
  <dcterms:modified xsi:type="dcterms:W3CDTF">2019-12-10T05:23:03Z</dcterms:modified>
</cp:coreProperties>
</file>