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288290</wp:posOffset>
            </wp:positionH>
            <wp:positionV relativeFrom="page">
              <wp:posOffset>586105</wp:posOffset>
            </wp:positionV>
            <wp:extent cx="697801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5715"/>
                    </a:xfrm>
                    <a:prstGeom prst="rect">
                      <a:avLst/>
                    </a:prstGeom>
                    <a:noFill/>
                  </pic:spPr>
                </pic:pic>
              </a:graphicData>
            </a:graphic>
          </wp:anchor>
        </w:drawing>
        <w:drawing>
          <wp:anchor simplePos="0" relativeHeight="251657728" behindDoc="1" locked="0" layoutInCell="0" allowOverlap="1">
            <wp:simplePos x="0" y="0"/>
            <wp:positionH relativeFrom="page">
              <wp:posOffset>288290</wp:posOffset>
            </wp:positionH>
            <wp:positionV relativeFrom="page">
              <wp:posOffset>603250</wp:posOffset>
            </wp:positionV>
            <wp:extent cx="697801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5715"/>
                    </a:xfrm>
                    <a:prstGeom prst="rect">
                      <a:avLst/>
                    </a:prstGeom>
                    <a:noFill/>
                  </pic:spPr>
                </pic:pic>
              </a:graphicData>
            </a:graphic>
          </wp:anchor>
        </w:drawing>
        <w:t>UNITED STATES</w:t>
      </w:r>
    </w:p>
    <w:p>
      <w:pPr>
        <w:spacing w:after="0" w:line="31"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SECURITIES AND EXCHANGE COMMISSION</w:t>
      </w:r>
    </w:p>
    <w:p>
      <w:pPr>
        <w:spacing w:after="0" w:line="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42"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FORM 8-K</w:t>
      </w:r>
    </w:p>
    <w:p>
      <w:pPr>
        <w:spacing w:after="0" w:line="164"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CURRENT REPORT</w:t>
      </w:r>
    </w:p>
    <w:p>
      <w:pPr>
        <w:spacing w:after="0" w:line="23"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5/12/2020</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3074670</wp:posOffset>
            </wp:positionH>
            <wp:positionV relativeFrom="paragraph">
              <wp:posOffset>4445</wp:posOffset>
            </wp:positionV>
            <wp:extent cx="1034415" cy="280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4415" cy="28003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1666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58"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271" w:lineRule="exact"/>
        <w:rPr>
          <w:sz w:val="24"/>
          <w:szCs w:val="24"/>
          <w:color w:val="auto"/>
        </w:rPr>
      </w:pPr>
    </w:p>
    <w:tbl>
      <w:tblPr>
        <w:tblLayout w:type="fixed"/>
        <w:tblInd w:w="8" w:type="dxa"/>
        <w:tblCellMar>
          <w:top w:w="0" w:type="dxa"/>
          <w:left w:w="0" w:type="dxa"/>
          <w:bottom w:w="0" w:type="dxa"/>
          <w:right w:w="0" w:type="dxa"/>
        </w:tblCellMar>
      </w:tblPr>
      <w:tr>
        <w:trPr>
          <w:trHeight w:val="163"/>
        </w:trPr>
        <w:tc>
          <w:tcPr>
            <w:tcW w:w="4100" w:type="dxa"/>
            <w:vAlign w:val="bottom"/>
            <w:tcBorders>
              <w:bottom w:val="single" w:sz="8" w:color="auto"/>
            </w:tcBorders>
          </w:tcPr>
          <w:p>
            <w:pPr>
              <w:jc w:val="center"/>
              <w:ind w:left="40"/>
              <w:spacing w:after="0"/>
              <w:rPr>
                <w:sz w:val="20"/>
                <w:szCs w:val="20"/>
                <w:color w:val="auto"/>
              </w:rPr>
            </w:pPr>
            <w:r>
              <w:rPr>
                <w:rFonts w:ascii="Arial" w:cs="Arial" w:eastAsia="Arial" w:hAnsi="Arial"/>
                <w:sz w:val="12"/>
                <w:szCs w:val="12"/>
                <w:b w:val="1"/>
                <w:bCs w:val="1"/>
                <w:color w:val="auto"/>
                <w:w w:val="98"/>
              </w:rPr>
              <w:t>Delaware</w:t>
            </w:r>
          </w:p>
        </w:tc>
        <w:tc>
          <w:tcPr>
            <w:tcW w:w="3280" w:type="dxa"/>
            <w:vAlign w:val="bottom"/>
            <w:tcBorders>
              <w:bottom w:val="single" w:sz="8" w:color="auto"/>
            </w:tcBorders>
          </w:tcPr>
          <w:p>
            <w:pPr>
              <w:jc w:val="right"/>
              <w:ind w:right="1400"/>
              <w:spacing w:after="0"/>
              <w:rPr>
                <w:sz w:val="20"/>
                <w:szCs w:val="20"/>
                <w:color w:val="auto"/>
              </w:rPr>
            </w:pPr>
            <w:r>
              <w:rPr>
                <w:rFonts w:ascii="Arial" w:cs="Arial" w:eastAsia="Arial" w:hAnsi="Arial"/>
                <w:sz w:val="12"/>
                <w:szCs w:val="12"/>
                <w:b w:val="1"/>
                <w:bCs w:val="1"/>
                <w:color w:val="auto"/>
              </w:rPr>
              <w:t>1-10658</w:t>
            </w:r>
          </w:p>
        </w:tc>
        <w:tc>
          <w:tcPr>
            <w:tcW w:w="3920" w:type="dxa"/>
            <w:vAlign w:val="bottom"/>
            <w:tcBorders>
              <w:bottom w:val="single" w:sz="8" w:color="auto"/>
            </w:tcBorders>
          </w:tcPr>
          <w:p>
            <w:pPr>
              <w:jc w:val="right"/>
              <w:ind w:right="1660"/>
              <w:spacing w:after="0"/>
              <w:rPr>
                <w:sz w:val="20"/>
                <w:szCs w:val="20"/>
                <w:color w:val="auto"/>
              </w:rPr>
            </w:pPr>
            <w:r>
              <w:rPr>
                <w:rFonts w:ascii="Arial" w:cs="Arial" w:eastAsia="Arial" w:hAnsi="Arial"/>
                <w:sz w:val="12"/>
                <w:szCs w:val="12"/>
                <w:b w:val="1"/>
                <w:bCs w:val="1"/>
                <w:color w:val="auto"/>
              </w:rPr>
              <w:t>75-1618004</w:t>
            </w:r>
          </w:p>
        </w:tc>
      </w:tr>
      <w:tr>
        <w:trPr>
          <w:trHeight w:val="155"/>
        </w:trPr>
        <w:tc>
          <w:tcPr>
            <w:tcW w:w="4100" w:type="dxa"/>
            <w:vAlign w:val="bottom"/>
          </w:tcPr>
          <w:p>
            <w:pPr>
              <w:jc w:val="center"/>
              <w:ind w:left="20"/>
              <w:spacing w:after="0"/>
              <w:rPr>
                <w:sz w:val="20"/>
                <w:szCs w:val="20"/>
                <w:color w:val="auto"/>
              </w:rPr>
            </w:pPr>
            <w:r>
              <w:rPr>
                <w:rFonts w:ascii="Arial" w:cs="Arial" w:eastAsia="Arial" w:hAnsi="Arial"/>
                <w:sz w:val="12"/>
                <w:szCs w:val="12"/>
                <w:color w:val="auto"/>
                <w:w w:val="99"/>
              </w:rPr>
              <w:t>(State or other jurisdiction of incorporation)</w:t>
            </w:r>
          </w:p>
        </w:tc>
        <w:tc>
          <w:tcPr>
            <w:tcW w:w="3280" w:type="dxa"/>
            <w:vAlign w:val="bottom"/>
          </w:tcPr>
          <w:p>
            <w:pPr>
              <w:jc w:val="center"/>
              <w:ind w:right="20"/>
              <w:spacing w:after="0"/>
              <w:rPr>
                <w:sz w:val="20"/>
                <w:szCs w:val="20"/>
                <w:color w:val="auto"/>
              </w:rPr>
            </w:pPr>
            <w:r>
              <w:rPr>
                <w:rFonts w:ascii="Arial" w:cs="Arial" w:eastAsia="Arial" w:hAnsi="Arial"/>
                <w:sz w:val="12"/>
                <w:szCs w:val="12"/>
                <w:color w:val="auto"/>
              </w:rPr>
              <w:t>(Commission File Number)</w:t>
            </w:r>
          </w:p>
        </w:tc>
        <w:tc>
          <w:tcPr>
            <w:tcW w:w="3920" w:type="dxa"/>
            <w:vAlign w:val="bottom"/>
          </w:tcPr>
          <w:p>
            <w:pPr>
              <w:jc w:val="center"/>
              <w:ind w:right="120"/>
              <w:spacing w:after="0"/>
              <w:rPr>
                <w:sz w:val="20"/>
                <w:szCs w:val="20"/>
                <w:color w:val="auto"/>
              </w:rPr>
            </w:pPr>
            <w:r>
              <w:rPr>
                <w:rFonts w:ascii="Arial" w:cs="Arial" w:eastAsia="Arial" w:hAnsi="Arial"/>
                <w:sz w:val="12"/>
                <w:szCs w:val="12"/>
                <w:color w:val="auto"/>
              </w:rPr>
              <w:t>(I.R.S. Employer Identification No.)</w:t>
            </w:r>
          </w:p>
        </w:tc>
      </w:tr>
    </w:tbl>
    <w:p>
      <w:pPr>
        <w:spacing w:after="0" w:line="264" w:lineRule="exact"/>
        <w:rPr>
          <w:sz w:val="24"/>
          <w:szCs w:val="24"/>
          <w:color w:val="auto"/>
        </w:rPr>
      </w:pPr>
    </w:p>
    <w:p>
      <w:pPr>
        <w:ind w:left="4968"/>
        <w:spacing w:after="0"/>
        <w:rPr>
          <w:sz w:val="20"/>
          <w:szCs w:val="20"/>
          <w:color w:val="auto"/>
        </w:rPr>
      </w:pPr>
      <w:r>
        <w:rPr>
          <w:rFonts w:ascii="Arial" w:cs="Arial" w:eastAsia="Arial" w:hAnsi="Arial"/>
          <w:sz w:val="12"/>
          <w:szCs w:val="12"/>
          <w:b w:val="1"/>
          <w:bCs w:val="1"/>
          <w:color w:val="auto"/>
        </w:rPr>
        <w:t>8000 South Federal Way</w:t>
      </w:r>
    </w:p>
    <w:p>
      <w:pPr>
        <w:spacing w:after="0" w:line="24" w:lineRule="exact"/>
        <w:rPr>
          <w:sz w:val="24"/>
          <w:szCs w:val="24"/>
          <w:color w:val="auto"/>
        </w:rPr>
      </w:pPr>
    </w:p>
    <w:p>
      <w:pPr>
        <w:ind w:left="4968"/>
        <w:spacing w:after="0"/>
        <w:rPr>
          <w:sz w:val="20"/>
          <w:szCs w:val="20"/>
          <w:color w:val="auto"/>
        </w:rPr>
      </w:pPr>
      <w:r>
        <w:rPr>
          <w:rFonts w:ascii="Arial" w:cs="Arial" w:eastAsia="Arial" w:hAnsi="Arial"/>
          <w:sz w:val="12"/>
          <w:szCs w:val="12"/>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1954530</wp:posOffset>
            </wp:positionH>
            <wp:positionV relativeFrom="paragraph">
              <wp:posOffset>13335</wp:posOffset>
            </wp:positionV>
            <wp:extent cx="3268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8980" cy="5715"/>
                    </a:xfrm>
                    <a:prstGeom prst="rect">
                      <a:avLst/>
                    </a:prstGeom>
                    <a:noFill/>
                  </pic:spPr>
                </pic:pic>
              </a:graphicData>
            </a:graphic>
          </wp:anchor>
        </w:drawing>
      </w:r>
    </w:p>
    <w:p>
      <w:pPr>
        <w:spacing w:after="0" w:line="27"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(Address of principal executive offices)</w:t>
      </w:r>
    </w:p>
    <w:p>
      <w:pPr>
        <w:spacing w:after="0" w:line="262"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1960245</wp:posOffset>
            </wp:positionH>
            <wp:positionV relativeFrom="paragraph">
              <wp:posOffset>13335</wp:posOffset>
            </wp:positionV>
            <wp:extent cx="326326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3265" cy="5715"/>
                    </a:xfrm>
                    <a:prstGeom prst="rect">
                      <a:avLst/>
                    </a:prstGeom>
                    <a:noFill/>
                  </pic:spPr>
                </pic:pic>
              </a:graphicData>
            </a:graphic>
          </wp:anchor>
        </w:drawing>
      </w:r>
    </w:p>
    <w:p>
      <w:pPr>
        <w:spacing w:after="0" w:line="27"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(Registrant’s telephone number, including area code)</w:t>
      </w:r>
    </w:p>
    <w:p>
      <w:pPr>
        <w:spacing w:after="0" w:line="249"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6" w:lineRule="exact"/>
        <w:rPr>
          <w:sz w:val="24"/>
          <w:szCs w:val="24"/>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6"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68" w:lineRule="exact"/>
        <w:rPr>
          <w:sz w:val="24"/>
          <w:szCs w:val="24"/>
          <w:color w:val="auto"/>
        </w:rPr>
      </w:pPr>
    </w:p>
    <w:tbl>
      <w:tblPr>
        <w:tblLayout w:type="fixed"/>
        <w:tblInd w:w="8" w:type="dxa"/>
        <w:tblCellMar>
          <w:top w:w="0" w:type="dxa"/>
          <w:left w:w="0" w:type="dxa"/>
          <w:bottom w:w="0" w:type="dxa"/>
          <w:right w:w="0" w:type="dxa"/>
        </w:tblCellMar>
      </w:tblPr>
      <w:tr>
        <w:trPr>
          <w:trHeight w:val="145"/>
        </w:trPr>
        <w:tc>
          <w:tcPr>
            <w:tcW w:w="4740" w:type="dxa"/>
            <w:vAlign w:val="bottom"/>
            <w:gridSpan w:val="2"/>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20" w:type="dxa"/>
            <w:vAlign w:val="bottom"/>
          </w:tcPr>
          <w:p>
            <w:pPr>
              <w:spacing w:after="0"/>
              <w:rPr>
                <w:sz w:val="12"/>
                <w:szCs w:val="12"/>
                <w:color w:val="auto"/>
              </w:rPr>
            </w:pPr>
          </w:p>
        </w:tc>
      </w:tr>
      <w:tr>
        <w:trPr>
          <w:trHeight w:val="185"/>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Title of each class</w:t>
            </w:r>
          </w:p>
        </w:tc>
        <w:tc>
          <w:tcPr>
            <w:tcW w:w="10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Trading symbol</w:t>
            </w:r>
          </w:p>
        </w:tc>
        <w:tc>
          <w:tcPr>
            <w:tcW w:w="80" w:type="dxa"/>
            <w:vAlign w:val="bottom"/>
          </w:tcPr>
          <w:p>
            <w:pPr>
              <w:spacing w:after="0"/>
              <w:rPr>
                <w:sz w:val="16"/>
                <w:szCs w:val="16"/>
                <w:color w:val="auto"/>
              </w:rPr>
            </w:pPr>
          </w:p>
        </w:tc>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Name of each exchange on which registered</w:t>
            </w:r>
          </w:p>
        </w:tc>
      </w:tr>
      <w:tr>
        <w:trPr>
          <w:trHeight w:val="155"/>
        </w:trPr>
        <w:tc>
          <w:tcPr>
            <w:tcW w:w="4740" w:type="dxa"/>
            <w:vAlign w:val="bottom"/>
            <w:gridSpan w:val="2"/>
          </w:tcPr>
          <w:p>
            <w:pPr>
              <w:jc w:val="center"/>
              <w:ind w:right="80"/>
              <w:spacing w:after="0"/>
              <w:rPr>
                <w:sz w:val="20"/>
                <w:szCs w:val="20"/>
                <w:color w:val="auto"/>
              </w:rPr>
            </w:pPr>
            <w:r>
              <w:rPr>
                <w:rFonts w:ascii="Arial" w:cs="Arial" w:eastAsia="Arial" w:hAnsi="Arial"/>
                <w:sz w:val="12"/>
                <w:szCs w:val="12"/>
                <w:color w:val="auto"/>
              </w:rPr>
              <w:t>Common Stock, par value $0.10 per share</w:t>
            </w:r>
          </w:p>
        </w:tc>
        <w:tc>
          <w:tcPr>
            <w:tcW w:w="1920" w:type="dxa"/>
            <w:vAlign w:val="bottom"/>
            <w:gridSpan w:val="2"/>
          </w:tcPr>
          <w:p>
            <w:pPr>
              <w:jc w:val="center"/>
              <w:ind w:right="80"/>
              <w:spacing w:after="0"/>
              <w:rPr>
                <w:sz w:val="20"/>
                <w:szCs w:val="20"/>
                <w:color w:val="auto"/>
              </w:rPr>
            </w:pPr>
            <w:r>
              <w:rPr>
                <w:rFonts w:ascii="Arial" w:cs="Arial" w:eastAsia="Arial" w:hAnsi="Arial"/>
                <w:sz w:val="12"/>
                <w:szCs w:val="12"/>
                <w:color w:val="auto"/>
              </w:rPr>
              <w:t>MU</w:t>
            </w:r>
          </w:p>
        </w:tc>
        <w:tc>
          <w:tcPr>
            <w:tcW w:w="4620" w:type="dxa"/>
            <w:vAlign w:val="bottom"/>
          </w:tcPr>
          <w:p>
            <w:pPr>
              <w:jc w:val="center"/>
              <w:spacing w:after="0"/>
              <w:rPr>
                <w:sz w:val="20"/>
                <w:szCs w:val="20"/>
                <w:color w:val="auto"/>
              </w:rPr>
            </w:pPr>
            <w:r>
              <w:rPr>
                <w:rFonts w:ascii="Arial" w:cs="Arial" w:eastAsia="Arial" w:hAnsi="Arial"/>
                <w:sz w:val="12"/>
                <w:szCs w:val="12"/>
                <w:color w:val="auto"/>
                <w:w w:val="99"/>
              </w:rPr>
              <w:t>Nasdaq Global Select Market</w:t>
            </w:r>
          </w:p>
        </w:tc>
      </w:tr>
    </w:tbl>
    <w:p>
      <w:pPr>
        <w:spacing w:after="0" w:line="80" w:lineRule="exact"/>
        <w:rPr>
          <w:sz w:val="24"/>
          <w:szCs w:val="24"/>
          <w:color w:val="auto"/>
        </w:rPr>
      </w:pPr>
    </w:p>
    <w:p>
      <w:pPr>
        <w:ind w:left="8" w:right="140"/>
        <w:spacing w:after="0" w:line="248"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9" w:lineRule="exact"/>
        <w:rPr>
          <w:sz w:val="24"/>
          <w:szCs w:val="24"/>
          <w:color w:val="auto"/>
        </w:rPr>
      </w:pPr>
    </w:p>
    <w:p>
      <w:pPr>
        <w:ind w:left="8" w:right="20"/>
        <w:spacing w:after="0" w:line="151"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558165</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15240</wp:posOffset>
            </wp:positionV>
            <wp:extent cx="697801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78015" cy="5715"/>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32385</wp:posOffset>
            </wp:positionV>
            <wp:extent cx="697801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78015" cy="5715"/>
                    </a:xfrm>
                    <a:prstGeom prst="rect">
                      <a:avLst/>
                    </a:prstGeom>
                    <a:noFill/>
                  </pic:spPr>
                </pic:pic>
              </a:graphicData>
            </a:graphic>
          </wp:anchor>
        </w:drawing>
      </w:r>
    </w:p>
    <w:p>
      <w:pPr>
        <w:sectPr>
          <w:pgSz w:w="11900" w:h="16838" w:orient="portrait"/>
          <w:cols w:equalWidth="0" w:num="1">
            <w:col w:w="11308"/>
          </w:cols>
          <w:pgMar w:left="292" w:top="1166" w:right="29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1"/>
          <w:szCs w:val="11"/>
          <w:b w:val="1"/>
          <w:bCs w:val="1"/>
          <w:color w:val="auto"/>
        </w:rPr>
        <w:t>Regulation FD Disclosure</w:t>
      </w:r>
    </w:p>
    <w:p>
      <w:pPr>
        <w:spacing w:after="0" w:line="326" w:lineRule="exact"/>
        <w:rPr>
          <w:sz w:val="20"/>
          <w:szCs w:val="20"/>
          <w:color w:val="auto"/>
        </w:rPr>
      </w:pPr>
    </w:p>
    <w:p>
      <w:pPr>
        <w:jc w:val="both"/>
        <w:ind w:right="340"/>
        <w:spacing w:after="0" w:line="273" w:lineRule="auto"/>
        <w:rPr>
          <w:sz w:val="20"/>
          <w:szCs w:val="20"/>
          <w:color w:val="auto"/>
        </w:rPr>
      </w:pPr>
      <w:r>
        <w:rPr>
          <w:rFonts w:ascii="Arial" w:cs="Arial" w:eastAsia="Arial" w:hAnsi="Arial"/>
          <w:sz w:val="11"/>
          <w:szCs w:val="11"/>
          <w:color w:val="auto"/>
        </w:rPr>
        <w:t>On May 12, 2020, Micron Technology, Inc. (the “Company”) made available on its investor relations website, investors.micron.com, a copy of the Investor Update, dated May 12, 2020, attached to this Current Report on Form 8-K (the “Current Report”) as Exhibit 99.1, together with a recorded narrative (together, the “Presentation”). The recorded portion of the Presentation contains a discussion not reflected in the information set forth in Exhibit 99.1 regarding the Company’s operations and response to the outbreak of coronavirus disease 2019 (“COVID-19”). Exhibit 99.1 is incorporated by reference herein.</w:t>
      </w:r>
    </w:p>
    <w:p>
      <w:pPr>
        <w:spacing w:after="0" w:line="135" w:lineRule="exact"/>
        <w:rPr>
          <w:sz w:val="20"/>
          <w:szCs w:val="20"/>
          <w:color w:val="auto"/>
        </w:rPr>
      </w:pPr>
    </w:p>
    <w:p>
      <w:pPr>
        <w:ind w:right="160"/>
        <w:spacing w:after="0" w:line="290" w:lineRule="auto"/>
        <w:rPr>
          <w:sz w:val="20"/>
          <w:szCs w:val="20"/>
          <w:color w:val="auto"/>
        </w:rPr>
      </w:pPr>
      <w:r>
        <w:rPr>
          <w:rFonts w:ascii="Arial" w:cs="Arial" w:eastAsia="Arial" w:hAnsi="Arial"/>
          <w:sz w:val="11"/>
          <w:szCs w:val="11"/>
          <w:color w:val="auto"/>
        </w:rPr>
        <w:t>The information set forth in this Item 7.01 is intended to be furnished under Item 7.01 of Form 8-K (Regulation FD Disclosure). This information shall not be deemed “filed” for purposes of Section 18 of the Securities Exchange Act of 1934, as amended (the “Exchange Act”), or otherwise subject to the liabilities of that section. In addition, this information shall not be incorporated by reference into any registration statement filing under the Securities Act of 1933, as amended, or the Exchange Act, regardless of any general incorporation language in such filing, unless it is specifically incorporated by reference in such filing.</w:t>
      </w:r>
    </w:p>
    <w:p>
      <w:pPr>
        <w:spacing w:after="0" w:line="135" w:lineRule="exact"/>
        <w:rPr>
          <w:sz w:val="20"/>
          <w:szCs w:val="20"/>
          <w:color w:val="auto"/>
        </w:rPr>
      </w:pPr>
    </w:p>
    <w:p>
      <w:pPr>
        <w:ind w:right="60"/>
        <w:spacing w:after="0" w:line="253" w:lineRule="auto"/>
        <w:rPr>
          <w:sz w:val="20"/>
          <w:szCs w:val="20"/>
          <w:color w:val="auto"/>
        </w:rPr>
      </w:pPr>
      <w:r>
        <w:rPr>
          <w:rFonts w:ascii="Arial" w:cs="Arial" w:eastAsia="Arial" w:hAnsi="Arial"/>
          <w:sz w:val="12"/>
          <w:szCs w:val="12"/>
          <w:color w:val="auto"/>
        </w:rPr>
        <w:t>The Company uses its investor relations website as a routine channel for distribution of important information, including news releases, analyst presentations, and financial information. The Company’s filings are available free of charge on its website as soon as reasonably practicable after they are electronically filed with, or furnished to, the U.S. Securities and Exchange Commission (“SEC”), including the Company’s annual and quarterly reports on Forms 10-K and 10-Q and current reports on Form 8-K, its proxy statements, and any amendments to those reports or statements. The SEC’s website, www.sec.gov, contains reports, proxy and information statements, and other information regarding issuers that file electronically with the SEC. The content on any website referred to in this Current Report is not incorporated by reference in this Current Report unless expressly noted.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340" w:type="dxa"/>
            <w:vAlign w:val="bottom"/>
          </w:tcPr>
          <w:p>
            <w:pPr>
              <w:spacing w:after="0"/>
              <w:rPr>
                <w:sz w:val="20"/>
                <w:szCs w:val="20"/>
                <w:color w:val="auto"/>
              </w:rPr>
            </w:pPr>
            <w:r>
              <w:rPr>
                <w:rFonts w:ascii="Arial" w:cs="Arial" w:eastAsia="Arial" w:hAnsi="Arial"/>
                <w:sz w:val="12"/>
                <w:szCs w:val="12"/>
                <w:b w:val="1"/>
                <w:bCs w:val="1"/>
                <w:color w:val="auto"/>
              </w:rPr>
              <w:t>Item 9.01.</w:t>
            </w:r>
          </w:p>
        </w:tc>
        <w:tc>
          <w:tcPr>
            <w:tcW w:w="9960" w:type="dxa"/>
            <w:vAlign w:val="bottom"/>
            <w:gridSpan w:val="3"/>
          </w:tcPr>
          <w:p>
            <w:pPr>
              <w:ind w:left="20"/>
              <w:spacing w:after="0"/>
              <w:rPr>
                <w:sz w:val="20"/>
                <w:szCs w:val="20"/>
                <w:color w:val="auto"/>
              </w:rPr>
            </w:pPr>
            <w:r>
              <w:rPr>
                <w:rFonts w:ascii="Arial" w:cs="Arial" w:eastAsia="Arial" w:hAnsi="Arial"/>
                <w:sz w:val="12"/>
                <w:szCs w:val="12"/>
                <w:b w:val="1"/>
                <w:bCs w:val="1"/>
                <w:color w:val="auto"/>
              </w:rPr>
              <w:t>Financial Statements and Exhibits.</w:t>
            </w:r>
          </w:p>
        </w:tc>
      </w:tr>
      <w:tr>
        <w:trPr>
          <w:trHeight w:val="342"/>
        </w:trPr>
        <w:tc>
          <w:tcPr>
            <w:tcW w:w="1340" w:type="dxa"/>
            <w:vAlign w:val="bottom"/>
          </w:tcPr>
          <w:p>
            <w:pPr>
              <w:spacing w:after="0"/>
              <w:rPr>
                <w:sz w:val="24"/>
                <w:szCs w:val="24"/>
                <w:color w:val="auto"/>
              </w:rPr>
            </w:pPr>
          </w:p>
        </w:tc>
        <w:tc>
          <w:tcPr>
            <w:tcW w:w="9960" w:type="dxa"/>
            <w:vAlign w:val="bottom"/>
            <w:gridSpan w:val="3"/>
          </w:tcPr>
          <w:p>
            <w:pPr>
              <w:ind w:left="20"/>
              <w:spacing w:after="0"/>
              <w:rPr>
                <w:sz w:val="20"/>
                <w:szCs w:val="20"/>
                <w:color w:val="auto"/>
              </w:rPr>
            </w:pPr>
            <w:r>
              <w:rPr>
                <w:rFonts w:ascii="Arial" w:cs="Arial" w:eastAsia="Arial" w:hAnsi="Arial"/>
                <w:sz w:val="12"/>
                <w:szCs w:val="12"/>
                <w:color w:val="auto"/>
              </w:rPr>
              <w:t>(d) Exhibits.</w:t>
            </w:r>
          </w:p>
        </w:tc>
      </w:tr>
      <w:tr>
        <w:trPr>
          <w:trHeight w:val="590"/>
        </w:trPr>
        <w:tc>
          <w:tcPr>
            <w:tcW w:w="13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Exhibit No.</w:t>
            </w:r>
          </w:p>
        </w:tc>
        <w:tc>
          <w:tcPr>
            <w:tcW w:w="260" w:type="dxa"/>
            <w:vAlign w:val="bottom"/>
          </w:tcPr>
          <w:p>
            <w:pPr>
              <w:spacing w:after="0"/>
              <w:rPr>
                <w:sz w:val="24"/>
                <w:szCs w:val="24"/>
                <w:color w:val="auto"/>
              </w:rPr>
            </w:pPr>
          </w:p>
        </w:tc>
        <w:tc>
          <w:tcPr>
            <w:tcW w:w="96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c>
          <w:tcPr>
            <w:tcW w:w="20" w:type="dxa"/>
            <w:vAlign w:val="bottom"/>
          </w:tcPr>
          <w:p>
            <w:pPr>
              <w:spacing w:after="0"/>
              <w:rPr>
                <w:sz w:val="24"/>
                <w:szCs w:val="24"/>
                <w:color w:val="auto"/>
              </w:rPr>
            </w:pPr>
          </w:p>
        </w:tc>
      </w:tr>
      <w:tr>
        <w:trPr>
          <w:trHeight w:val="164"/>
        </w:trPr>
        <w:tc>
          <w:tcPr>
            <w:tcW w:w="1340" w:type="dxa"/>
            <w:vAlign w:val="bottom"/>
          </w:tcPr>
          <w:p>
            <w:pPr>
              <w:jc w:val="right"/>
              <w:ind w:right="500"/>
              <w:spacing w:after="0"/>
              <w:rPr>
                <w:sz w:val="20"/>
                <w:szCs w:val="20"/>
                <w:color w:val="auto"/>
              </w:rPr>
            </w:pPr>
            <w:r>
              <w:rPr>
                <w:rFonts w:ascii="Arial" w:cs="Arial" w:eastAsia="Arial" w:hAnsi="Arial"/>
                <w:sz w:val="12"/>
                <w:szCs w:val="12"/>
                <w:color w:val="auto"/>
              </w:rPr>
              <w:t>99.1</w:t>
            </w:r>
          </w:p>
        </w:tc>
        <w:tc>
          <w:tcPr>
            <w:tcW w:w="260" w:type="dxa"/>
            <w:vAlign w:val="bottom"/>
          </w:tcPr>
          <w:p>
            <w:pPr>
              <w:spacing w:after="0"/>
              <w:rPr>
                <w:sz w:val="14"/>
                <w:szCs w:val="14"/>
                <w:color w:val="auto"/>
              </w:rPr>
            </w:pPr>
          </w:p>
        </w:tc>
        <w:tc>
          <w:tcPr>
            <w:tcW w:w="9700" w:type="dxa"/>
            <w:vAlign w:val="bottom"/>
            <w:gridSpan w:val="2"/>
          </w:tcPr>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Investor Update, dated May 12, 2020</w:t>
              </w:r>
            </w:hyperlink>
          </w:p>
        </w:tc>
      </w:tr>
      <w:tr>
        <w:trPr>
          <w:trHeight w:val="162"/>
        </w:trPr>
        <w:tc>
          <w:tcPr>
            <w:tcW w:w="1340" w:type="dxa"/>
            <w:vAlign w:val="bottom"/>
          </w:tcPr>
          <w:p>
            <w:pPr>
              <w:jc w:val="right"/>
              <w:ind w:right="520"/>
              <w:spacing w:after="0"/>
              <w:rPr>
                <w:sz w:val="20"/>
                <w:szCs w:val="20"/>
                <w:color w:val="auto"/>
              </w:rPr>
            </w:pPr>
            <w:r>
              <w:rPr>
                <w:rFonts w:ascii="Arial" w:cs="Arial" w:eastAsia="Arial" w:hAnsi="Arial"/>
                <w:sz w:val="12"/>
                <w:szCs w:val="12"/>
                <w:color w:val="auto"/>
              </w:rPr>
              <w:t>104</w:t>
            </w:r>
          </w:p>
        </w:tc>
        <w:tc>
          <w:tcPr>
            <w:tcW w:w="260" w:type="dxa"/>
            <w:vAlign w:val="bottom"/>
          </w:tcPr>
          <w:p>
            <w:pPr>
              <w:spacing w:after="0"/>
              <w:rPr>
                <w:sz w:val="14"/>
                <w:szCs w:val="14"/>
                <w:color w:val="auto"/>
              </w:rPr>
            </w:pPr>
          </w:p>
        </w:tc>
        <w:tc>
          <w:tcPr>
            <w:tcW w:w="9700" w:type="dxa"/>
            <w:vAlign w:val="bottom"/>
            <w:gridSpan w:val="2"/>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828"/>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836" w:right="299" w:bottom="1440" w:gutter="0" w:footer="0" w:header="0"/>
        </w:sectPr>
      </w:pPr>
    </w:p>
    <w:bookmarkStart w:id="2" w:name="page3"/>
    <w:bookmarkEnd w:id="2"/>
    <w:p>
      <w:pPr>
        <w:ind w:left="5300"/>
        <w:spacing w:after="0"/>
        <w:rPr>
          <w:sz w:val="20"/>
          <w:szCs w:val="20"/>
          <w:color w:val="auto"/>
        </w:rPr>
      </w:pPr>
      <w:r>
        <w:rPr>
          <w:rFonts w:ascii="Arial" w:cs="Arial" w:eastAsia="Arial" w:hAnsi="Arial"/>
          <w:sz w:val="12"/>
          <w:szCs w:val="12"/>
          <w:b w:val="1"/>
          <w:bCs w:val="1"/>
          <w:color w:val="auto"/>
        </w:rPr>
        <w:t>SIGNATURE</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7220" w:type="dxa"/>
            <w:vAlign w:val="bottom"/>
            <w:gridSpan w:val="2"/>
          </w:tcPr>
          <w:p>
            <w:pPr>
              <w:ind w:left="2020"/>
              <w:spacing w:after="0"/>
              <w:rPr>
                <w:sz w:val="20"/>
                <w:szCs w:val="20"/>
                <w:color w:val="auto"/>
              </w:rPr>
            </w:pPr>
            <w:r>
              <w:rPr>
                <w:rFonts w:ascii="Arial" w:cs="Arial" w:eastAsia="Arial" w:hAnsi="Arial"/>
                <w:sz w:val="12"/>
                <w:szCs w:val="12"/>
                <w:b w:val="1"/>
                <w:bCs w:val="1"/>
                <w:color w:val="auto"/>
              </w:rPr>
              <w:t>MICRON TECHNOLOGY, INC.</w:t>
            </w:r>
          </w:p>
        </w:tc>
      </w:tr>
      <w:tr>
        <w:trPr>
          <w:trHeight w:val="513"/>
        </w:trPr>
        <w:tc>
          <w:tcPr>
            <w:tcW w:w="520" w:type="dxa"/>
            <w:vAlign w:val="bottom"/>
          </w:tcPr>
          <w:p>
            <w:pPr>
              <w:spacing w:after="0"/>
              <w:rPr>
                <w:sz w:val="20"/>
                <w:szCs w:val="20"/>
                <w:color w:val="auto"/>
              </w:rPr>
            </w:pPr>
            <w:r>
              <w:rPr>
                <w:rFonts w:ascii="Arial" w:cs="Arial" w:eastAsia="Arial" w:hAnsi="Arial"/>
                <w:sz w:val="12"/>
                <w:szCs w:val="12"/>
                <w:color w:val="auto"/>
              </w:rPr>
              <w:t>Date:</w:t>
            </w:r>
          </w:p>
        </w:tc>
        <w:tc>
          <w:tcPr>
            <w:tcW w:w="2980" w:type="dxa"/>
            <w:vAlign w:val="bottom"/>
          </w:tcPr>
          <w:p>
            <w:pPr>
              <w:ind w:left="240"/>
              <w:spacing w:after="0"/>
              <w:rPr>
                <w:sz w:val="20"/>
                <w:szCs w:val="20"/>
                <w:color w:val="auto"/>
              </w:rPr>
            </w:pPr>
            <w:r>
              <w:rPr>
                <w:rFonts w:ascii="Arial" w:cs="Arial" w:eastAsia="Arial" w:hAnsi="Arial"/>
                <w:sz w:val="12"/>
                <w:szCs w:val="12"/>
                <w:color w:val="auto"/>
              </w:rPr>
              <w:t>May 12, 2020</w:t>
            </w:r>
          </w:p>
        </w:tc>
        <w:tc>
          <w:tcPr>
            <w:tcW w:w="2920" w:type="dxa"/>
            <w:vAlign w:val="bottom"/>
          </w:tcPr>
          <w:p>
            <w:pPr>
              <w:ind w:left="2020"/>
              <w:spacing w:after="0"/>
              <w:rPr>
                <w:sz w:val="20"/>
                <w:szCs w:val="20"/>
                <w:color w:val="auto"/>
              </w:rPr>
            </w:pPr>
            <w:r>
              <w:rPr>
                <w:rFonts w:ascii="Arial" w:cs="Arial" w:eastAsia="Arial" w:hAnsi="Arial"/>
                <w:sz w:val="12"/>
                <w:szCs w:val="12"/>
                <w:color w:val="auto"/>
              </w:rPr>
              <w:t>By:</w:t>
            </w: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2"/>
                <w:szCs w:val="12"/>
                <w:i w:val="1"/>
                <w:iCs w:val="1"/>
                <w:color w:val="auto"/>
              </w:rPr>
              <w:t>/s/ David A. Zinsner</w:t>
            </w:r>
          </w:p>
        </w:tc>
      </w:tr>
      <w:tr>
        <w:trPr>
          <w:trHeight w:val="160"/>
        </w:trPr>
        <w:tc>
          <w:tcPr>
            <w:tcW w:w="5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920" w:type="dxa"/>
            <w:vAlign w:val="bottom"/>
          </w:tcPr>
          <w:p>
            <w:pPr>
              <w:ind w:left="2020"/>
              <w:spacing w:after="0"/>
              <w:rPr>
                <w:sz w:val="20"/>
                <w:szCs w:val="20"/>
                <w:color w:val="auto"/>
              </w:rPr>
            </w:pPr>
            <w:r>
              <w:rPr>
                <w:rFonts w:ascii="Arial" w:cs="Arial" w:eastAsia="Arial" w:hAnsi="Arial"/>
                <w:sz w:val="12"/>
                <w:szCs w:val="12"/>
                <w:color w:val="auto"/>
              </w:rPr>
              <w:t>Name:</w:t>
            </w:r>
          </w:p>
        </w:tc>
        <w:tc>
          <w:tcPr>
            <w:tcW w:w="4300" w:type="dxa"/>
            <w:vAlign w:val="bottom"/>
          </w:tcPr>
          <w:p>
            <w:pPr>
              <w:ind w:left="20"/>
              <w:spacing w:after="0"/>
              <w:rPr>
                <w:sz w:val="20"/>
                <w:szCs w:val="20"/>
                <w:color w:val="auto"/>
              </w:rPr>
            </w:pPr>
            <w:r>
              <w:rPr>
                <w:rFonts w:ascii="Arial" w:cs="Arial" w:eastAsia="Arial" w:hAnsi="Arial"/>
                <w:sz w:val="12"/>
                <w:szCs w:val="12"/>
                <w:color w:val="auto"/>
              </w:rPr>
              <w:t>David A. Zinsner</w:t>
            </w:r>
          </w:p>
        </w:tc>
      </w:tr>
      <w:tr>
        <w:trPr>
          <w:trHeight w:val="171"/>
        </w:trPr>
        <w:tc>
          <w:tcPr>
            <w:tcW w:w="5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920" w:type="dxa"/>
            <w:vAlign w:val="bottom"/>
          </w:tcPr>
          <w:p>
            <w:pPr>
              <w:ind w:left="2020"/>
              <w:spacing w:after="0"/>
              <w:rPr>
                <w:sz w:val="20"/>
                <w:szCs w:val="20"/>
                <w:color w:val="auto"/>
              </w:rPr>
            </w:pPr>
            <w:r>
              <w:rPr>
                <w:rFonts w:ascii="Arial" w:cs="Arial" w:eastAsia="Arial" w:hAnsi="Arial"/>
                <w:sz w:val="12"/>
                <w:szCs w:val="12"/>
                <w:color w:val="auto"/>
              </w:rPr>
              <w:t>Title:</w:t>
            </w:r>
          </w:p>
        </w:tc>
        <w:tc>
          <w:tcPr>
            <w:tcW w:w="4300" w:type="dxa"/>
            <w:vAlign w:val="bottom"/>
          </w:tcPr>
          <w:p>
            <w:pPr>
              <w:ind w:left="20"/>
              <w:spacing w:after="0"/>
              <w:rPr>
                <w:sz w:val="20"/>
                <w:szCs w:val="20"/>
                <w:color w:val="auto"/>
              </w:rPr>
            </w:pPr>
            <w:r>
              <w:rPr>
                <w:rFonts w:ascii="Arial" w:cs="Arial" w:eastAsia="Arial" w:hAnsi="Arial"/>
                <w:sz w:val="12"/>
                <w:szCs w:val="12"/>
                <w:color w:val="auto"/>
              </w:rPr>
              <w:t>Senior Vice President and Chief Financial Officer</w:t>
            </w:r>
          </w:p>
        </w:tc>
      </w:tr>
    </w:tbl>
    <w:p>
      <w:pPr>
        <w:sectPr>
          <w:pgSz w:w="11900" w:h="16838" w:orient="portrait"/>
          <w:cols w:equalWidth="0" w:num="1">
            <w:col w:w="10720"/>
          </w:cols>
          <w:pgMar w:left="300" w:top="800" w:right="87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2020-05-12T06:52:26Z</dcterms:created>
  <dcterms:modified xsi:type="dcterms:W3CDTF">2020-05-12T06:52:26Z</dcterms:modified>
</cp:coreProperties>
</file>