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2)*</w:t>
      </w:r>
    </w:p>
    <w:p>
      <w:pPr>
        <w:spacing w:after="0" w:line="37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595112-10-3</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2005</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7"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6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Page 1</w:t>
      </w:r>
    </w:p>
    <w:p>
      <w:pPr>
        <w:spacing w:after="0" w:line="31"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of 7 Pages</w:t>
      </w:r>
    </w:p>
    <w:p>
      <w:pPr>
        <w:spacing w:after="0" w:line="200" w:lineRule="exact"/>
        <w:rPr>
          <w:sz w:val="24"/>
          <w:szCs w:val="24"/>
          <w:color w:val="auto"/>
        </w:rPr>
      </w:pPr>
    </w:p>
    <w:p>
      <w:pPr>
        <w:spacing w:after="0" w:line="37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right="34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Citigroup Global Markets Holdings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New York</w:t>
      </w:r>
    </w:p>
    <w:p>
      <w:pPr>
        <w:sectPr>
          <w:pgSz w:w="11900" w:h="16838" w:orient="portrait"/>
          <w:cols w:equalWidth="0" w:num="1">
            <w:col w:w="10219"/>
          </w:cols>
          <w:pgMar w:left="240" w:top="623" w:right="1440" w:bottom="19"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11,590,556*</w:t>
      </w:r>
    </w:p>
    <w:p>
      <w:pPr>
        <w:ind w:left="812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OWNED BY</w:t>
      </w: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11,590,556*</w:t>
      </w:r>
    </w:p>
    <w:p>
      <w:pPr>
        <w:ind w:left="812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WITH:</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11,590,556*</w:t>
      </w:r>
    </w:p>
    <w:p>
      <w:pPr>
        <w:ind w:left="81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jc w:val="right"/>
        <w:ind w:right="1879"/>
        <w:spacing w:after="0" w:line="309" w:lineRule="auto"/>
        <w:rPr>
          <w:sz w:val="20"/>
          <w:szCs w:val="20"/>
          <w:color w:val="auto"/>
        </w:rPr>
      </w:pPr>
      <w:r>
        <w:rPr>
          <w:rFonts w:ascii="Courier New" w:cs="Courier New" w:eastAsia="Courier New" w:hAnsi="Courier New"/>
          <w:sz w:val="18"/>
          <w:szCs w:val="18"/>
          <w:color w:val="auto"/>
        </w:rPr>
        <w:t>(11) PERCENT OF CLASS REPRESENTED BY AMOUNT IN ROW (9)                    1.9%* **</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right="2099" w:hanging="316"/>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Prior to the sale of Smith Barney Fund Management LLC and the Asset Management division of Citigroup Global Markets Inc. to Legg Mason, Inc. effective as of December 1, 2005 (the "Sale"), Citigroup Global Markets Holdings Inc. and Citigroup Inc. (collectively, the "Reporting Persons") beneficially owned more than 5% of the Issuer's securities. Upon completion of the Sale, the Reporting Persons no longer beneficially owned more than 5% of the Issuer's securities.</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Assumes conversion/exercise of certain securities held.</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right="34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Citigroup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11,920,300*</w:t>
      </w:r>
    </w:p>
    <w:p>
      <w:pPr>
        <w:ind w:left="812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800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ectPr>
          <w:pgSz w:w="11900" w:h="16838" w:orient="portrait"/>
          <w:cols w:equalWidth="0" w:num="1">
            <w:col w:w="10219"/>
          </w:cols>
          <w:pgMar w:left="240" w:top="110" w:right="1440" w:bottom="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296"/>
        </w:trPr>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REPORTING</w:t>
            </w:r>
          </w:p>
        </w:tc>
        <w:tc>
          <w:tcPr>
            <w:tcW w:w="61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58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PERSON</w:t>
            </w:r>
          </w:p>
        </w:tc>
        <w:tc>
          <w:tcPr>
            <w:tcW w:w="6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 SHARED DISPOSITIVE POWER</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11,920,300*</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58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WITH:</w:t>
            </w:r>
          </w:p>
        </w:tc>
        <w:tc>
          <w:tcPr>
            <w:tcW w:w="42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41"/>
        </w:trPr>
        <w:tc>
          <w:tcPr>
            <w:tcW w:w="1580" w:type="dxa"/>
            <w:vAlign w:val="bottom"/>
            <w:vMerge w:val="continue"/>
          </w:tcPr>
          <w:p>
            <w:pPr>
              <w:spacing w:after="0"/>
              <w:rPr>
                <w:sz w:val="12"/>
                <w:szCs w:val="12"/>
                <w:color w:val="auto"/>
              </w:rPr>
            </w:pPr>
          </w:p>
        </w:tc>
        <w:tc>
          <w:tcPr>
            <w:tcW w:w="4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jc w:val="right"/>
        <w:ind w:right="1879"/>
        <w:spacing w:after="0"/>
        <w:tabs>
          <w:tab w:leader="none" w:pos="134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11,920,300*</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jc w:val="right"/>
        <w:ind w:right="1879"/>
        <w:spacing w:after="0"/>
        <w:tabs>
          <w:tab w:leader="none" w:pos="72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1.9%*</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372"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420" w:right="1879" w:hanging="42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Prior to the Sale, the Reporting Persons beneficially owned more than 5% of the Issuer's securities. Upon completion of the Sale, the Reporting Persons no longer beneficially owned more than 5% of the Issuer's securities.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Assumes conversion/exercise of certain securities held.</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Includes shares held by the other reporting person.</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8000 S. Federal Way</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Boise, Idaho 83716</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Global Markets Holdings Inc. ("CGM Holdings")</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Inc. ("Citigroup")</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Office or, if none, Residence: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address of the principal office of CGM Holdings is: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388 Greenwich Street</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New York, NY 10013</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address of the principal office of Citigroup is: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399 Park Avenue</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New York, NY 10043</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CGM Holdings is a New York corporation.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is a Delaware corporation.</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pacing w:after="0" w:line="20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4</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of 7 Pages</w:t>
      </w:r>
    </w:p>
    <w:p>
      <w:pPr>
        <w:spacing w:after="0" w:line="37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240.13d-2(b) or (c), Check Whether the Person Filing Is a(n):</w:t>
      </w:r>
    </w:p>
    <w:p>
      <w:pPr>
        <w:sectPr>
          <w:pgSz w:w="11900" w:h="16838" w:orient="portrait"/>
          <w:cols w:equalWidth="0" w:num="1">
            <w:col w:w="10219"/>
          </w:cols>
          <w:pgMar w:left="240" w:top="110" w:right="1440" w:bottom="0" w:gutter="0" w:footer="0" w:header="0"/>
        </w:sectPr>
      </w:pPr>
    </w:p>
    <w:bookmarkStart w:id="3" w:name="page4"/>
    <w:bookmarkEnd w:id="3"/>
    <w:p>
      <w:pPr>
        <w:ind w:left="2320" w:right="2519" w:hanging="943"/>
        <w:spacing w:after="0" w:line="347" w:lineRule="auto"/>
        <w:tabs>
          <w:tab w:leader="none" w:pos="18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320" w:right="2519" w:hanging="943"/>
        <w:spacing w:after="0" w:line="347" w:lineRule="auto"/>
        <w:tabs>
          <w:tab w:leader="none" w:pos="189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2320" w:right="2419" w:hanging="943"/>
        <w:spacing w:after="0" w:line="402" w:lineRule="auto"/>
        <w:tabs>
          <w:tab w:leader="none" w:pos="189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900" w:hanging="523"/>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Section</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320" w:right="2319" w:hanging="943"/>
        <w:spacing w:after="0" w:line="347"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Section 240.13d-1(b)(1)(ii)(F);</w:t>
      </w:r>
    </w:p>
    <w:p>
      <w:pPr>
        <w:spacing w:after="0" w:line="18" w:lineRule="exact"/>
        <w:rPr>
          <w:rFonts w:ascii="Courier New" w:cs="Courier New" w:eastAsia="Courier New" w:hAnsi="Courier New"/>
          <w:sz w:val="18"/>
          <w:szCs w:val="18"/>
          <w:color w:val="auto"/>
        </w:rPr>
      </w:pPr>
    </w:p>
    <w:p>
      <w:pPr>
        <w:ind w:left="2320" w:right="2199" w:hanging="943"/>
        <w:spacing w:after="0" w:line="347"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Section 240.13d-1(b)(1)(ii)(G);</w:t>
      </w:r>
    </w:p>
    <w:p>
      <w:pPr>
        <w:spacing w:after="0" w:line="18" w:lineRule="exact"/>
        <w:rPr>
          <w:rFonts w:ascii="Courier New" w:cs="Courier New" w:eastAsia="Courier New" w:hAnsi="Courier New"/>
          <w:sz w:val="18"/>
          <w:szCs w:val="18"/>
          <w:color w:val="auto"/>
        </w:rPr>
      </w:pPr>
    </w:p>
    <w:p>
      <w:pPr>
        <w:ind w:left="2320" w:right="2319" w:hanging="943"/>
        <w:spacing w:after="0" w:line="347"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2320" w:right="2199" w:hanging="943"/>
        <w:spacing w:after="0" w:line="292"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0" w:lineRule="exact"/>
        <w:rPr>
          <w:sz w:val="20"/>
          <w:szCs w:val="20"/>
          <w:color w:val="auto"/>
        </w:rPr>
      </w:pPr>
    </w:p>
    <w:p>
      <w:pPr>
        <w:spacing w:after="0" w:line="22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2005)</w:t>
      </w:r>
    </w:p>
    <w:p>
      <w:pPr>
        <w:spacing w:after="0" w:line="201" w:lineRule="exact"/>
        <w:rPr>
          <w:sz w:val="20"/>
          <w:szCs w:val="20"/>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00" w:lineRule="exact"/>
        <w:rPr>
          <w:sz w:val="20"/>
          <w:szCs w:val="20"/>
          <w:color w:val="auto"/>
        </w:rPr>
      </w:pPr>
    </w:p>
    <w:p>
      <w:pPr>
        <w:spacing w:after="0" w:line="22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Items 5-8 of cover pages</w:t>
      </w:r>
    </w:p>
    <w:p>
      <w:pPr>
        <w:spacing w:after="0" w:line="200" w:lineRule="exact"/>
        <w:rPr>
          <w:sz w:val="20"/>
          <w:szCs w:val="20"/>
          <w:color w:val="auto"/>
        </w:rPr>
      </w:pPr>
    </w:p>
    <w:p>
      <w:pPr>
        <w:spacing w:after="0" w:line="204"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Page 5</w:t>
      </w:r>
    </w:p>
    <w:p>
      <w:pPr>
        <w:spacing w:after="0" w:line="3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of 7 Pages</w:t>
      </w:r>
    </w:p>
    <w:p>
      <w:pPr>
        <w:spacing w:after="0" w:line="3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right="177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right="2199" w:hanging="1052"/>
        <w:spacing w:after="0" w:line="402"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right="2199"/>
        <w:spacing w:after="0" w:line="260" w:lineRule="auto"/>
        <w:rPr>
          <w:sz w:val="20"/>
          <w:szCs w:val="20"/>
          <w:color w:val="auto"/>
        </w:rPr>
      </w:pPr>
      <w:r>
        <w:rPr>
          <w:rFonts w:ascii="Courier New" w:cs="Courier New" w:eastAsia="Courier New" w:hAnsi="Courier New"/>
          <w:sz w:val="18"/>
          <w:szCs w:val="18"/>
          <w:color w:val="auto"/>
        </w:rPr>
        <w:t>Prior to the Sale, Smith Barney Fund Management LLC, an investment adviser in accordance with Section 240.13d-1(b)(1)(ii)(E), and the Asset Management division of Citigroup Global Markets Inc., a broker-dealer chartered under Section 15 of the Act (15 U.S.C. 78o), each directly beneficially owned the security being reported on by the parent holding companies.</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2" w:right="1440" w:bottom="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6</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3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099" w:firstLine="1053"/>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19" w:firstLine="105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5, 2006</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Ali L. Karshan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Ali L. Karshan</w:t>
      </w:r>
    </w:p>
    <w:p>
      <w:pPr>
        <w:ind w:left="2640"/>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Ali L. Karshan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Ali L. Karshan</w:t>
      </w:r>
    </w:p>
    <w:p>
      <w:pPr>
        <w:ind w:left="2640"/>
        <w:spacing w:after="0"/>
        <w:rPr>
          <w:sz w:val="20"/>
          <w:szCs w:val="20"/>
          <w:color w:val="auto"/>
        </w:rPr>
      </w:pPr>
      <w:r>
        <w:rPr>
          <w:rFonts w:ascii="Courier New" w:cs="Courier New" w:eastAsia="Courier New" w:hAnsi="Courier New"/>
          <w:sz w:val="18"/>
          <w:szCs w:val="18"/>
          <w:color w:val="auto"/>
        </w:rPr>
        <w:t>Title: Assistant Secretary</w:t>
      </w:r>
    </w:p>
    <w:p>
      <w:pPr>
        <w:spacing w:after="0" w:line="37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Page 7</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INDEX TO SCHEDULE 13G</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between CGM Holdings and Citigroup as to joint filing of Schedule 13G.</w:t>
      </w:r>
    </w:p>
    <w:p>
      <w:pPr>
        <w:sectPr>
          <w:pgSz w:w="11900" w:h="16838" w:orient="portrait"/>
          <w:cols w:equalWidth="0" w:num="1">
            <w:col w:w="10219"/>
          </w:cols>
          <w:pgMar w:left="240" w:top="110"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AGREEMENT AS TO JOINT FILING OF SCHEDULE 13G</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Each of the undersigned hereby affirms that it is individually eligible to use Schedule 13G, and agrees that this Schedule 13G is filed on its behalf.</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5, 2006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Ali L. Karshan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Ali L. Karshan</w:t>
      </w:r>
    </w:p>
    <w:p>
      <w:pPr>
        <w:ind w:left="2640"/>
        <w:spacing w:after="0"/>
        <w:rPr>
          <w:sz w:val="20"/>
          <w:szCs w:val="20"/>
          <w:color w:val="auto"/>
        </w:rPr>
      </w:pPr>
      <w:r>
        <w:rPr>
          <w:rFonts w:ascii="Courier New" w:cs="Courier New" w:eastAsia="Courier New" w:hAnsi="Courier New"/>
          <w:sz w:val="18"/>
          <w:szCs w:val="18"/>
          <w:color w:val="auto"/>
        </w:rPr>
        <w:t>Title: Assistant Secretary</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Ali L. Karshan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Ali L. Karshan</w:t>
      </w:r>
    </w:p>
    <w:p>
      <w:pPr>
        <w:ind w:left="2640"/>
        <w:spacing w:after="0"/>
        <w:rPr>
          <w:sz w:val="20"/>
          <w:szCs w:val="20"/>
          <w:color w:val="auto"/>
        </w:rPr>
      </w:pPr>
      <w:r>
        <w:rPr>
          <w:rFonts w:ascii="Courier New" w:cs="Courier New" w:eastAsia="Courier New" w:hAnsi="Courier New"/>
          <w:sz w:val="18"/>
          <w:szCs w:val="18"/>
          <w:color w:val="auto"/>
        </w:rPr>
        <w:t>Title: Assistant Secretary</w:t>
      </w:r>
    </w:p>
    <w:sectPr>
      <w:pgSz w:w="11900" w:h="16838" w:orient="portrait"/>
      <w:cols w:equalWidth="0" w:num="1">
        <w:col w:w="10219"/>
      </w:cols>
      <w:pgMar w:left="2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1190CDE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9">
    <w:nsid w:val="109CF92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0">
    <w:nsid w:val="DED72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lowerLetter"/>
      <w:start w:val="6"/>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2019-12-13T13:17:07Z</dcterms:created>
  <dcterms:modified xsi:type="dcterms:W3CDTF">2019-12-13T13:17:07Z</dcterms:modified>
</cp:coreProperties>
</file>