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i w:val="1"/>
          <w:iCs w:val="1"/>
          <w:color w:val="auto"/>
        </w:rPr>
        <w:t>Filed Pursuant to Rule 433</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Registration No. 333-275276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Issuer Free Writing Prospectus dated January 13, 2025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Relating to Preliminary Prospectus Supplement dated January 13, 2025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JANUARY 13,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$1,000,000,000 5.80% SENIOR NOTES DUE 2035</w:t>
      </w:r>
    </w:p>
    <w:p>
      <w:pPr>
        <w:spacing w:after="0" w:line="229" w:lineRule="exact"/>
        <w:rPr>
          <w:sz w:val="24"/>
          <w:szCs w:val="24"/>
          <w:color w:val="auto"/>
        </w:rPr>
      </w:pPr>
    </w:p>
    <w:p>
      <w:pPr>
        <w:ind w:right="180" w:firstLine="653"/>
        <w:spacing w:after="0" w:line="261" w:lineRule="auto"/>
        <w:rPr>
          <w:sz w:val="20"/>
          <w:szCs w:val="20"/>
          <w:color w:val="auto"/>
        </w:rPr>
      </w:pPr>
      <w:r>
        <w:rPr>
          <w:rFonts w:ascii="Times New Roman" w:cs="Times New Roman" w:eastAsia="Times New Roman" w:hAnsi="Times New Roman"/>
          <w:sz w:val="18"/>
          <w:szCs w:val="18"/>
          <w:color w:val="auto"/>
        </w:rPr>
        <w:t>The information in this pricing term sheet supplements Micron Technology, Inc.’s (“Micron”) preliminary prospectus supplement, dated January 13, 2025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Micron Technology, Inc. (Nasdaq: MU)</w:t>
            </w:r>
          </w:p>
        </w:tc>
      </w:tr>
      <w:tr>
        <w:trPr>
          <w:trHeight w:val="432"/>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$1,000,000,000 aggregate principal amount of 5.80% Senior Notes due 2035 (“notes”)</w:t>
            </w:r>
          </w:p>
        </w:tc>
      </w:tr>
      <w:tr>
        <w:trPr>
          <w:trHeight w:val="432"/>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Pricing Date:</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January 13, 2025</w:t>
            </w:r>
          </w:p>
        </w:tc>
      </w:tr>
      <w:tr>
        <w:trPr>
          <w:trHeight w:val="432"/>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Closing Date:*</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January 16, 2025 (T+3)</w:t>
            </w:r>
          </w:p>
        </w:tc>
      </w:tr>
      <w:tr>
        <w:trPr>
          <w:trHeight w:val="432"/>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r>
      <w:tr>
        <w:trPr>
          <w:trHeight w:val="41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Micron estimates that the net proceeds from the sale of the notes, after deducting underwriter discounts and</w:t>
            </w:r>
          </w:p>
        </w:tc>
      </w:tr>
      <w:tr>
        <w:trPr>
          <w:trHeight w:val="234"/>
        </w:trPr>
        <w:tc>
          <w:tcPr>
            <w:tcW w:w="2620" w:type="dxa"/>
            <w:vAlign w:val="bottom"/>
          </w:tcPr>
          <w:p>
            <w:pPr>
              <w:spacing w:after="0"/>
              <w:rPr>
                <w:sz w:val="20"/>
                <w:szCs w:val="20"/>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other estimated offering expenses, will be approximately $992 million.</w:t>
            </w:r>
          </w:p>
        </w:tc>
      </w:tr>
      <w:tr>
        <w:trPr>
          <w:trHeight w:val="414"/>
        </w:trPr>
        <w:tc>
          <w:tcPr>
            <w:tcW w:w="2620" w:type="dxa"/>
            <w:vAlign w:val="bottom"/>
          </w:tcPr>
          <w:p>
            <w:pPr>
              <w:spacing w:after="0"/>
              <w:rPr>
                <w:sz w:val="24"/>
                <w:szCs w:val="24"/>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Micron intends to use the net proceeds from the sale of the notes to pay the redemption price of the 2026</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notes Redemption and any remainder of the net proceeds for general corporate purposes, which may include</w:t>
            </w:r>
          </w:p>
        </w:tc>
      </w:tr>
      <w:tr>
        <w:trPr>
          <w:trHeight w:val="234"/>
        </w:trPr>
        <w:tc>
          <w:tcPr>
            <w:tcW w:w="2620" w:type="dxa"/>
            <w:vAlign w:val="bottom"/>
          </w:tcPr>
          <w:p>
            <w:pPr>
              <w:spacing w:after="0"/>
              <w:rPr>
                <w:sz w:val="20"/>
                <w:szCs w:val="20"/>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repayment of Micron’s other indebtedness.</w:t>
            </w:r>
          </w:p>
        </w:tc>
      </w:tr>
      <w:tr>
        <w:trPr>
          <w:trHeight w:val="41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Ratings:**</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Baa3 (Stable) (Moody’s Investors Service, Inc.)</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BBB (Stable) (Fitch Ratings Inc.)</w:t>
            </w:r>
          </w:p>
        </w:tc>
      </w:tr>
      <w:tr>
        <w:trPr>
          <w:trHeight w:val="234"/>
        </w:trPr>
        <w:tc>
          <w:tcPr>
            <w:tcW w:w="2620" w:type="dxa"/>
            <w:vAlign w:val="bottom"/>
          </w:tcPr>
          <w:p>
            <w:pPr>
              <w:spacing w:after="0"/>
              <w:rPr>
                <w:sz w:val="20"/>
                <w:szCs w:val="20"/>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BBB- (Stable) (S&amp;P Global Ratings)</w:t>
            </w:r>
          </w:p>
        </w:tc>
      </w:tr>
      <w:tr>
        <w:trPr>
          <w:trHeight w:val="432"/>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January 15, 2035</w:t>
            </w:r>
          </w:p>
        </w:tc>
      </w:tr>
      <w:tr>
        <w:trPr>
          <w:trHeight w:val="432"/>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5.80% per year on the principal amount of the notes</w:t>
            </w:r>
          </w:p>
        </w:tc>
      </w:tr>
      <w:tr>
        <w:trPr>
          <w:trHeight w:val="432"/>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January 15 and July 15, beginning July 15, 2025 and accruing from January 16, 2025</w:t>
            </w:r>
          </w:p>
        </w:tc>
      </w:tr>
      <w:tr>
        <w:trPr>
          <w:trHeight w:val="432"/>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January 1 and July 1</w:t>
            </w:r>
          </w:p>
        </w:tc>
      </w:tr>
      <w:tr>
        <w:trPr>
          <w:trHeight w:val="702"/>
        </w:trPr>
        <w:tc>
          <w:tcPr>
            <w:tcW w:w="26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Price to Public: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Discount: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 Yield: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ISIN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at Micron’s Option: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8"/>
          <w:szCs w:val="18"/>
          <w:color w:val="auto"/>
        </w:rPr>
        <w:t>99.895% of the principal amount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0.40% per note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UST 4.25% due November 15, 2034</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95-24+ / 4.794%</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 basis points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5.814%</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595112 CE1</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US595112CE14</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the Par Call Date, Micron may redeem the notes at its option, in whole or in part, at any time and from time to time, at a redemption price (expressed as a percentage of principal amount and rounded to three decimal places) equal to the greater of (A)(i)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(ii) interest accrued to the date of redemption, and (B) 100% of the principal amount of the notes to be redeemed, plus, in each case, accrued and unpaid interest, if any, on the amount being redeemed to, but excluding, the date of redemption. On or after the Par Call Date, Micron may, at its option, redeem the notes in whole or in part, at any time and from time to time, at a redemption price equal to 100% of the principal amount of the notes redeemed, plus accrued and unpaid interest, if any, to, but excluding, the date of redemption.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Call Date” means October 15, 2034 (three months prior to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445770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680" w:space="660"/>
            <w:col w:w="7860"/>
          </w:cols>
          <w:pgMar w:left="340" w:top="900" w:right="35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7"/>
          <w:szCs w:val="17"/>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BNP Paribas Securities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0" w:lineRule="exact"/>
        <w:rPr>
          <w:sz w:val="20"/>
          <w:szCs w:val="20"/>
          <w:color w:val="auto"/>
        </w:rPr>
      </w:pPr>
    </w:p>
    <w:p>
      <w:pPr>
        <w:sectPr>
          <w:pgSz w:w="11900" w:h="16838" w:orient="portrait"/>
          <w:cols w:equalWidth="0" w:num="2">
            <w:col w:w="2660" w:space="720"/>
            <w:col w:w="7860"/>
          </w:cols>
          <w:pgMar w:left="320" w:top="900" w:right="339" w:bottom="1440" w:gutter="0" w:footer="0" w:header="0"/>
        </w:sectPr>
      </w:pP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ANZ Securities, Inc.</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Commerz Markets LLC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MUFG Securities Americas Inc.</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U.S. Bancorp Investments, Inc.</w:t>
      </w:r>
    </w:p>
    <w:p>
      <w:pPr>
        <w:sectPr>
          <w:pgSz w:w="11900" w:h="16838" w:orient="portrait"/>
          <w:cols w:equalWidth="0" w:num="1">
            <w:col w:w="11240"/>
          </w:cols>
          <w:pgMar w:left="320" w:top="900" w:right="339" w:bottom="1440" w:gutter="0" w:footer="0" w:header="0"/>
          <w:type w:val="continuous"/>
        </w:sect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Co-Managers: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Siebert Williams Shank &amp; Co.,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00"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Credit Agricole Securities (USA) Inc.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Truist Securities, Inc.</w:t>
      </w:r>
    </w:p>
    <w:p>
      <w:pPr>
        <w:sectPr>
          <w:pgSz w:w="11900" w:h="16838" w:orient="portrait"/>
          <w:cols w:equalWidth="0" w:num="1">
            <w:col w:w="11240"/>
          </w:cols>
          <w:pgMar w:left="320" w:top="900" w:right="339" w:bottom="1440" w:gutter="0" w:footer="0" w:header="0"/>
          <w:type w:val="continuous"/>
        </w:sectPr>
      </w:pPr>
    </w:p>
    <w:p>
      <w:pPr>
        <w:spacing w:after="0" w:line="203" w:lineRule="exact"/>
        <w:rPr>
          <w:sz w:val="20"/>
          <w:szCs w:val="20"/>
          <w:color w:val="auto"/>
        </w:rPr>
      </w:pPr>
    </w:p>
    <w:p>
      <w:pPr>
        <w:ind w:right="40" w:firstLine="656"/>
        <w:spacing w:after="0" w:line="259" w:lineRule="auto"/>
        <w:tabs>
          <w:tab w:leader="none" w:pos="783"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 is expected that delivery of the notes will be made against payment therefor on or about January 16, 2025, which will be the third business day following the date of pricing of the notes. Under Rule 15c6-1 of the Securities Exchange Act of 1934, as amended, trades in the secondary market generally are required to settle in one business day, unless the parties to any such trade expressly agree otherwise. Accordingly, purchasers who wish to trade notes on any date prior to the date that is one business day before delivery will be required, by virtue of the fact that the notes initially will settle in three business days (T+3), to specify alternative settlement arrangements to prevent a failed settlement.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Note: A securities rating is not a recommendation to buy, sell or hold securities and may be subject to revision or withdrawal at 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2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Morgan Stanley &amp; Co. LLC toll free at 1-866-718-1649, BNP Paribas Securities Corp. toll free at 1-800-854-5674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J.P. Morgan Securities LLC at 1-212-834-4533 or Wells Fargo Securities, LLC toll free at 1-800-645-3751.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2025-01-13T16:21:01Z</dcterms:created>
  <dcterms:modified xsi:type="dcterms:W3CDTF">2025-01-13T16:21:01Z</dcterms:modified>
</cp:coreProperties>
</file>