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9019"/>
          </w:cols>
          <w:pgMar w:left="1440" w:top="229" w:right="1440" w:bottom="0" w:gutter="0" w:footer="0" w:header="0"/>
        </w:sectPr>
      </w:pPr>
    </w:p>
    <w:p>
      <w:pPr>
        <w:spacing w:after="0" w:line="126" w:lineRule="exact"/>
        <w:rPr>
          <w:sz w:val="24"/>
          <w:szCs w:val="24"/>
          <w:color w:val="auto"/>
        </w:rPr>
      </w:pPr>
    </w:p>
    <w:p>
      <w:pPr>
        <w:jc w:val="both"/>
        <w:ind w:left="2200" w:firstLine="685"/>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84" w:lineRule="exact"/>
        <w:rPr>
          <w:sz w:val="24"/>
          <w:szCs w:val="24"/>
          <w:color w:val="auto"/>
        </w:rPr>
      </w:pPr>
    </w:p>
    <w:p>
      <w:pPr>
        <w:sectPr>
          <w:pgSz w:w="11900" w:h="16838" w:orient="portrait"/>
          <w:cols w:equalWidth="0" w:num="2">
            <w:col w:w="6140" w:space="620"/>
            <w:col w:w="2259"/>
          </w:cols>
          <w:pgMar w:left="1440" w:top="229" w:right="1440"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Filed by a Party other than the Registrant o</w:t>
      </w:r>
    </w:p>
    <w:p>
      <w:pPr>
        <w:sectPr>
          <w:pgSz w:w="11900" w:h="16838" w:orient="portrait"/>
          <w:cols w:equalWidth="0" w:num="1">
            <w:col w:w="9019"/>
          </w:cols>
          <w:pgMar w:left="1440" w:top="229" w:right="1440" w:bottom="0" w:gutter="0" w:footer="0" w:header="0"/>
          <w:type w:val="continuous"/>
        </w:sectPr>
      </w:pPr>
    </w:p>
    <w:p>
      <w:pPr>
        <w:spacing w:after="0" w:line="10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Check the appropriate box:</w:t>
      </w:r>
    </w:p>
    <w:p>
      <w:pPr>
        <w:spacing w:after="0" w:line="12" w:lineRule="exact"/>
        <w:rPr>
          <w:sz w:val="24"/>
          <w:szCs w:val="24"/>
          <w:color w:val="auto"/>
        </w:rPr>
      </w:pPr>
    </w:p>
    <w:p>
      <w:pPr>
        <w:ind w:left="1580" w:hanging="273"/>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7" w:lineRule="exact"/>
        <w:rPr>
          <w:rFonts w:ascii="Arial" w:cs="Arial" w:eastAsia="Arial" w:hAnsi="Arial"/>
          <w:sz w:val="18"/>
          <w:szCs w:val="18"/>
          <w:color w:val="auto"/>
        </w:rPr>
      </w:pPr>
    </w:p>
    <w:p>
      <w:pPr>
        <w:ind w:left="1580" w:hanging="273"/>
        <w:spacing w:after="0"/>
        <w:tabs>
          <w:tab w:leader="none" w:pos="1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(2))</w:t>
      </w:r>
    </w:p>
    <w:p>
      <w:pPr>
        <w:spacing w:after="0" w:line="211" w:lineRule="exact"/>
        <w:rPr>
          <w:sz w:val="24"/>
          <w:szCs w:val="24"/>
          <w:color w:val="auto"/>
        </w:rPr>
      </w:pPr>
    </w:p>
    <w:p>
      <w:pPr>
        <w:ind w:left="1580" w:hanging="273"/>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3" w:lineRule="exact"/>
        <w:rPr>
          <w:rFonts w:ascii="Arial" w:cs="Arial" w:eastAsia="Arial" w:hAnsi="Arial"/>
          <w:sz w:val="18"/>
          <w:szCs w:val="18"/>
          <w:color w:val="auto"/>
        </w:rPr>
      </w:pPr>
    </w:p>
    <w:p>
      <w:pPr>
        <w:ind w:left="1580" w:hanging="273"/>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Micron Technology,</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-3175</wp:posOffset>
            </wp:positionV>
            <wp:extent cx="14147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(Name of Registrant as</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Specified In Its Charter)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Person(s)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-130810</wp:posOffset>
            </wp:positionV>
            <wp:extent cx="1414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Proxy Statement, if other than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the Registrant)</w:t>
      </w:r>
    </w:p>
    <w:p>
      <w:pPr>
        <w:spacing w:after="0" w:line="211"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Payment of Filing Fee (Check</w:t>
      </w:r>
    </w:p>
    <w:p>
      <w:pPr>
        <w:spacing w:after="0" w:line="23"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the appropriate box):</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xNo fee required.</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oFee computed on table below</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per Exchange Act Rules 14a-</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6(i)(1) and 0-11.</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Title of each class of</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to which</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(1)transaction applies:</w:t>
      </w:r>
    </w:p>
    <w:p>
      <w:pPr>
        <w:spacing w:after="0" w:line="22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Aggregate number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2355850</wp:posOffset>
            </wp:positionH>
            <wp:positionV relativeFrom="paragraph">
              <wp:posOffset>-130175</wp:posOffset>
            </wp:positionV>
            <wp:extent cx="1217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to which</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(2)transaction applies:</w:t>
      </w:r>
    </w:p>
    <w:p>
      <w:pPr>
        <w:spacing w:after="0" w:line="21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(3)Per unit price or other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2355850</wp:posOffset>
            </wp:positionH>
            <wp:positionV relativeFrom="paragraph">
              <wp:posOffset>-121920</wp:posOffset>
            </wp:positionV>
            <wp:extent cx="1217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underlying value of</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transaction computed</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pursuant to Exchange Act</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Rule 0-11 (set forth the</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amount on which the</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filing fee is calculated and</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state how it was</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determined):</w:t>
      </w:r>
    </w:p>
    <w:p>
      <w:pPr>
        <w:spacing w:after="0" w:line="22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Proposed maximum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2355850</wp:posOffset>
            </wp:positionH>
            <wp:positionV relativeFrom="paragraph">
              <wp:posOffset>-130175</wp:posOffset>
            </wp:positionV>
            <wp:extent cx="1217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aggregate value of</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(4)transaction:</w:t>
      </w:r>
    </w:p>
    <w:p>
      <w:pPr>
        <w:spacing w:after="0" w:line="224"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(5)Total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2355850</wp:posOffset>
            </wp:positionH>
            <wp:positionV relativeFrom="paragraph">
              <wp:posOffset>-130175</wp:posOffset>
            </wp:positionV>
            <wp:extent cx="1217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5"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oFee paid previously 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2355850</wp:posOffset>
            </wp:positionH>
            <wp:positionV relativeFrom="paragraph">
              <wp:posOffset>-121920</wp:posOffset>
            </wp:positionV>
            <wp:extent cx="1217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preliminary materials.</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oCheck box if any part of the</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fee is offset as provided by</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Exchange Act Rule 0-11(a)</w:t>
      </w:r>
    </w:p>
    <w:p>
      <w:pPr>
        <w:spacing w:after="0" w:line="9" w:lineRule="exact"/>
        <w:rPr>
          <w:sz w:val="24"/>
          <w:szCs w:val="24"/>
          <w:color w:val="auto"/>
        </w:rPr>
      </w:pPr>
    </w:p>
    <w:p>
      <w:pPr>
        <w:ind w:left="3500" w:right="3459" w:hanging="6"/>
        <w:spacing w:after="0" w:line="250" w:lineRule="auto"/>
        <w:tabs>
          <w:tab w:leader="none" w:pos="37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identify the filing for which the offsetting fee was paid previously. Identify the previous filing by registration statement number, or the Form or Schedule and the date of its filing.</w:t>
      </w:r>
    </w:p>
    <w:p>
      <w:pPr>
        <w:spacing w:after="0" w:line="3" w:lineRule="exact"/>
        <w:rPr>
          <w:rFonts w:ascii="Arial" w:cs="Arial" w:eastAsia="Arial" w:hAnsi="Arial"/>
          <w:sz w:val="18"/>
          <w:szCs w:val="18"/>
          <w:color w:val="auto"/>
        </w:rPr>
      </w:pPr>
    </w:p>
    <w:p>
      <w:pPr>
        <w:ind w:left="3720" w:hanging="226"/>
        <w:spacing w:after="0"/>
        <w:tabs>
          <w:tab w:leader="none" w:pos="3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(2)Form, Schedule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2355850</wp:posOffset>
            </wp:positionH>
            <wp:positionV relativeFrom="paragraph">
              <wp:posOffset>-121920</wp:posOffset>
            </wp:positionV>
            <wp:extent cx="1217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Registration Statement</w:t>
      </w:r>
    </w:p>
    <w:p>
      <w:pPr>
        <w:sectPr>
          <w:pgSz w:w="11900" w:h="16838" w:orient="portrait"/>
          <w:cols w:equalWidth="0" w:num="1">
            <w:col w:w="9019"/>
          </w:cols>
          <w:pgMar w:left="1440" w:top="229" w:right="1440" w:bottom="0" w:gutter="0" w:footer="0" w:header="0"/>
          <w:type w:val="continuous"/>
        </w:sectPr>
      </w:pPr>
    </w:p>
    <w:bookmarkStart w:id="1" w:name="page2"/>
    <w:bookmarkEnd w:id="1"/>
    <w:p>
      <w:pPr>
        <w:ind w:left="4920"/>
        <w:spacing w:after="0"/>
        <w:rPr>
          <w:sz w:val="20"/>
          <w:szCs w:val="20"/>
          <w:color w:val="auto"/>
        </w:rPr>
      </w:pPr>
      <w:r>
        <w:rPr>
          <w:rFonts w:ascii="Arial" w:cs="Arial" w:eastAsia="Arial" w:hAnsi="Arial"/>
          <w:sz w:val="18"/>
          <w:szCs w:val="18"/>
          <w:color w:val="auto"/>
        </w:rPr>
        <w:t>No.:</w:t>
      </w:r>
    </w:p>
    <w:p>
      <w:pPr>
        <w:spacing w:after="0" w:line="2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-130175</wp:posOffset>
            </wp:positionV>
            <wp:extent cx="12179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152400</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-130175</wp:posOffset>
            </wp:positionV>
            <wp:extent cx="1217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Persons who are to</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respond to the collection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of information contained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in this form are not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required to respond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unless the form displays</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 currently valid OMB</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648970</wp:posOffset>
            </wp:positionV>
            <wp:extent cx="247015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2005 Annual Meeting of Shareholders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December 6, 2005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117" w:lineRule="exact"/>
        <w:rPr>
          <w:sz w:val="20"/>
          <w:szCs w:val="20"/>
          <w:color w:val="auto"/>
        </w:rPr>
      </w:pPr>
    </w:p>
    <w:p>
      <w:pPr>
        <w:ind w:right="180" w:firstLine="360"/>
        <w:spacing w:after="0" w:line="270" w:lineRule="auto"/>
        <w:rPr>
          <w:sz w:val="20"/>
          <w:szCs w:val="20"/>
          <w:color w:val="auto"/>
        </w:rPr>
      </w:pPr>
      <w:r>
        <w:rPr>
          <w:rFonts w:ascii="Arial" w:cs="Arial" w:eastAsia="Arial" w:hAnsi="Arial"/>
          <w:sz w:val="18"/>
          <w:szCs w:val="18"/>
          <w:color w:val="auto"/>
        </w:rPr>
        <w:t xml:space="preserve">NOTICE IS HEREBY GIVEN </w:t>
      </w:r>
      <w:r>
        <w:rPr>
          <w:rFonts w:ascii="Arial" w:cs="Arial" w:eastAsia="Arial" w:hAnsi="Arial"/>
          <w:sz w:val="17"/>
          <w:szCs w:val="17"/>
          <w:color w:val="auto"/>
        </w:rPr>
        <w:t>that the 2005 Annual Meeting of Shareholders of Micron Technology, Inc., a Delaware corporation (the “Company”), will</w:t>
      </w:r>
      <w:r>
        <w:rPr>
          <w:rFonts w:ascii="Arial" w:cs="Arial" w:eastAsia="Arial" w:hAnsi="Arial"/>
          <w:sz w:val="18"/>
          <w:szCs w:val="18"/>
          <w:color w:val="auto"/>
        </w:rPr>
        <w:t xml:space="preserve"> </w:t>
      </w:r>
      <w:r>
        <w:rPr>
          <w:rFonts w:ascii="Arial" w:cs="Arial" w:eastAsia="Arial" w:hAnsi="Arial"/>
          <w:sz w:val="17"/>
          <w:szCs w:val="17"/>
          <w:color w:val="auto"/>
        </w:rPr>
        <w:t>be held on December 6, 2005, at 9:00 a.m., Mountain Standard Time, at the Company’s headquarters located at 8000 South Federal Way, Boise, Idaho 83716-9632, for the following purposes:</w:t>
      </w:r>
    </w:p>
    <w:p>
      <w:pPr>
        <w:spacing w:after="0" w:line="71" w:lineRule="exact"/>
        <w:rPr>
          <w:sz w:val="20"/>
          <w:szCs w:val="20"/>
          <w:color w:val="auto"/>
        </w:rPr>
      </w:pPr>
    </w:p>
    <w:p>
      <w:pPr>
        <w:ind w:left="720" w:hanging="35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117" w:lineRule="exact"/>
        <w:rPr>
          <w:rFonts w:ascii="Arial" w:cs="Arial" w:eastAsia="Arial" w:hAnsi="Arial"/>
          <w:sz w:val="18"/>
          <w:szCs w:val="18"/>
          <w:color w:val="auto"/>
        </w:rPr>
      </w:pPr>
    </w:p>
    <w:p>
      <w:pPr>
        <w:ind w:left="720" w:right="500" w:hanging="352"/>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2004 Equity Incentive Plan increasing the number of shares reserved for issuance thereunder by 12,000,000;</w:t>
      </w:r>
    </w:p>
    <w:p>
      <w:pPr>
        <w:spacing w:after="0" w:line="62" w:lineRule="exact"/>
        <w:rPr>
          <w:rFonts w:ascii="Arial" w:cs="Arial" w:eastAsia="Arial" w:hAnsi="Arial"/>
          <w:sz w:val="18"/>
          <w:szCs w:val="18"/>
          <w:color w:val="auto"/>
        </w:rPr>
      </w:pPr>
    </w:p>
    <w:p>
      <w:pPr>
        <w:ind w:left="720" w:right="320" w:hanging="352"/>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Registered Public Accounting Firm of the Company for the fiscal year ending August 31, 2006; and</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Only shareholders of record at the close of business on October 12, 2005,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79"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6"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Roderic W. Lewis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Vice President of Legal Affairs,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General Counsel &amp; Corporate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7, 2005</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557530</wp:posOffset>
            </wp:positionV>
            <wp:extent cx="2470150" cy="71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71183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9"/>
          <w:szCs w:val="19"/>
          <w:b w:val="1"/>
          <w:bCs w:val="1"/>
          <w:color w:val="auto"/>
        </w:rPr>
        <w:t>8000 South Federal Way</w:t>
      </w:r>
    </w:p>
    <w:p>
      <w:pPr>
        <w:spacing w:after="0" w:line="49"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86360</wp:posOffset>
            </wp:positionV>
            <wp:extent cx="138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 w:name="page3"/>
    <w:bookmarkEnd w:id="2"/>
    <w:p>
      <w:pPr>
        <w:ind w:left="4820"/>
        <w:spacing w:after="0"/>
        <w:rPr>
          <w:sz w:val="20"/>
          <w:szCs w:val="20"/>
          <w:color w:val="auto"/>
        </w:rPr>
      </w:pPr>
      <w:r>
        <w:rPr>
          <w:rFonts w:ascii="Arial" w:cs="Arial" w:eastAsia="Arial" w:hAnsi="Arial"/>
          <w:sz w:val="18"/>
          <w:szCs w:val="18"/>
          <w:b w:val="1"/>
          <w:bCs w:val="1"/>
          <w:color w:val="auto"/>
        </w:rPr>
        <w:t>PROXY STATEMENT</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2005 ANNUAL MEETING OF SHAREHOLDERS</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December 6, 2005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117475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enclosed proxy is solicited on behalf of the Board of Directors of Micron Technology, Inc. (the “Company”), for use at the 2005 Annual Meeting of Shareholders to be held on December 6, 2005, at 9:00 a.m., Mountain Standard Time, or at any adjournment or postponement thereof (the “Annual Meeting”). The purposes of the Annual Meeting are set forth herein and in the accompanying Notice of 2005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and enclosed proxy card are first being mailed on or about November 7, 2005, to all shareholders entitled to vote at the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Shareholders of record at the close of business on October 12, 2005 (the “Record Date”), are entitled to notice of and to vote at the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121" w:lineRule="exact"/>
        <w:rPr>
          <w:sz w:val="20"/>
          <w:szCs w:val="20"/>
          <w:color w:val="auto"/>
        </w:rPr>
      </w:pPr>
    </w:p>
    <w:p>
      <w:pPr>
        <w:jc w:val="both"/>
        <w:ind w:right="400" w:firstLine="360"/>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or facsimile. The Company intends to use the services of Georgeson Shareholder Communications, Inc., a proxy solicitation firm, in connection with the solicitation of proxies. Although the exact cost of the solicitation services is not known at this time, it is anticipated that the fees and expenses paid by the Company for these services will be approximately $50,000.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94"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Company has one class of stock outstanding, common stock, $.10 par value per share (the “Common Stock”). At October 12, 2005, the Record Date, 617,876,892 shares of Common Stock were issued and outstanding and entitled to vote.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94"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Under the Delaware General Corporation Law and the Company’s Restated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7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Shares held in a brokerage account or by another nominee are considered held in “street name” by the shareholder or “beneficial owner.” A broker or nominee holding shares for a beneficial owner may not vote on matters relating to equity compensation plans unless the broker or nominee receives specific voting instructions from the beneficial owner of the shares. As a result, absent specific instructions, brokers or nominees may not vote a beneficial owner’s shares on Proposal 2 and such shares will be considered “broker non-votes” for those proposals.</w:t>
      </w:r>
    </w:p>
    <w:p>
      <w:pPr>
        <w:spacing w:after="0" w:line="50"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The seven nominees for director receiving the highest number of “FOR” votes will be elected, regardless of whether any one of them receives the vote of a majority of the Votes Cast. With respect to each other item of business, the “FOR” vote of a majority of the Votes Cast is required in order for such matter to be considered approved by the shareholders. Abstentions and broker non-votes will not count as Votes Cast “FOR” any nominee or proposal.</w:t>
      </w:r>
    </w:p>
    <w:p>
      <w:pPr>
        <w:spacing w:after="0" w:line="1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Cumulative voting for the election of directors shall not be required unless a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ectPr>
          <w:pgSz w:w="11900" w:h="16838" w:orient="portrait"/>
          <w:cols w:equalWidth="0" w:num="1">
            <w:col w:w="11420"/>
          </w:cols>
          <w:pgMar w:left="240" w:top="121" w:right="239" w:bottom="77" w:gutter="0" w:footer="0" w:header="0"/>
        </w:sectPr>
      </w:pPr>
    </w:p>
    <w:bookmarkStart w:id="3" w:name="page4"/>
    <w:bookmarkEnd w:id="3"/>
    <w:p>
      <w:pPr>
        <w:spacing w:after="0" w:line="2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8"/>
          <w:szCs w:val="18"/>
          <w:b w:val="1"/>
          <w:bCs w:val="1"/>
          <w:color w:val="auto"/>
        </w:rPr>
        <w:t>If no instructions are given with respect to a properly executed Proxy timely received by the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Company,the</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shares of the Company’s Common 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 named herein as directors, or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substitutes as may be appointed by the 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an amendment to the Company’s 2004 Equity Incentive Plan increasing the number of shares reserved for issuance thereunder by 12,000,000,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the Independent Registered Public Accounting Firm of the Company for fiscal 2006, and (vi) in the discretion of the proxy holders for such other matter or matters which may properly come before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following table sets forth security ownership information as of the Record Date (October 12, 2005),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0" w:type="dxa"/>
            <w:vAlign w:val="bottom"/>
          </w:tcPr>
          <w:p>
            <w:pPr>
              <w:spacing w:after="0"/>
              <w:rPr>
                <w:sz w:val="14"/>
                <w:szCs w:val="14"/>
                <w:color w:val="auto"/>
              </w:rPr>
            </w:pPr>
          </w:p>
        </w:tc>
        <w:tc>
          <w:tcPr>
            <w:tcW w:w="1160" w:type="dxa"/>
            <w:vAlign w:val="bottom"/>
          </w:tcPr>
          <w:p>
            <w:pPr>
              <w:jc w:val="right"/>
              <w:ind w:right="161"/>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Right to</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Shares Owned (1)</w:t>
            </w: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Acquire (2)</w:t>
            </w:r>
          </w:p>
        </w:tc>
        <w:tc>
          <w:tcPr>
            <w:tcW w:w="1000" w:type="dxa"/>
            <w:vAlign w:val="bottom"/>
            <w:gridSpan w:val="2"/>
            <w:vMerge w:val="continue"/>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Class (3)</w:t>
            </w: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20" w:type="dxa"/>
            <w:vAlign w:val="bottom"/>
            <w:tcBorders>
              <w:top w:val="single" w:sz="8" w:color="auto"/>
            </w:tcBorders>
            <w:gridSpan w:val="2"/>
            <w:shd w:val="clear" w:color="auto" w:fill="CCEEFF"/>
          </w:tcPr>
          <w:p>
            <w:pPr>
              <w:spacing w:after="0" w:line="165" w:lineRule="exact"/>
              <w:rPr>
                <w:sz w:val="20"/>
                <w:szCs w:val="20"/>
                <w:color w:val="auto"/>
              </w:rPr>
            </w:pPr>
            <w:r>
              <w:rPr>
                <w:rFonts w:ascii="Arial" w:cs="Arial" w:eastAsia="Arial" w:hAnsi="Arial"/>
                <w:sz w:val="17"/>
                <w:szCs w:val="17"/>
                <w:color w:val="auto"/>
              </w:rPr>
              <w:t>Barclays Global Investors, NA (4)</w:t>
            </w:r>
          </w:p>
        </w:tc>
        <w:tc>
          <w:tcPr>
            <w:tcW w:w="1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1"/>
              <w:spacing w:after="0" w:line="165" w:lineRule="exact"/>
              <w:rPr>
                <w:sz w:val="20"/>
                <w:szCs w:val="20"/>
                <w:color w:val="auto"/>
              </w:rPr>
            </w:pPr>
            <w:r>
              <w:rPr>
                <w:rFonts w:ascii="Arial" w:cs="Arial" w:eastAsia="Arial" w:hAnsi="Arial"/>
                <w:sz w:val="17"/>
                <w:szCs w:val="17"/>
                <w:color w:val="auto"/>
              </w:rPr>
              <w:t>32,806,595</w:t>
            </w: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7"/>
                <w:szCs w:val="17"/>
                <w:color w:val="auto"/>
                <w:w w:val="91"/>
              </w:rPr>
              <w:t>32,806,595</w:t>
            </w:r>
          </w:p>
        </w:tc>
        <w:tc>
          <w:tcPr>
            <w:tcW w:w="1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7"/>
                <w:szCs w:val="17"/>
                <w:color w:val="auto"/>
              </w:rPr>
              <w:t>5.3%</w:t>
            </w: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45 Fremont Street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San Francisco, CA 94105</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Brandes Investment Partners, L.P. (5)</w:t>
            </w:r>
          </w:p>
        </w:tc>
        <w:tc>
          <w:tcPr>
            <w:tcW w:w="1340" w:type="dxa"/>
            <w:vAlign w:val="bottom"/>
            <w:gridSpan w:val="2"/>
          </w:tcPr>
          <w:p>
            <w:pPr>
              <w:jc w:val="right"/>
              <w:ind w:right="101"/>
              <w:spacing w:after="0"/>
              <w:rPr>
                <w:sz w:val="20"/>
                <w:szCs w:val="20"/>
                <w:color w:val="auto"/>
              </w:rPr>
            </w:pPr>
            <w:r>
              <w:rPr>
                <w:rFonts w:ascii="Arial" w:cs="Arial" w:eastAsia="Arial" w:hAnsi="Arial"/>
                <w:sz w:val="17"/>
                <w:szCs w:val="17"/>
                <w:color w:val="auto"/>
              </w:rPr>
              <w:t>63,886,621</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63,886,621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11988 El Camino Real, Suite 500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San Diego, CA 92130</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Research and Management Company (6)</w:t>
            </w: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89,805,000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3,817,440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93,622,440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333 South Hope Street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Los Angeles, CA 90071-1406</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Citigroup, Global Markets, Inc. (7)</w:t>
            </w:r>
          </w:p>
        </w:tc>
        <w:tc>
          <w:tcPr>
            <w:tcW w:w="1340" w:type="dxa"/>
            <w:vAlign w:val="bottom"/>
            <w:gridSpan w:val="2"/>
          </w:tcPr>
          <w:p>
            <w:pPr>
              <w:jc w:val="right"/>
              <w:ind w:right="101"/>
              <w:spacing w:after="0"/>
              <w:rPr>
                <w:sz w:val="20"/>
                <w:szCs w:val="20"/>
                <w:color w:val="auto"/>
              </w:rPr>
            </w:pPr>
            <w:r>
              <w:rPr>
                <w:rFonts w:ascii="Arial" w:cs="Arial" w:eastAsia="Arial" w:hAnsi="Arial"/>
                <w:sz w:val="17"/>
                <w:szCs w:val="17"/>
                <w:color w:val="auto"/>
              </w:rPr>
              <w:t>49,018,000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49,018,000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388 Greenwich Street</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New York, NY 10013</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Goldman Sachs &amp; Co. (8)</w:t>
            </w: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31,923,777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31,923,777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85 Broad Street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New York, NY 10004</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Intel Capital Corporation (9)</w:t>
            </w:r>
          </w:p>
        </w:tc>
        <w:tc>
          <w:tcPr>
            <w:tcW w:w="18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center"/>
              <w:ind w:left="55"/>
              <w:spacing w:after="0"/>
              <w:rPr>
                <w:sz w:val="20"/>
                <w:szCs w:val="20"/>
                <w:color w:val="auto"/>
              </w:rPr>
            </w:pPr>
            <w:r>
              <w:rPr>
                <w:rFonts w:ascii="Arial" w:cs="Arial" w:eastAsia="Arial" w:hAnsi="Arial"/>
                <w:sz w:val="17"/>
                <w:szCs w:val="17"/>
                <w:color w:val="auto"/>
                <w:w w:val="89"/>
              </w:rPr>
              <w:t>33,860,045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33,860,045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2200 Mission College Boulevard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Santa Clara, CA 95025</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PRIMECAP Management Company (10)</w:t>
            </w: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55,367,806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55,367,806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225 South Lake Avenue, Suite 400</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Pasadena, CA 91101-3005</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Steven R. Appleton (11)</w:t>
            </w:r>
          </w:p>
        </w:tc>
        <w:tc>
          <w:tcPr>
            <w:tcW w:w="1340" w:type="dxa"/>
            <w:vAlign w:val="bottom"/>
            <w:gridSpan w:val="2"/>
          </w:tcPr>
          <w:p>
            <w:pPr>
              <w:jc w:val="right"/>
              <w:ind w:right="101"/>
              <w:spacing w:after="0"/>
              <w:rPr>
                <w:sz w:val="20"/>
                <w:szCs w:val="20"/>
                <w:color w:val="auto"/>
              </w:rPr>
            </w:pPr>
            <w:r>
              <w:rPr>
                <w:rFonts w:ascii="Arial" w:cs="Arial" w:eastAsia="Arial" w:hAnsi="Arial"/>
                <w:sz w:val="17"/>
                <w:szCs w:val="17"/>
                <w:color w:val="auto"/>
              </w:rPr>
              <w:t>771,438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2,760,000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3,531,438</w:t>
            </w:r>
          </w:p>
        </w:tc>
        <w:tc>
          <w:tcPr>
            <w:tcW w:w="180" w:type="dxa"/>
            <w:vAlign w:val="bottom"/>
          </w:tcPr>
          <w:p>
            <w:pPr>
              <w:spacing w:after="0"/>
              <w:rPr>
                <w:sz w:val="19"/>
                <w:szCs w:val="19"/>
                <w:color w:val="auto"/>
              </w:rPr>
            </w:pPr>
          </w:p>
        </w:tc>
        <w:tc>
          <w:tcPr>
            <w:tcW w:w="7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James W. Bagley (12)</w:t>
            </w:r>
          </w:p>
        </w:tc>
        <w:tc>
          <w:tcPr>
            <w:tcW w:w="1340" w:type="dxa"/>
            <w:vAlign w:val="bottom"/>
            <w:gridSpan w:val="2"/>
            <w:shd w:val="clear" w:color="auto" w:fill="CCEEFF"/>
          </w:tcPr>
          <w:p>
            <w:pPr>
              <w:jc w:val="right"/>
              <w:ind w:right="101"/>
              <w:spacing w:after="0" w:line="191" w:lineRule="exact"/>
              <w:rPr>
                <w:sz w:val="20"/>
                <w:szCs w:val="20"/>
                <w:color w:val="auto"/>
              </w:rPr>
            </w:pPr>
            <w:r>
              <w:rPr>
                <w:rFonts w:ascii="Arial" w:cs="Arial" w:eastAsia="Arial" w:hAnsi="Arial"/>
                <w:sz w:val="17"/>
                <w:szCs w:val="17"/>
                <w:color w:val="auto"/>
              </w:rPr>
              <w:t>5,000</w:t>
            </w:r>
          </w:p>
        </w:tc>
        <w:tc>
          <w:tcPr>
            <w:tcW w:w="102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91,283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96,283</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6"/>
              <w:spacing w:after="0" w:line="191"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Robert J. Gove</w:t>
            </w:r>
          </w:p>
        </w:tc>
        <w:tc>
          <w:tcPr>
            <w:tcW w:w="1340" w:type="dxa"/>
            <w:vAlign w:val="bottom"/>
            <w:gridSpan w:val="2"/>
          </w:tcPr>
          <w:p>
            <w:pPr>
              <w:jc w:val="right"/>
              <w:ind w:right="101"/>
              <w:spacing w:after="0" w:line="189" w:lineRule="exact"/>
              <w:rPr>
                <w:sz w:val="20"/>
                <w:szCs w:val="20"/>
                <w:color w:val="auto"/>
              </w:rPr>
            </w:pPr>
            <w:r>
              <w:rPr>
                <w:rFonts w:ascii="Arial" w:cs="Arial" w:eastAsia="Arial" w:hAnsi="Arial"/>
                <w:sz w:val="17"/>
                <w:szCs w:val="17"/>
                <w:color w:val="auto"/>
              </w:rPr>
              <w:t>105,908</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837,000</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942,908</w:t>
            </w:r>
          </w:p>
        </w:tc>
        <w:tc>
          <w:tcPr>
            <w:tcW w:w="180" w:type="dxa"/>
            <w:vAlign w:val="bottom"/>
          </w:tcPr>
          <w:p>
            <w:pPr>
              <w:spacing w:after="0"/>
              <w:rPr>
                <w:sz w:val="16"/>
                <w:szCs w:val="16"/>
                <w:color w:val="auto"/>
              </w:rPr>
            </w:pPr>
          </w:p>
        </w:tc>
        <w:tc>
          <w:tcPr>
            <w:tcW w:w="72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Mercedes Johnson (12)</w:t>
            </w:r>
          </w:p>
        </w:tc>
        <w:tc>
          <w:tcPr>
            <w:tcW w:w="1340" w:type="dxa"/>
            <w:vAlign w:val="bottom"/>
            <w:gridSpan w:val="2"/>
            <w:shd w:val="clear" w:color="auto" w:fill="CCEEFF"/>
          </w:tcPr>
          <w:p>
            <w:pPr>
              <w:jc w:val="right"/>
              <w:ind w:right="101"/>
              <w:spacing w:after="0" w:line="189" w:lineRule="exact"/>
              <w:rPr>
                <w:sz w:val="20"/>
                <w:szCs w:val="20"/>
                <w:color w:val="auto"/>
              </w:rPr>
            </w:pPr>
            <w:r>
              <w:rPr>
                <w:rFonts w:ascii="Arial" w:cs="Arial" w:eastAsia="Arial" w:hAnsi="Arial"/>
                <w:sz w:val="17"/>
                <w:szCs w:val="17"/>
                <w:color w:val="auto"/>
              </w:rPr>
              <w:t>3,580</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17,500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21,080</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Roderic W. Lewis</w:t>
            </w:r>
          </w:p>
        </w:tc>
        <w:tc>
          <w:tcPr>
            <w:tcW w:w="1340" w:type="dxa"/>
            <w:vAlign w:val="bottom"/>
            <w:gridSpan w:val="2"/>
          </w:tcPr>
          <w:p>
            <w:pPr>
              <w:jc w:val="right"/>
              <w:ind w:right="101"/>
              <w:spacing w:after="0" w:line="189" w:lineRule="exact"/>
              <w:rPr>
                <w:sz w:val="20"/>
                <w:szCs w:val="20"/>
                <w:color w:val="auto"/>
              </w:rPr>
            </w:pPr>
            <w:r>
              <w:rPr>
                <w:rFonts w:ascii="Arial" w:cs="Arial" w:eastAsia="Arial" w:hAnsi="Arial"/>
                <w:sz w:val="17"/>
                <w:szCs w:val="17"/>
                <w:color w:val="auto"/>
              </w:rPr>
              <w:t>166,515</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1,580,000</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1,746,515</w:t>
            </w:r>
          </w:p>
        </w:tc>
        <w:tc>
          <w:tcPr>
            <w:tcW w:w="180" w:type="dxa"/>
            <w:vAlign w:val="bottom"/>
          </w:tcPr>
          <w:p>
            <w:pPr>
              <w:spacing w:after="0"/>
              <w:rPr>
                <w:sz w:val="16"/>
                <w:szCs w:val="16"/>
                <w:color w:val="auto"/>
              </w:rPr>
            </w:pPr>
          </w:p>
        </w:tc>
        <w:tc>
          <w:tcPr>
            <w:tcW w:w="72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Robert A. Lothrop (12)(13)</w:t>
            </w:r>
          </w:p>
        </w:tc>
        <w:tc>
          <w:tcPr>
            <w:tcW w:w="1340" w:type="dxa"/>
            <w:vAlign w:val="bottom"/>
            <w:gridSpan w:val="2"/>
            <w:shd w:val="clear" w:color="auto" w:fill="CCEEFF"/>
          </w:tcPr>
          <w:p>
            <w:pPr>
              <w:jc w:val="right"/>
              <w:ind w:right="101"/>
              <w:spacing w:after="0" w:line="189" w:lineRule="exact"/>
              <w:rPr>
                <w:sz w:val="20"/>
                <w:szCs w:val="20"/>
                <w:color w:val="auto"/>
              </w:rPr>
            </w:pPr>
            <w:r>
              <w:rPr>
                <w:rFonts w:ascii="Arial" w:cs="Arial" w:eastAsia="Arial" w:hAnsi="Arial"/>
                <w:sz w:val="17"/>
                <w:szCs w:val="17"/>
                <w:color w:val="auto"/>
              </w:rPr>
              <w:t>94,288</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80,933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175,221</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Lawrence N. Mondry (12)</w:t>
            </w:r>
          </w:p>
        </w:tc>
        <w:tc>
          <w:tcPr>
            <w:tcW w:w="1340" w:type="dxa"/>
            <w:vAlign w:val="bottom"/>
            <w:gridSpan w:val="2"/>
          </w:tcPr>
          <w:p>
            <w:pPr>
              <w:jc w:val="right"/>
              <w:ind w:right="101"/>
              <w:spacing w:after="0" w:line="189" w:lineRule="exact"/>
              <w:rPr>
                <w:sz w:val="20"/>
                <w:szCs w:val="20"/>
                <w:color w:val="auto"/>
              </w:rPr>
            </w:pPr>
            <w:r>
              <w:rPr>
                <w:rFonts w:ascii="Arial" w:cs="Arial" w:eastAsia="Arial" w:hAnsi="Arial"/>
                <w:sz w:val="17"/>
                <w:szCs w:val="17"/>
                <w:color w:val="auto"/>
              </w:rPr>
              <w:t>2,500</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17,500</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20,000</w:t>
            </w:r>
          </w:p>
        </w:tc>
        <w:tc>
          <w:tcPr>
            <w:tcW w:w="180" w:type="dxa"/>
            <w:vAlign w:val="bottom"/>
          </w:tcPr>
          <w:p>
            <w:pPr>
              <w:spacing w:after="0"/>
              <w:rPr>
                <w:sz w:val="16"/>
                <w:szCs w:val="16"/>
                <w:color w:val="auto"/>
              </w:rPr>
            </w:pPr>
          </w:p>
        </w:tc>
        <w:tc>
          <w:tcPr>
            <w:tcW w:w="72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Michael W. Sadler</w:t>
            </w:r>
          </w:p>
        </w:tc>
        <w:tc>
          <w:tcPr>
            <w:tcW w:w="1340" w:type="dxa"/>
            <w:vAlign w:val="bottom"/>
            <w:gridSpan w:val="2"/>
            <w:shd w:val="clear" w:color="auto" w:fill="CCEEFF"/>
          </w:tcPr>
          <w:p>
            <w:pPr>
              <w:jc w:val="right"/>
              <w:ind w:right="101"/>
              <w:spacing w:after="0" w:line="189" w:lineRule="exact"/>
              <w:rPr>
                <w:sz w:val="20"/>
                <w:szCs w:val="20"/>
                <w:color w:val="auto"/>
              </w:rPr>
            </w:pPr>
            <w:r>
              <w:rPr>
                <w:rFonts w:ascii="Arial" w:cs="Arial" w:eastAsia="Arial" w:hAnsi="Arial"/>
                <w:sz w:val="17"/>
                <w:szCs w:val="17"/>
                <w:color w:val="auto"/>
              </w:rPr>
              <w:t>139,280</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1,464,000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1,603,280</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Gordon C. Smith (12)(14)</w:t>
            </w:r>
          </w:p>
        </w:tc>
        <w:tc>
          <w:tcPr>
            <w:tcW w:w="1340" w:type="dxa"/>
            <w:vAlign w:val="bottom"/>
            <w:gridSpan w:val="2"/>
          </w:tcPr>
          <w:p>
            <w:pPr>
              <w:jc w:val="right"/>
              <w:ind w:right="101"/>
              <w:spacing w:after="0" w:line="189" w:lineRule="exact"/>
              <w:rPr>
                <w:sz w:val="20"/>
                <w:szCs w:val="20"/>
                <w:color w:val="auto"/>
              </w:rPr>
            </w:pPr>
            <w:r>
              <w:rPr>
                <w:rFonts w:ascii="Arial" w:cs="Arial" w:eastAsia="Arial" w:hAnsi="Arial"/>
                <w:sz w:val="17"/>
                <w:szCs w:val="17"/>
                <w:color w:val="auto"/>
              </w:rPr>
              <w:t>12,754</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41,000</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53,754</w:t>
            </w:r>
          </w:p>
        </w:tc>
        <w:tc>
          <w:tcPr>
            <w:tcW w:w="180" w:type="dxa"/>
            <w:vAlign w:val="bottom"/>
          </w:tcPr>
          <w:p>
            <w:pPr>
              <w:spacing w:after="0"/>
              <w:rPr>
                <w:sz w:val="16"/>
                <w:szCs w:val="16"/>
                <w:color w:val="auto"/>
              </w:rPr>
            </w:pPr>
          </w:p>
        </w:tc>
        <w:tc>
          <w:tcPr>
            <w:tcW w:w="72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Wilbur G. Stover, Jr. (15)</w:t>
            </w:r>
          </w:p>
        </w:tc>
        <w:tc>
          <w:tcPr>
            <w:tcW w:w="1340" w:type="dxa"/>
            <w:vAlign w:val="bottom"/>
            <w:gridSpan w:val="2"/>
            <w:shd w:val="clear" w:color="auto" w:fill="CCEEFF"/>
          </w:tcPr>
          <w:p>
            <w:pPr>
              <w:jc w:val="right"/>
              <w:ind w:right="101"/>
              <w:spacing w:after="0" w:line="189" w:lineRule="exact"/>
              <w:rPr>
                <w:sz w:val="20"/>
                <w:szCs w:val="20"/>
                <w:color w:val="auto"/>
              </w:rPr>
            </w:pPr>
            <w:r>
              <w:rPr>
                <w:rFonts w:ascii="Arial" w:cs="Arial" w:eastAsia="Arial" w:hAnsi="Arial"/>
                <w:sz w:val="17"/>
                <w:szCs w:val="17"/>
                <w:color w:val="auto"/>
              </w:rPr>
              <w:t>137,000</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1,497,000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1,634,000</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William P. Weber (12)</w:t>
            </w:r>
          </w:p>
        </w:tc>
        <w:tc>
          <w:tcPr>
            <w:tcW w:w="1340" w:type="dxa"/>
            <w:vAlign w:val="bottom"/>
            <w:gridSpan w:val="2"/>
          </w:tcPr>
          <w:p>
            <w:pPr>
              <w:jc w:val="right"/>
              <w:ind w:right="101"/>
              <w:spacing w:after="0" w:line="189" w:lineRule="exact"/>
              <w:rPr>
                <w:sz w:val="20"/>
                <w:szCs w:val="20"/>
                <w:color w:val="auto"/>
              </w:rPr>
            </w:pPr>
            <w:r>
              <w:rPr>
                <w:rFonts w:ascii="Arial" w:cs="Arial" w:eastAsia="Arial" w:hAnsi="Arial"/>
                <w:sz w:val="17"/>
                <w:szCs w:val="17"/>
                <w:color w:val="auto"/>
              </w:rPr>
              <w:t>78,848</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60,000</w:t>
            </w: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138,848</w:t>
            </w:r>
          </w:p>
        </w:tc>
        <w:tc>
          <w:tcPr>
            <w:tcW w:w="180" w:type="dxa"/>
            <w:vAlign w:val="bottom"/>
          </w:tcPr>
          <w:p>
            <w:pPr>
              <w:spacing w:after="0"/>
              <w:rPr>
                <w:sz w:val="16"/>
                <w:szCs w:val="16"/>
                <w:color w:val="auto"/>
              </w:rPr>
            </w:pPr>
          </w:p>
        </w:tc>
        <w:tc>
          <w:tcPr>
            <w:tcW w:w="72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directors and executive officers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as a group (16 persons)</w:t>
            </w: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2,530,063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14,007,716</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16,537,779</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4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gridSpan w:val="2"/>
          </w:tcPr>
          <w:p>
            <w:pPr>
              <w:spacing w:after="0"/>
              <w:rPr>
                <w:sz w:val="7"/>
                <w:szCs w:val="7"/>
                <w:color w:val="auto"/>
              </w:rPr>
            </w:pPr>
          </w:p>
        </w:tc>
        <w:tc>
          <w:tcPr>
            <w:tcW w:w="3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2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5240" w:type="dxa"/>
            <w:vAlign w:val="bottom"/>
            <w:gridSpan w:val="3"/>
          </w:tcPr>
          <w:p>
            <w:pPr>
              <w:ind w:left="160"/>
              <w:spacing w:after="0"/>
              <w:rPr>
                <w:sz w:val="20"/>
                <w:szCs w:val="20"/>
                <w:color w:val="auto"/>
              </w:rPr>
            </w:pPr>
            <w:r>
              <w:rPr>
                <w:rFonts w:ascii="Arial" w:cs="Arial" w:eastAsia="Arial" w:hAnsi="Arial"/>
                <w:sz w:val="17"/>
                <w:szCs w:val="17"/>
                <w:color w:val="auto"/>
              </w:rPr>
              <w:t>Represents less than 1% of shares outstanding</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Excludes shares that may be acquired through the exercise of outstanding stock options. Includes shares of restricted stock that are subject to a risk of forfeiture.</w:t>
      </w:r>
    </w:p>
    <w:p>
      <w:pPr>
        <w:spacing w:after="0" w:line="138" w:lineRule="exact"/>
        <w:rPr>
          <w:rFonts w:ascii="Arial" w:cs="Arial" w:eastAsia="Arial" w:hAnsi="Arial"/>
          <w:sz w:val="15"/>
          <w:szCs w:val="15"/>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shares that an individual or entity has a right to acquire within 60 days of October 12, 2005.</w:t>
      </w:r>
    </w:p>
    <w:p>
      <w:pPr>
        <w:spacing w:after="0" w:line="115" w:lineRule="exact"/>
        <w:rPr>
          <w:rFonts w:ascii="Arial" w:cs="Arial" w:eastAsia="Arial" w:hAnsi="Arial"/>
          <w:sz w:val="17"/>
          <w:szCs w:val="17"/>
          <w:color w:val="auto"/>
        </w:rPr>
      </w:pPr>
    </w:p>
    <w:p>
      <w:pPr>
        <w:ind w:left="360" w:right="120" w:hanging="352"/>
        <w:spacing w:after="0" w:line="342" w:lineRule="auto"/>
        <w:tabs>
          <w:tab w:leader="none" w:pos="327"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21" w:lineRule="exact"/>
        <w:rPr>
          <w:rFonts w:ascii="Arial" w:cs="Arial" w:eastAsia="Arial" w:hAnsi="Arial"/>
          <w:sz w:val="15"/>
          <w:szCs w:val="15"/>
          <w:color w:val="auto"/>
        </w:rPr>
      </w:pPr>
    </w:p>
    <w:p>
      <w:pPr>
        <w:ind w:left="360" w:right="560" w:hanging="352"/>
        <w:spacing w:after="0" w:line="274" w:lineRule="auto"/>
        <w:tabs>
          <w:tab w:leader="none" w:pos="327" w:val="left"/>
        </w:tabs>
        <w:numPr>
          <w:ilvl w:val="0"/>
          <w:numId w:val="6"/>
        </w:numPr>
        <w:rPr>
          <w:rFonts w:ascii="Arial" w:cs="Arial" w:eastAsia="Arial" w:hAnsi="Arial"/>
          <w:sz w:val="17"/>
          <w:szCs w:val="17"/>
          <w:color w:val="auto"/>
        </w:rPr>
      </w:pPr>
      <w:r>
        <w:rPr>
          <w:rFonts w:ascii="Arial" w:cs="Arial" w:eastAsia="Arial" w:hAnsi="Arial"/>
          <w:sz w:val="17"/>
          <w:szCs w:val="17"/>
          <w:color w:val="auto"/>
        </w:rPr>
        <w:t>Barclays Global Investors, NA, and its affiliates have sole voting power as to 29,458,728 shares and sole dispositive power as to 32,806,595 shares. This information is taken from a Schedule 13G dated December 31, 2004.</w:t>
      </w:r>
    </w:p>
    <w:p>
      <w:pPr>
        <w:spacing w:after="0" w:line="66" w:lineRule="exact"/>
        <w:rPr>
          <w:rFonts w:ascii="Arial" w:cs="Arial" w:eastAsia="Arial" w:hAnsi="Arial"/>
          <w:sz w:val="17"/>
          <w:szCs w:val="17"/>
          <w:color w:val="auto"/>
        </w:rPr>
      </w:pPr>
    </w:p>
    <w:p>
      <w:pPr>
        <w:ind w:left="360" w:right="120" w:hanging="352"/>
        <w:spacing w:after="0" w:line="274" w:lineRule="auto"/>
        <w:tabs>
          <w:tab w:leader="none" w:pos="327" w:val="left"/>
        </w:tabs>
        <w:numPr>
          <w:ilvl w:val="0"/>
          <w:numId w:val="6"/>
        </w:numPr>
        <w:rPr>
          <w:rFonts w:ascii="Arial" w:cs="Arial" w:eastAsia="Arial" w:hAnsi="Arial"/>
          <w:sz w:val="17"/>
          <w:szCs w:val="17"/>
          <w:color w:val="auto"/>
        </w:rPr>
      </w:pPr>
      <w:r>
        <w:rPr>
          <w:rFonts w:ascii="Arial" w:cs="Arial" w:eastAsia="Arial" w:hAnsi="Arial"/>
          <w:sz w:val="17"/>
          <w:szCs w:val="17"/>
          <w:color w:val="auto"/>
        </w:rPr>
        <w:t>Brandes Investment Partners have shared voting power as to 50,925,672 shares and shared dispositive power as to 63,886,621 shares. This information is taken from a Schedule 13G dated February 28, 2005.</w:t>
      </w:r>
    </w:p>
    <w:p>
      <w:pPr>
        <w:spacing w:after="0" w:line="66" w:lineRule="exact"/>
        <w:rPr>
          <w:rFonts w:ascii="Arial" w:cs="Arial" w:eastAsia="Arial" w:hAnsi="Arial"/>
          <w:sz w:val="17"/>
          <w:szCs w:val="17"/>
          <w:color w:val="auto"/>
        </w:rPr>
      </w:pPr>
    </w:p>
    <w:p>
      <w:pPr>
        <w:ind w:left="360" w:right="160" w:hanging="352"/>
        <w:spacing w:after="0" w:line="312" w:lineRule="auto"/>
        <w:tabs>
          <w:tab w:leader="none" w:pos="327"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27,510,000 shares held by The Growth Fund of America, Inc. (the “Growth Fund”). The Growth Fund is an investment company advised by Capital Research and Management Company. The Growth Fund has sole voting power as to 27,510,000 shares. Capital Research and Management Company has sole dispositive power and no voting power with respect to 66,112,440 shares. Shares in the “Right to Acquire” column reflect 3,817,440 shares issuable upon</w:t>
      </w:r>
    </w:p>
    <w:p>
      <w:pPr>
        <w:sectPr>
          <w:pgSz w:w="11900" w:h="16864" w:orient="portrait"/>
          <w:cols w:equalWidth="0" w:num="1">
            <w:col w:w="11340"/>
          </w:cols>
          <w:pgMar w:left="240" w:top="125" w:right="319" w:bottom="0" w:gutter="0" w:footer="0" w:header="0"/>
        </w:sectPr>
      </w:pPr>
    </w:p>
    <w:bookmarkStart w:id="4" w:name="page5"/>
    <w:bookmarkEnd w:id="4"/>
    <w:p>
      <w:pPr>
        <w:ind w:left="360" w:right="360"/>
        <w:spacing w:after="0" w:line="274" w:lineRule="auto"/>
        <w:rPr>
          <w:sz w:val="20"/>
          <w:szCs w:val="20"/>
          <w:color w:val="auto"/>
        </w:rPr>
      </w:pPr>
      <w:r>
        <w:rPr>
          <w:rFonts w:ascii="Arial" w:cs="Arial" w:eastAsia="Arial" w:hAnsi="Arial"/>
          <w:sz w:val="17"/>
          <w:szCs w:val="17"/>
          <w:color w:val="auto"/>
        </w:rPr>
        <w:t>conversion of $45,000,000 principal amount of the Company’s 2.5% Convertible Notes due February 1, 2010. This information is taken from Schedule 13G dated December 31, 2004.</w:t>
      </w:r>
    </w:p>
    <w:p>
      <w:pPr>
        <w:spacing w:after="0" w:line="67" w:lineRule="exact"/>
        <w:rPr>
          <w:sz w:val="20"/>
          <w:szCs w:val="20"/>
          <w:color w:val="auto"/>
        </w:rPr>
      </w:pPr>
    </w:p>
    <w:p>
      <w:pPr>
        <w:ind w:left="360" w:right="820" w:hanging="352"/>
        <w:spacing w:after="0" w:line="274" w:lineRule="auto"/>
        <w:tabs>
          <w:tab w:leader="none" w:pos="327" w:val="left"/>
        </w:tabs>
        <w:numPr>
          <w:ilvl w:val="0"/>
          <w:numId w:val="7"/>
        </w:numPr>
        <w:rPr>
          <w:rFonts w:ascii="Arial" w:cs="Arial" w:eastAsia="Arial" w:hAnsi="Arial"/>
          <w:sz w:val="17"/>
          <w:szCs w:val="17"/>
          <w:color w:val="auto"/>
        </w:rPr>
      </w:pPr>
      <w:r>
        <w:rPr>
          <w:rFonts w:ascii="Arial" w:cs="Arial" w:eastAsia="Arial" w:hAnsi="Arial"/>
          <w:sz w:val="17"/>
          <w:szCs w:val="17"/>
          <w:color w:val="auto"/>
        </w:rPr>
        <w:t>Citigroup Global Markets, Inc. has shared voting and dispositive power with respect to all shares. This information was confirmed by a representative Citigroup, Inc. on October 13, 2005.</w:t>
      </w:r>
    </w:p>
    <w:p>
      <w:pPr>
        <w:spacing w:after="0" w:line="66" w:lineRule="exact"/>
        <w:rPr>
          <w:rFonts w:ascii="Arial" w:cs="Arial" w:eastAsia="Arial" w:hAnsi="Arial"/>
          <w:sz w:val="17"/>
          <w:szCs w:val="17"/>
          <w:color w:val="auto"/>
        </w:rPr>
      </w:pPr>
    </w:p>
    <w:p>
      <w:pPr>
        <w:ind w:left="360" w:right="200" w:hanging="352"/>
        <w:spacing w:after="0" w:line="274" w:lineRule="auto"/>
        <w:tabs>
          <w:tab w:leader="none" w:pos="327" w:val="left"/>
        </w:tabs>
        <w:numPr>
          <w:ilvl w:val="0"/>
          <w:numId w:val="7"/>
        </w:numPr>
        <w:rPr>
          <w:rFonts w:ascii="Arial" w:cs="Arial" w:eastAsia="Arial" w:hAnsi="Arial"/>
          <w:sz w:val="17"/>
          <w:szCs w:val="17"/>
          <w:color w:val="auto"/>
        </w:rPr>
      </w:pPr>
      <w:r>
        <w:rPr>
          <w:rFonts w:ascii="Arial" w:cs="Arial" w:eastAsia="Arial" w:hAnsi="Arial"/>
          <w:sz w:val="17"/>
          <w:szCs w:val="17"/>
          <w:color w:val="auto"/>
        </w:rPr>
        <w:t>Goldman Sachs &amp; Co. has shared voting power as to 31,917,475 shares and shared dispositive power as to 31,923,777 shares. This information is taken from a Schedule 13G dated December 31, 2004.</w:t>
      </w:r>
    </w:p>
    <w:p>
      <w:pPr>
        <w:spacing w:after="0" w:line="66"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Intel Capital Corporation holds stock rights exchangeable, at their option, into 33,860,045 shares of the Company’s Common Stock.</w:t>
      </w:r>
    </w:p>
    <w:p>
      <w:pPr>
        <w:spacing w:after="0" w:line="115" w:lineRule="exact"/>
        <w:rPr>
          <w:rFonts w:ascii="Arial" w:cs="Arial" w:eastAsia="Arial" w:hAnsi="Arial"/>
          <w:sz w:val="17"/>
          <w:szCs w:val="17"/>
          <w:color w:val="auto"/>
        </w:rPr>
      </w:pPr>
    </w:p>
    <w:p>
      <w:pPr>
        <w:ind w:left="360" w:right="540" w:hanging="352"/>
        <w:spacing w:after="0" w:line="261" w:lineRule="auto"/>
        <w:tabs>
          <w:tab w:leader="none" w:pos="327"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PRIMECAP Management Company has sole dispositive power as to all shares and sole voting power as to 6,184,969 shares. PRIMECAP Management Company’s holdings include 36,512,373 shares held by Vanguard PRIMECAP Fund. This information was confirmed by a representative of PRIMECAP Management Company on October 12, 2005.</w:t>
      </w:r>
    </w:p>
    <w:p>
      <w:pPr>
        <w:spacing w:after="0" w:line="78" w:lineRule="exact"/>
        <w:rPr>
          <w:rFonts w:ascii="Arial" w:cs="Arial" w:eastAsia="Arial" w:hAnsi="Arial"/>
          <w:sz w:val="17"/>
          <w:szCs w:val="17"/>
          <w:color w:val="auto"/>
        </w:rPr>
      </w:pPr>
    </w:p>
    <w:p>
      <w:pPr>
        <w:ind w:left="320" w:hanging="312"/>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20,000 shares beneficially owned by Mesa L.P.</w:t>
      </w:r>
    </w:p>
    <w:p>
      <w:pPr>
        <w:spacing w:after="0" w:line="115"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Does not include 5,000 shares of Restricted Stock awarded after the Record Date on October 14, 2005.</w:t>
      </w:r>
    </w:p>
    <w:p>
      <w:pPr>
        <w:spacing w:after="0" w:line="115"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82,464 shares beneficially owned in joint tenancy with Mr. Lothrop’s spouse and 848 shares beneficially owned by Mr. Lothrop’s spouse.</w:t>
      </w:r>
    </w:p>
    <w:p>
      <w:pPr>
        <w:spacing w:after="0" w:line="115"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7,754 shares beneficially owned by SFG LLC.</w:t>
      </w:r>
    </w:p>
    <w:p>
      <w:pPr>
        <w:spacing w:after="0" w:line="115"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3,900 shares beneficially owned by Mr. Stover’s minor children.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TO BE TRANSACTED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chosen and qualified, except in the case of earlier resignation or removal. The names of the seven nominees and certain information about them are set forth below:</w:t>
      </w:r>
    </w:p>
    <w:p>
      <w:pPr>
        <w:spacing w:after="0" w:line="32"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452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Principal Occupation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Served as a</w:t>
            </w:r>
          </w:p>
        </w:tc>
        <w:tc>
          <w:tcPr>
            <w:tcW w:w="0" w:type="dxa"/>
            <w:vAlign w:val="bottom"/>
          </w:tcPr>
          <w:p>
            <w:pPr>
              <w:spacing w:after="0"/>
              <w:rPr>
                <w:sz w:val="1"/>
                <w:szCs w:val="1"/>
                <w:color w:val="auto"/>
              </w:rPr>
            </w:pPr>
          </w:p>
        </w:tc>
      </w:tr>
      <w:tr>
        <w:trPr>
          <w:trHeight w:val="162"/>
        </w:trPr>
        <w:tc>
          <w:tcPr>
            <w:tcW w:w="242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520" w:type="dxa"/>
            <w:vAlign w:val="bottom"/>
            <w:gridSpan w:val="2"/>
            <w:vMerge w:val="continue"/>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Director Since</w:t>
            </w:r>
          </w:p>
        </w:tc>
        <w:tc>
          <w:tcPr>
            <w:tcW w:w="0" w:type="dxa"/>
            <w:vAlign w:val="bottom"/>
          </w:tcPr>
          <w:p>
            <w:pPr>
              <w:spacing w:after="0"/>
              <w:rPr>
                <w:sz w:val="1"/>
                <w:szCs w:val="1"/>
                <w:color w:val="auto"/>
              </w:rPr>
            </w:pPr>
          </w:p>
        </w:tc>
      </w:tr>
      <w:tr>
        <w:trPr>
          <w:trHeight w:val="195"/>
        </w:trPr>
        <w:tc>
          <w:tcPr>
            <w:tcW w:w="2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Steven R. Appleton</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45</w:t>
            </w:r>
          </w:p>
        </w:tc>
        <w:tc>
          <w:tcPr>
            <w:tcW w:w="180" w:type="dxa"/>
            <w:vAlign w:val="bottom"/>
            <w:tcBorders>
              <w:top w:val="single" w:sz="8" w:color="CCEEFF"/>
            </w:tcBorders>
            <w:shd w:val="clear" w:color="auto" w:fill="CCEEFF"/>
          </w:tcPr>
          <w:p>
            <w:pPr>
              <w:spacing w:after="0"/>
              <w:rPr>
                <w:sz w:val="16"/>
                <w:szCs w:val="16"/>
                <w:color w:val="auto"/>
              </w:rPr>
            </w:pPr>
          </w:p>
        </w:tc>
        <w:tc>
          <w:tcPr>
            <w:tcW w:w="4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Chairman, Chief Executive Officer and President of the</w:t>
            </w:r>
          </w:p>
        </w:tc>
        <w:tc>
          <w:tcPr>
            <w:tcW w:w="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1994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42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8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Executive Chairman of Lam Research Corporation</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1997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shd w:val="clear" w:color="auto" w:fill="CCEEFF"/>
          </w:tcPr>
          <w:p>
            <w:pPr>
              <w:spacing w:after="0"/>
              <w:rPr>
                <w:sz w:val="23"/>
                <w:szCs w:val="2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Former Senior Vice President, Finance, of Lam Research</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420" w:type="dxa"/>
            <w:vAlign w:val="bottom"/>
            <w:gridSpan w:val="2"/>
          </w:tcPr>
          <w:p>
            <w:pPr>
              <w:spacing w:after="0"/>
              <w:rPr>
                <w:sz w:val="20"/>
                <w:szCs w:val="20"/>
                <w:color w:val="auto"/>
              </w:rPr>
            </w:pPr>
            <w:r>
              <w:rPr>
                <w:rFonts w:ascii="Arial" w:cs="Arial" w:eastAsia="Arial" w:hAnsi="Arial"/>
                <w:sz w:val="18"/>
                <w:szCs w:val="18"/>
                <w:color w:val="auto"/>
              </w:rPr>
              <w:t>Robert A. Lothrop</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80" w:type="dxa"/>
            <w:vAlign w:val="bottom"/>
          </w:tcPr>
          <w:p>
            <w:pPr>
              <w:spacing w:after="0"/>
              <w:rPr>
                <w:sz w:val="23"/>
                <w:szCs w:val="23"/>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Retired, former Senior Vice President of J.R. Simplot</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1994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80" w:type="dxa"/>
            <w:vAlign w:val="bottom"/>
            <w:shd w:val="clear" w:color="auto" w:fill="CCEEFF"/>
          </w:tcPr>
          <w:p>
            <w:pPr>
              <w:spacing w:after="0"/>
              <w:rPr>
                <w:sz w:val="24"/>
                <w:szCs w:val="2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of CompUSA Inc.</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2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 of SFG LLC</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1990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P. Weber</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80" w:type="dxa"/>
            <w:vAlign w:val="bottom"/>
            <w:shd w:val="clear" w:color="auto" w:fill="CCEEFF"/>
          </w:tcPr>
          <w:p>
            <w:pPr>
              <w:spacing w:after="0"/>
              <w:rPr>
                <w:sz w:val="23"/>
                <w:szCs w:val="2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Retired, former Vice Chairman of Texas Instruments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1998</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w:t>
            </w: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-1015365</wp:posOffset>
            </wp:positionV>
            <wp:extent cx="2540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117"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the Company in February 1983 and has served in various capacities with the Company and its subsidiaries. Mr. Appleton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is a member of the Board of Directors of National Semiconductor Corporation. Mr. Appleton holds a BA in Business Management from Boise State University.</w:t>
      </w:r>
    </w:p>
    <w:p>
      <w:pPr>
        <w:spacing w:after="0" w:line="64"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i w:val="1"/>
          <w:iCs w:val="1"/>
          <w:color w:val="auto"/>
        </w:rPr>
        <w:t xml:space="preserve">James W. Bagley </w:t>
      </w:r>
      <w:r>
        <w:rPr>
          <w:rFonts w:ascii="Arial" w:cs="Arial" w:eastAsia="Arial" w:hAnsi="Arial"/>
          <w:sz w:val="16"/>
          <w:szCs w:val="16"/>
          <w:color w:val="auto"/>
        </w:rPr>
        <w:t>became the Executive Chairman of Lam Research Corporation (“Lam”), a supplier of semiconductor manufacturing equipment,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2005. From August 1997 through June 2005, Mr. Bagley served as the Chairman and Chief Executive Officer of Lam. Mr. Bagley is a member of the Board of Directors of Teradyne, Inc. He has served on the Company’s Board of Directors since June 1997. Mr. Bagley holds a BS and MS in Electrical Engineering from Mississippi State University. Mr. Bagley serves as the presiding director of executive sessions of the Company’s Board of Directors.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360"/>
        <w:spacing w:after="0" w:line="302"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served as the Senior Vice President, Finance, of Lam from June 2004 to January 2005 and as Lam’s Chief Financial Officer from</w:t>
      </w:r>
      <w:r>
        <w:rPr>
          <w:rFonts w:ascii="Arial" w:cs="Arial" w:eastAsia="Arial" w:hAnsi="Arial"/>
          <w:sz w:val="16"/>
          <w:szCs w:val="16"/>
          <w:i w:val="1"/>
          <w:iCs w:val="1"/>
          <w:color w:val="auto"/>
        </w:rPr>
        <w:t xml:space="preserve"> </w:t>
      </w:r>
      <w:r>
        <w:rPr>
          <w:rFonts w:ascii="Arial" w:cs="Arial" w:eastAsia="Arial" w:hAnsi="Arial"/>
          <w:sz w:val="16"/>
          <w:szCs w:val="16"/>
          <w:color w:val="auto"/>
        </w:rPr>
        <w:t>May 1997 to May 2004. Prior to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 Ms. Johnson serves on the Board’s Audit Committee.</w:t>
      </w:r>
    </w:p>
    <w:p>
      <w:pPr>
        <w:sectPr>
          <w:pgSz w:w="11900" w:h="16838" w:orient="portrait"/>
          <w:cols w:equalWidth="0" w:num="1">
            <w:col w:w="11400"/>
          </w:cols>
          <w:pgMar w:left="240" w:top="122" w:right="259" w:bottom="15" w:gutter="0" w:footer="0" w:header="0"/>
        </w:sectPr>
      </w:pPr>
    </w:p>
    <w:bookmarkStart w:id="5" w:name="page6"/>
    <w:bookmarkEnd w:id="5"/>
    <w:p>
      <w:pPr>
        <w:ind w:right="100" w:firstLine="360"/>
        <w:spacing w:after="0" w:line="312"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1991. From August 1986 until July 1992 and since May 1994, Mr. Lothrop has served on the Board of Directors of the Company. Mr. Lothrop holds a BS in Engineering from the University of Idaho. Mr. Lothrop serves on the Board’s Audit Committee and the Governance and Compensation Committee.</w:t>
      </w:r>
    </w:p>
    <w:p>
      <w:pPr>
        <w:spacing w:after="0" w:line="39" w:lineRule="exact"/>
        <w:rPr>
          <w:sz w:val="20"/>
          <w:szCs w:val="20"/>
          <w:color w:val="auto"/>
        </w:rPr>
      </w:pPr>
    </w:p>
    <w:p>
      <w:pPr>
        <w:jc w:val="both"/>
        <w:ind w:right="40" w:firstLine="360"/>
        <w:spacing w:after="0" w:line="259"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serves as the Chief Executive Officer of CompUSA Inc., a position he has held since 2003. Mr. Mondry joined CompUSA in 1990</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General Merchandise Manager. He was promoted to Executive Vice President-Merchandising in 1993, and President and Chief Operating Officer of CompUSA Stores in 2000. Mr. Mondry currently serves on the Board of Directors for Golfsmith, Inc. Mr. Mondry serves on the Board’s Governance and Compensation Committee.</w:t>
      </w:r>
    </w:p>
    <w:p>
      <w:pPr>
        <w:spacing w:after="0" w:line="79"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the Chairman and Chief Executive Officer of SFG LLC, a holding company for agriculture operations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since January 2005. Mr. Smith has also served as Chairman and Chief Executive Officer of G.C. Smith LLC since May 2000. From July 1980 to March 1994, Mr. Smith served in various management positions with J.R. Simplot Company, including four years as President and Chief Executive Officer, and seven years as Chief Financial Officer. From February 1982 until February 1984 and since September 1990, he has served on the Company’s Board of Directors. Mr. Smith holds a BS in Accounting from Idaho State University. Mr. Smith is the Chairman of the Board’s Audit Committee.</w:t>
      </w:r>
    </w:p>
    <w:p>
      <w:pPr>
        <w:spacing w:after="0" w:line="5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i w:val="1"/>
          <w:iCs w:val="1"/>
          <w:color w:val="auto"/>
        </w:rPr>
        <w:t xml:space="preserve">William P. Weber </w:t>
      </w:r>
      <w:r>
        <w:rPr>
          <w:rFonts w:ascii="Arial" w:cs="Arial" w:eastAsia="Arial" w:hAnsi="Arial"/>
          <w:sz w:val="17"/>
          <w:szCs w:val="17"/>
          <w:color w:val="auto"/>
        </w:rPr>
        <w:t>served in various capacities with Texas Instruments Incorporated, a semiconductor manufacturing company, and its subsidiaries from</w:t>
      </w:r>
      <w:r>
        <w:rPr>
          <w:rFonts w:ascii="Arial" w:cs="Arial" w:eastAsia="Arial" w:hAnsi="Arial"/>
          <w:sz w:val="17"/>
          <w:szCs w:val="17"/>
          <w:i w:val="1"/>
          <w:iCs w:val="1"/>
          <w:color w:val="auto"/>
        </w:rPr>
        <w:t xml:space="preserve"> </w:t>
      </w:r>
      <w:r>
        <w:rPr>
          <w:rFonts w:ascii="Arial" w:cs="Arial" w:eastAsia="Arial" w:hAnsi="Arial"/>
          <w:sz w:val="17"/>
          <w:szCs w:val="17"/>
          <w:color w:val="auto"/>
        </w:rPr>
        <w:t>1962 until 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 Mr. Weber is the Chairman of the Board’s Governance and Compensation Committee.</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Section 16(a) of the Securities and Exchange Act of 1934 requires the Company’s directors and executive officers, and persons who own beneficially more than 10% of the Common Stock of the Company, to file reports of ownership and changes of ownership with the SEC and the New York Stock Exchange (“NYSE”).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10% beneficial owners complied with all applicable filing requirements during the fiscal year ended September 1, 2005, except for Thomas Nicholson who filed a late Form 4 on July 29, 2005, relating to one transaction. Mr. Nicholson served on the Company’s Board of Directors during fiscal 2005.</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During fiscal 2005, the Company paid $65.6 million to Lam Research Corporation for semiconductor manufacturing equipment and related services. Mr. Bagley is the current Executive Chairman and former Chief Executive Officer of Lam Research Corporation and, for a portion of fiscal 2005, Ms. Johnson served as the Senior Vice President, Finance, of Lam Research Corporation.</w:t>
      </w:r>
    </w:p>
    <w:p>
      <w:pPr>
        <w:spacing w:after="0" w:line="73"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During fiscal 2005, the Grove Hotel and Qwest Arena in Boise, Idaho, received approximately $370,000 for business conducted with the Company. The Company uses the Grove Hotel for business visitors and conferences, and leases a suite for events at the Qwest Arena. Mr. Appleton has an interest in a limited liability company that is a minority owner of the Grove Hotel and Qwest Arena.</w:t>
      </w:r>
    </w:p>
    <w:p>
      <w:pPr>
        <w:spacing w:after="0" w:line="73"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During fiscal 2005, the Company received $214.6 million from Intel Corporation for purchases of the Company’s semiconductor memory products. In addition, the Company has an outstanding technology development agreement with Intel, pursuant to which the Company is obligated to make four payments to Intel of $3.5 million beginning in fiscal 2005 and ending in fiscal 2007. In fiscal 2005, the Company paid $7.0 million under this agreement. In fiscal 2005, the Company also made payments of approximately $116,000 to Intel for purchases of products.</w:t>
      </w:r>
    </w:p>
    <w:p>
      <w:pPr>
        <w:spacing w:after="0" w:line="6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During the period from March 2, 2005 to April 3, 2005, the Company made payments to FormFactor, Inc. of approximately $225,000 for the purchase of probe cards. Ronald Foster served as a member of the Company’s Board of Directors and the Chief Financial Officer of FormFactor, Inc. during that time period. Mr. Foster resigned from the Company’s Board of Directors on April 3,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The Board of Directors of the Company held five meetings during fiscal 2005. In fiscal 2005, the Board of Directors had a standing Audit Committee and a standing Governance and Compensation Committee. During fiscal 2005, the Audit Committee met ten times and the Governance and Compensation Committee met five times. All incumbent directors, except for Mr. Mondry, attended 75% or more of the aggregate of (i) the total number of meetings of the Board of Directors and (ii) the total number of meetings of all committees of the Board on which they served, during fiscal 2005. All incumbent directors, except Mr. Smith, attended the Company’s Annual Meeting of Shareholders in 2004.</w:t>
      </w:r>
    </w:p>
    <w:p>
      <w:pPr>
        <w:spacing w:after="0" w:line="64" w:lineRule="exact"/>
        <w:rPr>
          <w:sz w:val="20"/>
          <w:szCs w:val="20"/>
          <w:color w:val="auto"/>
        </w:rPr>
      </w:pPr>
    </w:p>
    <w:p>
      <w:pPr>
        <w:ind w:right="480" w:firstLine="360"/>
        <w:spacing w:after="0" w:line="302" w:lineRule="auto"/>
        <w:rPr>
          <w:sz w:val="20"/>
          <w:szCs w:val="20"/>
          <w:color w:val="auto"/>
        </w:rPr>
      </w:pPr>
      <w:r>
        <w:rPr>
          <w:rFonts w:ascii="Arial" w:cs="Arial" w:eastAsia="Arial" w:hAnsi="Arial"/>
          <w:sz w:val="16"/>
          <w:szCs w:val="16"/>
          <w:color w:val="auto"/>
        </w:rPr>
        <w:t xml:space="preserve">All committees of the Board of Directors have written charters that comply with federal and NYSE rules relating to corporate governance matters. Copies of the committee charters as well as the Company’s Corporate Governance Guidelines are available on the Corporate Governance page of the Company’s website at </w:t>
      </w:r>
      <w:r>
        <w:rPr>
          <w:rFonts w:ascii="Arial" w:cs="Arial" w:eastAsia="Arial" w:hAnsi="Arial"/>
          <w:sz w:val="16"/>
          <w:szCs w:val="16"/>
          <w:u w:val="single" w:color="auto"/>
          <w:color w:val="auto"/>
        </w:rPr>
        <w:t>www.micron.com</w:t>
      </w:r>
      <w:r>
        <w:rPr>
          <w:rFonts w:ascii="Arial" w:cs="Arial" w:eastAsia="Arial" w:hAnsi="Arial"/>
          <w:sz w:val="16"/>
          <w:szCs w:val="16"/>
          <w:color w:val="auto"/>
        </w:rPr>
        <w:t>. The Board has determined that the members of the Audit Committee and the members of the Governance and Compensation Committee satisfy the independence requirements of applicable federal laws and the listing standards of the NYSE for such committees.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00" w:firstLine="360"/>
        <w:spacing w:after="0" w:line="272" w:lineRule="auto"/>
        <w:rPr>
          <w:sz w:val="20"/>
          <w:szCs w:val="20"/>
          <w:color w:val="auto"/>
        </w:rPr>
      </w:pPr>
      <w:r>
        <w:rPr>
          <w:rFonts w:ascii="Arial" w:cs="Arial" w:eastAsia="Arial" w:hAnsi="Arial"/>
          <w:sz w:val="17"/>
          <w:szCs w:val="17"/>
          <w:color w:val="auto"/>
        </w:rPr>
        <w:t>Messrs. Lothrop and Smith and Ms. Johnson currently serve on the Audit Committee, which is a standing committee of the Board of Directors. At various times in fiscal 2005, former directors Thomas Nicholson and Ronald Foster also served on the Audit Committee. Mr. Smith is the Chairman of the Audit Committee. The Board has determined that each of Mr. Smith and Ms. Johnson qualify as an “audit committee financial expert” for purposes of the rules and regulations of the Securities and Exchange Commission. Each member of the Audit Committee is independent within the meaning of the NYSE listing requirements applicable to members of a listed company’s audit committee. The purpose of the Audit Committee is to assist the Board in overseeing and monitoring (i) the integrity of the Company’s financial statements, (ii) the performance of the Company’s internal audit function and its Independent Registered Public Accounting Firm, (iii) the qualifications and independence of the Company’s</w:t>
      </w:r>
    </w:p>
    <w:p>
      <w:pPr>
        <w:sectPr>
          <w:pgSz w:w="11900" w:h="16838" w:orient="portrait"/>
          <w:cols w:equalWidth="0" w:num="1">
            <w:col w:w="11400"/>
          </w:cols>
          <w:pgMar w:left="240" w:top="125" w:right="259"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0" w:gutter="0" w:footer="0" w:header="0"/>
          <w:type w:val="continuous"/>
        </w:sectPr>
      </w:pPr>
    </w:p>
    <w:bookmarkStart w:id="6" w:name="page7"/>
    <w:bookmarkEnd w:id="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40"/>
        <w:spacing w:after="0" w:line="259" w:lineRule="auto"/>
        <w:rPr>
          <w:sz w:val="20"/>
          <w:szCs w:val="20"/>
          <w:color w:val="auto"/>
        </w:rPr>
      </w:pPr>
      <w:r>
        <w:rPr>
          <w:rFonts w:ascii="Arial" w:cs="Arial" w:eastAsia="Arial" w:hAnsi="Arial"/>
          <w:sz w:val="18"/>
          <w:szCs w:val="18"/>
          <w:color w:val="auto"/>
        </w:rPr>
        <w:t xml:space="preserve">Independent Registered Public Accounting Firm, and (iv) the Company’s compliance with legal and regulatory requirements. The Audit Committee is also responsible for preparing the Audit Committee report that is included in the Company’s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Governance and Compensation Committee</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Messrs. Lothrop, Mondry and Weber currently serve on the Governance and Compensation Committee which is a standing committee of the Board of Directors. Thomas Nicholson served on the Governance and Compensation Committee during fiscal 2005. Mr. Weber is the Chairman of the Governance and Compensation Committee. Each member of the Committee is independent within the meaning of the NYSE listing requirements applicable to members of a listed company’s nominating/corporate governance committee. The Governance and Compensation Committee is responsible for reviewing and approving the compensation of the Company’s officers. See “Report of the Governance and Compensation Committee of the Board of Directors Regarding Executive Compensation.” The responsibilities of the Governance and Compensation Committee also include assisting the Board in discharging its duties with respect to (i) the identification and selection of nominees to the Company’s Board of Directors and (ii) the development of Corporate Governance Guidelines for the Company. The complete duties and responsibilities of the Governance and Compensation Committee are set forth in its written charter, which is available at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74"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 Governance and Compensation Committee is responsible for identifying nominees for the Company’s Board of Directors. There are no minimum qualifications that nominees must possess but the following factors are strongly considered by the Governance and Compensation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the Company and its operations; familiarity with accounting rules and practices; and “independence” as defined and required by NYSE Listing Application Standards and relevant rules and regulations of the SEC. In fiscal 2004, the Board of Directors determined that it would be advisable to add additional members to the Board. To that end, the Governance and Compensation Committee engaged a third party executive search firm to assist them in the identification and evaluation of potential candidates to the Company’s Board of Directors. As a result of such executive search firm’s efforts, Mr. Mondry and Ms. Johnson were added to the Company’s Board of Directors in 2005. It is currently anticipated that additional candidates identified by the executive search firm will join the Company’s Board of Directors in fiscal 2006.</w:t>
      </w:r>
    </w:p>
    <w:p>
      <w:pPr>
        <w:spacing w:after="0" w:line="7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 xml:space="preserve">The Governance and Compensation Committee will consider director nominee recommendations from shareholders. Shareholder recommendations are subject to the same criteria used to evaluate other candidates. Shareholders wishing to recommend a prospective nominee should submit the candidate’s name and qualifications to the Company’s Corporate Secretary at </w:t>
      </w:r>
      <w:r>
        <w:rPr>
          <w:rFonts w:ascii="Arial" w:cs="Arial" w:eastAsia="Arial" w:hAnsi="Arial"/>
          <w:sz w:val="18"/>
          <w:szCs w:val="18"/>
          <w:u w:val="single" w:color="auto"/>
          <w:color w:val="auto"/>
        </w:rPr>
        <w:t>corporatesecretary@micron.com</w:t>
      </w:r>
      <w:r>
        <w:rPr>
          <w:rFonts w:ascii="Arial" w:cs="Arial" w:eastAsia="Arial" w:hAnsi="Arial"/>
          <w:sz w:val="18"/>
          <w:szCs w:val="18"/>
          <w:color w:val="auto"/>
        </w:rPr>
        <w:t xml:space="preserve">. The Company’s Bylaws contain the provisions that address the process by which a shareholder may actually nominate an individual to stand for election to the Company’s Board of Directors. A copy of the Company’s Bylaws can be found on the Corporate Governance page of its website at </w:t>
      </w:r>
      <w:r>
        <w:rPr>
          <w:rFonts w:ascii="Arial" w:cs="Arial" w:eastAsia="Arial" w:hAnsi="Arial"/>
          <w:sz w:val="18"/>
          <w:szCs w:val="18"/>
          <w:u w:val="single" w:color="auto"/>
          <w:color w:val="auto"/>
        </w:rPr>
        <w:t>www.micron.com</w:t>
      </w:r>
      <w:r>
        <w:rPr>
          <w:rFonts w:ascii="Arial" w:cs="Arial" w:eastAsia="Arial" w:hAnsi="Arial"/>
          <w:sz w:val="18"/>
          <w:szCs w:val="18"/>
          <w:color w:val="auto"/>
        </w:rPr>
        <w:t>. During fiscal 2005, the Company received no director nominations from shareholders.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Sessions and Communications with Board</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 xml:space="preserve">The Board of Directors meets regularly in executive sessions in which only non-employee directors are present. On September 27, 2005, Mr. Bagley was reappointed to preside at these executive sessions for fiscal 2006. Shareholders wishing to communicate with the Company’s Board of Directors may contact Mr. Bagley at Lam Research Corporation, 4650 Cushing Parkway Fremont, CA 94538 or call (510) 572-0200. Mr. Bagley can also be reached via email at </w:t>
      </w:r>
      <w:r>
        <w:rPr>
          <w:rFonts w:ascii="Arial" w:cs="Arial" w:eastAsia="Arial" w:hAnsi="Arial"/>
          <w:sz w:val="18"/>
          <w:szCs w:val="18"/>
          <w:u w:val="single" w:color="auto"/>
          <w:color w:val="auto"/>
        </w:rPr>
        <w:t>bagley@lamrc.com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 xml:space="preserve">The Board of Directors has adopted a Code of Business Conduct and Ethics that is applicable to all directors, officers and employees of the Company. A copy of the Micron Code of Business Conduct and Ethics is available on the Company’s website at </w:t>
      </w:r>
      <w:r>
        <w:rPr>
          <w:rFonts w:ascii="Arial" w:cs="Arial" w:eastAsia="Arial" w:hAnsi="Arial"/>
          <w:sz w:val="16"/>
          <w:szCs w:val="16"/>
          <w:u w:val="single" w:color="auto"/>
          <w:color w:val="auto"/>
        </w:rPr>
        <w:t>www.micron.com/code</w:t>
      </w:r>
      <w:r>
        <w:rPr>
          <w:rFonts w:ascii="Arial" w:cs="Arial" w:eastAsia="Arial" w:hAnsi="Arial"/>
          <w:sz w:val="16"/>
          <w:szCs w:val="16"/>
          <w:color w:val="auto"/>
        </w:rPr>
        <w:t>. Any amendments or waivers of the Code of Business Conduct and Ethics will also be posted on the Company’s website within four business days of the amendment or waiver.</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jc w:val="both"/>
        <w:ind w:right="860" w:firstLine="360"/>
        <w:spacing w:after="0" w:line="264" w:lineRule="auto"/>
        <w:rPr>
          <w:sz w:val="20"/>
          <w:szCs w:val="20"/>
          <w:color w:val="auto"/>
        </w:rPr>
      </w:pPr>
      <w:r>
        <w:rPr>
          <w:rFonts w:ascii="Arial" w:cs="Arial" w:eastAsia="Arial" w:hAnsi="Arial"/>
          <w:sz w:val="18"/>
          <w:szCs w:val="18"/>
          <w:color w:val="auto"/>
        </w:rPr>
        <w:t>The following table summarizes compensation earned by the Company’s Chief Executive Officer and the Company’s other four most highly compensated executive officers during fiscal 2005 (collectively, the “Named Executive Officers”) for all services rendered to the Company and its subsidiaries for each of the last three completed fiscal years: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07"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Annual Compensation</w:t>
            </w: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w w:val="92"/>
              </w:rPr>
              <w:t>Long-Term Compensation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Restricted</w:t>
            </w:r>
          </w:p>
        </w:tc>
        <w:tc>
          <w:tcPr>
            <w:tcW w:w="160" w:type="dxa"/>
            <w:vAlign w:val="bottom"/>
          </w:tcPr>
          <w:p>
            <w:pPr>
              <w:spacing w:after="0"/>
              <w:rPr>
                <w:sz w:val="8"/>
                <w:szCs w:val="8"/>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3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 (1)</w:t>
            </w: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Award (2)</w:t>
            </w: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Granted (3)</w:t>
            </w: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Compensation (4)</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 (5)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$ 845,962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$ 542,680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$ 851,900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420,000</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  78,471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CEO &amp; President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260,870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680,000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880" w:type="dxa"/>
            <w:vAlign w:val="bottom"/>
          </w:tcPr>
          <w:p>
            <w:pPr>
              <w:spacing w:after="0"/>
              <w:rPr>
                <w:sz w:val="20"/>
                <w:szCs w:val="20"/>
                <w:color w:val="auto"/>
              </w:rPr>
            </w:pPr>
            <w:r>
              <w:rPr>
                <w:rFonts w:ascii="Arial" w:cs="Arial" w:eastAsia="Arial" w:hAnsi="Arial"/>
                <w:sz w:val="18"/>
                <w:szCs w:val="18"/>
                <w:color w:val="auto"/>
              </w:rPr>
              <w:t>Robert J. Gove (6)</w:t>
            </w: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307,981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340,733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243,400</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110,000</w:t>
            </w:r>
          </w:p>
        </w:tc>
        <w:tc>
          <w:tcPr>
            <w:tcW w:w="160" w:type="dxa"/>
            <w:vAlign w:val="bottom"/>
          </w:tcPr>
          <w:p>
            <w:pPr>
              <w:spacing w:after="0"/>
              <w:rPr>
                <w:sz w:val="23"/>
                <w:szCs w:val="23"/>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6,909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Vice President of Imaging</w:t>
            </w: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281,821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455,103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Group</w:t>
            </w: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256,500</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230,000</w:t>
            </w:r>
          </w:p>
        </w:tc>
        <w:tc>
          <w:tcPr>
            <w:tcW w:w="160" w:type="dxa"/>
            <w:vAlign w:val="bottom"/>
          </w:tcPr>
          <w:p>
            <w:pPr>
              <w:spacing w:after="0"/>
              <w:rPr>
                <w:sz w:val="20"/>
                <w:szCs w:val="20"/>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Roderic W. Lewis (7)</w:t>
            </w:r>
          </w:p>
        </w:tc>
        <w:tc>
          <w:tcPr>
            <w:tcW w:w="6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348,789</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304,250</w:t>
            </w: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18,645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Vice President of Legal Affairs,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325,219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140,199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Counsel &amp; Corporate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2003</w:t>
            </w:r>
          </w:p>
        </w:tc>
        <w:tc>
          <w:tcPr>
            <w:tcW w:w="9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271,350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rPr>
              <w:t>340,000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3"/>
              <w:spacing w:after="0" w:line="201" w:lineRule="exact"/>
              <w:rPr>
                <w:sz w:val="20"/>
                <w:szCs w:val="20"/>
                <w:color w:val="auto"/>
              </w:rPr>
            </w:pPr>
            <w:r>
              <w:rPr>
                <w:rFonts w:ascii="Arial" w:cs="Arial" w:eastAsia="Arial" w:hAnsi="Arial"/>
                <w:sz w:val="18"/>
                <w:szCs w:val="18"/>
                <w:color w:val="auto"/>
              </w:rPr>
              <w:t>11,610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Secretary</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880" w:type="dxa"/>
            <w:vAlign w:val="bottom"/>
          </w:tcPr>
          <w:p>
            <w:pPr>
              <w:spacing w:after="0"/>
              <w:rPr>
                <w:sz w:val="20"/>
                <w:szCs w:val="20"/>
                <w:color w:val="auto"/>
              </w:rPr>
            </w:pPr>
            <w:r>
              <w:rPr>
                <w:rFonts w:ascii="Arial" w:cs="Arial" w:eastAsia="Arial" w:hAnsi="Arial"/>
                <w:sz w:val="18"/>
                <w:szCs w:val="18"/>
                <w:color w:val="auto"/>
              </w:rPr>
              <w:t>Michael W. Sadler (8)</w:t>
            </w: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348,789</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255,280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243,400</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23"/>
                <w:szCs w:val="23"/>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6,909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Vice President of Worldwide</w:t>
            </w: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323,262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516,655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33,286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271,350</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340,000</w:t>
            </w:r>
          </w:p>
        </w:tc>
        <w:tc>
          <w:tcPr>
            <w:tcW w:w="160" w:type="dxa"/>
            <w:vAlign w:val="bottom"/>
          </w:tcPr>
          <w:p>
            <w:pPr>
              <w:spacing w:after="0"/>
              <w:rPr>
                <w:sz w:val="20"/>
                <w:szCs w:val="20"/>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517" w:right="2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Wilbur G. Stover, Jr. (9)</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2005</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413,789</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298,083</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243,400</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130,000</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13,294</w:t>
            </w:r>
          </w:p>
        </w:tc>
      </w:tr>
      <w:tr>
        <w:trPr>
          <w:trHeight w:val="216"/>
        </w:trPr>
        <w:tc>
          <w:tcPr>
            <w:tcW w:w="1360" w:type="dxa"/>
            <w:vAlign w:val="bottom"/>
          </w:tcPr>
          <w:p>
            <w:pPr>
              <w:spacing w:after="0"/>
              <w:rPr>
                <w:sz w:val="18"/>
                <w:szCs w:val="18"/>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Finance &amp;</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2004</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385,985</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477,584</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225,000</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171,026</w:t>
            </w:r>
          </w:p>
        </w:tc>
      </w:tr>
      <w:tr>
        <w:trPr>
          <w:trHeight w:val="216"/>
        </w:trPr>
        <w:tc>
          <w:tcPr>
            <w:tcW w:w="1360" w:type="dxa"/>
            <w:vAlign w:val="bottom"/>
          </w:tcPr>
          <w:p>
            <w:pPr>
              <w:spacing w:after="0"/>
              <w:rPr>
                <w:sz w:val="18"/>
                <w:szCs w:val="18"/>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CFO</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2003</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324,000</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340,000</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1,500</w:t>
            </w:r>
          </w:p>
        </w:tc>
      </w:tr>
      <w:tr>
        <w:trPr>
          <w:trHeight w:val="95"/>
        </w:trPr>
        <w:tc>
          <w:tcPr>
            <w:tcW w:w="1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67" w:lineRule="exact"/>
        <w:rPr>
          <w:sz w:val="20"/>
          <w:szCs w:val="20"/>
          <w:color w:val="auto"/>
        </w:rPr>
      </w:pPr>
    </w:p>
    <w:p>
      <w:pPr>
        <w:ind w:left="360" w:right="680" w:hanging="352"/>
        <w:spacing w:after="0" w:line="277"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compensation deferred by the named executive under the Company’s 401(k) retirement plan. Amounts for 2003 and 2004 reflect salary reductions in place for executive officers from June 24, 2001 to December 5, 2003.</w:t>
      </w:r>
    </w:p>
    <w:p>
      <w:pPr>
        <w:spacing w:after="0" w:line="62" w:lineRule="exact"/>
        <w:rPr>
          <w:rFonts w:ascii="Arial" w:cs="Arial" w:eastAsia="Arial" w:hAnsi="Arial"/>
          <w:sz w:val="18"/>
          <w:szCs w:val="18"/>
          <w:color w:val="auto"/>
        </w:rPr>
      </w:pPr>
    </w:p>
    <w:p>
      <w:pPr>
        <w:ind w:left="360" w:right="260" w:hanging="352"/>
        <w:spacing w:after="0" w:line="277"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Restricted stock was awarded on November 19, 2004, to Messrs. Appleton, Gove, Lewis, Sadler and Stover in the amounts of 70,000, 20,000, 25,000, 20,000 and 20,000 shares, respectively. The restricted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stock was granted pursuant to the Company’s 2004 Equity Incentive Plan and has restrictions that lapse in equal installments over three years. The value of the restricted stock was based on the fair market value of the Company’s Common Stock on the date of grant.</w:t>
      </w:r>
    </w:p>
    <w:p>
      <w:pPr>
        <w:spacing w:after="0" w:line="6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options to purchase shares of the Company’s Common Stock under the Company’s 1994 Stock Option Plan and 2001 Stock Option Plan.</w:t>
      </w:r>
    </w:p>
    <w:p>
      <w:pPr>
        <w:spacing w:after="0" w:line="128" w:lineRule="exact"/>
        <w:rPr>
          <w:rFonts w:ascii="Arial" w:cs="Arial" w:eastAsia="Arial" w:hAnsi="Arial"/>
          <w:sz w:val="17"/>
          <w:szCs w:val="17"/>
          <w:color w:val="auto"/>
        </w:rPr>
      </w:pPr>
    </w:p>
    <w:p>
      <w:pPr>
        <w:ind w:left="360" w:right="120" w:hanging="352"/>
        <w:spacing w:after="0" w:line="264"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for 2005 for all Named Executive Officers include Company contributions in the amount of $6,909 under the Company’s 401(k) retirement plan. Amounts for 2004 and 2003 for all Named Executive Officers except Mr. Appleton include Company contributions in the amount of $1,500 under the Company’s 401(k) retirement plan.</w:t>
      </w:r>
    </w:p>
    <w:p>
      <w:pPr>
        <w:spacing w:after="0" w:line="73" w:lineRule="exact"/>
        <w:rPr>
          <w:rFonts w:ascii="Arial" w:cs="Arial" w:eastAsia="Arial" w:hAnsi="Arial"/>
          <w:sz w:val="18"/>
          <w:szCs w:val="18"/>
          <w:color w:val="auto"/>
        </w:rPr>
      </w:pPr>
    </w:p>
    <w:p>
      <w:pPr>
        <w:ind w:left="360" w:right="40" w:hanging="352"/>
        <w:spacing w:after="0" w:line="273" w:lineRule="auto"/>
        <w:tabs>
          <w:tab w:leader="none" w:pos="345" w:val="left"/>
        </w:tabs>
        <w:numPr>
          <w:ilvl w:val="0"/>
          <w:numId w:val="9"/>
        </w:numPr>
        <w:rPr>
          <w:rFonts w:ascii="Arial" w:cs="Arial" w:eastAsia="Arial" w:hAnsi="Arial"/>
          <w:sz w:val="17"/>
          <w:szCs w:val="17"/>
          <w:color w:val="auto"/>
        </w:rPr>
      </w:pPr>
      <w:r>
        <w:rPr>
          <w:rFonts w:ascii="Arial" w:cs="Arial" w:eastAsia="Arial" w:hAnsi="Arial"/>
          <w:sz w:val="17"/>
          <w:szCs w:val="17"/>
          <w:color w:val="auto"/>
        </w:rPr>
        <w:t>Salary amounts for Mr. Appleton reflect the fact that from October 28, 2001 through December 4, 2003, he received no salary. Mr. Appleton’s bonus amount for 2005 reflects Executive Officer Incentive Plan award of $517,688 and profit distribution of $24,992. Bonus amounts for 2004 reflect executive officer bonus award of $671,458 and profit distribution of $14,853. All Other Compensation for 2005 includes payments under the Company’s time-off plan for time accrued in excess of 999 hours totaling $71,563. All Other Compensation for 2004 includes executive bonuses previously earned but unpaid with respect to fiscal 1997 performance of $211,908, payments under the Company’s time-off plan for time accrued in excess of 999 hours totaling $45,962 and Company contributions in the amount of $3,000 under the Company’s 401(k) retirement plan.</w:t>
      </w:r>
    </w:p>
    <w:p>
      <w:pPr>
        <w:spacing w:after="0" w:line="70" w:lineRule="exact"/>
        <w:rPr>
          <w:rFonts w:ascii="Arial" w:cs="Arial" w:eastAsia="Arial" w:hAnsi="Arial"/>
          <w:sz w:val="17"/>
          <w:szCs w:val="17"/>
          <w:color w:val="auto"/>
        </w:rPr>
      </w:pPr>
    </w:p>
    <w:p>
      <w:pPr>
        <w:ind w:left="360" w:hanging="352"/>
        <w:spacing w:after="0" w:line="264"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Gove’s bonus amount for 2005 reflects Executive Officer Incentive Plan award of $281,337, profit distribution of $9,396 and a performance bonus of $50,000. Bonus amounts for 2004 reflect executive officer bonus award of $369,302, profit distribution of $5,468, performance bonus of $80,000 and a patent bonus of $333.</w:t>
      </w:r>
    </w:p>
    <w:p>
      <w:pPr>
        <w:spacing w:after="0" w:line="73" w:lineRule="exact"/>
        <w:rPr>
          <w:rFonts w:ascii="Arial" w:cs="Arial" w:eastAsia="Arial" w:hAnsi="Arial"/>
          <w:sz w:val="18"/>
          <w:szCs w:val="18"/>
          <w:color w:val="auto"/>
        </w:rPr>
      </w:pPr>
    </w:p>
    <w:p>
      <w:pPr>
        <w:ind w:left="360" w:right="20" w:hanging="352"/>
        <w:spacing w:after="0" w:line="255"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Lewis’s bonus amount for 2005 reflects Executive Officer Incentive Plan award of $240,913 and profit distribution of $10,552. Bonus amounts for 2004 reflect executive officer bonus award of $503,593 and profit distribution of $6,379. All Other Compensation for 2005 includes payments under the Company’s time-off plan for time accrued in excess of 999 hours totaling $11,736. All Other Compensation for 2004 includes executive bonuses previously earned but unpaid with respect to fiscal 1997 performance of $127,145, and payments under the Company’s time-off plan for time accrued in excess of 999 hours totaling $11,554. All Other Compensation for 2003 includes payments under the Company’s time-off plan for time accrued in excess of 999 hours totaling $10,110.</w:t>
      </w:r>
    </w:p>
    <w:p>
      <w:pPr>
        <w:spacing w:after="0" w:line="85"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Sadler’s bonus amount for 2005 reflects Executive Officer Incentive Plan award of $240,913, profit distribution of $10,552 and a sales bonus of</w:t>
      </w:r>
    </w:p>
    <w:p>
      <w:pPr>
        <w:spacing w:after="0" w:line="34" w:lineRule="exact"/>
        <w:rPr>
          <w:rFonts w:ascii="Arial" w:cs="Arial" w:eastAsia="Arial" w:hAnsi="Arial"/>
          <w:sz w:val="17"/>
          <w:szCs w:val="17"/>
          <w:color w:val="auto"/>
        </w:rPr>
      </w:pPr>
    </w:p>
    <w:p>
      <w:pPr>
        <w:ind w:left="360" w:right="180"/>
        <w:spacing w:after="0" w:line="323" w:lineRule="auto"/>
        <w:rPr>
          <w:rFonts w:ascii="Arial" w:cs="Arial" w:eastAsia="Arial" w:hAnsi="Arial"/>
          <w:sz w:val="17"/>
          <w:szCs w:val="17"/>
          <w:color w:val="auto"/>
        </w:rPr>
      </w:pPr>
      <w:r>
        <w:rPr>
          <w:rFonts w:ascii="Arial" w:cs="Arial" w:eastAsia="Arial" w:hAnsi="Arial"/>
          <w:sz w:val="16"/>
          <w:szCs w:val="16"/>
          <w:color w:val="auto"/>
        </w:rPr>
        <w:t>$3,815. Bonus amounts for 2004 reflect executive officer bonus award of $503,593, profit distribution of $6,379 and sales bonuses totaling $6,683. All Other Compensation for 2004 includes executive bonuses previously earned but unpaid with respect to fiscal 1997 performance of $31,786.</w:t>
      </w:r>
    </w:p>
    <w:p>
      <w:pPr>
        <w:spacing w:after="0" w:line="30" w:lineRule="exact"/>
        <w:rPr>
          <w:rFonts w:ascii="Arial" w:cs="Arial" w:eastAsia="Arial" w:hAnsi="Arial"/>
          <w:sz w:val="17"/>
          <w:szCs w:val="17"/>
          <w:color w:val="auto"/>
        </w:rPr>
      </w:pPr>
    </w:p>
    <w:p>
      <w:pPr>
        <w:ind w:left="360" w:right="80" w:hanging="352"/>
        <w:spacing w:after="0" w:line="259"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Stover’s bonus amount for 2005 reflects Executive Officer Incentive Plan award of $285,654 and profit distribution of $12,429. Bonus amounts for 2004 reflect executive officer bonus award of $470,000 and profit distribution of $7,563. All Other Compensation for 2005 includes payments under the Company’s time-off plan for time accrued in excess of 999 hours totaling $6,385. All Other Compensation for 2004 includes executive bonuses previously earned but unpaid with respect to fiscal 1997 performance of $169,526.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GRANTS IN LAST FISCAL YEAR</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following table provides information regarding options to purchase the Company’s Common Stock granted to the Named Executive Officers in fiscal 2005: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Potential Realizable Value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Total</w:t>
            </w:r>
          </w:p>
        </w:tc>
        <w:tc>
          <w:tcPr>
            <w:tcW w:w="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or Base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at Assumed Annual Rates of</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Granted to</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Price</w:t>
            </w: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Expiration</w:t>
            </w:r>
          </w:p>
        </w:tc>
        <w:tc>
          <w:tcPr>
            <w:tcW w:w="200" w:type="dxa"/>
            <w:vAlign w:val="bottom"/>
          </w:tcPr>
          <w:p>
            <w:pPr>
              <w:spacing w:after="0"/>
              <w:rPr>
                <w:sz w:val="11"/>
                <w:szCs w:val="11"/>
                <w:color w:val="auto"/>
              </w:rPr>
            </w:pPr>
          </w:p>
        </w:tc>
        <w:tc>
          <w:tcPr>
            <w:tcW w:w="212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Stock Price Appreciation</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4"/>
              </w:rPr>
              <w:t>Employees in</w:t>
            </w:r>
          </w:p>
        </w:tc>
        <w:tc>
          <w:tcPr>
            <w:tcW w:w="9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8"/>
              </w:rPr>
              <w:t>Per</w:t>
            </w: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89"/>
              </w:rPr>
              <w:t>for Option Term (3)</w:t>
            </w:r>
          </w:p>
        </w:tc>
        <w:tc>
          <w:tcPr>
            <w:tcW w:w="0" w:type="dxa"/>
            <w:vAlign w:val="bottom"/>
          </w:tcPr>
          <w:p>
            <w:pPr>
              <w:spacing w:after="0"/>
              <w:rPr>
                <w:sz w:val="1"/>
                <w:szCs w:val="1"/>
                <w:color w:val="auto"/>
              </w:rPr>
            </w:pPr>
          </w:p>
        </w:tc>
      </w:tr>
      <w:tr>
        <w:trPr>
          <w:trHeight w:val="23"/>
        </w:trPr>
        <w:tc>
          <w:tcPr>
            <w:tcW w:w="3860" w:type="dxa"/>
            <w:vAlign w:val="bottom"/>
            <w:gridSpan w:val="4"/>
            <w:vMerge w:val="restart"/>
          </w:tcPr>
          <w:p>
            <w:pPr>
              <w:ind w:left="132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Granted (1)</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Share (2)</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2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860" w:type="dxa"/>
            <w:vAlign w:val="bottom"/>
            <w:gridSpan w:val="4"/>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tcPr>
          <w:p>
            <w:pPr>
              <w:jc w:val="right"/>
              <w:ind w:right="288"/>
              <w:spacing w:after="0" w:line="129" w:lineRule="exact"/>
              <w:rPr>
                <w:sz w:val="20"/>
                <w:szCs w:val="20"/>
                <w:color w:val="auto"/>
              </w:rPr>
            </w:pPr>
            <w:r>
              <w:rPr>
                <w:rFonts w:ascii="Arial" w:cs="Arial" w:eastAsia="Arial" w:hAnsi="Arial"/>
                <w:sz w:val="14"/>
                <w:szCs w:val="14"/>
                <w:b w:val="1"/>
                <w:bCs w:val="1"/>
                <w:color w:val="auto"/>
              </w:rPr>
              <w:t>5%</w:t>
            </w:r>
          </w:p>
        </w:tc>
        <w:tc>
          <w:tcPr>
            <w:tcW w:w="1160" w:type="dxa"/>
            <w:vAlign w:val="bottom"/>
            <w:gridSpan w:val="2"/>
          </w:tcPr>
          <w:p>
            <w:pPr>
              <w:jc w:val="right"/>
              <w:ind w:right="255"/>
              <w:spacing w:after="0" w:line="129" w:lineRule="exact"/>
              <w:rPr>
                <w:sz w:val="20"/>
                <w:szCs w:val="20"/>
                <w:color w:val="auto"/>
              </w:rPr>
            </w:pPr>
            <w:r>
              <w:rPr>
                <w:rFonts w:ascii="Arial" w:cs="Arial" w:eastAsia="Arial" w:hAnsi="Arial"/>
                <w:sz w:val="14"/>
                <w:szCs w:val="14"/>
                <w:b w:val="1"/>
                <w:bCs w:val="1"/>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Steven R. Appleton</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420,000</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7"/>
                <w:szCs w:val="17"/>
                <w:color w:val="auto"/>
              </w:rPr>
              <w:t>2.56%</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$ 12.03</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91"/>
              </w:rPr>
              <w:t>10/01/2010</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1,718,367</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3,898,389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60" w:type="dxa"/>
            <w:vAlign w:val="bottom"/>
            <w:gridSpan w:val="4"/>
          </w:tcPr>
          <w:p>
            <w:pPr>
              <w:ind w:left="1320"/>
              <w:spacing w:after="0"/>
              <w:rPr>
                <w:sz w:val="20"/>
                <w:szCs w:val="20"/>
                <w:color w:val="auto"/>
              </w:rPr>
            </w:pPr>
            <w:r>
              <w:rPr>
                <w:rFonts w:ascii="Arial" w:cs="Arial" w:eastAsia="Arial" w:hAnsi="Arial"/>
                <w:sz w:val="17"/>
                <w:szCs w:val="17"/>
                <w:color w:val="auto"/>
              </w:rPr>
              <w:t>Robert J. Gove</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110,000</w:t>
            </w:r>
          </w:p>
        </w:tc>
        <w:tc>
          <w:tcPr>
            <w:tcW w:w="180" w:type="dxa"/>
            <w:vAlign w:val="bottom"/>
          </w:tcPr>
          <w:p>
            <w:pPr>
              <w:spacing w:after="0"/>
              <w:rPr>
                <w:sz w:val="20"/>
                <w:szCs w:val="20"/>
                <w:color w:val="auto"/>
              </w:rPr>
            </w:pPr>
          </w:p>
        </w:tc>
        <w:tc>
          <w:tcPr>
            <w:tcW w:w="940" w:type="dxa"/>
            <w:vAlign w:val="bottom"/>
          </w:tcPr>
          <w:p>
            <w:pPr>
              <w:jc w:val="right"/>
              <w:ind w:right="83"/>
              <w:spacing w:after="0"/>
              <w:rPr>
                <w:sz w:val="20"/>
                <w:szCs w:val="20"/>
                <w:color w:val="auto"/>
              </w:rPr>
            </w:pPr>
            <w:r>
              <w:rPr>
                <w:rFonts w:ascii="Arial" w:cs="Arial" w:eastAsia="Arial" w:hAnsi="Arial"/>
                <w:sz w:val="17"/>
                <w:szCs w:val="17"/>
                <w:color w:val="auto"/>
              </w:rPr>
              <w:t>0.67%</w:t>
            </w:r>
          </w:p>
        </w:tc>
        <w:tc>
          <w:tcPr>
            <w:tcW w:w="18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7"/>
                <w:szCs w:val="17"/>
                <w:color w:val="auto"/>
              </w:rPr>
              <w:t>12.03</w:t>
            </w:r>
          </w:p>
        </w:tc>
        <w:tc>
          <w:tcPr>
            <w:tcW w:w="20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auto"/>
                <w:w w:val="91"/>
              </w:rPr>
              <w:t>10/01/2010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450,049</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1,021,007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40" w:type="dxa"/>
            <w:vAlign w:val="bottom"/>
          </w:tcPr>
          <w:p>
            <w:pPr>
              <w:spacing w:after="0"/>
              <w:rPr>
                <w:sz w:val="21"/>
                <w:szCs w:val="21"/>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Roderic W. Lewis</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130,000</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0.79%</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12.03</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1"/>
              </w:rPr>
              <w:t>10/01/2010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531,876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1,206,644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860" w:type="dxa"/>
            <w:vAlign w:val="bottom"/>
            <w:gridSpan w:val="4"/>
          </w:tcPr>
          <w:p>
            <w:pPr>
              <w:ind w:left="1320"/>
              <w:spacing w:after="0"/>
              <w:rPr>
                <w:sz w:val="20"/>
                <w:szCs w:val="20"/>
                <w:color w:val="auto"/>
              </w:rPr>
            </w:pPr>
            <w:r>
              <w:rPr>
                <w:rFonts w:ascii="Arial" w:cs="Arial" w:eastAsia="Arial" w:hAnsi="Arial"/>
                <w:sz w:val="17"/>
                <w:szCs w:val="17"/>
                <w:color w:val="auto"/>
              </w:rPr>
              <w:t>Michael W. Sadler</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130,000</w:t>
            </w:r>
          </w:p>
        </w:tc>
        <w:tc>
          <w:tcPr>
            <w:tcW w:w="180" w:type="dxa"/>
            <w:vAlign w:val="bottom"/>
          </w:tcPr>
          <w:p>
            <w:pPr>
              <w:spacing w:after="0"/>
              <w:rPr>
                <w:sz w:val="20"/>
                <w:szCs w:val="20"/>
                <w:color w:val="auto"/>
              </w:rPr>
            </w:pPr>
          </w:p>
        </w:tc>
        <w:tc>
          <w:tcPr>
            <w:tcW w:w="940" w:type="dxa"/>
            <w:vAlign w:val="bottom"/>
          </w:tcPr>
          <w:p>
            <w:pPr>
              <w:jc w:val="right"/>
              <w:ind w:right="83"/>
              <w:spacing w:after="0"/>
              <w:rPr>
                <w:sz w:val="20"/>
                <w:szCs w:val="20"/>
                <w:color w:val="auto"/>
              </w:rPr>
            </w:pPr>
            <w:r>
              <w:rPr>
                <w:rFonts w:ascii="Arial" w:cs="Arial" w:eastAsia="Arial" w:hAnsi="Arial"/>
                <w:sz w:val="17"/>
                <w:szCs w:val="17"/>
                <w:color w:val="auto"/>
              </w:rPr>
              <w:t>0.79%</w:t>
            </w:r>
          </w:p>
        </w:tc>
        <w:tc>
          <w:tcPr>
            <w:tcW w:w="18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7"/>
                <w:szCs w:val="17"/>
                <w:color w:val="auto"/>
              </w:rPr>
              <w:t>12.03</w:t>
            </w:r>
          </w:p>
        </w:tc>
        <w:tc>
          <w:tcPr>
            <w:tcW w:w="20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auto"/>
                <w:w w:val="91"/>
              </w:rPr>
              <w:t>10/01/2010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531,876</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1,206,644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40" w:type="dxa"/>
            <w:vAlign w:val="bottom"/>
          </w:tcPr>
          <w:p>
            <w:pPr>
              <w:spacing w:after="0"/>
              <w:rPr>
                <w:sz w:val="21"/>
                <w:szCs w:val="21"/>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Wilbur G. Stover, Jr.</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130,000</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0.79%</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12.03</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1"/>
              </w:rPr>
              <w:t>10/01/2010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531,876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1,206,644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Options vest 25% per year over a four year period.</w:t>
      </w:r>
    </w:p>
    <w:p>
      <w:pPr>
        <w:spacing w:after="0" w:line="117" w:lineRule="exact"/>
        <w:rPr>
          <w:rFonts w:ascii="Arial" w:cs="Arial" w:eastAsia="Arial" w:hAnsi="Arial"/>
          <w:sz w:val="18"/>
          <w:szCs w:val="18"/>
          <w:color w:val="auto"/>
        </w:rPr>
      </w:pPr>
    </w:p>
    <w:p>
      <w:pPr>
        <w:ind w:left="360" w:right="120" w:hanging="352"/>
        <w:spacing w:after="0" w:line="286" w:lineRule="auto"/>
        <w:tabs>
          <w:tab w:leader="none" w:pos="3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options were granted with an exercise price equal to the fair market value of the Company’s Common Stock on the date of grant. The fair market value as stated in the Company’s 2001 Stock Option Plan is the average closing price as quoted on the NYSE for the last market trading day prior to the day of determination, as reported by Bloomberg L.P. or such other source as the administrator deems reliable.</w:t>
      </w:r>
    </w:p>
    <w:p>
      <w:pPr>
        <w:spacing w:after="0" w:line="57" w:lineRule="exact"/>
        <w:rPr>
          <w:rFonts w:ascii="Arial" w:cs="Arial" w:eastAsia="Arial" w:hAnsi="Arial"/>
          <w:sz w:val="17"/>
          <w:szCs w:val="17"/>
          <w:color w:val="auto"/>
        </w:rPr>
      </w:pPr>
    </w:p>
    <w:p>
      <w:pPr>
        <w:ind w:left="360" w:right="320" w:hanging="352"/>
        <w:spacing w:after="0" w:line="312"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SEC and do not reflect the Company’s estimate of future stock price growth.</w:t>
      </w:r>
    </w:p>
    <w:p>
      <w:pPr>
        <w:sectPr>
          <w:pgSz w:w="11900" w:h="16838" w:orient="portrait"/>
          <w:cols w:equalWidth="0" w:num="1">
            <w:col w:w="11420"/>
          </w:cols>
          <w:pgMar w:left="240" w:top="140" w:right="239" w:bottom="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FISCAL YEAR-END OPTION VALUES</w:t>
      </w:r>
    </w:p>
    <w:p>
      <w:pPr>
        <w:spacing w:after="0" w:line="10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following table provides information regarding option exercises in fiscal 2005 by the Named Executive Officers and the value of such officers’ unexercised options at September 1, 2005:</w:t>
      </w:r>
    </w:p>
    <w:p>
      <w:pPr>
        <w:spacing w:after="0" w:line="13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Value of Unexercised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Unexercised</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In-The-Money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Options at Fiscal</w:t>
            </w:r>
          </w:p>
        </w:tc>
        <w:tc>
          <w:tcPr>
            <w:tcW w:w="15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Options at Fiscal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Year-End</w:t>
            </w:r>
          </w:p>
        </w:tc>
        <w:tc>
          <w:tcPr>
            <w:tcW w:w="15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Year-End (1)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80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Exercisable (E)</w:t>
            </w:r>
          </w:p>
        </w:tc>
        <w:tc>
          <w:tcPr>
            <w:tcW w:w="200" w:type="dxa"/>
            <w:vAlign w:val="bottom"/>
            <w:vMerge w:val="continue"/>
          </w:tcPr>
          <w:p>
            <w:pPr>
              <w:spacing w:after="0"/>
              <w:rPr>
                <w:sz w:val="8"/>
                <w:szCs w:val="8"/>
                <w:color w:val="auto"/>
              </w:rPr>
            </w:pPr>
          </w:p>
        </w:tc>
        <w:tc>
          <w:tcPr>
            <w:tcW w:w="14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Exercisable (E)</w:t>
            </w:r>
          </w:p>
        </w:tc>
        <w:tc>
          <w:tcPr>
            <w:tcW w:w="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Realized</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Unexercisable (U)</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Unexercisable (U)</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Steven R. Appleton</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 —</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2,760,000(E)</w:t>
            </w: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  110,000(E)</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40,000(U)</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110,000(U)</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J. Gove</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3"/>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837,000(E)</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41,250(E)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15,000(U)</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41,250(U)</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Roderic W. Lewis</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3"/>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1,580,000(E)</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55,000(E)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20,000(U)</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55,000(U)</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W. Sadler</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3"/>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1,464,000(E)</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55,000(E)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20,000(U)</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55,000(U)</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Wilbur G. Stover, Jr.</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3"/>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1,497,000(E)</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55,000(E)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20,000(U)</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55,000(U)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3893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41" w:lineRule="exact"/>
        <w:rPr>
          <w:sz w:val="20"/>
          <w:szCs w:val="20"/>
          <w:color w:val="auto"/>
        </w:rPr>
      </w:pPr>
    </w:p>
    <w:p>
      <w:pPr>
        <w:ind w:left="360" w:right="80" w:hanging="352"/>
        <w:spacing w:after="0" w:line="277"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of the options and $11.91, the fair market value of the Company’s Common Stock on September 1, 2005.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461010</wp:posOffset>
            </wp:positionV>
            <wp:extent cx="9461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7"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The following table provides information as of September 1, 2005, regarding Common Stock that may be issued pursuant to the Company’s equity compensation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(b)</w:t>
            </w:r>
          </w:p>
        </w:tc>
        <w:tc>
          <w:tcPr>
            <w:tcW w:w="480" w:type="dxa"/>
            <w:vAlign w:val="bottom"/>
          </w:tcPr>
          <w:p>
            <w:pPr>
              <w:spacing w:after="0"/>
              <w:rPr>
                <w:sz w:val="14"/>
                <w:szCs w:val="14"/>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3"/>
              </w:rPr>
              <w:t>(a)</w:t>
            </w:r>
          </w:p>
        </w:tc>
        <w:tc>
          <w:tcPr>
            <w:tcW w:w="1420" w:type="dxa"/>
            <w:vAlign w:val="bottom"/>
            <w:gridSpan w:val="2"/>
            <w:vMerge w:val="continue"/>
          </w:tcPr>
          <w:p>
            <w:pPr>
              <w:spacing w:after="0"/>
              <w:rPr>
                <w:sz w:val="11"/>
                <w:szCs w:val="11"/>
                <w:color w:val="auto"/>
              </w:rPr>
            </w:pPr>
          </w:p>
        </w:tc>
        <w:tc>
          <w:tcPr>
            <w:tcW w:w="188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Weighted-Average</w:t>
            </w:r>
          </w:p>
        </w:tc>
        <w:tc>
          <w:tcPr>
            <w:tcW w:w="18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2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Number Of Securities To Be</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Exercise Price</w:t>
            </w:r>
          </w:p>
        </w:tc>
        <w:tc>
          <w:tcPr>
            <w:tcW w:w="18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2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Issued Upon Exercise Of</w:t>
            </w: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Of Outstanding</w:t>
            </w:r>
          </w:p>
        </w:tc>
        <w:tc>
          <w:tcPr>
            <w:tcW w:w="18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Outstanding Options,</w:t>
            </w: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Options, Warrants</w:t>
            </w:r>
          </w:p>
        </w:tc>
        <w:tc>
          <w:tcPr>
            <w:tcW w:w="18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Warrants And Rights</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And Rights</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3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4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Shareholders (1)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79,750,016</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8"/>
                <w:szCs w:val="18"/>
                <w:color w:val="auto"/>
              </w:rPr>
              <w:t>$ 21.84</w:t>
            </w:r>
          </w:p>
        </w:tc>
        <w:tc>
          <w:tcPr>
            <w:tcW w:w="18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30,411,164(2)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40" w:type="dxa"/>
            <w:vAlign w:val="bottom"/>
            <w:gridSpan w:val="3"/>
          </w:tcPr>
          <w:p>
            <w:pPr>
              <w:ind w:left="1480"/>
              <w:spacing w:after="0"/>
              <w:rPr>
                <w:sz w:val="20"/>
                <w:szCs w:val="20"/>
                <w:color w:val="auto"/>
              </w:rPr>
            </w:pPr>
            <w:r>
              <w:rPr>
                <w:rFonts w:ascii="Arial" w:cs="Arial" w:eastAsia="Arial" w:hAnsi="Arial"/>
                <w:sz w:val="18"/>
                <w:szCs w:val="18"/>
                <w:color w:val="auto"/>
              </w:rPr>
              <w:t>Equity Compensation Plans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Not Approved by</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Shareholders (3)(4)</w:t>
            </w:r>
          </w:p>
        </w:tc>
        <w:tc>
          <w:tcPr>
            <w:tcW w:w="4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39,306,447</w:t>
            </w: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jc w:val="right"/>
              <w:ind w:right="305"/>
              <w:spacing w:after="0"/>
              <w:rPr>
                <w:sz w:val="20"/>
                <w:szCs w:val="20"/>
                <w:color w:val="auto"/>
              </w:rPr>
            </w:pPr>
            <w:r>
              <w:rPr>
                <w:rFonts w:ascii="Arial" w:cs="Arial" w:eastAsia="Arial" w:hAnsi="Arial"/>
                <w:sz w:val="18"/>
                <w:szCs w:val="18"/>
                <w:color w:val="auto"/>
              </w:rPr>
              <w:t>18.06</w:t>
            </w:r>
          </w:p>
        </w:tc>
        <w:tc>
          <w:tcPr>
            <w:tcW w:w="1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13,970,732</w:t>
            </w:r>
          </w:p>
        </w:tc>
        <w:tc>
          <w:tcPr>
            <w:tcW w:w="4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80" w:type="dxa"/>
            <w:vAlign w:val="bottom"/>
          </w:tcPr>
          <w:p>
            <w:pPr>
              <w:spacing w:after="0"/>
              <w:rPr>
                <w:sz w:val="24"/>
                <w:szCs w:val="24"/>
                <w:color w:val="auto"/>
              </w:rPr>
            </w:pPr>
          </w:p>
        </w:tc>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119,056,463</w:t>
            </w: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8"/>
                <w:szCs w:val="18"/>
                <w:color w:val="auto"/>
              </w:rPr>
              <w:t>20.59</w:t>
            </w:r>
          </w:p>
        </w:tc>
        <w:tc>
          <w:tcPr>
            <w:tcW w:w="1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44,381,896</w:t>
            </w: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right="360" w:hanging="352"/>
        <w:spacing w:after="0" w:line="277"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issuable upon exercise of options granted pursuant to the Company’s 1994 Stock Option Plan, 2001 Stock Option Plan, 2004 Equity Incentive Plan and rights under the 1998 Director’s Stock Incentive Plan.</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3,224,074 shares reserved for issuance under the Company’s 1989 Employee Stock Purchase Plan.</w:t>
      </w:r>
    </w:p>
    <w:p>
      <w:pPr>
        <w:spacing w:after="0" w:line="117" w:lineRule="exact"/>
        <w:rPr>
          <w:rFonts w:ascii="Arial" w:cs="Arial" w:eastAsia="Arial" w:hAnsi="Arial"/>
          <w:sz w:val="18"/>
          <w:szCs w:val="18"/>
          <w:color w:val="auto"/>
        </w:rPr>
      </w:pPr>
    </w:p>
    <w:p>
      <w:pPr>
        <w:ind w:left="360" w:right="60" w:hanging="352"/>
        <w:spacing w:after="0" w:line="302" w:lineRule="auto"/>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shares issuable upon exercise of options granted pursuant to the Company’s Nonstatutory Stock Option Plan, 1998 Nonstatutory Stock Option Plan, 1997 Nonstatutory Stock Option Plan and the 2002 Employee Inducement Stock Option Plan. Options granted under the aforementioned plans have terms ranging from six to ten years. The exercise price and the vesting schedule of options granted under the Nonstatutory Plans are determined by the administrators of the plans or the Company’s Board of Directors. Executive officers and directors do not participate in the aforementioned plans.</w:t>
      </w:r>
    </w:p>
    <w:p>
      <w:pPr>
        <w:spacing w:after="0" w:line="46" w:lineRule="exact"/>
        <w:rPr>
          <w:rFonts w:ascii="Arial" w:cs="Arial" w:eastAsia="Arial" w:hAnsi="Arial"/>
          <w:sz w:val="16"/>
          <w:szCs w:val="16"/>
          <w:color w:val="auto"/>
        </w:rPr>
      </w:pPr>
    </w:p>
    <w:p>
      <w:pPr>
        <w:ind w:left="360" w:hanging="352"/>
        <w:spacing w:after="0" w:line="257"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16,761 shares with a weighted average exercise price of $6.05 issuable upon exercise of options outstanding under the Rendition 1994 Equity Incentive Plan. This plan was assumed by the Company in connection with its acquisition of Rendition, Inc. in September 1998. Does not include 71,748 shares with a weighted average exercise price of $0.87 issuable upon exercise of options outstanding under the Micron Quantum Devices (“MQD”) 1996 Stock Option Plan. This plan was assumed by the Company in connection with the merger of MQD (a former subsidiary of the Company) into the Company in February 1998.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As of October 12, 2005, Messrs. Bagley and Lothrop had deferred rights to receive 19,283 and 8,933 shares of Common Stock, respectively, under the DSIP. The Company also reimburses directors for travel and lodging expenses, if any, incurred in connection with attendance at Board of Directors’ meetings. The chairman of the Audit Committee and the chairman of the Governance and Compensation Committee each receive $10,000 per year for their services as committee chairman. Except for the foregoing, directors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do not receive any additional or special remuneration for their service on any of the committees established by the Board of Directors.</w:t>
      </w:r>
    </w:p>
    <w:p>
      <w:pPr>
        <w:sectPr>
          <w:pgSz w:w="11900" w:h="16838" w:orient="portrait"/>
          <w:cols w:equalWidth="0" w:num="1">
            <w:col w:w="11380"/>
          </w:cols>
          <w:pgMar w:left="240" w:top="121" w:right="279" w:bottom="0" w:gutter="0" w:footer="0" w:header="0"/>
          <w:type w:val="continuous"/>
        </w:sectPr>
      </w:pPr>
    </w:p>
    <w:bookmarkStart w:id="9" w:name="page10"/>
    <w:bookmarkEnd w:id="9"/>
    <w:p>
      <w:pPr>
        <w:spacing w:after="0" w:line="82" w:lineRule="exact"/>
        <w:rPr>
          <w:sz w:val="20"/>
          <w:szCs w:val="20"/>
          <w:color w:val="auto"/>
        </w:rPr>
      </w:pPr>
    </w:p>
    <w:p>
      <w:pPr>
        <w:ind w:right="280" w:firstLine="360"/>
        <w:spacing w:after="0" w:line="276" w:lineRule="auto"/>
        <w:rPr>
          <w:sz w:val="20"/>
          <w:szCs w:val="20"/>
          <w:color w:val="auto"/>
        </w:rPr>
      </w:pPr>
      <w:r>
        <w:rPr>
          <w:rFonts w:ascii="Arial" w:cs="Arial" w:eastAsia="Arial" w:hAnsi="Arial"/>
          <w:sz w:val="17"/>
          <w:szCs w:val="17"/>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death. All amounts deferred are recorded as a liability in the records of the Company. Such amounts accrue interest monthly at a rate equal to the Company’s average investment portfolio yield for such month.</w:t>
      </w:r>
    </w:p>
    <w:p>
      <w:pPr>
        <w:spacing w:after="0" w:line="64" w:lineRule="exact"/>
        <w:rPr>
          <w:sz w:val="20"/>
          <w:szCs w:val="20"/>
          <w:color w:val="auto"/>
        </w:rPr>
      </w:pPr>
    </w:p>
    <w:p>
      <w:pPr>
        <w:ind w:right="240" w:firstLine="360"/>
        <w:spacing w:after="0" w:line="290" w:lineRule="auto"/>
        <w:rPr>
          <w:sz w:val="20"/>
          <w:szCs w:val="20"/>
          <w:color w:val="auto"/>
        </w:rPr>
      </w:pPr>
      <w:r>
        <w:rPr>
          <w:rFonts w:ascii="Arial" w:cs="Arial" w:eastAsia="Arial" w:hAnsi="Arial"/>
          <w:sz w:val="16"/>
          <w:szCs w:val="16"/>
          <w:color w:val="auto"/>
        </w:rPr>
        <w:t>Non-employee members of the Board of Directors receive an annual equity award from the Company. Prior to fiscal 2005, these equity awards were comprised exclusively of options to purchase the Company’s Common Stock. In fiscal 2005, the composition of the annual equity award was changed to include both stock options and shares of restricted stock, with non-employee directors receiving options to purchase 7,500 shares of Common Stock and 2,500 shares of restricted stock. In fiscal 2006, the restricted stock component of the annual equity award was increased to 7,500 shares; the option component remained unchanged. Stock options awarded to the non-employee directors are fully vested and have an exercise price equal to the fair market value of the Company’s Common Stock on the date of grant. The restrictions associated with the restricted stock awarded to non-employee directors lapse over one or two years. Upon their appointment to the Company’s Board of Directors, Ms. Johnson and Mr. Mondry were each awarded options to purchase 10,000 shares of Common Stock. The following table shows outstanding equity awards to non-employee directors as of October 14, 2005:</w:t>
      </w:r>
    </w:p>
    <w:p>
      <w:pPr>
        <w:spacing w:after="0" w:line="144"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360" w:type="dxa"/>
            <w:vAlign w:val="bottom"/>
            <w:gridSpan w:val="4"/>
          </w:tcPr>
          <w:p>
            <w:pPr>
              <w:ind w:left="620"/>
              <w:spacing w:after="0"/>
              <w:rPr>
                <w:sz w:val="20"/>
                <w:szCs w:val="20"/>
                <w:color w:val="auto"/>
              </w:rPr>
            </w:pPr>
            <w:r>
              <w:rPr>
                <w:rFonts w:ascii="Arial" w:cs="Arial" w:eastAsia="Arial" w:hAnsi="Arial"/>
                <w:sz w:val="14"/>
                <w:szCs w:val="14"/>
                <w:b w:val="1"/>
                <w:bCs w:val="1"/>
                <w:color w:val="auto"/>
              </w:rPr>
              <w:t>Stock Options</w:t>
            </w:r>
          </w:p>
        </w:tc>
        <w:tc>
          <w:tcPr>
            <w:tcW w:w="1940" w:type="dxa"/>
            <w:vAlign w:val="bottom"/>
            <w:gridSpan w:val="4"/>
          </w:tcPr>
          <w:p>
            <w:pPr>
              <w:ind w:left="420"/>
              <w:spacing w:after="0"/>
              <w:rPr>
                <w:sz w:val="20"/>
                <w:szCs w:val="20"/>
                <w:color w:val="auto"/>
              </w:rPr>
            </w:pPr>
            <w:r>
              <w:rPr>
                <w:rFonts w:ascii="Arial" w:cs="Arial" w:eastAsia="Arial" w:hAnsi="Arial"/>
                <w:sz w:val="14"/>
                <w:szCs w:val="14"/>
                <w:b w:val="1"/>
                <w:bCs w:val="1"/>
                <w:color w:val="auto"/>
              </w:rPr>
              <w:t>Restricted Stock</w:t>
            </w:r>
          </w:p>
        </w:tc>
      </w:tr>
      <w:tr>
        <w:trPr>
          <w:trHeight w:val="102"/>
        </w:trPr>
        <w:tc>
          <w:tcPr>
            <w:tcW w:w="3540" w:type="dxa"/>
            <w:vAlign w:val="bottom"/>
          </w:tcPr>
          <w:p>
            <w:pPr>
              <w:spacing w:after="0"/>
              <w:rPr>
                <w:sz w:val="8"/>
                <w:szCs w:val="8"/>
                <w:color w:val="auto"/>
              </w:rPr>
            </w:pPr>
          </w:p>
        </w:tc>
        <w:tc>
          <w:tcPr>
            <w:tcW w:w="940" w:type="dxa"/>
            <w:vAlign w:val="bottom"/>
            <w:tcBorders>
              <w:top w:val="single" w:sz="8" w:color="auto"/>
            </w:tcBorders>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Number of</w:t>
            </w:r>
          </w:p>
        </w:tc>
        <w:tc>
          <w:tcPr>
            <w:tcW w:w="12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Weighted Average</w:t>
            </w:r>
          </w:p>
        </w:tc>
        <w:tc>
          <w:tcPr>
            <w:tcW w:w="220" w:type="dxa"/>
            <w:vAlign w:val="bottom"/>
          </w:tcPr>
          <w:p>
            <w:pPr>
              <w:spacing w:after="0"/>
              <w:rPr>
                <w:sz w:val="8"/>
                <w:szCs w:val="8"/>
                <w:color w:val="auto"/>
              </w:rPr>
            </w:pPr>
          </w:p>
        </w:tc>
        <w:tc>
          <w:tcPr>
            <w:tcW w:w="960" w:type="dxa"/>
            <w:vAlign w:val="bottom"/>
            <w:tcBorders>
              <w:top w:val="single" w:sz="8" w:color="auto"/>
            </w:tcBorders>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Number of</w:t>
            </w:r>
          </w:p>
        </w:tc>
        <w:tc>
          <w:tcPr>
            <w:tcW w:w="9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Value at</w:t>
            </w:r>
          </w:p>
        </w:tc>
        <w:tc>
          <w:tcPr>
            <w:tcW w:w="60" w:type="dxa"/>
            <w:vAlign w:val="bottom"/>
          </w:tcPr>
          <w:p>
            <w:pPr>
              <w:spacing w:after="0"/>
              <w:rPr>
                <w:sz w:val="8"/>
                <w:szCs w:val="8"/>
                <w:color w:val="auto"/>
              </w:rPr>
            </w:pPr>
          </w:p>
        </w:tc>
      </w:tr>
      <w:tr>
        <w:trPr>
          <w:trHeight w:val="162"/>
        </w:trPr>
        <w:tc>
          <w:tcPr>
            <w:tcW w:w="35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Grant Date</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72,000</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$ 26.24</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$ 126,450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Mercedes Johnson</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17,500</w:t>
            </w:r>
          </w:p>
        </w:tc>
        <w:tc>
          <w:tcPr>
            <w:tcW w:w="200" w:type="dxa"/>
            <w:vAlign w:val="bottom"/>
          </w:tcPr>
          <w:p>
            <w:pPr>
              <w:spacing w:after="0"/>
              <w:rPr>
                <w:sz w:val="18"/>
                <w:szCs w:val="18"/>
                <w:color w:val="auto"/>
              </w:rPr>
            </w:pPr>
          </w:p>
        </w:tc>
        <w:tc>
          <w:tcPr>
            <w:tcW w:w="1200" w:type="dxa"/>
            <w:vAlign w:val="bottom"/>
          </w:tcPr>
          <w:p>
            <w:pPr>
              <w:jc w:val="right"/>
              <w:ind w:right="256"/>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96,025</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Robert A. Lothrop</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72,000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26.24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126,450</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Lawrence N. Mondry</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17,500</w:t>
            </w:r>
          </w:p>
        </w:tc>
        <w:tc>
          <w:tcPr>
            <w:tcW w:w="200" w:type="dxa"/>
            <w:vAlign w:val="bottom"/>
          </w:tcPr>
          <w:p>
            <w:pPr>
              <w:spacing w:after="0"/>
              <w:rPr>
                <w:sz w:val="18"/>
                <w:szCs w:val="18"/>
                <w:color w:val="auto"/>
              </w:rPr>
            </w:pPr>
          </w:p>
        </w:tc>
        <w:tc>
          <w:tcPr>
            <w:tcW w:w="1200" w:type="dxa"/>
            <w:vAlign w:val="bottom"/>
          </w:tcPr>
          <w:p>
            <w:pPr>
              <w:jc w:val="right"/>
              <w:ind w:right="256"/>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96,025</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Gordon C. Smith</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41,000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33.63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126,450</w:t>
            </w:r>
          </w:p>
        </w:tc>
        <w:tc>
          <w:tcPr>
            <w:tcW w:w="60" w:type="dxa"/>
            <w:vAlign w:val="bottom"/>
            <w:shd w:val="clear" w:color="auto" w:fill="CCEEFF"/>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William P. Weber</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60,000</w:t>
            </w:r>
          </w:p>
        </w:tc>
        <w:tc>
          <w:tcPr>
            <w:tcW w:w="200" w:type="dxa"/>
            <w:vAlign w:val="bottom"/>
          </w:tcPr>
          <w:p>
            <w:pPr>
              <w:spacing w:after="0"/>
              <w:rPr>
                <w:sz w:val="20"/>
                <w:szCs w:val="20"/>
                <w:color w:val="auto"/>
              </w:rPr>
            </w:pPr>
          </w:p>
        </w:tc>
        <w:tc>
          <w:tcPr>
            <w:tcW w:w="1200" w:type="dxa"/>
            <w:vAlign w:val="bottom"/>
          </w:tcPr>
          <w:p>
            <w:pPr>
              <w:jc w:val="right"/>
              <w:ind w:right="256"/>
              <w:spacing w:after="0"/>
              <w:rPr>
                <w:sz w:val="20"/>
                <w:szCs w:val="20"/>
                <w:color w:val="auto"/>
              </w:rPr>
            </w:pPr>
            <w:r>
              <w:rPr>
                <w:rFonts w:ascii="Arial" w:cs="Arial" w:eastAsia="Arial" w:hAnsi="Arial"/>
                <w:sz w:val="18"/>
                <w:szCs w:val="18"/>
                <w:color w:val="auto"/>
              </w:rPr>
              <w:t>26.09</w:t>
            </w:r>
          </w:p>
        </w:tc>
        <w:tc>
          <w:tcPr>
            <w:tcW w:w="22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126,450</w:t>
            </w:r>
          </w:p>
        </w:tc>
        <w:tc>
          <w:tcPr>
            <w:tcW w:w="6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Agreements and Change in Control Arrangement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17"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The Company has entered into Severance Agreements with each of the Company’s Named Executive Officers relating to termination of employment or status as an officer of the Company and compensation upon such termination. The Severance Agreements allow either the Company or the officer to terminate the officer’s employment with the Company or the officer’s status as an officer of the Company, for any reason (including death), voluntary or involuntary, with or without cause. The Severance Agreements generally provide for a “Transition Period” which begins upon termination of the officer’s employment with the Company or status as an officer of the Company and ends after a period of 184 days plus any unused time the officer had remaining under the Company’s time-off plan, even if the officer dies during the Transition Period. Provided the officer complies with noncompetition obligations following employment and the terms of the Severance Agreement, the officer is entitled to receive compensation during the Transition Period equivalent to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entitled to any new grants of interest in future executive bonus pools (cash or equity), any new grants of stock options, or the payment of any compensation that would be deferred past the Transition Period due to payment criteria of an incentive program, as those criteria existed as of the Termination Date.</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 in Control Arrangement</w:t>
      </w:r>
    </w:p>
    <w:p>
      <w:pPr>
        <w:spacing w:after="0" w:line="117"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The Company does not have any change in control arrangements in place with its executive officers or directors. Pursuant to the terms of the Company’s equity compensation plans, equity awards may be substituted, assumed or accelerated upon a change in control, depending upon the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 Reports</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reports by the Audit and the Governance and Compensation Committees of the Board of Directors and the performance graph set forth herein shall not be incorporated by reference into any such filings.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This report has been prepared by the Audit Committee of the Board of Directors. Messrs. Lothrop, Smith and Ms. Johnson currently serve on the Audit Committee. At times during fiscal 2005, former directors Thomas Nicholson and Ronald Foster also served on the Audit Committee. Mr. Smith serves as Chairman of the Audit Committee and the Board of Directors determined that Mr. Smith and Ms. Johnson both qualify as an “audit committee financial expert” for purposes of the rules and regulations of the Securities and Exchange Commission. The Board of Directors has determined that the members of the Audit Committee satisfy the independence requirements of applicable federal laws and the listing standards of the NYSE.</w:t>
      </w:r>
    </w:p>
    <w:p>
      <w:pPr>
        <w:spacing w:after="0" w:line="6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purpose of the Audit Committee is to assist the Board of Directors in overseeing and monitoring (i) the integrity of the Company’s financial statements, (ii) 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this report for inclusion in the Proxy Statement.</w:t>
      </w:r>
    </w:p>
    <w:p>
      <w:pPr>
        <w:spacing w:after="0" w:line="79"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We have reviewed and discussed the Company’s audited financial statements with the Company’s management, which has primary responsibility for such financial statements. PricewaterhouseCoopers LLP (“PwC”), the Company’s Independent Registered Public Accounting Firm for fiscal 2005, has expressed in the Company’s Annual Report on Form 10-K its opinion as to the conformity of the Company’s consolidated financial statements with accounting principles generally accepted in the United States. The Audit Committee has discussed with PwC the matters that are required to be discussed by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PwC has provided to the Audit Committee the written disclosures and the letter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and the Audit Committee discussed with PwC its independence. The Audit Committee also concluded that PwC’s provision of non-audit services to the Company, as described below, is compatible with PwC’s independence.</w:t>
      </w:r>
    </w:p>
    <w:p>
      <w:pPr>
        <w:sectPr>
          <w:pgSz w:w="11900" w:h="16920" w:orient="portrait"/>
          <w:cols w:equalWidth="0" w:num="1">
            <w:col w:w="11420"/>
          </w:cols>
          <w:pgMar w:left="240" w:top="125" w:right="239" w:bottom="0" w:gutter="0" w:footer="0" w:header="0"/>
        </w:sectPr>
      </w:pPr>
    </w:p>
    <w:bookmarkStart w:id="10" w:name="page11"/>
    <w:bookmarkEnd w:id="10"/>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Fees charged to the Company for services performed by PwC for fiscal 2005 and 2004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500" w:type="dxa"/>
            <w:vAlign w:val="bottom"/>
            <w:gridSpan w:val="5"/>
          </w:tcPr>
          <w:p>
            <w:pPr>
              <w:ind w:left="80"/>
              <w:spacing w:after="0" w:line="129" w:lineRule="exact"/>
              <w:rPr>
                <w:sz w:val="20"/>
                <w:szCs w:val="20"/>
                <w:color w:val="auto"/>
              </w:rPr>
            </w:pPr>
            <w:r>
              <w:rPr>
                <w:rFonts w:ascii="Arial" w:cs="Arial" w:eastAsia="Arial" w:hAnsi="Arial"/>
                <w:sz w:val="14"/>
                <w:szCs w:val="14"/>
                <w:b w:val="1"/>
                <w:bCs w:val="1"/>
                <w:color w:val="auto"/>
                <w:w w:val="99"/>
              </w:rPr>
              <w:t>(amounts in millions)</w:t>
            </w:r>
          </w:p>
        </w:tc>
        <w:tc>
          <w:tcPr>
            <w:tcW w:w="60" w:type="dxa"/>
            <w:vAlign w:val="bottom"/>
          </w:tcPr>
          <w:p>
            <w:pPr>
              <w:spacing w:after="0"/>
              <w:rPr>
                <w:sz w:val="11"/>
                <w:szCs w:val="11"/>
                <w:color w:val="auto"/>
              </w:rPr>
            </w:pPr>
          </w:p>
        </w:tc>
      </w:tr>
      <w:tr>
        <w:trPr>
          <w:trHeight w:val="216"/>
        </w:trPr>
        <w:tc>
          <w:tcPr>
            <w:tcW w:w="186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8020" w:type="dxa"/>
            <w:vAlign w:val="bottom"/>
            <w:gridSpan w:val="3"/>
          </w:tcPr>
          <w:p>
            <w:pPr>
              <w:ind w:left="1860"/>
              <w:spacing w:after="0"/>
              <w:rPr>
                <w:sz w:val="20"/>
                <w:szCs w:val="20"/>
                <w:color w:val="auto"/>
              </w:rPr>
            </w:pPr>
            <w:r>
              <w:rPr>
                <w:rFonts w:ascii="Arial" w:cs="Arial" w:eastAsia="Arial" w:hAnsi="Arial"/>
                <w:sz w:val="18"/>
                <w:szCs w:val="18"/>
                <w:color w:val="auto"/>
              </w:rPr>
              <w:t>Audit-related fees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1860" w:type="dxa"/>
            <w:vAlign w:val="bottom"/>
          </w:tcPr>
          <w:p>
            <w:pPr>
              <w:spacing w:after="0"/>
              <w:rPr>
                <w:sz w:val="22"/>
                <w:szCs w:val="2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7"/>
        </w:trPr>
        <w:tc>
          <w:tcPr>
            <w:tcW w:w="8020" w:type="dxa"/>
            <w:vAlign w:val="bottom"/>
            <w:gridSpan w:val="3"/>
          </w:tcPr>
          <w:p>
            <w:pPr>
              <w:ind w:left="1860"/>
              <w:spacing w:after="0"/>
              <w:rPr>
                <w:sz w:val="20"/>
                <w:szCs w:val="20"/>
                <w:color w:val="auto"/>
              </w:rPr>
            </w:pPr>
            <w:r>
              <w:rPr>
                <w:rFonts w:ascii="Arial" w:cs="Arial" w:eastAsia="Arial" w:hAnsi="Arial"/>
                <w:sz w:val="18"/>
                <w:szCs w:val="18"/>
                <w:color w:val="auto"/>
              </w:rPr>
              <w:t>All other fees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0"/>
        </w:trPr>
        <w:tc>
          <w:tcPr>
            <w:tcW w:w="1860" w:type="dxa"/>
            <w:vAlign w:val="bottom"/>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$ 4.4</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5"/>
        </w:trPr>
        <w:tc>
          <w:tcPr>
            <w:tcW w:w="18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67" w:lineRule="exact"/>
        <w:rPr>
          <w:sz w:val="20"/>
          <w:szCs w:val="20"/>
          <w:color w:val="auto"/>
        </w:rPr>
      </w:pPr>
    </w:p>
    <w:p>
      <w:pPr>
        <w:ind w:left="360" w:right="40" w:hanging="352"/>
        <w:spacing w:after="0" w:line="264"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fees related to the audit of the Company’s financial statements, fees for services provided in connection with statutory and regulatory filings and, in the case of fiscal 2005, fees for attestation services related to the Company’s internal control over financial reporting, as required by the Sarbanes Oxley Act of 2002.</w:t>
      </w:r>
    </w:p>
    <w:p>
      <w:pPr>
        <w:spacing w:after="0" w:line="127"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primarily fees for expatriate tax services.</w:t>
      </w:r>
    </w:p>
    <w:p>
      <w:pPr>
        <w:spacing w:after="0" w:line="17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Audit and non-audit services performed by PwC are approved by the Audit Committee in advance of services being provided.</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the Company’s audited consolidated financial statements in the Company’s Annual Report on Form 10-K for fiscal 2005; appointed PwC as the Independent Registered Public Accounting Firm of the Company for the Company’s fiscal year ending August 31, 2006, and approved and authorized PwC to carry out and perform certain specified non-audit services for the Company in fiscal 2006.</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jc w:val="both"/>
        <w:ind w:right="60" w:firstLine="8"/>
        <w:spacing w:after="0" w:line="254"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Company’s consolidated financial statements and for the reporting process in general, and (ii) establishing and maintaining internal controls. Similarly, it is the responsibility of the Independent Registered Public Accounting Firm, and not the Audit Committee, to conduct the audit of the Company’s consolidated financial statements and express an opinion as to the conformity of the financial statements with accounting principles generally accepted in the United States.</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Audit Committee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Mercedes Johnson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Lothrop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Gordon C. Smith</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GOVERNANCE AND COMPENSATION COMMITTEE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REGARDING EXECUTIVE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Compensation Committee</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This report has been prepared by the Governance and Compensation Committee of the Board of Directors of the Company. Messrs. Lothrop, Mondry and Weber served as members of the Governance and Compensation Committee during fiscal 2005. Former director, Thomas Nicholson, also served on the Governance and Compensation Committee in fiscal 2005. Mr. Weber is the Chairman of the Governance and Compensation Committee. Each of the members of the Governance and Compensation Committee are independent, as such term is defined under existing NYSE listing standards. The Governance and Compensation Committee meets at least annually or more frequently as the Company’s Board of Directors may request. During fiscal 2005, the Governance and Compensation Committee met five times. In fiscal 2005, the Governance and Compensation Committee’s responsibilities included, among others, the review of executive officer compensation. Compensation for the Company’s executive officers for fiscal 2005, including base salary, performance bonuses, stock option grants, and other compensation, were determined by the Governance and Compensation Committee and reviewed by the Company’s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The executive officer compensation programs utilized by the Company in fiscal 2005 are described below for the purpose of providing a general understanding of the various components of executive officer compensation.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jc w:val="both"/>
        <w:ind w:right="680" w:firstLine="360"/>
        <w:spacing w:after="0" w:line="342" w:lineRule="auto"/>
        <w:rPr>
          <w:sz w:val="20"/>
          <w:szCs w:val="20"/>
          <w:color w:val="auto"/>
        </w:rPr>
      </w:pPr>
      <w:r>
        <w:rPr>
          <w:rFonts w:ascii="Arial" w:cs="Arial" w:eastAsia="Arial" w:hAnsi="Arial"/>
          <w:sz w:val="16"/>
          <w:szCs w:val="16"/>
          <w:color w:val="auto"/>
        </w:rPr>
        <w:t>Executive officer compensation programs of the Company are designed to attract, retain and reward highly qualified executive officers who are important to the Company’s success and to provide incentives for outstanding performance at the individual, business-unit and Company-wide level.</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salaries are established primarily upon an evaluation of the executive officer’s position and contributions to the Company, including</w:t>
      </w:r>
    </w:p>
    <w:p>
      <w:pPr>
        <w:spacing w:after="0" w:line="46" w:lineRule="exact"/>
        <w:rPr>
          <w:sz w:val="20"/>
          <w:szCs w:val="20"/>
          <w:color w:val="auto"/>
        </w:rPr>
      </w:pPr>
    </w:p>
    <w:p>
      <w:pPr>
        <w:ind w:firstLine="8"/>
        <w:spacing w:after="0" w:line="261"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market compensation levels, (ii) individual performance, (iii) level of responsibility, both in absolute terms and relative to other officers within the Company, (iv) technical expertise, (v) Company performance and (vi) length of service.</w:t>
      </w:r>
    </w:p>
    <w:p>
      <w:pPr>
        <w:spacing w:after="0" w:line="76"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 xml:space="preserve">Executive Officer Performance Incentive Plan. </w:t>
      </w:r>
      <w:r>
        <w:rPr>
          <w:rFonts w:ascii="Arial" w:cs="Arial" w:eastAsia="Arial" w:hAnsi="Arial"/>
          <w:sz w:val="16"/>
          <w:szCs w:val="16"/>
          <w:color w:val="auto"/>
        </w:rPr>
        <w:t>In November 2004, the Company’s shareholders approved the Executive Officer Performance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purpose of the Executive Officer Performance Incentive Plan is to attract, retain and reward qualified executives who are important to the Company’s success by providing them with cash awards for outstanding performance at the individual, business-unit and Company-wide level. Both financial and non-financial metrics are used to measure performance under the Executive Officer Performance Incentive Plan. In September 2004, in accordance with</w:t>
      </w:r>
    </w:p>
    <w:p>
      <w:pPr>
        <w:sectPr>
          <w:pgSz w:w="11900" w:h="16891" w:orient="portrait"/>
          <w:cols w:equalWidth="0" w:num="1">
            <w:col w:w="11400"/>
          </w:cols>
          <w:pgMar w:left="240" w:top="125" w:right="259" w:bottom="0" w:gutter="0" w:footer="0" w:header="0"/>
        </w:sectPr>
      </w:pPr>
    </w:p>
    <w:bookmarkStart w:id="11" w:name="page12"/>
    <w:bookmarkEnd w:id="11"/>
    <w:p>
      <w:pPr>
        <w:spacing w:after="0" w:line="302" w:lineRule="auto"/>
        <w:rPr>
          <w:sz w:val="20"/>
          <w:szCs w:val="20"/>
          <w:color w:val="auto"/>
        </w:rPr>
      </w:pPr>
      <w:r>
        <w:rPr>
          <w:rFonts w:ascii="Arial" w:cs="Arial" w:eastAsia="Arial" w:hAnsi="Arial"/>
          <w:sz w:val="16"/>
          <w:szCs w:val="16"/>
          <w:color w:val="auto"/>
        </w:rPr>
        <w:t>the provisions of the Executive Officer Performance Incentive Plan, the Governance and Compensation Committee established specific metrics to be used to measure executive officer performance for fiscal 2005. These metrics included the financial performance of the Company and/or a particular business unit and the achievement of individual milestones. In September 2005, the Governance and Compensation Committee reviewed and certified the Executive Officer Performance Incentive Plan results for fiscal 2005. These actions resulted in certain bonuses being paid to each executive officer on September 30, 2005.</w:t>
      </w:r>
    </w:p>
    <w:p>
      <w:pPr>
        <w:spacing w:after="0" w:line="46"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The Company distributes 10% of the Company’s quarterly consolidated net after-tax profits to eligible employees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profit sharing program. In their capacity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employees of the Company, executive officers participate in such profit sharing program. The amount that each executive officer receives is determined by a formula, primarily based on the executive officer’s base salary relative to total base salaries for all U.S. employees.</w:t>
      </w:r>
    </w:p>
    <w:p>
      <w:pPr>
        <w:spacing w:after="0" w:line="62"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i w:val="1"/>
          <w:iCs w:val="1"/>
          <w:color w:val="auto"/>
        </w:rPr>
        <w:t xml:space="preserve">Incentive Bonuses. </w:t>
      </w:r>
      <w:r>
        <w:rPr>
          <w:rFonts w:ascii="Arial" w:cs="Arial" w:eastAsia="Arial" w:hAnsi="Arial"/>
          <w:sz w:val="16"/>
          <w:szCs w:val="16"/>
          <w:color w:val="auto"/>
        </w:rPr>
        <w:t>From time to time, incentive cash bonuses are approved for payment to employees, including executive officers, for the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milestones or the completion of projects identified as contributing substantially to the Company’s success and the attainment of technological advances.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300" w:firstLine="360"/>
        <w:spacing w:after="0" w:line="279" w:lineRule="auto"/>
        <w:rPr>
          <w:sz w:val="20"/>
          <w:szCs w:val="20"/>
          <w:color w:val="auto"/>
        </w:rPr>
      </w:pPr>
      <w:r>
        <w:rPr>
          <w:rFonts w:ascii="Arial" w:cs="Arial" w:eastAsia="Arial" w:hAnsi="Arial"/>
          <w:sz w:val="17"/>
          <w:szCs w:val="17"/>
          <w:color w:val="auto"/>
        </w:rPr>
        <w:t>In order to provide incentive to the executive officers of the Company related to long-term growth in the value of the Company’s Common Stock, the Company issues stock options and restricted stock to such persons under the Company’s (i) 2004 Equity Incentive Plan, and (ii) 2001 Stock Option Plan (collectively, the “Stock Plans”). The determination of who received awards under the Stock Plans for fiscal 2005 and the number of stock options and restricted shares awarded to each such recipient was based upon the same criteria utilized to determine base salary.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Payment/Exercise Restrictions</w:t>
      </w:r>
    </w:p>
    <w:p>
      <w:pPr>
        <w:spacing w:after="0" w:line="117"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color w:val="auto"/>
        </w:rPr>
        <w:t>In an effort to encourage executive officers to remain employed by the Company and to promote Company performance, many compensation programs for executive officers contain provisions which subject the payment or realization of benefits under such programs to certain conditions. Examples of these conditions include: (i) the individual is employed by the Company or a subsidiary of the Company at the time of payment; and (ii) certification by the Governance and Compensation Committee for executive officer bonuses that relevant goals were achieved. Likewise, stock options granted to executive officers typically have a term of six to ten years and vest 25% each year for a period of four years from the date of grant. The restrictions associated with awards of restricted stock generally lapse in equal installments over a three year period or pursuant to pre-established performance criteria.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Steven R. Appleton’s annual base salary is based primarily on his overall and anticipated performance, the Company’s performance and the Governance and Compensation Committee’s assessment of the compensation practices of other peer companies, as identified by professional compensation advisors, including without limitation, certain semiconductor manufacturing companies. In October 2004, based on the recommendations of professional compensation advisors, and taking into account the factors listed above under the heading “Base Salary,” the Governance and Compensation Committee increased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Appleton’s base salary for fiscal 2005 from $800,000 to $850,000. On September 30, 2005, Mr. Appleton received a cash bonus of $517,688 for his performance in fiscal 2005 pursuant to the Executive Officer Performance Incentive Plan. See the discussion under “Executive Officer Performance Incentive Plan” above.</w:t>
      </w:r>
    </w:p>
    <w:p>
      <w:pPr>
        <w:spacing w:after="0" w:line="82"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In fiscal 2005, Mr. Appleton was awarded 70,000 shares of restricted stock and options to purchase 420,000 shares of Common Stock. The Company awarded restricted stock and stock options to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executive officers at the same time. The Governance and Compensation Committee did not utilize a plan pursuant to which a predetermined number of restricted shares and stock options were allocated to Mr. Appleton. The amount of Mr. Appleton’s equity award was based upon subjective and objective factors, such as his individual performance, his position in the Company relative to the other executive officers who received awards on the same date, the Company’s overall performance, his length of service with the Company, his past contributions to the success of the Company, his expected contributions to the future success of the Company and competitive market practices.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Governance and Compensation Committee of the Board of Directors,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Lothrop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P. Weber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During fiscal 2005, no members of the Governance and Compensation Committee (Messrs. Lothrop, Mondry, Weber and Nicholson) were officers or employees of the Company or any of its subsidiaries. During fiscal 2005, no executive officer of the Company served on the governance and compensation committee (or equivalent), or the board of directors of another entity whose executive officer(s) served on the Company’s Governance and Compensation Committee.</w:t>
      </w:r>
    </w:p>
    <w:p>
      <w:pPr>
        <w:sectPr>
          <w:pgSz w:w="11900" w:h="16838" w:orient="portrait"/>
          <w:cols w:equalWidth="0" w:num="1">
            <w:col w:w="11420"/>
          </w:cols>
          <w:pgMar w:left="240" w:top="125" w:right="239" w:bottom="163"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63"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graph illustrates a five-year comparison of cumulative total returns for the Company’s Common Stock, the S&amp;P 500 Composite Index and the Philadelphia Semiconductor Index (SOX) from August 31, 2000, through August 31, 2005.</w:t>
      </w:r>
    </w:p>
    <w:p>
      <w:pPr>
        <w:spacing w:after="0" w:line="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b w:val="1"/>
          <w:bCs w:val="1"/>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16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8"/>
          <w:szCs w:val="18"/>
          <w:color w:val="auto"/>
        </w:rPr>
        <w:t>AMONG MICRON TECHNOLOGY, INC., THE S&amp;P 500 COMPOSITE INDEX AND THE PHILADELPHIA SEMICONDUCTOR INDEX (SOX)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54610</wp:posOffset>
            </wp:positionV>
            <wp:extent cx="4999990" cy="2778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9990"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8/31/00 in stock or index - including reinvestment of dividends.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Company operates on a 52/53 week fiscal year which ends on the Thursday closest to August 31. Accordingly, the last day of the Company’s fiscal year varies. For consistent presentation and comparison to the industry indices shown herein, the Company has calculated its stock performance graph assuming an August 31 year-end. The performance graph assumes $100 invested on August 31, 2000,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Data</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Micron Technology, Inc.</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$ 15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S&amp;P 500 Composite Index</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Philadelphia Semiconductor Index (SOX)</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r>
      <w:tr>
        <w:trPr>
          <w:trHeight w:val="702"/>
        </w:trPr>
        <w:tc>
          <w:tcPr>
            <w:tcW w:w="3500" w:type="dxa"/>
            <w:vAlign w:val="bottom"/>
          </w:tcPr>
          <w:p>
            <w:pPr>
              <w:spacing w:after="0"/>
              <w:rPr>
                <w:sz w:val="24"/>
                <w:szCs w:val="24"/>
                <w:color w:val="auto"/>
              </w:rPr>
            </w:pPr>
          </w:p>
        </w:tc>
        <w:tc>
          <w:tcPr>
            <w:tcW w:w="1060" w:type="dxa"/>
            <w:vAlign w:val="bottom"/>
            <w:gridSpan w:val="2"/>
          </w:tcPr>
          <w:p>
            <w:pPr>
              <w:jc w:val="right"/>
              <w:ind w:right="3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PROPOSAL 2. APPROVAL OF AN AMENDMENT TO THE 2004 EQUITY INCENTIVE PLAN INCREASING THE NUMBER OF SHARES OF COMMON STOCK RESERVED FOR ISSUANCE THEREUNDER BY 12,000,000</w:t>
      </w:r>
    </w:p>
    <w:p>
      <w:pPr>
        <w:spacing w:after="0" w:line="58" w:lineRule="exact"/>
        <w:rPr>
          <w:sz w:val="20"/>
          <w:szCs w:val="20"/>
          <w:color w:val="auto"/>
        </w:rPr>
      </w:pPr>
    </w:p>
    <w:p>
      <w:pPr>
        <w:ind w:right="460" w:firstLine="360"/>
        <w:spacing w:after="0" w:line="276" w:lineRule="auto"/>
        <w:rPr>
          <w:sz w:val="20"/>
          <w:szCs w:val="20"/>
          <w:color w:val="auto"/>
        </w:rPr>
      </w:pPr>
      <w:r>
        <w:rPr>
          <w:rFonts w:ascii="Arial" w:cs="Arial" w:eastAsia="Arial" w:hAnsi="Arial"/>
          <w:sz w:val="17"/>
          <w:szCs w:val="17"/>
          <w:color w:val="auto"/>
        </w:rPr>
        <w:t>The 2004 Equity Incentive Plan was adopted by the Board of Directors on October 13, 2004, and approved by shareholders in November 2004. On September 27, 2005, the Board of Directors recommended that the 2004 Equity Incentive Plan be amended, subject to the approval of the Company’s shareholders, to increase the shares reserved for issuance thereunder from 14,000,000 to 26,000,000. As of October 14, 2005, 10,668,000 shares were available for issuance under the 2004 Equity Incentive Plan. As of October 14, 2005, there were approximately 18,900 employees (including all current executive officers) eligible to participate in the 2004 Equity Incentive Plan.</w:t>
      </w:r>
    </w:p>
    <w:p>
      <w:pPr>
        <w:spacing w:after="0" w:line="6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 summary of the plan is set forth below. This summary is qualified in its entirety by the full text of the plan, which is attached to this Proxy Statement as Appendix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purpose of the plan is to promote the Company’s success by linking the personal interests of its employees, officers, directors and consultants to those of the Company’s shareholders, and by providing participants with an incentive for outstanding performance.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Permissible Awards.  </w:t>
      </w:r>
      <w:r>
        <w:rPr>
          <w:rFonts w:ascii="Arial" w:cs="Arial" w:eastAsia="Arial" w:hAnsi="Arial"/>
          <w:sz w:val="18"/>
          <w:szCs w:val="18"/>
          <w:color w:val="auto"/>
        </w:rPr>
        <w:t>The plan authorizes the grant of awards in any of the following forms:</w:t>
      </w:r>
    </w:p>
    <w:p>
      <w:pPr>
        <w:spacing w:after="0" w:line="117" w:lineRule="exact"/>
        <w:rPr>
          <w:sz w:val="20"/>
          <w:szCs w:val="20"/>
          <w:color w:val="auto"/>
        </w:rPr>
      </w:pPr>
    </w:p>
    <w:p>
      <w:pPr>
        <w:ind w:left="540" w:right="300" w:hanging="17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to purchase shares of Common Stock, which may be nonstatutory stock options or incentive stock options under the U.S. Internal Revenue Code (the “Code”). The exercise price of an option granted under the plan may not be less than the fair market value of the Company’s Common Stock on the date of grant.</w:t>
      </w:r>
    </w:p>
    <w:p>
      <w:pPr>
        <w:spacing w:after="0" w:line="73" w:lineRule="exact"/>
        <w:rPr>
          <w:rFonts w:ascii="Arial" w:cs="Arial" w:eastAsia="Arial" w:hAnsi="Arial"/>
          <w:sz w:val="18"/>
          <w:szCs w:val="18"/>
          <w:color w:val="auto"/>
        </w:rPr>
      </w:pPr>
    </w:p>
    <w:p>
      <w:pPr>
        <w:ind w:left="540" w:right="220" w:hanging="17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appreciation rights, which give the holder the right to receive the excess, if any, of the fair market value of one share of Common Stock on the date of exercise, over the base price of the stock appreciation right.</w:t>
      </w:r>
    </w:p>
    <w:p>
      <w:pPr>
        <w:sectPr>
          <w:pgSz w:w="11900" w:h="16838" w:orient="portrait"/>
          <w:cols w:equalWidth="0" w:num="1">
            <w:col w:w="11420"/>
          </w:cols>
          <w:pgMar w:left="240" w:top="364" w:right="239" w:bottom="0" w:gutter="0" w:footer="0" w:header="0"/>
        </w:sectPr>
      </w:pPr>
    </w:p>
    <w:bookmarkStart w:id="13" w:name="page14"/>
    <w:bookmarkEnd w:id="13"/>
    <w:p>
      <w:pPr>
        <w:ind w:left="540" w:right="12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Governance and Compensation Committee of the Board of Directors (the “Committee”).</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117"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62" w:lineRule="exact"/>
        <w:rPr>
          <w:rFonts w:ascii="Arial" w:cs="Arial" w:eastAsia="Arial" w:hAnsi="Arial"/>
          <w:sz w:val="18"/>
          <w:szCs w:val="18"/>
          <w:color w:val="auto"/>
        </w:rPr>
      </w:pPr>
    </w:p>
    <w:p>
      <w:pPr>
        <w:ind w:left="540" w:right="42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62"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 equivalent rights, which entitle the participant to payments in cash or property calculated by reference to the amount of dividends paid on the shares of stock underlying an award.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117"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All awards will be evidenced by a written award certificate between the Company and the participant, which will include such provisions as may be specified by the Committee.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12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 xml:space="preserve">Subject to adjustment as provided in the plan, the aggregate number of shares of Common Stock reserved and available for issuance pursuant to awards granted under the plan is 26,000,000. The maximum number of shares that may be issued to one person upon exercise of incentive stock options granted under the plan is 2,000,000. Except for shares surrendered to satisfy tax withholding obligations, only shares actually issued under the plan count against the total number of shares available under the plan. </w:t>
      </w:r>
      <w:r>
        <w:rPr>
          <w:rFonts w:ascii="Arial" w:cs="Arial" w:eastAsia="Arial" w:hAnsi="Arial"/>
          <w:sz w:val="18"/>
          <w:szCs w:val="18"/>
          <w:i w:val="1"/>
          <w:iCs w:val="1"/>
          <w:color w:val="auto"/>
        </w:rPr>
        <w:t>Each share issued pursuant to “full value” awards, such as restricted stock, unrestricted stock,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stock units, deferred stock units, performance shares, or other stock-based awards payable in stock reduces the number of shares available for grant by two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12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plan to any one person during any one calendar year is 2,000,000. The maximum number of shares of Common Stock that may be granted under the plan in the form of restricted stock, restricted stock units, deferred stock units, performance shares or other stock-based awards under the plan to any one person during any one calendar year is 2,000,000.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The plan will be administered by the Committee. The Committee will have the authority to designate participants; determine the type or types of awards to be granted to each participant and the number, terms and conditions thereof; establish, adopt or revise any rules and regulations as it may deem advisable to administer the plan; and make all other decisions and determinations that may be required under the plan. The Board of Directors may at any time administer the plan. If it does so, it will have all the powers of the Committee under the plan.</w:t>
      </w:r>
    </w:p>
    <w:p>
      <w:pPr>
        <w:spacing w:after="0" w:line="79" w:lineRule="exact"/>
        <w:rPr>
          <w:sz w:val="20"/>
          <w:szCs w:val="20"/>
          <w:color w:val="auto"/>
        </w:rPr>
      </w:pPr>
    </w:p>
    <w:p>
      <w:pPr>
        <w:jc w:val="both"/>
        <w:ind w:right="540" w:firstLine="360"/>
        <w:spacing w:after="0" w:line="264"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Pursuant to Section 162(m) of the Code, the Company may not deduct compensation in excess of $1,000,000 paid to its Chief Executive Officer and the four next most highly compensated executive officers unless such compensation is qualified performance-based compensation. The 2004 Equity Incentive Plan is designed to comply with Code Section 162(m) so that grants of market-priced options and stock appreciation rights under the plan, and other awards that are conditioned on performance goals as described below, will be excluded from the calculation of annual compensation for purposes of Code Section 162(m) and will be fully deductible.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The Committee may designate any award as a qualified performance-based award in order to make the award fully deductible without regard to the $1,000,000 deduction limit imposed by Code Section 162(m). If an award is so designated, the Committee must establish objectively determinable performance goals for the award. Performance goals are based on one or more financial, strategic and operational business criteria specified in the 2004 Equity Incentive Plan. Financial business criteria include, but are not limited to, net income as a percentage of net revenue, gross margin, return on invested capital, and R&amp;D expense. Strategic and operational criteria include, but are not limited to, manufacturing efficiency (including yield enhancement and cycle time reduction), product life cycle management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sales price optimization. The business criteria that may be used for performance goals are specified in section 14.11(b) of the 2004 Equity Incentive Plan.</w:t>
      </w:r>
    </w:p>
    <w:p>
      <w:pPr>
        <w:spacing w:after="0" w:line="140"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certain qualified terminations of employment, waive the achievement of any specified goal. Mid-term adjustments of a performance formula are permitted only in the case of a corporate transaction or other event of the type that trigger an adjustment in stock based awards (as discussed below under “Adjustments”).</w:t>
      </w:r>
    </w:p>
    <w:p>
      <w:pPr>
        <w:spacing w:after="0" w:line="46"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The Committee may provide with respect to a qualified performance-based award that any evaluation of performance include or exclude unusual and non-recurring financial events such as asset write-downs or impairment charges; litigation settlements; the effect of changes in tax laws or accounting</w:t>
      </w:r>
    </w:p>
    <w:p>
      <w:pPr>
        <w:sectPr>
          <w:pgSz w:w="11900" w:h="16838" w:orient="portrait"/>
          <w:cols w:equalWidth="0" w:num="1">
            <w:col w:w="11420"/>
          </w:cols>
          <w:pgMar w:left="240" w:top="125" w:right="239" w:bottom="0" w:gutter="0" w:footer="0" w:header="0"/>
        </w:sectPr>
      </w:pPr>
    </w:p>
    <w:bookmarkStart w:id="14" w:name="page15"/>
    <w:bookmarkEnd w:id="14"/>
    <w:p>
      <w:pPr>
        <w:ind w:right="80"/>
        <w:spacing w:after="0" w:line="259" w:lineRule="auto"/>
        <w:rPr>
          <w:sz w:val="20"/>
          <w:szCs w:val="20"/>
          <w:color w:val="auto"/>
        </w:rPr>
      </w:pPr>
      <w:r>
        <w:rPr>
          <w:rFonts w:ascii="Arial" w:cs="Arial" w:eastAsia="Arial" w:hAnsi="Arial"/>
          <w:sz w:val="18"/>
          <w:szCs w:val="18"/>
          <w:color w:val="auto"/>
        </w:rPr>
        <w:t>principles affecting reported results; accruals for reorganization and restructuring programs; extraordinary nonrecurring items meriting special accounting treatment, as determined under generally accepted accounting principles; acquisitions or divestitures; and foreign exchange gains and losses. Any payment of an award granted with performance goals will be conditioned on the written certification of the Committee in each case that the performance goals and any other material conditions were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12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of the company (as defined in the 2004 Equity Incentive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8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 In addition, the Committee may in its discretion accelerate awards for any other reason in its discretion. The Committee may discriminate among participants or among awards in exercising such discretion.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the event of a stock split, a dividend payable in shares of Common Stock, or a combination or consolidation of the Common Stock into a lesser number of shares, the share authorization limits under the plan will automatically be adjusted proportionately, and the shares then subject to each award will automatically be adjusted proportionately without any change in the aggregate purchase price for such award. If the Company is involved in another corporate transaction or event that affects the Common Stock, such as an extraordinary cash dividend, recapitalization, reorganization, merger, consolidation, split-up, spin-off, combination or exchange of shares, the share authorization limits under the plan (including the number of shares reserved for issuance and the annual grant limits) will be adjusted proportionately, and the Committee may adjust outstanding awards to preserve the benefits or potential benefits of the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2004 Equity Incentive Plan was approved by the Company’s shareholders at the 2004 Annual Meeting and will terminate on November 18, 2014, unless earlier terminated by the Board or the Committee. The Board or the Committee may, at any time and from time to time, terminate or amend the plan, but if an amendment to the plan would materially increase the number of shares of stock issuable under the plan, expand the types of awards provided under the plan, materially expand the class of participants eligible to participate in the plan, materially extend the term of the plan or otherwise constitute a material amendment requiring shareholder approval under applicable listing requirements, laws, policies or regulations, then such amendment will be subject to shareholder approval. No termination or amendment of the plan may adversely affect any award previously granted under the plan without the written consent of the participant.</w:t>
      </w:r>
    </w:p>
    <w:p>
      <w:pPr>
        <w:spacing w:after="0" w:line="81" w:lineRule="exact"/>
        <w:rPr>
          <w:sz w:val="20"/>
          <w:szCs w:val="20"/>
          <w:color w:val="auto"/>
        </w:rPr>
      </w:pPr>
    </w:p>
    <w:p>
      <w:pPr>
        <w:jc w:val="both"/>
        <w:ind w:right="660" w:firstLine="360"/>
        <w:spacing w:after="0" w:line="264" w:lineRule="auto"/>
        <w:rPr>
          <w:sz w:val="20"/>
          <w:szCs w:val="20"/>
          <w:color w:val="auto"/>
        </w:rPr>
      </w:pPr>
      <w:r>
        <w:rPr>
          <w:rFonts w:ascii="Arial" w:cs="Arial" w:eastAsia="Arial" w:hAnsi="Arial"/>
          <w:sz w:val="18"/>
          <w:szCs w:val="18"/>
          <w:color w:val="auto"/>
        </w:rPr>
        <w:t>The Committee may amend or terminate outstanding awards. However, such amendments may require the consent of the participant and, unless approved by the shareholders or otherwise permitted by the antidilution provisions of the plan, the exercise price of an outstanding option may not be reduced, directly or indirectly, and the original term of an option may not be extended.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121" w:lineRule="exact"/>
        <w:rPr>
          <w:sz w:val="20"/>
          <w:szCs w:val="20"/>
          <w:color w:val="auto"/>
        </w:rPr>
      </w:pPr>
    </w:p>
    <w:p>
      <w:pPr>
        <w:jc w:val="both"/>
        <w:ind w:right="120" w:firstLine="360"/>
        <w:spacing w:after="0" w:line="312" w:lineRule="auto"/>
        <w:rPr>
          <w:sz w:val="20"/>
          <w:szCs w:val="20"/>
          <w:color w:val="auto"/>
        </w:rPr>
      </w:pPr>
      <w:r>
        <w:rPr>
          <w:rFonts w:ascii="Arial" w:cs="Arial" w:eastAsia="Arial" w:hAnsi="Arial"/>
          <w:sz w:val="16"/>
          <w:szCs w:val="16"/>
          <w:color w:val="auto"/>
        </w:rPr>
        <w:t>As indicated above under “Termination and Amendment,” outstanding stock options cannot be repriced, directly or indirectly, without the prior consent of the Company’s shareholders. The exchange of an “underwater” option (i.e., an option having an exercise price in excess of the current market value of the underling stock) for another award would be considered an indirect repricing and would, therefore, require the prior consent of the Company’s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following discussion is limited to a summary of the U.S. federal income tax provisions relating to the grant, exercise and vesting of awards under the plan and the subsequent sale of Common Stock acquired under the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6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under the plan. When the optionee exercises a nonstatutory option, however, he or she will recognize ordinary income in an amount equal to the excess of</w:t>
      </w:r>
    </w:p>
    <w:p>
      <w:pPr>
        <w:sectPr>
          <w:pgSz w:w="11900" w:h="16838" w:orient="portrait"/>
          <w:cols w:equalWidth="0" w:num="1">
            <w:col w:w="11420"/>
          </w:cols>
          <w:pgMar w:left="240" w:top="125" w:right="239" w:bottom="204"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04" w:gutter="0" w:footer="0" w:header="0"/>
          <w:type w:val="continuous"/>
        </w:sectPr>
      </w:pPr>
    </w:p>
    <w:bookmarkStart w:id="15" w:name="page16"/>
    <w:bookmarkEnd w:id="15"/>
    <w:p>
      <w:pPr>
        <w:ind w:right="140"/>
        <w:spacing w:after="0" w:line="264" w:lineRule="auto"/>
        <w:rPr>
          <w:sz w:val="20"/>
          <w:szCs w:val="20"/>
          <w:color w:val="auto"/>
        </w:rPr>
      </w:pPr>
      <w:r>
        <w:rPr>
          <w:rFonts w:ascii="Arial" w:cs="Arial" w:eastAsia="Arial" w:hAnsi="Arial"/>
          <w:sz w:val="18"/>
          <w:szCs w:val="18"/>
          <w:color w:val="auto"/>
        </w:rPr>
        <w:t>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7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There typically will be no federal income tax consequences to the optionee or to the Company upon the grant or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74"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receiving a stock appreciation right will not recognize income, and the Company will not be allowed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 subject to any applicable limitations under Code Section 162(m).</w:t>
      </w:r>
    </w:p>
    <w:p>
      <w:pPr>
        <w:spacing w:after="0" w:line="7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a participant makes an election to accelerate recognition of the income to the date of grant as described below, the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will 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 participant will not recognize income, and the Company will not be allowed a tax deduction, at the time a restricted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award is granted. Upon issuance of shares of Common Stock in settlement of a restricted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63" w:lineRule="exact"/>
        <w:rPr>
          <w:sz w:val="20"/>
          <w:szCs w:val="20"/>
          <w:color w:val="auto"/>
        </w:rPr>
      </w:pPr>
    </w:p>
    <w:p>
      <w:pPr>
        <w:jc w:val="both"/>
        <w:ind w:right="120" w:firstLine="360"/>
        <w:spacing w:after="0" w:line="286" w:lineRule="auto"/>
        <w:rPr>
          <w:sz w:val="20"/>
          <w:szCs w:val="20"/>
          <w:color w:val="auto"/>
        </w:rPr>
      </w:pPr>
      <w:r>
        <w:rPr>
          <w:rFonts w:ascii="Arial" w:cs="Arial" w:eastAsia="Arial" w:hAnsi="Arial"/>
          <w:sz w:val="17"/>
          <w:szCs w:val="17"/>
          <w:i w:val="1"/>
          <w:iCs w:val="1"/>
          <w:color w:val="auto"/>
        </w:rPr>
        <w:t xml:space="preserve">Deferred Stock Units. </w:t>
      </w:r>
      <w:r>
        <w:rPr>
          <w:rFonts w:ascii="Arial" w:cs="Arial" w:eastAsia="Arial" w:hAnsi="Arial"/>
          <w:sz w:val="17"/>
          <w:szCs w:val="17"/>
          <w:color w:val="auto"/>
        </w:rPr>
        <w:t>A participant will not recognize income, and the Company will not be allowed a tax deduction, at the time a deferred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award is granted. Upon issuance of shares of Common Stock in settlement of a deferred stock unit award, a participant will recognize ordinary income equal to the fair market value of the Common Stock as of that date (less any amount he or she paid for the stock),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and the Company will be allowed a corresponding federal income tax deduction at that time, subject to any applicable limitations under Code Section 162(m).</w:t>
      </w:r>
    </w:p>
    <w:p>
      <w:pPr>
        <w:spacing w:after="0" w:line="14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All awards under the 2004 Equity Incentive Plan will be made at the discretion of the Committee. Therefore, it is not presently possible to determine the benefits or amounts that will be received by any individuals or groups pursuant to the Plan in the future. The following table shows the benefits or awards outstanding under the 2004 Equity Incentive Plan as of October 14, 2005:</w:t>
      </w:r>
    </w:p>
    <w:p>
      <w:pPr>
        <w:spacing w:after="0" w:line="1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Dollar Value</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2"/>
        </w:trPr>
        <w:tc>
          <w:tcPr>
            <w:tcW w:w="5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 Shares</w:t>
            </w: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4,630,800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380,000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Robert J. Gove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1,279,550</w:t>
            </w:r>
          </w:p>
        </w:tc>
        <w:tc>
          <w:tcPr>
            <w:tcW w:w="22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105,000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Roderic W. Lewis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1,462,300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Michael W. Sadler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1,401,450</w:t>
            </w:r>
          </w:p>
        </w:tc>
        <w:tc>
          <w:tcPr>
            <w:tcW w:w="22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Wilbur G. Stover, Jr.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1,401,450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Executive Officers (10 persons)*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16,171,230</w:t>
            </w:r>
          </w:p>
        </w:tc>
        <w:tc>
          <w:tcPr>
            <w:tcW w:w="22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1,327,000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697,850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Non-Executive Officer Employee Group</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3,460,960</w:t>
            </w:r>
          </w:p>
        </w:tc>
        <w:tc>
          <w:tcPr>
            <w:tcW w:w="220" w:type="dxa"/>
            <w:vAlign w:val="bottom"/>
          </w:tcPr>
          <w:p>
            <w:pPr>
              <w:spacing w:after="0"/>
              <w:rPr>
                <w:sz w:val="20"/>
                <w:szCs w:val="20"/>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284,000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3893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4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shares issued to Messrs. Appleton, Gove, Lewis, Sadler and Stover.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Approval of the amendment to the 2004 Equity Incentive Plan will require the affirmative vote of the holders of a majority of the shares of Common Stock that are represented in person or by proxy at the 2005 Annual Meeting. If the amendment to the 2004 Equity Incentive Plan is approved by the shareholders, it will be effective as of the date of the 2005 Annual Meeting.</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amendment to the 2004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RATIFICATION OF APPOINTMENT OF INDEPENDENT REGISTERED PUBLIC ACCOUNTING FIRM</w:t>
      </w:r>
    </w:p>
    <w:p>
      <w:pPr>
        <w:sectPr>
          <w:pgSz w:w="11900" w:h="16838" w:orient="portrait"/>
          <w:cols w:equalWidth="0" w:num="1">
            <w:col w:w="11400"/>
          </w:cols>
          <w:pgMar w:left="240" w:top="368" w:right="259" w:bottom="0" w:gutter="0" w:footer="0" w:header="0"/>
        </w:sectPr>
      </w:pPr>
    </w:p>
    <w:bookmarkStart w:id="16" w:name="page17"/>
    <w:bookmarkEnd w:id="16"/>
    <w:p>
      <w:pPr>
        <w:ind w:right="80" w:firstLine="360"/>
        <w:spacing w:after="0" w:line="273" w:lineRule="auto"/>
        <w:rPr>
          <w:sz w:val="20"/>
          <w:szCs w:val="20"/>
          <w:color w:val="auto"/>
        </w:rPr>
      </w:pPr>
      <w:r>
        <w:rPr>
          <w:rFonts w:ascii="Arial" w:cs="Arial" w:eastAsia="Arial" w:hAnsi="Arial"/>
          <w:sz w:val="17"/>
          <w:szCs w:val="17"/>
          <w:color w:val="auto"/>
        </w:rPr>
        <w:t>The Audit Committee of the Board has retained PricewaterhouseCoopers LLP (“PwC”) as the Company’s Independent Registered Public Accounting Firm to audit the consolidated financial statements of the Company for the fiscal year ending August 31, 2006, PwC and its predecessor, Coopers and Lybrand LLP, have been the Company’s Independent Registered Public Accounting Firm since fiscal 1985. If the ratification of PwC’s appointment is not approved by a majority of the shares voting thereon, the Audit Committee may reconsider its decision to appoint PwC as the Company’s Independent Registered Public Accounting Firm. Representatives of PwC are expected to be present at the Annual Meeting, will have the opportunity to make a statement if they so desire, and are expected to be available to respond to appropriate questions.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360" w:firstLine="360"/>
        <w:spacing w:after="0" w:line="342"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the persons named in the accompanying form of proxy will vote, in their discretion, the shares they represent in accordance with their own judgment on such matters.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SHAREHOLDER PROPOSALS FOR 2006 ANNUAL MEETING</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Proposals of shareholders of the Company which are intended to be presented at the Company’s 2006 Annual Meeting of Shareholders must be received by the Company at its principal executive offices located at 8000 South Federal Way, Boise, Idaho 83716-9632, no later than June 23, 2006, and must also be in compliance with the Company’s Restated Certificate of Incorporation and Bylaws and with applicable laws and regulations in order to be included in the Proxy Statement and form of proxy relating to that meeting. Proposals which are received after June 23, 2006, will be untimely and will not be considered at the meeting.</w:t>
      </w:r>
    </w:p>
    <w:p>
      <w:pPr>
        <w:spacing w:after="0" w:line="80"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THE BOARD OF DIRECTORS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November 7, 2005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GENERAL</w:t>
      </w:r>
      <w:r>
        <w:rPr>
          <w:rFonts w:ascii="Arial" w:cs="Arial" w:eastAsia="Arial" w:hAnsi="Arial"/>
          <w:sz w:val="17"/>
          <w:szCs w:val="17"/>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73" w:lineRule="exact"/>
        <w:rPr>
          <w:sz w:val="20"/>
          <w:szCs w:val="20"/>
          <w:color w:val="auto"/>
        </w:rPr>
      </w:pPr>
    </w:p>
    <w:p>
      <w:pPr>
        <w:ind w:left="360" w:right="100" w:firstLine="368"/>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62" w:lineRule="exact"/>
        <w:rPr>
          <w:rFonts w:ascii="Arial" w:cs="Arial" w:eastAsia="Arial" w:hAnsi="Arial"/>
          <w:sz w:val="18"/>
          <w:szCs w:val="18"/>
          <w:color w:val="auto"/>
        </w:rPr>
      </w:pPr>
    </w:p>
    <w:p>
      <w:pPr>
        <w:ind w:left="360" w:right="360" w:firstLine="368"/>
        <w:spacing w:after="0" w:line="277" w:lineRule="auto"/>
        <w:tabs>
          <w:tab w:leader="none" w:pos="10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62" w:lineRule="exact"/>
        <w:rPr>
          <w:rFonts w:ascii="Arial" w:cs="Arial" w:eastAsia="Arial" w:hAnsi="Arial"/>
          <w:sz w:val="18"/>
          <w:szCs w:val="18"/>
          <w:color w:val="auto"/>
        </w:rPr>
      </w:pPr>
    </w:p>
    <w:p>
      <w:pPr>
        <w:ind w:left="360" w:right="380" w:firstLine="368"/>
        <w:spacing w:after="0" w:line="264"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73" w:lineRule="exact"/>
        <w:rPr>
          <w:rFonts w:ascii="Arial" w:cs="Arial" w:eastAsia="Arial" w:hAnsi="Arial"/>
          <w:sz w:val="18"/>
          <w:szCs w:val="18"/>
          <w:color w:val="auto"/>
        </w:rPr>
      </w:pPr>
    </w:p>
    <w:p>
      <w:pPr>
        <w:ind w:left="1080" w:hanging="35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17" w:lineRule="exact"/>
        <w:rPr>
          <w:sz w:val="20"/>
          <w:szCs w:val="20"/>
          <w:color w:val="auto"/>
        </w:rPr>
      </w:pPr>
    </w:p>
    <w:p>
      <w:pPr>
        <w:ind w:left="720"/>
        <w:spacing w:after="0"/>
        <w:tabs>
          <w:tab w:leader="none" w:pos="10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“Change in Control” means and includes the occurrence of any one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94615"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97" w:lineRule="exact"/>
        <w:rPr>
          <w:sz w:val="20"/>
          <w:szCs w:val="20"/>
          <w:color w:val="auto"/>
        </w:rPr>
      </w:pPr>
    </w:p>
    <w:p>
      <w:pPr>
        <w:ind w:left="720" w:right="20" w:firstLine="368"/>
        <w:spacing w:after="0" w:line="272" w:lineRule="auto"/>
        <w:tabs>
          <w:tab w:leader="none" w:pos="143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individual initially elected or nominated as a director of the Company as a result of an actual or threatened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ectPr>
          <w:pgSz w:w="11900" w:h="16838" w:orient="portrait"/>
          <w:cols w:equalWidth="0" w:num="1">
            <w:col w:w="11420"/>
          </w:cols>
          <w:pgMar w:left="240" w:top="125" w:right="239" w:bottom="0" w:gutter="0" w:footer="0" w:header="0"/>
        </w:sectPr>
      </w:pPr>
    </w:p>
    <w:bookmarkStart w:id="17" w:name="page18"/>
    <w:bookmarkEnd w:id="17"/>
    <w:p>
      <w:pPr>
        <w:jc w:val="center"/>
        <w:ind w:right="3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0" w:firstLine="368"/>
        <w:spacing w:after="0" w:line="272" w:lineRule="auto"/>
        <w:tabs>
          <w:tab w:leader="none" w:pos="1075" w:val="left"/>
        </w:tabs>
        <w:numPr>
          <w:ilvl w:val="2"/>
          <w:numId w:val="21"/>
        </w:numPr>
        <w:rPr>
          <w:rFonts w:ascii="Arial" w:cs="Arial" w:eastAsia="Arial" w:hAnsi="Arial"/>
          <w:sz w:val="17"/>
          <w:szCs w:val="17"/>
          <w:color w:val="auto"/>
        </w:rPr>
      </w:pPr>
      <w:r>
        <w:rPr>
          <w:rFonts w:ascii="Arial" w:cs="Arial" w:eastAsia="Arial" w:hAnsi="Arial"/>
          <w:sz w:val="17"/>
          <w:szCs w:val="17"/>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69" w:lineRule="exact"/>
        <w:rPr>
          <w:rFonts w:ascii="Arial" w:cs="Arial" w:eastAsia="Arial" w:hAnsi="Arial"/>
          <w:sz w:val="17"/>
          <w:szCs w:val="17"/>
          <w:color w:val="auto"/>
        </w:rPr>
      </w:pPr>
    </w:p>
    <w:p>
      <w:pPr>
        <w:ind w:left="360" w:right="20" w:firstLine="368"/>
        <w:spacing w:after="0" w:line="288" w:lineRule="auto"/>
        <w:tabs>
          <w:tab w:leader="none" w:pos="10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w:t>
      </w:r>
    </w:p>
    <w:p>
      <w:pPr>
        <w:ind w:left="360" w:right="20" w:firstLine="8"/>
        <w:spacing w:after="0" w:line="281" w:lineRule="auto"/>
        <w:tabs>
          <w:tab w:leader="none" w:pos="65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w:t>
      </w:r>
    </w:p>
    <w:p>
      <w:pPr>
        <w:spacing w:after="0" w:line="8" w:lineRule="exact"/>
        <w:rPr>
          <w:rFonts w:ascii="Arial" w:cs="Arial" w:eastAsia="Arial" w:hAnsi="Arial"/>
          <w:sz w:val="16"/>
          <w:szCs w:val="16"/>
          <w:color w:val="auto"/>
        </w:rPr>
      </w:pPr>
    </w:p>
    <w:p>
      <w:pPr>
        <w:ind w:left="660" w:hanging="292"/>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and (C) above shall be deemed to be a “Non-Qualifying Transaction”); or</w:t>
      </w:r>
    </w:p>
    <w:p>
      <w:pPr>
        <w:spacing w:after="0" w:line="102" w:lineRule="exact"/>
        <w:rPr>
          <w:rFonts w:ascii="Arial" w:cs="Arial" w:eastAsia="Arial" w:hAnsi="Arial"/>
          <w:sz w:val="18"/>
          <w:szCs w:val="18"/>
          <w:color w:val="auto"/>
        </w:rPr>
      </w:pPr>
    </w:p>
    <w:p>
      <w:pPr>
        <w:ind w:left="1080" w:hanging="352"/>
        <w:spacing w:after="0"/>
        <w:tabs>
          <w:tab w:leader="none" w:pos="10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includes a reference to the underlying final regulations.</w:t>
      </w:r>
    </w:p>
    <w:p>
      <w:pPr>
        <w:spacing w:after="0" w:line="140" w:lineRule="exact"/>
        <w:rPr>
          <w:rFonts w:ascii="Arial" w:cs="Arial" w:eastAsia="Arial" w:hAnsi="Arial"/>
          <w:sz w:val="16"/>
          <w:szCs w:val="16"/>
          <w:color w:val="auto"/>
        </w:rPr>
      </w:pPr>
    </w:p>
    <w:p>
      <w:pPr>
        <w:ind w:left="760" w:hanging="39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117" w:lineRule="exact"/>
        <w:rPr>
          <w:rFonts w:ascii="Arial" w:cs="Arial" w:eastAsia="Arial" w:hAnsi="Arial"/>
          <w:sz w:val="18"/>
          <w:szCs w:val="18"/>
          <w:color w:val="auto"/>
        </w:rPr>
      </w:pPr>
    </w:p>
    <w:p>
      <w:pPr>
        <w:ind w:right="360" w:firstLine="368"/>
        <w:spacing w:after="0" w:line="342" w:lineRule="auto"/>
        <w:tabs>
          <w:tab w:leader="none" w:pos="7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w:t>
      </w:r>
    </w:p>
    <w:p>
      <w:pPr>
        <w:spacing w:after="0" w:line="34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continue to the extent provided in a written severance or employment agreement during any period for which severance compensation payments are made to an employee, officer, consultant or director and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58" w:lineRule="exact"/>
        <w:rPr>
          <w:sz w:val="20"/>
          <w:szCs w:val="20"/>
          <w:color w:val="auto"/>
        </w:rPr>
      </w:pPr>
    </w:p>
    <w:p>
      <w:pPr>
        <w:ind w:left="760" w:hanging="39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117" w:lineRule="exact"/>
        <w:rPr>
          <w:rFonts w:ascii="Arial" w:cs="Arial" w:eastAsia="Arial" w:hAnsi="Arial"/>
          <w:sz w:val="18"/>
          <w:szCs w:val="18"/>
          <w:color w:val="auto"/>
        </w:rPr>
      </w:pPr>
    </w:p>
    <w:p>
      <w:pPr>
        <w:ind w:right="20" w:firstLine="368"/>
        <w:spacing w:after="0" w:line="293"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In the event of a dispute, the determination whether a Participant is Disabled will be made by the Committee and may be supported by the advice of a physician competent in the area to which such Disability relates.</w:t>
      </w:r>
    </w:p>
    <w:p>
      <w:pPr>
        <w:spacing w:after="0" w:line="56" w:lineRule="exact"/>
        <w:rPr>
          <w:rFonts w:ascii="Arial" w:cs="Arial" w:eastAsia="Arial" w:hAnsi="Arial"/>
          <w:sz w:val="16"/>
          <w:szCs w:val="16"/>
          <w:color w:val="auto"/>
        </w:rPr>
      </w:pPr>
    </w:p>
    <w:p>
      <w:pPr>
        <w:ind w:left="720" w:hanging="35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117" w:lineRule="exact"/>
        <w:rPr>
          <w:rFonts w:ascii="Arial" w:cs="Arial" w:eastAsia="Arial" w:hAnsi="Arial"/>
          <w:sz w:val="18"/>
          <w:szCs w:val="18"/>
          <w:color w:val="auto"/>
        </w:rPr>
      </w:pPr>
    </w:p>
    <w:p>
      <w:pPr>
        <w:ind w:right="20" w:firstLine="368"/>
        <w:spacing w:after="0" w:line="277"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62" w:lineRule="exact"/>
        <w:rPr>
          <w:rFonts w:ascii="Arial" w:cs="Arial" w:eastAsia="Arial" w:hAnsi="Arial"/>
          <w:sz w:val="18"/>
          <w:szCs w:val="18"/>
          <w:color w:val="auto"/>
        </w:rPr>
      </w:pPr>
    </w:p>
    <w:p>
      <w:pPr>
        <w:ind w:right="100" w:firstLine="368"/>
        <w:spacing w:after="0" w:line="272"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7"/>
          <w:szCs w:val="17"/>
          <w:i w:val="1"/>
          <w:iCs w:val="1"/>
          <w:color w:val="auto"/>
        </w:rPr>
        <w:t>Bloomberg L.P.</w:t>
      </w:r>
      <w:r>
        <w:rPr>
          <w:rFonts w:ascii="Arial" w:cs="Arial" w:eastAsia="Arial" w:hAnsi="Arial"/>
          <w:sz w:val="17"/>
          <w:szCs w:val="17"/>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7"/>
          <w:szCs w:val="17"/>
          <w:i w:val="1"/>
          <w:iCs w:val="1"/>
          <w:color w:val="auto"/>
        </w:rPr>
        <w:t>Bloomberg L.P.</w:t>
      </w:r>
      <w:r>
        <w:rPr>
          <w:rFonts w:ascii="Arial" w:cs="Arial" w:eastAsia="Arial" w:hAnsi="Arial"/>
          <w:sz w:val="17"/>
          <w:szCs w:val="17"/>
          <w:color w:val="auto"/>
        </w:rPr>
        <w:t xml:space="preserve"> or such other source as the Committee deems reliable, or (iii) in the absence of an established market for the Stock, the Fair Market Value shall be determined in good faith by the Committee.</w:t>
      </w:r>
    </w:p>
    <w:p>
      <w:pPr>
        <w:sectPr>
          <w:pgSz w:w="11900" w:h="16838" w:orient="portrait"/>
          <w:cols w:equalWidth="0" w:num="1">
            <w:col w:w="11040"/>
          </w:cols>
          <w:pgMar w:left="600" w:top="125" w:right="259" w:bottom="0" w:gutter="0" w:footer="0" w:header="0"/>
        </w:sectPr>
      </w:pPr>
    </w:p>
    <w:bookmarkStart w:id="18" w:name="page19"/>
    <w:bookmarkEnd w:id="18"/>
    <w:p>
      <w:pPr>
        <w:ind w:left="1080" w:hanging="35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w:t>
      </w:r>
    </w:p>
    <w:p>
      <w:pPr>
        <w:spacing w:after="0" w:line="117" w:lineRule="exact"/>
        <w:rPr>
          <w:rFonts w:ascii="Arial" w:cs="Arial" w:eastAsia="Arial" w:hAnsi="Arial"/>
          <w:sz w:val="18"/>
          <w:szCs w:val="18"/>
          <w:color w:val="auto"/>
        </w:rPr>
      </w:pPr>
    </w:p>
    <w:p>
      <w:pPr>
        <w:ind w:left="360" w:right="280" w:firstLine="368"/>
        <w:spacing w:after="0" w:line="264" w:lineRule="auto"/>
        <w:tabs>
          <w:tab w:leader="none" w:pos="10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80" w:firstLine="368"/>
        <w:spacing w:after="0" w:line="277" w:lineRule="auto"/>
        <w:tabs>
          <w:tab w:leader="none" w:pos="10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 an Affiliate.</w:t>
      </w:r>
    </w:p>
    <w:p>
      <w:pPr>
        <w:spacing w:after="0" w:line="117" w:lineRule="exact"/>
        <w:rPr>
          <w:rFonts w:ascii="Arial" w:cs="Arial" w:eastAsia="Arial" w:hAnsi="Arial"/>
          <w:sz w:val="18"/>
          <w:szCs w:val="18"/>
          <w:color w:val="auto"/>
        </w:rPr>
      </w:pPr>
    </w:p>
    <w:p>
      <w:pPr>
        <w:ind w:left="1120" w:hanging="392"/>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117" w:lineRule="exact"/>
        <w:rPr>
          <w:rFonts w:ascii="Arial" w:cs="Arial" w:eastAsia="Arial" w:hAnsi="Arial"/>
          <w:sz w:val="18"/>
          <w:szCs w:val="18"/>
          <w:color w:val="auto"/>
        </w:rPr>
      </w:pPr>
    </w:p>
    <w:p>
      <w:pPr>
        <w:ind w:left="360" w:right="40" w:firstLine="368"/>
        <w:spacing w:after="0" w:line="277" w:lineRule="auto"/>
        <w:tabs>
          <w:tab w:leader="none" w:pos="11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62" w:lineRule="exact"/>
        <w:rPr>
          <w:rFonts w:ascii="Arial" w:cs="Arial" w:eastAsia="Arial" w:hAnsi="Arial"/>
          <w:sz w:val="18"/>
          <w:szCs w:val="18"/>
          <w:color w:val="auto"/>
        </w:rPr>
      </w:pPr>
    </w:p>
    <w:p>
      <w:pPr>
        <w:ind w:left="360" w:right="160" w:firstLine="368"/>
        <w:spacing w:after="0" w:line="277" w:lineRule="auto"/>
        <w:tabs>
          <w:tab w:leader="none" w:pos="11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62" w:lineRule="exact"/>
        <w:rPr>
          <w:rFonts w:ascii="Arial" w:cs="Arial" w:eastAsia="Arial" w:hAnsi="Arial"/>
          <w:sz w:val="18"/>
          <w:szCs w:val="18"/>
          <w:color w:val="auto"/>
        </w:rPr>
      </w:pPr>
    </w:p>
    <w:p>
      <w:pPr>
        <w:ind w:left="360" w:right="200" w:firstLine="368"/>
        <w:spacing w:after="0" w:line="264" w:lineRule="auto"/>
        <w:tabs>
          <w:tab w:leader="none" w:pos="11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73" w:lineRule="exact"/>
        <w:rPr>
          <w:rFonts w:ascii="Arial" w:cs="Arial" w:eastAsia="Arial" w:hAnsi="Arial"/>
          <w:sz w:val="18"/>
          <w:szCs w:val="18"/>
          <w:color w:val="auto"/>
        </w:rPr>
      </w:pPr>
    </w:p>
    <w:p>
      <w:pPr>
        <w:jc w:val="both"/>
        <w:ind w:left="360" w:firstLine="368"/>
        <w:spacing w:after="0" w:line="312"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39" w:lineRule="exact"/>
        <w:rPr>
          <w:sz w:val="20"/>
          <w:szCs w:val="20"/>
          <w:color w:val="auto"/>
        </w:rPr>
      </w:pPr>
    </w:p>
    <w:p>
      <w:pPr>
        <w:ind w:left="360" w:right="320" w:firstLine="368"/>
        <w:spacing w:after="0" w:line="342" w:lineRule="auto"/>
        <w:tabs>
          <w:tab w:leader="none" w:pos="1090" w:val="left"/>
        </w:tabs>
        <w:numPr>
          <w:ilvl w:val="1"/>
          <w:numId w:val="27"/>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5" w:lineRule="exact"/>
        <w:rPr>
          <w:rFonts w:ascii="Arial" w:cs="Arial" w:eastAsia="Arial" w:hAnsi="Arial"/>
          <w:sz w:val="16"/>
          <w:szCs w:val="16"/>
          <w:color w:val="auto"/>
        </w:rPr>
      </w:pPr>
    </w:p>
    <w:p>
      <w:pPr>
        <w:ind w:left="1080" w:hanging="352"/>
        <w:spacing w:after="0"/>
        <w:tabs>
          <w:tab w:leader="none" w:pos="10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13(d)(3) or 14(d)</w:t>
      </w:r>
    </w:p>
    <w:p>
      <w:pPr>
        <w:spacing w:after="0" w:line="46" w:lineRule="exact"/>
        <w:rPr>
          <w:rFonts w:ascii="Arial" w:cs="Arial" w:eastAsia="Arial" w:hAnsi="Arial"/>
          <w:sz w:val="16"/>
          <w:szCs w:val="16"/>
          <w:color w:val="auto"/>
        </w:rPr>
      </w:pPr>
    </w:p>
    <w:p>
      <w:pPr>
        <w:ind w:left="620" w:hanging="252"/>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1934 Act.</w:t>
      </w:r>
    </w:p>
    <w:p>
      <w:pPr>
        <w:spacing w:after="0" w:line="102" w:lineRule="exact"/>
        <w:rPr>
          <w:rFonts w:ascii="Arial" w:cs="Arial" w:eastAsia="Arial" w:hAnsi="Arial"/>
          <w:sz w:val="18"/>
          <w:szCs w:val="18"/>
          <w:color w:val="auto"/>
        </w:rPr>
      </w:pPr>
    </w:p>
    <w:p>
      <w:pPr>
        <w:ind w:left="1100" w:hanging="372"/>
        <w:spacing w:after="0"/>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“Plan” means the Micron Technology, Inc. 2004 Equity Incentive Plan, as amended from time to time.</w:t>
      </w:r>
    </w:p>
    <w:p>
      <w:pPr>
        <w:spacing w:after="0" w:line="117" w:lineRule="exact"/>
        <w:rPr>
          <w:rFonts w:ascii="Arial" w:cs="Arial" w:eastAsia="Arial" w:hAnsi="Arial"/>
          <w:sz w:val="18"/>
          <w:szCs w:val="18"/>
          <w:color w:val="auto"/>
        </w:rPr>
      </w:pPr>
    </w:p>
    <w:p>
      <w:pPr>
        <w:ind w:left="360" w:right="600" w:firstLine="368"/>
        <w:spacing w:after="0" w:line="277" w:lineRule="auto"/>
        <w:tabs>
          <w:tab w:leader="none" w:pos="1065" w:val="left"/>
        </w:tabs>
        <w:numPr>
          <w:ilvl w:val="1"/>
          <w:numId w:val="28"/>
        </w:numPr>
        <w:rPr>
          <w:rFonts w:ascii="Arial" w:cs="Arial" w:eastAsia="Arial" w:hAnsi="Arial"/>
          <w:sz w:val="18"/>
          <w:szCs w:val="18"/>
          <w:color w:val="auto"/>
        </w:rPr>
      </w:pPr>
      <w:r>
        <w:rPr>
          <w:rFonts w:ascii="Arial" w:cs="Arial" w:eastAsia="Arial" w:hAnsi="Arial"/>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62" w:lineRule="exact"/>
        <w:rPr>
          <w:rFonts w:ascii="Arial" w:cs="Arial" w:eastAsia="Arial" w:hAnsi="Arial"/>
          <w:sz w:val="18"/>
          <w:szCs w:val="18"/>
          <w:color w:val="auto"/>
        </w:rPr>
      </w:pPr>
    </w:p>
    <w:p>
      <w:pPr>
        <w:ind w:left="360" w:right="280" w:firstLine="368"/>
        <w:spacing w:after="0" w:line="308" w:lineRule="auto"/>
        <w:tabs>
          <w:tab w:leader="none" w:pos="1090" w:val="left"/>
        </w:tabs>
        <w:numPr>
          <w:ilvl w:val="1"/>
          <w:numId w:val="28"/>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44" w:lineRule="exact"/>
        <w:rPr>
          <w:rFonts w:ascii="Arial" w:cs="Arial" w:eastAsia="Arial" w:hAnsi="Arial"/>
          <w:sz w:val="17"/>
          <w:szCs w:val="17"/>
          <w:color w:val="auto"/>
        </w:rPr>
      </w:pPr>
    </w:p>
    <w:p>
      <w:pPr>
        <w:ind w:left="360" w:right="360" w:firstLine="368"/>
        <w:spacing w:after="0" w:line="268" w:lineRule="auto"/>
        <w:tabs>
          <w:tab w:leader="none" w:pos="10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71" w:lineRule="exact"/>
        <w:rPr>
          <w:rFonts w:ascii="Arial" w:cs="Arial" w:eastAsia="Arial" w:hAnsi="Arial"/>
          <w:sz w:val="18"/>
          <w:szCs w:val="18"/>
          <w:color w:val="auto"/>
        </w:rPr>
      </w:pPr>
    </w:p>
    <w:p>
      <w:pPr>
        <w:ind w:left="1120" w:hanging="392"/>
        <w:spacing w:after="0"/>
        <w:tabs>
          <w:tab w:leader="none" w:pos="11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 forfeiture.</w:t>
      </w:r>
    </w:p>
    <w:p>
      <w:pPr>
        <w:spacing w:after="0" w:line="140" w:lineRule="exact"/>
        <w:rPr>
          <w:rFonts w:ascii="Arial" w:cs="Arial" w:eastAsia="Arial" w:hAnsi="Arial"/>
          <w:sz w:val="16"/>
          <w:szCs w:val="16"/>
          <w:color w:val="auto"/>
        </w:rPr>
      </w:pPr>
    </w:p>
    <w:p>
      <w:pPr>
        <w:ind w:left="360" w:right="200" w:firstLine="368"/>
        <w:spacing w:after="0" w:line="308" w:lineRule="auto"/>
        <w:tabs>
          <w:tab w:leader="none" w:pos="1065" w:val="left"/>
        </w:tabs>
        <w:numPr>
          <w:ilvl w:val="1"/>
          <w:numId w:val="28"/>
        </w:numPr>
        <w:rPr>
          <w:rFonts w:ascii="Arial" w:cs="Arial" w:eastAsia="Arial" w:hAnsi="Arial"/>
          <w:sz w:val="17"/>
          <w:szCs w:val="17"/>
          <w:color w:val="auto"/>
        </w:rPr>
      </w:pPr>
      <w:r>
        <w:rPr>
          <w:rFonts w:ascii="Arial" w:cs="Arial" w:eastAsia="Arial" w:hAnsi="Arial"/>
          <w:sz w:val="17"/>
          <w:szCs w:val="17"/>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firstLine="368"/>
        <w:spacing w:after="0" w:line="277" w:lineRule="auto"/>
        <w:tabs>
          <w:tab w:leader="none" w:pos="10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62" w:lineRule="exact"/>
        <w:rPr>
          <w:rFonts w:ascii="Arial" w:cs="Arial" w:eastAsia="Arial" w:hAnsi="Arial"/>
          <w:sz w:val="18"/>
          <w:szCs w:val="18"/>
          <w:color w:val="auto"/>
        </w:rPr>
      </w:pPr>
    </w:p>
    <w:p>
      <w:pPr>
        <w:ind w:left="360" w:right="300" w:firstLine="368"/>
        <w:spacing w:after="0" w:line="342"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5" w:lineRule="exact"/>
        <w:rPr>
          <w:rFonts w:ascii="Arial" w:cs="Arial" w:eastAsia="Arial" w:hAnsi="Arial"/>
          <w:sz w:val="16"/>
          <w:szCs w:val="16"/>
          <w:color w:val="auto"/>
        </w:rPr>
      </w:pPr>
    </w:p>
    <w:p>
      <w:pPr>
        <w:ind w:left="360" w:right="300" w:firstLine="368"/>
        <w:spacing w:after="0" w:line="277" w:lineRule="auto"/>
        <w:tabs>
          <w:tab w:leader="none" w:pos="10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62" w:lineRule="exact"/>
        <w:rPr>
          <w:rFonts w:ascii="Arial" w:cs="Arial" w:eastAsia="Arial" w:hAnsi="Arial"/>
          <w:sz w:val="18"/>
          <w:szCs w:val="18"/>
          <w:color w:val="auto"/>
        </w:rPr>
      </w:pPr>
    </w:p>
    <w:p>
      <w:pPr>
        <w:ind w:left="360" w:right="220" w:firstLine="368"/>
        <w:spacing w:after="0" w:line="342" w:lineRule="auto"/>
        <w:tabs>
          <w:tab w:leader="none" w:pos="10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5" w:lineRule="exact"/>
        <w:rPr>
          <w:rFonts w:ascii="Arial" w:cs="Arial" w:eastAsia="Arial" w:hAnsi="Arial"/>
          <w:sz w:val="16"/>
          <w:szCs w:val="16"/>
          <w:color w:val="auto"/>
        </w:rPr>
      </w:pPr>
    </w:p>
    <w:p>
      <w:pPr>
        <w:ind w:left="360" w:right="320" w:firstLine="368"/>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73" w:lineRule="exact"/>
        <w:rPr>
          <w:rFonts w:ascii="Arial" w:cs="Arial" w:eastAsia="Arial" w:hAnsi="Arial"/>
          <w:sz w:val="18"/>
          <w:szCs w:val="18"/>
          <w:color w:val="auto"/>
        </w:rPr>
      </w:pPr>
    </w:p>
    <w:p>
      <w:pPr>
        <w:ind w:left="1080" w:hanging="35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117" w:lineRule="exact"/>
        <w:rPr>
          <w:rFonts w:ascii="Arial" w:cs="Arial" w:eastAsia="Arial" w:hAnsi="Arial"/>
          <w:sz w:val="18"/>
          <w:szCs w:val="18"/>
          <w:color w:val="auto"/>
        </w:rPr>
      </w:pPr>
    </w:p>
    <w:p>
      <w:pPr>
        <w:ind w:left="1080" w:hanging="35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TERM OF PLAN</w:t>
      </w:r>
    </w:p>
    <w:p>
      <w:pPr>
        <w:spacing w:after="0" w:line="211"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shall be effective as of the date it is approved by both the Board and the stockholders of the Company (the “Effective Date”).</w:t>
      </w:r>
    </w:p>
    <w:p>
      <w:pPr>
        <w:sectPr>
          <w:pgSz w:w="11900" w:h="16838" w:orient="portrait"/>
          <w:cols w:equalWidth="0" w:num="1">
            <w:col w:w="11420"/>
          </w:cols>
          <w:pgMar w:left="240" w:top="125" w:right="239" w:bottom="31" w:gutter="0" w:footer="0" w:header="0"/>
        </w:sectPr>
      </w:pPr>
    </w:p>
    <w:bookmarkStart w:id="19" w:name="page20"/>
    <w:bookmarkEnd w:id="19"/>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TERMINATION OF PLAN</w:t>
      </w:r>
      <w:r>
        <w:rPr>
          <w:rFonts w:ascii="Arial" w:cs="Arial" w:eastAsia="Arial" w:hAnsi="Arial"/>
          <w:sz w:val="16"/>
          <w:szCs w:val="16"/>
          <w:color w:val="auto"/>
        </w:rPr>
        <w:t>.  The Plan shall terminate on the tenth anniversary of the Effective Date unless earlier terminated as provided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termination of the Plan on such date shall not affect the validity of any Award outstanding on the date of termination.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COMMITTEE</w:t>
      </w:r>
      <w:r>
        <w:rPr>
          <w:rFonts w:ascii="Arial" w:cs="Arial" w:eastAsia="Arial" w:hAnsi="Arial"/>
          <w:sz w:val="16"/>
          <w:szCs w:val="16"/>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62"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ACTION AND INTERPRETATIONS BY THE COMMITTEE</w:t>
      </w:r>
      <w:r>
        <w:rPr>
          <w:rFonts w:ascii="Arial" w:cs="Arial" w:eastAsia="Arial" w:hAnsi="Arial"/>
          <w:sz w:val="17"/>
          <w:szCs w:val="17"/>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AUTHORITY OF COMMITTEE</w:t>
      </w:r>
      <w:r>
        <w:rPr>
          <w:rFonts w:ascii="Arial" w:cs="Arial" w:eastAsia="Arial" w:hAnsi="Arial"/>
          <w:sz w:val="18"/>
          <w:szCs w:val="18"/>
          <w:color w:val="auto"/>
        </w:rPr>
        <w:t>.  Except as provided below, the Committee has the exclusive power, authority and discretion to:</w:t>
      </w:r>
    </w:p>
    <w:p>
      <w:pPr>
        <w:spacing w:after="0" w:line="117" w:lineRule="exact"/>
        <w:rPr>
          <w:sz w:val="20"/>
          <w:szCs w:val="20"/>
          <w:color w:val="auto"/>
        </w:rPr>
      </w:pPr>
    </w:p>
    <w:p>
      <w:pPr>
        <w:ind w:left="1100" w:hanging="37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117" w:lineRule="exact"/>
        <w:rPr>
          <w:rFonts w:ascii="Arial" w:cs="Arial" w:eastAsia="Arial" w:hAnsi="Arial"/>
          <w:sz w:val="18"/>
          <w:szCs w:val="18"/>
          <w:color w:val="auto"/>
        </w:rPr>
      </w:pPr>
    </w:p>
    <w:p>
      <w:pPr>
        <w:ind w:left="1080" w:hanging="35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117" w:lineRule="exact"/>
        <w:rPr>
          <w:rFonts w:ascii="Arial" w:cs="Arial" w:eastAsia="Arial" w:hAnsi="Arial"/>
          <w:sz w:val="18"/>
          <w:szCs w:val="18"/>
          <w:color w:val="auto"/>
        </w:rPr>
      </w:pPr>
    </w:p>
    <w:p>
      <w:pPr>
        <w:ind w:left="1100" w:hanging="37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117" w:lineRule="exact"/>
        <w:rPr>
          <w:rFonts w:ascii="Arial" w:cs="Arial" w:eastAsia="Arial" w:hAnsi="Arial"/>
          <w:sz w:val="18"/>
          <w:szCs w:val="18"/>
          <w:color w:val="auto"/>
        </w:rPr>
      </w:pPr>
    </w:p>
    <w:p>
      <w:pPr>
        <w:ind w:left="1080" w:hanging="35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117" w:lineRule="exact"/>
        <w:rPr>
          <w:rFonts w:ascii="Arial" w:cs="Arial" w:eastAsia="Arial" w:hAnsi="Arial"/>
          <w:sz w:val="18"/>
          <w:szCs w:val="18"/>
          <w:color w:val="auto"/>
        </w:rPr>
      </w:pPr>
    </w:p>
    <w:p>
      <w:pPr>
        <w:ind w:left="360" w:right="380" w:firstLine="368"/>
        <w:spacing w:after="0" w:line="312"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38" w:lineRule="exact"/>
        <w:rPr>
          <w:rFonts w:ascii="Arial" w:cs="Arial" w:eastAsia="Arial" w:hAnsi="Arial"/>
          <w:sz w:val="16"/>
          <w:szCs w:val="16"/>
          <w:color w:val="auto"/>
        </w:rPr>
      </w:pPr>
    </w:p>
    <w:p>
      <w:pPr>
        <w:ind w:left="360" w:right="260" w:firstLine="368"/>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62" w:lineRule="exact"/>
        <w:rPr>
          <w:rFonts w:ascii="Arial" w:cs="Arial" w:eastAsia="Arial" w:hAnsi="Arial"/>
          <w:sz w:val="18"/>
          <w:szCs w:val="18"/>
          <w:color w:val="auto"/>
        </w:rPr>
      </w:pPr>
    </w:p>
    <w:p>
      <w:pPr>
        <w:ind w:left="360" w:right="160" w:firstLine="368"/>
        <w:spacing w:after="0" w:line="277" w:lineRule="auto"/>
        <w:tabs>
          <w:tab w:leader="none" w:pos="11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117" w:lineRule="exact"/>
        <w:rPr>
          <w:rFonts w:ascii="Arial" w:cs="Arial" w:eastAsia="Arial" w:hAnsi="Arial"/>
          <w:sz w:val="18"/>
          <w:szCs w:val="18"/>
          <w:color w:val="auto"/>
        </w:rPr>
      </w:pPr>
    </w:p>
    <w:p>
      <w:pPr>
        <w:ind w:left="1080" w:hanging="35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17" w:lineRule="exact"/>
        <w:rPr>
          <w:rFonts w:ascii="Arial" w:cs="Arial" w:eastAsia="Arial" w:hAnsi="Arial"/>
          <w:sz w:val="18"/>
          <w:szCs w:val="18"/>
          <w:color w:val="auto"/>
        </w:rPr>
      </w:pPr>
    </w:p>
    <w:p>
      <w:pPr>
        <w:ind w:left="1120" w:hanging="392"/>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 adopt or revise any rules, regulations, guidelines or procedures as it may deem necessary or advisable to administer the Plan;</w:t>
      </w:r>
    </w:p>
    <w:p>
      <w:pPr>
        <w:spacing w:after="0" w:line="128" w:lineRule="exact"/>
        <w:rPr>
          <w:rFonts w:ascii="Arial" w:cs="Arial" w:eastAsia="Arial" w:hAnsi="Arial"/>
          <w:sz w:val="17"/>
          <w:szCs w:val="17"/>
          <w:color w:val="auto"/>
        </w:rPr>
      </w:pPr>
    </w:p>
    <w:p>
      <w:pPr>
        <w:ind w:left="360" w:right="700" w:firstLine="368"/>
        <w:spacing w:after="0" w:line="277" w:lineRule="auto"/>
        <w:tabs>
          <w:tab w:leader="none" w:pos="10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117" w:lineRule="exact"/>
        <w:rPr>
          <w:rFonts w:ascii="Arial" w:cs="Arial" w:eastAsia="Arial" w:hAnsi="Arial"/>
          <w:sz w:val="18"/>
          <w:szCs w:val="18"/>
          <w:color w:val="auto"/>
        </w:rPr>
      </w:pPr>
    </w:p>
    <w:p>
      <w:pPr>
        <w:ind w:left="360" w:right="520" w:firstLine="368"/>
        <w:spacing w:after="0" w:line="277" w:lineRule="auto"/>
        <w:tabs>
          <w:tab w:leader="none" w:pos="10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color w:val="auto"/>
        </w:rPr>
        <w:t>may operate, in order to assure the viability of the benefits of Awards granted to participants located in such other jurisdictions and to meet the objectives of the Plan.</w:t>
      </w:r>
    </w:p>
    <w:p>
      <w:pPr>
        <w:spacing w:after="0" w:line="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6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w:t>
      </w:r>
    </w:p>
    <w:p>
      <w:pPr>
        <w:sectPr>
          <w:pgSz w:w="11900" w:h="16877" w:orient="portrait"/>
          <w:cols w:equalWidth="0" w:num="1">
            <w:col w:w="11420"/>
          </w:cols>
          <w:pgMar w:left="240" w:top="125" w:right="239" w:bottom="0" w:gutter="0" w:footer="0" w:header="0"/>
        </w:sectPr>
      </w:pPr>
    </w:p>
    <w:bookmarkStart w:id="20" w:name="page21"/>
    <w:bookmarkEnd w:id="20"/>
    <w:p>
      <w:pPr>
        <w:ind w:right="300"/>
        <w:spacing w:after="0" w:line="259" w:lineRule="auto"/>
        <w:rPr>
          <w:sz w:val="20"/>
          <w:szCs w:val="20"/>
          <w:color w:val="auto"/>
        </w:rPr>
      </w:pPr>
      <w:r>
        <w:rPr>
          <w:rFonts w:ascii="Arial" w:cs="Arial" w:eastAsia="Arial" w:hAnsi="Arial"/>
          <w:sz w:val="18"/>
          <w:szCs w:val="18"/>
          <w:color w:val="auto"/>
        </w:rPr>
        <w:t>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65"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197" w:lineRule="exact"/>
        <w:rPr>
          <w:sz w:val="20"/>
          <w:szCs w:val="20"/>
          <w:color w:val="auto"/>
        </w:rPr>
      </w:pPr>
    </w:p>
    <w:p>
      <w:pPr>
        <w:jc w:val="both"/>
        <w:ind w:right="200" w:firstLine="36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26,000,000;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w:t>
      </w:r>
    </w:p>
    <w:p>
      <w:pPr>
        <w:spacing w:after="0" w:line="90" w:lineRule="exact"/>
        <w:rPr>
          <w:sz w:val="20"/>
          <w:szCs w:val="20"/>
          <w:color w:val="auto"/>
        </w:rPr>
      </w:pPr>
    </w:p>
    <w:p>
      <w:pPr>
        <w:ind w:left="360" w:firstLine="368"/>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Shares subject to the Award will again be available for issuance pursuant to Awards granted under the Plan.</w:t>
      </w:r>
    </w:p>
    <w:p>
      <w:pPr>
        <w:spacing w:after="0" w:line="48" w:lineRule="exact"/>
        <w:rPr>
          <w:rFonts w:ascii="Arial" w:cs="Arial" w:eastAsia="Arial" w:hAnsi="Arial"/>
          <w:sz w:val="18"/>
          <w:szCs w:val="18"/>
          <w:color w:val="auto"/>
        </w:rPr>
      </w:pPr>
    </w:p>
    <w:p>
      <w:pPr>
        <w:ind w:left="1080" w:hanging="35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103" w:lineRule="exact"/>
        <w:rPr>
          <w:rFonts w:ascii="Arial" w:cs="Arial" w:eastAsia="Arial" w:hAnsi="Arial"/>
          <w:sz w:val="18"/>
          <w:szCs w:val="18"/>
          <w:color w:val="auto"/>
        </w:rPr>
      </w:pPr>
    </w:p>
    <w:p>
      <w:pPr>
        <w:ind w:left="360" w:right="40" w:firstLine="368"/>
        <w:spacing w:after="0" w:line="312" w:lineRule="auto"/>
        <w:tabs>
          <w:tab w:leader="none" w:pos="11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11" w:lineRule="exact"/>
        <w:rPr>
          <w:rFonts w:ascii="Arial" w:cs="Arial" w:eastAsia="Arial" w:hAnsi="Arial"/>
          <w:sz w:val="16"/>
          <w:szCs w:val="16"/>
          <w:color w:val="auto"/>
        </w:rPr>
      </w:pPr>
    </w:p>
    <w:p>
      <w:pPr>
        <w:jc w:val="both"/>
        <w:ind w:left="360" w:right="180" w:firstLine="368"/>
        <w:spacing w:after="0" w:line="279" w:lineRule="auto"/>
        <w:tabs>
          <w:tab w:leader="none" w:pos="10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62"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740" w:firstLine="36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GENERAL</w:t>
      </w:r>
      <w:r>
        <w:rPr>
          <w:rFonts w:ascii="Arial" w:cs="Arial" w:eastAsia="Arial" w:hAnsi="Arial"/>
          <w:sz w:val="18"/>
          <w:szCs w:val="18"/>
          <w:color w:val="auto"/>
        </w:rPr>
        <w:t>.  The Committee is authorized to grant Options to Participants on the following terms and conditions:</w:t>
      </w:r>
    </w:p>
    <w:p>
      <w:pPr>
        <w:spacing w:after="0" w:line="117" w:lineRule="exact"/>
        <w:rPr>
          <w:sz w:val="20"/>
          <w:szCs w:val="20"/>
          <w:color w:val="auto"/>
        </w:rPr>
      </w:pPr>
    </w:p>
    <w:p>
      <w:pPr>
        <w:ind w:left="360" w:right="80" w:firstLine="368"/>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under an Option shall be determined by the Committee; provided that the exercise price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shall not be less than the Fair Market Value as of the Grant Date.</w:t>
      </w:r>
    </w:p>
    <w:p>
      <w:pPr>
        <w:spacing w:after="0" w:line="62" w:lineRule="exact"/>
        <w:rPr>
          <w:rFonts w:ascii="Arial" w:cs="Arial" w:eastAsia="Arial" w:hAnsi="Arial"/>
          <w:sz w:val="18"/>
          <w:szCs w:val="18"/>
          <w:color w:val="auto"/>
        </w:rPr>
      </w:pPr>
    </w:p>
    <w:p>
      <w:pPr>
        <w:ind w:left="360" w:right="140" w:firstLine="368"/>
        <w:spacing w:after="0" w:line="276" w:lineRule="auto"/>
        <w:tabs>
          <w:tab w:leader="none" w:pos="106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TIME AND CONDITIONS OF EXERCISE</w:t>
      </w:r>
      <w:r>
        <w:rPr>
          <w:rFonts w:ascii="Arial" w:cs="Arial" w:eastAsia="Arial" w:hAnsi="Arial"/>
          <w:sz w:val="17"/>
          <w:szCs w:val="17"/>
          <w:color w:val="auto"/>
        </w:rPr>
        <w:t>. The Committee shall determine the time or times at which an Option may be exercised in whole</w:t>
      </w:r>
      <w:r>
        <w:rPr>
          <w:rFonts w:ascii="Arial" w:cs="Arial" w:eastAsia="Arial" w:hAnsi="Arial"/>
          <w:sz w:val="17"/>
          <w:szCs w:val="17"/>
          <w:i w:val="1"/>
          <w:iCs w:val="1"/>
          <w:color w:val="auto"/>
        </w:rPr>
        <w:t xml:space="preserve"> </w:t>
      </w:r>
      <w:r>
        <w:rPr>
          <w:rFonts w:ascii="Arial" w:cs="Arial" w:eastAsia="Arial" w:hAnsi="Arial"/>
          <w:sz w:val="17"/>
          <w:szCs w:val="17"/>
          <w:color w:val="auto"/>
        </w:rPr>
        <w:t>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64" w:lineRule="exact"/>
        <w:rPr>
          <w:rFonts w:ascii="Arial" w:cs="Arial" w:eastAsia="Arial" w:hAnsi="Arial"/>
          <w:sz w:val="17"/>
          <w:szCs w:val="17"/>
          <w:color w:val="auto"/>
        </w:rPr>
      </w:pPr>
    </w:p>
    <w:p>
      <w:pPr>
        <w:ind w:left="360" w:right="160" w:firstLine="368"/>
        <w:spacing w:after="0" w:line="25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Committee shall determine the methods by which the exercise price of an Option may be paid, the form of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80" w:lineRule="exact"/>
        <w:rPr>
          <w:rFonts w:ascii="Arial" w:cs="Arial" w:eastAsia="Arial" w:hAnsi="Arial"/>
          <w:sz w:val="18"/>
          <w:szCs w:val="18"/>
          <w:color w:val="auto"/>
        </w:rPr>
      </w:pPr>
    </w:p>
    <w:p>
      <w:pPr>
        <w:ind w:left="1080" w:hanging="35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EXERCISE TERM</w:t>
      </w:r>
      <w:r>
        <w:rPr>
          <w:rFonts w:ascii="Arial" w:cs="Arial" w:eastAsia="Arial" w:hAnsi="Arial"/>
          <w:sz w:val="18"/>
          <w:szCs w:val="18"/>
          <w:color w:val="auto"/>
        </w:rPr>
        <w:t>.  In no event may any Option be exercisable for more than ten years from the Grant Date.</w:t>
      </w:r>
    </w:p>
    <w:p>
      <w:pPr>
        <w:spacing w:after="0" w:line="117" w:lineRule="exact"/>
        <w:rPr>
          <w:rFonts w:ascii="Arial" w:cs="Arial" w:eastAsia="Arial" w:hAnsi="Arial"/>
          <w:sz w:val="18"/>
          <w:szCs w:val="18"/>
          <w:color w:val="auto"/>
        </w:rPr>
      </w:pPr>
    </w:p>
    <w:p>
      <w:pPr>
        <w:ind w:left="360" w:right="200" w:firstLine="368"/>
        <w:spacing w:after="0" w:line="259"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SUSPENSION. </w:t>
      </w:r>
      <w:r>
        <w:rPr>
          <w:rFonts w:ascii="Arial" w:cs="Arial" w:eastAsia="Arial" w:hAnsi="Arial"/>
          <w:sz w:val="18"/>
          <w:szCs w:val="18"/>
          <w:color w:val="auto"/>
        </w:rPr>
        <w:t>Any Participant who is also a participant in the Retirement at Micron (“RAM”) Section 401(k) Plan and who requests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ectPr>
          <w:pgSz w:w="11900" w:h="16838" w:orient="portrait"/>
          <w:cols w:equalWidth="0" w:num="1">
            <w:col w:w="11400"/>
          </w:cols>
          <w:pgMar w:left="240" w:top="125" w:right="259" w:bottom="23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33" w:gutter="0" w:footer="0" w:header="0"/>
          <w:type w:val="continuous"/>
        </w:sectPr>
      </w:pPr>
    </w:p>
    <w:bookmarkStart w:id="21" w:name="page22"/>
    <w:bookmarkEnd w:id="21"/>
    <w:p>
      <w:pPr>
        <w:ind w:right="380" w:firstLine="36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The terms of any Incentive Stock Options granted under the Plan must comply with the following additional rules:</w:t>
      </w:r>
    </w:p>
    <w:p>
      <w:pPr>
        <w:spacing w:after="0" w:line="62" w:lineRule="exact"/>
        <w:rPr>
          <w:sz w:val="20"/>
          <w:szCs w:val="20"/>
          <w:color w:val="auto"/>
        </w:rPr>
      </w:pPr>
    </w:p>
    <w:p>
      <w:pPr>
        <w:ind w:left="1100" w:hanging="372"/>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exercise price of an Incentive Stock Option shall not be less than the Fair Market Value as of the Grant Date.</w:t>
      </w:r>
    </w:p>
    <w:p>
      <w:pPr>
        <w:spacing w:after="0" w:line="128" w:lineRule="exact"/>
        <w:rPr>
          <w:rFonts w:ascii="Arial" w:cs="Arial" w:eastAsia="Arial" w:hAnsi="Arial"/>
          <w:sz w:val="17"/>
          <w:szCs w:val="17"/>
          <w:color w:val="auto"/>
        </w:rPr>
      </w:pPr>
    </w:p>
    <w:p>
      <w:pPr>
        <w:ind w:left="360" w:right="140" w:firstLine="368"/>
        <w:spacing w:after="0" w:line="302" w:lineRule="auto"/>
        <w:tabs>
          <w:tab w:leader="none" w:pos="106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LAPSE OF OPTION</w:t>
      </w:r>
      <w:r>
        <w:rPr>
          <w:rFonts w:ascii="Arial" w:cs="Arial" w:eastAsia="Arial" w:hAnsi="Arial"/>
          <w:sz w:val="16"/>
          <w:szCs w:val="16"/>
          <w:color w:val="auto"/>
        </w:rPr>
        <w:t>. Subject to any earlier termination provision contained in the Award Certificate, an Incentive Stock Option shall lapse</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46" w:lineRule="exact"/>
        <w:rPr>
          <w:rFonts w:ascii="Arial" w:cs="Arial" w:eastAsia="Arial" w:hAnsi="Arial"/>
          <w:sz w:val="16"/>
          <w:szCs w:val="16"/>
          <w:color w:val="auto"/>
        </w:rPr>
      </w:pPr>
    </w:p>
    <w:p>
      <w:pPr>
        <w:ind w:left="1440" w:hanging="352"/>
        <w:spacing w:after="0"/>
        <w:tabs>
          <w:tab w:leader="none" w:pos="1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expiration date set forth in the Award Certificate.</w:t>
      </w:r>
    </w:p>
    <w:p>
      <w:pPr>
        <w:spacing w:after="0" w:line="117" w:lineRule="exact"/>
        <w:rPr>
          <w:rFonts w:ascii="Arial" w:cs="Arial" w:eastAsia="Arial" w:hAnsi="Arial"/>
          <w:sz w:val="18"/>
          <w:szCs w:val="18"/>
          <w:color w:val="auto"/>
        </w:rPr>
      </w:pPr>
    </w:p>
    <w:p>
      <w:pPr>
        <w:ind w:left="1440" w:hanging="352"/>
        <w:spacing w:after="0"/>
        <w:tabs>
          <w:tab w:leader="none" w:pos="1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117" w:lineRule="exact"/>
        <w:rPr>
          <w:rFonts w:ascii="Arial" w:cs="Arial" w:eastAsia="Arial" w:hAnsi="Arial"/>
          <w:sz w:val="18"/>
          <w:szCs w:val="18"/>
          <w:color w:val="auto"/>
        </w:rPr>
      </w:pPr>
    </w:p>
    <w:p>
      <w:pPr>
        <w:ind w:left="1440" w:hanging="352"/>
        <w:spacing w:after="0"/>
        <w:tabs>
          <w:tab w:leader="none" w:pos="14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Three months after termination of the Participant’s Continuous Status as a Participant for any reason other than the Participant’s Disability</w:t>
      </w:r>
    </w:p>
    <w:p>
      <w:pPr>
        <w:spacing w:after="0" w:line="4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or death.</w:t>
      </w:r>
    </w:p>
    <w:p>
      <w:pPr>
        <w:spacing w:after="0" w:line="102" w:lineRule="exact"/>
        <w:rPr>
          <w:rFonts w:ascii="Arial" w:cs="Arial" w:eastAsia="Arial" w:hAnsi="Arial"/>
          <w:sz w:val="16"/>
          <w:szCs w:val="16"/>
          <w:color w:val="auto"/>
        </w:rPr>
      </w:pPr>
    </w:p>
    <w:p>
      <w:pPr>
        <w:ind w:left="1440" w:hanging="352"/>
        <w:spacing w:after="0"/>
        <w:tabs>
          <w:tab w:leader="none" w:pos="1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One year after the Participant’s Continuous Status as a Participant by reason of the Participant’s Disability.</w:t>
      </w:r>
    </w:p>
    <w:p>
      <w:pPr>
        <w:spacing w:after="0" w:line="117" w:lineRule="exact"/>
        <w:rPr>
          <w:rFonts w:ascii="Arial" w:cs="Arial" w:eastAsia="Arial" w:hAnsi="Arial"/>
          <w:sz w:val="18"/>
          <w:szCs w:val="18"/>
          <w:color w:val="auto"/>
        </w:rPr>
      </w:pPr>
    </w:p>
    <w:p>
      <w:pPr>
        <w:ind w:left="720" w:right="20" w:firstLine="368"/>
        <w:spacing w:after="0" w:line="277" w:lineRule="auto"/>
        <w:tabs>
          <w:tab w:leader="none" w:pos="14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62" w:lineRule="exact"/>
        <w:rPr>
          <w:sz w:val="20"/>
          <w:szCs w:val="20"/>
          <w:color w:val="auto"/>
        </w:rPr>
      </w:pPr>
    </w:p>
    <w:p>
      <w:pPr>
        <w:ind w:left="360" w:right="40" w:firstLine="360"/>
        <w:spacing w:after="0" w:line="259" w:lineRule="auto"/>
        <w:rPr>
          <w:sz w:val="20"/>
          <w:szCs w:val="20"/>
          <w:color w:val="auto"/>
        </w:rPr>
      </w:pPr>
      <w:r>
        <w:rPr>
          <w:rFonts w:ascii="Arial" w:cs="Arial" w:eastAsia="Arial" w:hAnsi="Arial"/>
          <w:sz w:val="18"/>
          <w:szCs w:val="18"/>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79" w:lineRule="exact"/>
        <w:rPr>
          <w:sz w:val="20"/>
          <w:szCs w:val="20"/>
          <w:color w:val="auto"/>
        </w:rPr>
      </w:pPr>
    </w:p>
    <w:p>
      <w:pPr>
        <w:ind w:left="360" w:firstLine="368"/>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INDIVIDUAL DOLLAR LIMITATION</w:t>
      </w:r>
      <w:r>
        <w:rPr>
          <w:rFonts w:ascii="Arial" w:cs="Arial" w:eastAsia="Arial" w:hAnsi="Arial"/>
          <w:sz w:val="18"/>
          <w:szCs w:val="18"/>
          <w:color w:val="auto"/>
        </w:rPr>
        <w:t>. The aggregate Fair Market Value (determined as of the Grant Date) of all Shares with respect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are first exercisable by a Participant in any calendar year may not exceed $100,000.00.</w:t>
      </w:r>
    </w:p>
    <w:p>
      <w:pPr>
        <w:spacing w:after="0" w:line="62" w:lineRule="exact"/>
        <w:rPr>
          <w:rFonts w:ascii="Arial" w:cs="Arial" w:eastAsia="Arial" w:hAnsi="Arial"/>
          <w:sz w:val="18"/>
          <w:szCs w:val="18"/>
          <w:color w:val="auto"/>
        </w:rPr>
      </w:pPr>
    </w:p>
    <w:p>
      <w:pPr>
        <w:jc w:val="both"/>
        <w:ind w:left="360" w:right="20" w:firstLine="368"/>
        <w:spacing w:after="0" w:line="312" w:lineRule="auto"/>
        <w:tabs>
          <w:tab w:leader="none" w:pos="106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TEN PERCENT OWNERS</w:t>
      </w:r>
      <w:r>
        <w:rPr>
          <w:rFonts w:ascii="Arial" w:cs="Arial" w:eastAsia="Arial" w:hAnsi="Arial"/>
          <w:sz w:val="16"/>
          <w:szCs w:val="16"/>
          <w:color w:val="auto"/>
        </w:rPr>
        <w:t>. No Incentive Stock Option shall be granted to any individual who, at the Grant Date, owns stock possessing more</w:t>
      </w:r>
      <w:r>
        <w:rPr>
          <w:rFonts w:ascii="Arial" w:cs="Arial" w:eastAsia="Arial" w:hAnsi="Arial"/>
          <w:sz w:val="16"/>
          <w:szCs w:val="16"/>
          <w:i w:val="1"/>
          <w:iCs w:val="1"/>
          <w:color w:val="auto"/>
        </w:rPr>
        <w:t xml:space="preserve"> </w:t>
      </w:r>
      <w:r>
        <w:rPr>
          <w:rFonts w:ascii="Arial" w:cs="Arial" w:eastAsia="Arial" w:hAnsi="Arial"/>
          <w:sz w:val="16"/>
          <w:szCs w:val="16"/>
          <w:color w:val="auto"/>
        </w:rPr>
        <w:t>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38" w:lineRule="exact"/>
        <w:rPr>
          <w:rFonts w:ascii="Arial" w:cs="Arial" w:eastAsia="Arial" w:hAnsi="Arial"/>
          <w:sz w:val="16"/>
          <w:szCs w:val="16"/>
          <w:color w:val="auto"/>
        </w:rPr>
      </w:pPr>
    </w:p>
    <w:p>
      <w:pPr>
        <w:ind w:left="360" w:right="20" w:firstLine="368"/>
        <w:spacing w:after="0" w:line="342" w:lineRule="auto"/>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EXPIRATION OF AUTHORITY TO GRANT INCENTIVE STOCK OPTIONS</w:t>
      </w:r>
      <w:r>
        <w:rPr>
          <w:rFonts w:ascii="Arial" w:cs="Arial" w:eastAsia="Arial" w:hAnsi="Arial"/>
          <w:sz w:val="16"/>
          <w:szCs w:val="16"/>
          <w:color w:val="auto"/>
        </w:rPr>
        <w:t>. No Incentive Stock Option may be granted pursuant to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day immediately prior to the tenth anniversary of the date the Plan was adopted by the Board, or the termination of the Plan, if earlier.</w:t>
      </w:r>
    </w:p>
    <w:p>
      <w:pPr>
        <w:spacing w:after="0" w:line="15" w:lineRule="exact"/>
        <w:rPr>
          <w:rFonts w:ascii="Arial" w:cs="Arial" w:eastAsia="Arial" w:hAnsi="Arial"/>
          <w:sz w:val="16"/>
          <w:szCs w:val="16"/>
          <w:color w:val="auto"/>
        </w:rPr>
      </w:pPr>
    </w:p>
    <w:p>
      <w:pPr>
        <w:ind w:left="360" w:right="120" w:firstLine="368"/>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RIGHT TO EXERCISE</w:t>
      </w:r>
      <w:r>
        <w:rPr>
          <w:rFonts w:ascii="Arial" w:cs="Arial" w:eastAsia="Arial" w:hAnsi="Arial"/>
          <w:sz w:val="18"/>
          <w:szCs w:val="18"/>
          <w:color w:val="auto"/>
        </w:rPr>
        <w:t>. During a Participant’s lifetime, an Incentive Stock Option may be exercised only by the Participant or, in the case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Participant’s Disability, by the Participant’s guardian or legal representative.</w:t>
      </w:r>
    </w:p>
    <w:p>
      <w:pPr>
        <w:spacing w:after="0" w:line="62" w:lineRule="exact"/>
        <w:rPr>
          <w:rFonts w:ascii="Arial" w:cs="Arial" w:eastAsia="Arial" w:hAnsi="Arial"/>
          <w:sz w:val="18"/>
          <w:szCs w:val="18"/>
          <w:color w:val="auto"/>
        </w:rPr>
      </w:pPr>
    </w:p>
    <w:p>
      <w:pPr>
        <w:ind w:left="360" w:right="260" w:firstLine="368"/>
        <w:spacing w:after="0" w:line="277" w:lineRule="auto"/>
        <w:tabs>
          <w:tab w:leader="none" w:pos="111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ELIGIBLE GRANTEES</w:t>
      </w:r>
      <w:r>
        <w:rPr>
          <w:rFonts w:ascii="Arial" w:cs="Arial" w:eastAsia="Arial" w:hAnsi="Arial"/>
          <w:sz w:val="18"/>
          <w:szCs w:val="18"/>
          <w:color w:val="auto"/>
        </w:rPr>
        <w:t>. The Committee may not grant an Incentive Stock Option to a person who is not at the Grant Date an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 Parent or Subsidiary.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The Committee is authorized to grant Stock Appreciation Rights to Participants on the following terms and conditions:</w:t>
      </w:r>
    </w:p>
    <w:p>
      <w:pPr>
        <w:spacing w:after="0" w:line="62" w:lineRule="exact"/>
        <w:rPr>
          <w:sz w:val="20"/>
          <w:szCs w:val="20"/>
          <w:color w:val="auto"/>
        </w:rPr>
      </w:pPr>
    </w:p>
    <w:p>
      <w:pPr>
        <w:ind w:left="360" w:right="360" w:firstLine="368"/>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RIGHT TO PAYMENT</w:t>
      </w:r>
      <w:r>
        <w:rPr>
          <w:rFonts w:ascii="Arial" w:cs="Arial" w:eastAsia="Arial" w:hAnsi="Arial"/>
          <w:sz w:val="18"/>
          <w:szCs w:val="18"/>
          <w:color w:val="auto"/>
        </w:rPr>
        <w:t>. Upon the exercise of a Stock Appreciation Right, the Participant to whom it is granted has the right to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w:t>
      </w:r>
    </w:p>
    <w:p>
      <w:pPr>
        <w:spacing w:after="0" w:line="62" w:lineRule="exact"/>
        <w:rPr>
          <w:rFonts w:ascii="Arial" w:cs="Arial" w:eastAsia="Arial" w:hAnsi="Arial"/>
          <w:sz w:val="18"/>
          <w:szCs w:val="18"/>
          <w:color w:val="auto"/>
        </w:rPr>
      </w:pPr>
    </w:p>
    <w:p>
      <w:pPr>
        <w:ind w:left="1440" w:hanging="352"/>
        <w:spacing w:after="0"/>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117" w:lineRule="exact"/>
        <w:rPr>
          <w:rFonts w:ascii="Arial" w:cs="Arial" w:eastAsia="Arial" w:hAnsi="Arial"/>
          <w:sz w:val="18"/>
          <w:szCs w:val="18"/>
          <w:color w:val="auto"/>
        </w:rPr>
      </w:pPr>
    </w:p>
    <w:p>
      <w:pPr>
        <w:ind w:left="720" w:right="20" w:firstLine="368"/>
        <w:spacing w:after="0" w:line="277" w:lineRule="auto"/>
        <w:tabs>
          <w:tab w:leader="none" w:pos="14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62" w:lineRule="exact"/>
        <w:rPr>
          <w:rFonts w:ascii="Arial" w:cs="Arial" w:eastAsia="Arial" w:hAnsi="Arial"/>
          <w:sz w:val="18"/>
          <w:szCs w:val="18"/>
          <w:color w:val="auto"/>
        </w:rPr>
      </w:pPr>
    </w:p>
    <w:p>
      <w:pPr>
        <w:ind w:left="360" w:right="520" w:firstLine="368"/>
        <w:spacing w:after="0" w:line="286" w:lineRule="auto"/>
        <w:tabs>
          <w:tab w:leader="none" w:pos="106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OTHER TERMS</w:t>
      </w:r>
      <w:r>
        <w:rPr>
          <w:rFonts w:ascii="Arial" w:cs="Arial" w:eastAsia="Arial" w:hAnsi="Arial"/>
          <w:sz w:val="17"/>
          <w:szCs w:val="17"/>
          <w:color w:val="auto"/>
        </w:rPr>
        <w:t>. All awards of Stock Appreciation Rights shall be evidenced by an Award Certificate. The terms, methods of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w:t>
      </w:r>
    </w:p>
    <w:p>
      <w:pPr>
        <w:spacing w:after="0" w:line="211"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GRANT OF PERFORMANCE SHARES</w:t>
      </w:r>
      <w:r>
        <w:rPr>
          <w:rFonts w:ascii="Arial" w:cs="Arial" w:eastAsia="Arial" w:hAnsi="Arial"/>
          <w:sz w:val="17"/>
          <w:szCs w:val="17"/>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64"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ectPr>
          <w:pgSz w:w="11900" w:h="16838" w:orient="portrait"/>
          <w:cols w:equalWidth="0" w:num="1">
            <w:col w:w="11420"/>
          </w:cols>
          <w:pgMar w:left="240" w:top="368" w:right="239" w:bottom="0" w:gutter="0" w:footer="0" w:header="0"/>
        </w:sectPr>
      </w:pPr>
    </w:p>
    <w:bookmarkStart w:id="22" w:name="page23"/>
    <w:bookmarkEnd w:id="22"/>
    <w:p>
      <w:pPr>
        <w:ind w:right="80" w:firstLine="8"/>
        <w:spacing w:after="0" w:line="277"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62"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79"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70" w:lineRule="exact"/>
        <w:rPr>
          <w:sz w:val="20"/>
          <w:szCs w:val="20"/>
          <w:color w:val="auto"/>
        </w:rPr>
      </w:pPr>
    </w:p>
    <w:p>
      <w:pPr>
        <w:ind w:right="280" w:firstLine="360"/>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color w:val="auto"/>
        </w:rPr>
        <w:t>FORFEITURE</w:t>
      </w:r>
      <w:r>
        <w:rPr>
          <w:rFonts w:ascii="Arial" w:cs="Arial" w:eastAsia="Arial" w:hAnsi="Arial"/>
          <w:sz w:val="17"/>
          <w:szCs w:val="17"/>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70"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color w:val="auto"/>
        </w:rPr>
        <w:t>DELIVERY OF RESTRICTED STOCK</w:t>
      </w:r>
      <w:r>
        <w:rPr>
          <w:rFonts w:ascii="Arial" w:cs="Arial" w:eastAsia="Arial" w:hAnsi="Arial"/>
          <w:sz w:val="16"/>
          <w:szCs w:val="16"/>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UNITS</w:t>
      </w:r>
    </w:p>
    <w:p>
      <w:pPr>
        <w:spacing w:after="0" w:line="21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jc w:val="both"/>
        <w:ind w:right="40" w:firstLine="36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i w:val="1"/>
          <w:iCs w:val="1"/>
          <w:color w:val="auto"/>
        </w:rPr>
        <w:t>GRANT OF DIVIDEND EQUIVALENTS</w:t>
      </w:r>
      <w:r>
        <w:rPr>
          <w:rFonts w:ascii="Arial" w:cs="Arial" w:eastAsia="Arial" w:hAnsi="Arial"/>
          <w:sz w:val="17"/>
          <w:szCs w:val="17"/>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w:t>
      </w:r>
    </w:p>
    <w:p>
      <w:pPr>
        <w:sectPr>
          <w:pgSz w:w="11900" w:h="16838" w:orient="portrait"/>
          <w:cols w:equalWidth="0" w:num="1">
            <w:col w:w="11420"/>
          </w:cols>
          <w:pgMar w:left="240" w:top="125" w:right="239" w:bottom="0" w:gutter="0" w:footer="0" w:header="0"/>
        </w:sectPr>
      </w:pPr>
    </w:p>
    <w:bookmarkStart w:id="23" w:name="page24"/>
    <w:bookmarkEnd w:id="23"/>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pacing w:after="0" w:line="21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73"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i w:val="1"/>
          <w:iCs w:val="1"/>
          <w:color w:val="auto"/>
        </w:rPr>
        <w:t>FORM OF PAYMENT FOR AWARDS</w:t>
      </w:r>
      <w:r>
        <w:rPr>
          <w:rFonts w:ascii="Arial" w:cs="Arial" w:eastAsia="Arial" w:hAnsi="Arial"/>
          <w:sz w:val="17"/>
          <w:szCs w:val="17"/>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63"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i w:val="1"/>
          <w:iCs w:val="1"/>
          <w:color w:val="auto"/>
        </w:rPr>
        <w:t>LIMITS ON TRANSFER</w:t>
      </w:r>
      <w:r>
        <w:rPr>
          <w:rFonts w:ascii="Arial" w:cs="Arial" w:eastAsia="Arial" w:hAnsi="Arial"/>
          <w:sz w:val="17"/>
          <w:szCs w:val="17"/>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7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57"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CERTIFICATES</w:t>
      </w:r>
      <w:r>
        <w:rPr>
          <w:rFonts w:ascii="Arial" w:cs="Arial" w:eastAsia="Arial" w:hAnsi="Arial"/>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79"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59"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i w:val="1"/>
          <w:iCs w:val="1"/>
          <w:color w:val="auto"/>
        </w:rPr>
        <w:t>ACCELERATION UPON DEATH OR DISABILITY</w:t>
      </w:r>
      <w:r>
        <w:rPr>
          <w:rFonts w:ascii="Arial" w:cs="Arial" w:eastAsia="Arial" w:hAnsi="Arial"/>
          <w:sz w:val="16"/>
          <w:szCs w:val="16"/>
          <w:color w:val="auto"/>
        </w:rPr>
        <w:t>.  Except as otherwise provided in the Award Certificate or any special Plan document governing an Award, upon the Participant’s death or Disability during his or her Continuous Status as a Participant, (i) all of such Participant’s outstanding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59"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ACCELERATION FOR ANY OTHER REASON</w:t>
      </w:r>
      <w:r>
        <w:rPr>
          <w:rFonts w:ascii="Arial" w:cs="Arial" w:eastAsia="Arial" w:hAnsi="Arial"/>
          <w:sz w:val="16"/>
          <w:szCs w:val="16"/>
          <w:color w:val="auto"/>
        </w:rPr>
        <w:t>.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w:t>
      </w:r>
    </w:p>
    <w:p>
      <w:pPr>
        <w:sectPr>
          <w:pgSz w:w="11900" w:h="16898" w:orient="portrait"/>
          <w:cols w:equalWidth="0" w:num="1">
            <w:col w:w="11420"/>
          </w:cols>
          <w:pgMar w:left="240" w:top="121" w:right="239" w:bottom="0" w:gutter="0" w:footer="0" w:header="0"/>
        </w:sectPr>
      </w:pPr>
    </w:p>
    <w:bookmarkStart w:id="24" w:name="page25"/>
    <w:bookmarkEnd w:id="24"/>
    <w:p>
      <w:pPr>
        <w:ind w:right="60"/>
        <w:spacing w:after="0" w:line="270" w:lineRule="auto"/>
        <w:rPr>
          <w:sz w:val="20"/>
          <w:szCs w:val="20"/>
          <w:color w:val="auto"/>
        </w:rPr>
      </w:pPr>
      <w:r>
        <w:rPr>
          <w:rFonts w:ascii="Arial" w:cs="Arial" w:eastAsia="Arial" w:hAnsi="Arial"/>
          <w:sz w:val="17"/>
          <w:szCs w:val="17"/>
          <w:color w:val="auto"/>
        </w:rPr>
        <w:t>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70"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i w:val="1"/>
          <w:iCs w:val="1"/>
          <w:color w:val="auto"/>
        </w:rPr>
        <w:t>EFFECT OF ACCELERATION</w:t>
      </w:r>
      <w:r>
        <w:rPr>
          <w:rFonts w:ascii="Arial" w:cs="Arial" w:eastAsia="Arial" w:hAnsi="Arial"/>
          <w:sz w:val="16"/>
          <w:szCs w:val="16"/>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Section 7.2(c), the excess Options shall be deemed to be Nonstatutory Stock Options.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i w:val="1"/>
          <w:iCs w:val="1"/>
          <w:color w:val="auto"/>
        </w:rPr>
        <w:t>QUALIFIED PERFORMANCE-BASED AWARDS.</w:t>
      </w:r>
    </w:p>
    <w:p>
      <w:pPr>
        <w:spacing w:after="0" w:line="117" w:lineRule="exact"/>
        <w:rPr>
          <w:sz w:val="20"/>
          <w:szCs w:val="20"/>
          <w:color w:val="auto"/>
        </w:rPr>
      </w:pPr>
    </w:p>
    <w:p>
      <w:pPr>
        <w:ind w:left="360" w:right="80" w:firstLine="368"/>
        <w:spacing w:after="0" w:line="264"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80" w:hanging="35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granting any other Award, the Committee may designate such Award as a Qualified Performance-Based Award, based upon a</w:t>
      </w:r>
    </w:p>
    <w:p>
      <w:pPr>
        <w:spacing w:after="0" w:line="34" w:lineRule="exact"/>
        <w:rPr>
          <w:rFonts w:ascii="Arial" w:cs="Arial" w:eastAsia="Arial" w:hAnsi="Arial"/>
          <w:sz w:val="17"/>
          <w:szCs w:val="17"/>
          <w:color w:val="auto"/>
        </w:rPr>
      </w:pPr>
    </w:p>
    <w:p>
      <w:pPr>
        <w:ind w:left="360" w:right="20"/>
        <w:spacing w:after="0" w:line="253" w:lineRule="auto"/>
        <w:rPr>
          <w:rFonts w:ascii="Arial" w:cs="Arial" w:eastAsia="Arial" w:hAnsi="Arial"/>
          <w:sz w:val="17"/>
          <w:szCs w:val="17"/>
          <w:color w:val="auto"/>
        </w:rPr>
      </w:pPr>
      <w:r>
        <w:rPr>
          <w:rFonts w:ascii="Arial" w:cs="Arial" w:eastAsia="Arial" w:hAnsi="Arial"/>
          <w:sz w:val="18"/>
          <w:szCs w:val="18"/>
          <w:color w:val="auto"/>
        </w:rPr>
        <w:t>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83" w:lineRule="exact"/>
        <w:rPr>
          <w:sz w:val="20"/>
          <w:szCs w:val="20"/>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17" w:lineRule="exact"/>
        <w:rPr>
          <w:rFonts w:ascii="Arial" w:cs="Arial" w:eastAsia="Arial" w:hAnsi="Arial"/>
          <w:sz w:val="18"/>
          <w:szCs w:val="18"/>
          <w:color w:val="auto"/>
        </w:rPr>
      </w:pPr>
    </w:p>
    <w:p>
      <w:pPr>
        <w:ind w:left="900" w:right="380" w:hanging="172"/>
        <w:spacing w:after="0" w:line="277"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62"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117" w:lineRule="exact"/>
        <w:rPr>
          <w:rFonts w:ascii="Arial" w:cs="Arial" w:eastAsia="Arial" w:hAnsi="Arial"/>
          <w:sz w:val="18"/>
          <w:szCs w:val="18"/>
          <w:color w:val="auto"/>
        </w:rPr>
      </w:pPr>
    </w:p>
    <w:p>
      <w:pPr>
        <w:ind w:left="900" w:hanging="172"/>
        <w:spacing w:after="0" w:line="308" w:lineRule="auto"/>
        <w:tabs>
          <w:tab w:leader="none" w:pos="8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38" w:lineRule="exact"/>
        <w:rPr>
          <w:sz w:val="20"/>
          <w:szCs w:val="20"/>
          <w:color w:val="auto"/>
        </w:rPr>
      </w:pPr>
    </w:p>
    <w:p>
      <w:pPr>
        <w:ind w:left="360" w:firstLine="360"/>
        <w:spacing w:after="0" w:line="273" w:lineRule="auto"/>
        <w:rPr>
          <w:sz w:val="20"/>
          <w:szCs w:val="20"/>
          <w:color w:val="auto"/>
        </w:rPr>
      </w:pPr>
      <w:r>
        <w:rPr>
          <w:rFonts w:ascii="Arial" w:cs="Arial" w:eastAsia="Arial" w:hAnsi="Arial"/>
          <w:sz w:val="17"/>
          <w:szCs w:val="17"/>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firstLine="368"/>
        <w:spacing w:after="0" w:line="297" w:lineRule="auto"/>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w:t>
      </w:r>
    </w:p>
    <w:p>
      <w:pPr>
        <w:sectPr>
          <w:pgSz w:w="11900" w:h="16838" w:orient="portrait"/>
          <w:cols w:equalWidth="0" w:num="1">
            <w:col w:w="11400"/>
          </w:cols>
          <w:pgMar w:left="240" w:top="125" w:right="259" w:bottom="0" w:gutter="0" w:footer="0" w:header="0"/>
        </w:sectPr>
      </w:pPr>
    </w:p>
    <w:bookmarkStart w:id="25" w:name="page26"/>
    <w:bookmarkEnd w:id="25"/>
    <w:p>
      <w:pPr>
        <w:ind w:left="360" w:right="120"/>
        <w:spacing w:after="0" w:line="277" w:lineRule="auto"/>
        <w:rPr>
          <w:sz w:val="20"/>
          <w:szCs w:val="20"/>
          <w:color w:val="auto"/>
        </w:rPr>
      </w:pPr>
      <w:r>
        <w:rPr>
          <w:rFonts w:ascii="Arial" w:cs="Arial" w:eastAsia="Arial" w:hAnsi="Arial"/>
          <w:sz w:val="18"/>
          <w:szCs w:val="18"/>
          <w:color w:val="auto"/>
        </w:rPr>
        <w:t>Change in Control. Performance periods established by the Committee for any such Qualified Performance-Based Award may be as short as ninety (90) days and may be any longer period.</w:t>
      </w:r>
    </w:p>
    <w:p>
      <w:pPr>
        <w:spacing w:after="0" w:line="62" w:lineRule="exact"/>
        <w:rPr>
          <w:sz w:val="20"/>
          <w:szCs w:val="20"/>
          <w:color w:val="auto"/>
        </w:rPr>
      </w:pPr>
    </w:p>
    <w:p>
      <w:pPr>
        <w:ind w:left="360" w:right="80" w:firstLine="368"/>
        <w:spacing w:after="0" w:line="291" w:lineRule="auto"/>
        <w:tabs>
          <w:tab w:leader="none" w:pos="1065"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w:t>
      </w:r>
    </w:p>
    <w:p>
      <w:pPr>
        <w:jc w:val="both"/>
        <w:ind w:left="360" w:right="40" w:firstLine="8"/>
        <w:spacing w:after="0" w:line="281" w:lineRule="auto"/>
        <w:tabs>
          <w:tab w:leader="none" w:pos="6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w:t>
      </w:r>
    </w:p>
    <w:p>
      <w:pPr>
        <w:spacing w:after="0" w:line="2" w:lineRule="exact"/>
        <w:rPr>
          <w:rFonts w:ascii="Arial" w:cs="Arial" w:eastAsia="Arial" w:hAnsi="Arial"/>
          <w:sz w:val="16"/>
          <w:szCs w:val="16"/>
          <w:color w:val="auto"/>
        </w:rPr>
      </w:pPr>
    </w:p>
    <w:p>
      <w:pPr>
        <w:ind w:left="360" w:right="740" w:firstLine="8"/>
        <w:spacing w:after="0" w:line="323" w:lineRule="auto"/>
        <w:tabs>
          <w:tab w:leader="none" w:pos="5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30" w:lineRule="exact"/>
        <w:rPr>
          <w:rFonts w:ascii="Arial" w:cs="Arial" w:eastAsia="Arial" w:hAnsi="Arial"/>
          <w:sz w:val="16"/>
          <w:szCs w:val="16"/>
          <w:color w:val="auto"/>
        </w:rPr>
      </w:pPr>
    </w:p>
    <w:p>
      <w:pPr>
        <w:ind w:left="360" w:right="20" w:firstLine="368"/>
        <w:spacing w:after="0" w:line="269" w:lineRule="auto"/>
        <w:tabs>
          <w:tab w:leader="none" w:pos="11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74" w:lineRule="exact"/>
        <w:rPr>
          <w:rFonts w:ascii="Arial" w:cs="Arial" w:eastAsia="Arial" w:hAnsi="Arial"/>
          <w:sz w:val="17"/>
          <w:szCs w:val="17"/>
          <w:color w:val="auto"/>
        </w:rPr>
      </w:pPr>
    </w:p>
    <w:p>
      <w:pPr>
        <w:ind w:left="360" w:right="80" w:firstLine="368"/>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or dollar value that may be granted in any one-year period to a Participant in designated forms of Qualified Performance-Based Awards.</w:t>
      </w:r>
    </w:p>
    <w:p>
      <w:pPr>
        <w:spacing w:after="0" w:line="62" w:lineRule="exact"/>
        <w:rPr>
          <w:rFonts w:ascii="Arial" w:cs="Arial" w:eastAsia="Arial" w:hAnsi="Arial"/>
          <w:sz w:val="18"/>
          <w:szCs w:val="18"/>
          <w:color w:val="auto"/>
        </w:rPr>
      </w:pPr>
    </w:p>
    <w:p>
      <w:pPr>
        <w:ind w:left="360" w:right="40" w:firstLine="368"/>
        <w:spacing w:after="0" w:line="293" w:lineRule="auto"/>
        <w:tabs>
          <w:tab w:leader="none" w:pos="111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color w:val="auto"/>
        </w:rPr>
        <w:t>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62"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8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i w:val="1"/>
          <w:iCs w:val="1"/>
          <w:color w:val="auto"/>
        </w:rPr>
        <w:t>DEFERRAL</w:t>
      </w:r>
      <w:r>
        <w:rPr>
          <w:rFonts w:ascii="Arial" w:cs="Arial" w:eastAsia="Arial" w:hAnsi="Arial"/>
          <w:sz w:val="18"/>
          <w:szCs w:val="18"/>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w:t>
      </w:r>
    </w:p>
    <w:p>
      <w:pPr>
        <w:spacing w:after="0" w:line="80"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i w:val="1"/>
          <w:iCs w:val="1"/>
          <w:color w:val="auto"/>
        </w:rPr>
        <w:t>FORFEITURE EVENTS</w:t>
      </w:r>
      <w:r>
        <w:rPr>
          <w:rFonts w:ascii="Arial" w:cs="Arial" w:eastAsia="Arial" w:hAnsi="Arial"/>
          <w:sz w:val="17"/>
          <w:szCs w:val="17"/>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64"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i w:val="1"/>
          <w:iCs w:val="1"/>
          <w:color w:val="auto"/>
        </w:rPr>
        <w:t>SUBSTITUTE AWARDS</w:t>
      </w:r>
      <w:r>
        <w:rPr>
          <w:rFonts w:ascii="Arial" w:cs="Arial" w:eastAsia="Arial" w:hAnsi="Arial"/>
          <w:sz w:val="16"/>
          <w:szCs w:val="16"/>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CAPITAL STRUCTURE</w:t>
      </w:r>
    </w:p>
    <w:p>
      <w:pPr>
        <w:spacing w:after="0" w:line="21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GENERAL</w:t>
      </w:r>
      <w:r>
        <w:rPr>
          <w:rFonts w:ascii="Arial" w:cs="Arial" w:eastAsia="Arial" w:hAnsi="Arial"/>
          <w:sz w:val="16"/>
          <w:szCs w:val="16"/>
          <w:color w:val="auto"/>
        </w:rPr>
        <w:t>. In the event of a corporate event or transaction involving the Company (including, without limitation, any stock dividend, stock split, extraordinary cash dividend, recapitalization, reorganization, merger, consolidation, split-up, spin-off, combination or exchange of shares), the authorization limits under Section 5.1 and 5.4 shall be adjusted proportionately, and the Committee may adjust the Plan and Awards to preserve the benefits or potential benefits of the Awards. Action by the Committee may include: (i) adjustment of the number and kind of shares which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w:t>
      </w:r>
    </w:p>
    <w:p>
      <w:pPr>
        <w:sectPr>
          <w:pgSz w:w="11900" w:h="16838" w:orient="portrait"/>
          <w:cols w:equalWidth="0" w:num="1">
            <w:col w:w="11420"/>
          </w:cols>
          <w:pgMar w:left="240" w:top="125" w:right="239" w:bottom="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A-17</w:t>
      </w:r>
    </w:p>
    <w:p>
      <w:pPr>
        <w:sectPr>
          <w:pgSz w:w="11900" w:h="16838" w:orient="portrait"/>
          <w:cols w:equalWidth="0" w:num="1">
            <w:col w:w="11420"/>
          </w:cols>
          <w:pgMar w:left="240" w:top="125" w:right="239" w:bottom="0" w:gutter="0" w:footer="0" w:header="0"/>
          <w:type w:val="continuous"/>
        </w:sectPr>
      </w:pPr>
    </w:p>
    <w:bookmarkStart w:id="26" w:name="page27"/>
    <w:bookmarkEnd w:id="26"/>
    <w:p>
      <w:pPr>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equitable. In addition, t</w:t>
      </w:r>
      <w:r>
        <w:rPr>
          <w:rFonts w:ascii="Arial" w:cs="Arial" w:eastAsia="Arial" w:hAnsi="Arial"/>
          <w:sz w:val="16"/>
          <w:szCs w:val="16"/>
          <w:color w:val="auto"/>
        </w:rPr>
        <w:t>he Committee may, in its sole discretion, provide (i) that Awards will be settled in cash or other property rather than Stock, (ii) that</w:t>
      </w:r>
      <w:r>
        <w:rPr>
          <w:rFonts w:ascii="Arial" w:cs="Arial" w:eastAsia="Arial" w:hAnsi="Arial"/>
          <w:sz w:val="17"/>
          <w:szCs w:val="17"/>
          <w:color w:val="auto"/>
        </w:rPr>
        <w:t xml:space="preserve"> </w:t>
      </w:r>
      <w:r>
        <w:rPr>
          <w:rFonts w:ascii="Arial" w:cs="Arial" w:eastAsia="Arial" w:hAnsi="Arial"/>
          <w:sz w:val="16"/>
          <w:szCs w:val="16"/>
          <w:color w:val="auto"/>
        </w:rPr>
        <w:t>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i w:val="1"/>
          <w:iCs w:val="1"/>
          <w:color w:val="auto"/>
        </w:rPr>
        <w:t>AMENDMENT, MODIFICATION AND TERMINATION</w:t>
      </w:r>
      <w:r>
        <w:rPr>
          <w:rFonts w:ascii="Arial" w:cs="Arial" w:eastAsia="Arial" w:hAnsi="Arial"/>
          <w:sz w:val="17"/>
          <w:szCs w:val="17"/>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7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At any time and from time to time, the Committee may amend, modify or terminate any outstanding Award without approval of the Participant; provided, however:</w:t>
      </w:r>
    </w:p>
    <w:p>
      <w:pPr>
        <w:spacing w:after="0" w:line="62" w:lineRule="exact"/>
        <w:rPr>
          <w:sz w:val="20"/>
          <w:szCs w:val="20"/>
          <w:color w:val="auto"/>
        </w:rPr>
      </w:pPr>
    </w:p>
    <w:p>
      <w:pPr>
        <w:ind w:left="360" w:right="60" w:firstLine="368"/>
        <w:spacing w:after="0" w:line="279"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63" w:lineRule="exact"/>
        <w:rPr>
          <w:rFonts w:ascii="Arial" w:cs="Arial" w:eastAsia="Arial" w:hAnsi="Arial"/>
          <w:sz w:val="17"/>
          <w:szCs w:val="17"/>
          <w:color w:val="auto"/>
        </w:rPr>
      </w:pPr>
    </w:p>
    <w:p>
      <w:pPr>
        <w:ind w:left="1080" w:hanging="35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117" w:lineRule="exact"/>
        <w:rPr>
          <w:rFonts w:ascii="Arial" w:cs="Arial" w:eastAsia="Arial" w:hAnsi="Arial"/>
          <w:sz w:val="18"/>
          <w:szCs w:val="18"/>
          <w:color w:val="auto"/>
        </w:rPr>
      </w:pPr>
    </w:p>
    <w:p>
      <w:pPr>
        <w:ind w:left="360" w:right="600" w:firstLine="368"/>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firstLine="368"/>
        <w:spacing w:after="0" w:line="276" w:lineRule="auto"/>
        <w:tabs>
          <w:tab w:leader="none" w:pos="10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79"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No Award gives a Participant any of the rights of a stockholder of the Company unless and until Shares are in fact issued to such person in connection with such Award.</w:t>
      </w:r>
    </w:p>
    <w:p>
      <w:pPr>
        <w:spacing w:after="0" w:line="62"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i w:val="1"/>
          <w:iCs w:val="1"/>
          <w:color w:val="auto"/>
        </w:rPr>
        <w:t>WITHHOLDING</w:t>
      </w:r>
      <w:r>
        <w:rPr>
          <w:rFonts w:ascii="Arial" w:cs="Arial" w:eastAsia="Arial" w:hAnsi="Arial"/>
          <w:sz w:val="17"/>
          <w:szCs w:val="17"/>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75"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ectPr>
          <w:pgSz w:w="11900" w:h="16838" w:orient="portrait"/>
          <w:cols w:equalWidth="0" w:num="1">
            <w:col w:w="11400"/>
          </w:cols>
          <w:pgMar w:left="240" w:top="517" w:right="259" w:bottom="0" w:gutter="0" w:footer="0" w:header="0"/>
        </w:sectPr>
      </w:pPr>
    </w:p>
    <w:bookmarkStart w:id="27" w:name="page28"/>
    <w:bookmarkEnd w:id="27"/>
    <w:p>
      <w:pPr>
        <w:ind w:right="120" w:firstLine="360"/>
        <w:spacing w:after="0" w:line="286"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i w:val="1"/>
          <w:iCs w:val="1"/>
          <w:color w:val="auto"/>
        </w:rPr>
        <w:t>UNFUNDED STATUS OF AWARDS</w:t>
      </w:r>
      <w:r>
        <w:rPr>
          <w:rFonts w:ascii="Arial" w:cs="Arial" w:eastAsia="Arial" w:hAnsi="Arial"/>
          <w:sz w:val="17"/>
          <w:szCs w:val="17"/>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i w:val="1"/>
          <w:iCs w:val="1"/>
          <w:color w:val="auto"/>
        </w:rPr>
        <w:t>EXPENSES</w:t>
      </w:r>
      <w:r>
        <w:rPr>
          <w:rFonts w:ascii="Arial" w:cs="Arial" w:eastAsia="Arial" w:hAnsi="Arial"/>
          <w:sz w:val="18"/>
          <w:szCs w:val="18"/>
          <w:color w:val="auto"/>
        </w:rPr>
        <w:t>.  The expenses of administering the Plan shall be borne by the Company and its Affiliates.</w:t>
      </w:r>
    </w:p>
    <w:p>
      <w:pPr>
        <w:spacing w:after="0" w:line="117"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6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GOVERNMENT AND OTHER REGULATIONS.</w:t>
      </w:r>
    </w:p>
    <w:p>
      <w:pPr>
        <w:spacing w:after="0" w:line="117" w:lineRule="exact"/>
        <w:rPr>
          <w:sz w:val="20"/>
          <w:szCs w:val="20"/>
          <w:color w:val="auto"/>
        </w:rPr>
      </w:pPr>
    </w:p>
    <w:p>
      <w:pPr>
        <w:ind w:left="360" w:right="20" w:firstLine="368"/>
        <w:spacing w:after="0" w:line="257"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80" w:lineRule="exact"/>
        <w:rPr>
          <w:rFonts w:ascii="Arial" w:cs="Arial" w:eastAsia="Arial" w:hAnsi="Arial"/>
          <w:sz w:val="18"/>
          <w:szCs w:val="18"/>
          <w:color w:val="auto"/>
        </w:rPr>
      </w:pPr>
    </w:p>
    <w:p>
      <w:pPr>
        <w:ind w:left="360" w:right="60" w:firstLine="368"/>
        <w:spacing w:after="0" w:line="288" w:lineRule="auto"/>
        <w:tabs>
          <w:tab w:leader="none" w:pos="10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6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6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NO LIMITATIONS ON RIGHTS OF COMPANY</w:t>
      </w:r>
      <w:r>
        <w:rPr>
          <w:rFonts w:ascii="Arial" w:cs="Arial" w:eastAsia="Arial" w:hAnsi="Arial"/>
          <w:sz w:val="18"/>
          <w:szCs w:val="18"/>
          <w:color w:val="auto"/>
        </w:rPr>
        <w:t>. The grant of any Award shall not in any way affect the right or power of the Company to make adjustments, reclassification or changes in its capital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i w:val="1"/>
          <w:iCs w:val="1"/>
          <w:color w:val="auto"/>
        </w:rPr>
        <w:t>INDEMNIFICATION</w:t>
      </w:r>
      <w:r>
        <w:rPr>
          <w:rFonts w:ascii="Arial" w:cs="Arial" w:eastAsia="Arial" w:hAnsi="Arial"/>
          <w:sz w:val="17"/>
          <w:szCs w:val="17"/>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ectPr>
          <w:pgSz w:w="11900" w:h="16838" w:orient="portrait"/>
          <w:cols w:equalWidth="0" w:num="1">
            <w:col w:w="11420"/>
          </w:cols>
          <w:pgMar w:left="240" w:top="125" w:right="239" w:bottom="962"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62" w:gutter="0" w:footer="0" w:header="0"/>
          <w:type w:val="continuous"/>
        </w:sectPr>
      </w:pPr>
    </w:p>
    <w:bookmarkStart w:id="28" w:name="page29"/>
    <w:bookmarkEnd w:id="28"/>
    <w:p>
      <w:pPr>
        <w:jc w:val="center"/>
        <w:ind w:right="-59"/>
        <w:spacing w:after="0"/>
        <w:rPr>
          <w:sz w:val="20"/>
          <w:szCs w:val="20"/>
          <w:color w:val="auto"/>
        </w:rPr>
      </w:pPr>
      <w:r>
        <w:rPr>
          <w:rFonts w:ascii="Arial" w:cs="Arial" w:eastAsia="Arial" w:hAnsi="Arial"/>
          <w:sz w:val="36"/>
          <w:szCs w:val="36"/>
          <w:b w:val="1"/>
          <w:bCs w:val="1"/>
          <w:color w:val="auto"/>
        </w:rPr>
        <w:t>Directions to the</w:t>
      </w: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auto"/>
        </w:rPr>
        <w:t>2005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206375</wp:posOffset>
            </wp:positionV>
            <wp:extent cx="4913630" cy="3696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13630"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To be held at</w:t>
      </w:r>
    </w:p>
    <w:p>
      <w:pPr>
        <w:spacing w:after="0" w:line="41" w:lineRule="exact"/>
        <w:rPr>
          <w:sz w:val="20"/>
          <w:szCs w:val="20"/>
          <w:color w:val="auto"/>
        </w:rPr>
      </w:pPr>
    </w:p>
    <w:p>
      <w:pPr>
        <w:jc w:val="center"/>
        <w:ind w:left="280" w:right="2800"/>
        <w:spacing w:after="0" w:line="247" w:lineRule="auto"/>
        <w:rPr>
          <w:sz w:val="20"/>
          <w:szCs w:val="20"/>
          <w:color w:val="auto"/>
        </w:rPr>
      </w:pPr>
      <w:r>
        <w:rPr>
          <w:rFonts w:ascii="Arial" w:cs="Arial" w:eastAsia="Arial" w:hAnsi="Arial"/>
          <w:sz w:val="36"/>
          <w:szCs w:val="36"/>
          <w:b w:val="1"/>
          <w:bCs w:val="1"/>
          <w:color w:val="auto"/>
        </w:rPr>
        <w:t>Micron’s Headquarters 8000 S. Federal Way, Boise, ID Tuesday, December 6, 2005,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0</wp:posOffset>
            </wp:positionV>
            <wp:extent cx="82359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3595" cy="240030"/>
                    </a:xfrm>
                    <a:prstGeom prst="rect">
                      <a:avLst/>
                    </a:prstGeom>
                    <a:noFill/>
                  </pic:spPr>
                </pic:pic>
              </a:graphicData>
            </a:graphic>
          </wp:anchor>
        </w:drawing>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2005 ANNUAL MEETING OF SHAREHOLDERS</w:t>
      </w:r>
    </w:p>
    <w:p>
      <w:pPr>
        <w:jc w:val="center"/>
        <w:ind w:right="-59"/>
        <w:spacing w:after="0"/>
        <w:rPr>
          <w:sz w:val="20"/>
          <w:szCs w:val="20"/>
          <w:color w:val="auto"/>
        </w:rPr>
      </w:pPr>
      <w:r>
        <w:rPr>
          <w:rFonts w:ascii="Arial" w:cs="Arial" w:eastAsia="Arial" w:hAnsi="Arial"/>
          <w:sz w:val="14"/>
          <w:szCs w:val="14"/>
          <w:b w:val="1"/>
          <w:bCs w:val="1"/>
          <w:color w:val="auto"/>
        </w:rPr>
        <w:t>DECEMBER 6, 2005</w:t>
      </w:r>
    </w:p>
    <w:p>
      <w:pPr>
        <w:spacing w:after="0" w:line="30" w:lineRule="exact"/>
        <w:rPr>
          <w:sz w:val="20"/>
          <w:szCs w:val="20"/>
          <w:color w:val="auto"/>
        </w:rPr>
      </w:pPr>
    </w:p>
    <w:p>
      <w:pPr>
        <w:ind w:right="80" w:firstLine="360"/>
        <w:spacing w:after="0" w:line="249" w:lineRule="auto"/>
        <w:rPr>
          <w:sz w:val="20"/>
          <w:szCs w:val="20"/>
          <w:color w:val="auto"/>
        </w:rPr>
      </w:pPr>
      <w:r>
        <w:rPr>
          <w:rFonts w:ascii="Arial" w:cs="Arial" w:eastAsia="Arial" w:hAnsi="Arial"/>
          <w:sz w:val="12"/>
          <w:szCs w:val="12"/>
          <w:color w:val="auto"/>
        </w:rPr>
        <w:t xml:space="preserve">The undersigned shareholder(s) of Micron Technology, Inc., a Delaware corporation, hereby acknowledge(s) receipt of the Notice of 2005 Annual Meeting of Shareholders and Proxy Statement, each dated November 7, 2005, and hereby appoints Steven R. Appleton and W. G. Stover, Jr., and each of them, proxies and attorneys-in-fact, with full power to each of substitution, on behalf and in the name of the undersigned, to represent the undersigned at the 2005 Annual Meeting of Shareholders of Micron Technology, Inc., to be held December 6, 2005, at 9:00 a.m., Mountain Standard Time, at the </w:t>
      </w:r>
      <w:r>
        <w:rPr>
          <w:rFonts w:ascii="Arial" w:cs="Arial" w:eastAsia="Arial" w:hAnsi="Arial"/>
          <w:sz w:val="12"/>
          <w:szCs w:val="12"/>
          <w:b w:val="1"/>
          <w:bCs w:val="1"/>
          <w:color w:val="auto"/>
        </w:rPr>
        <w:t>Company’s</w:t>
      </w:r>
      <w:r>
        <w:rPr>
          <w:rFonts w:ascii="Arial" w:cs="Arial" w:eastAsia="Arial" w:hAnsi="Arial"/>
          <w:sz w:val="12"/>
          <w:szCs w:val="12"/>
          <w:color w:val="auto"/>
        </w:rPr>
        <w:t xml:space="preserve"> </w:t>
      </w:r>
      <w:r>
        <w:rPr>
          <w:rFonts w:ascii="Arial" w:cs="Arial" w:eastAsia="Arial" w:hAnsi="Arial"/>
          <w:sz w:val="12"/>
          <w:szCs w:val="12"/>
          <w:b w:val="1"/>
          <w:bCs w:val="1"/>
          <w:color w:val="auto"/>
        </w:rPr>
        <w:t>headquarters located at 8000 South Federal Way, Boise, Idaho 83716-9632</w:t>
      </w:r>
      <w:r>
        <w:rPr>
          <w:rFonts w:ascii="Arial" w:cs="Arial" w:eastAsia="Arial" w:hAnsi="Arial"/>
          <w:sz w:val="12"/>
          <w:szCs w:val="12"/>
          <w:color w:val="auto"/>
        </w:rPr>
        <w:t>, and at any adjournment or adjournments thereof, and to vote (including cumulatively, if required) all shares of Common Stock</w:t>
      </w:r>
      <w:r>
        <w:rPr>
          <w:rFonts w:ascii="Arial" w:cs="Arial" w:eastAsia="Arial" w:hAnsi="Arial"/>
          <w:sz w:val="12"/>
          <w:szCs w:val="12"/>
          <w:b w:val="1"/>
          <w:bCs w:val="1"/>
          <w:color w:val="auto"/>
        </w:rPr>
        <w:t xml:space="preserve"> </w:t>
      </w:r>
      <w:r>
        <w:rPr>
          <w:rFonts w:ascii="Arial" w:cs="Arial" w:eastAsia="Arial" w:hAnsi="Arial"/>
          <w:sz w:val="12"/>
          <w:szCs w:val="12"/>
          <w:color w:val="auto"/>
        </w:rPr>
        <w:t>which the undersigned would be entitled to vote if then and there personally present, on the matters set forth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2340" w:type="dxa"/>
            <w:vAlign w:val="bottom"/>
          </w:tcPr>
          <w:p>
            <w:pPr>
              <w:ind w:left="140"/>
              <w:spacing w:after="0"/>
              <w:rPr>
                <w:sz w:val="20"/>
                <w:szCs w:val="20"/>
                <w:color w:val="auto"/>
              </w:rPr>
            </w:pPr>
            <w:r>
              <w:rPr>
                <w:rFonts w:ascii="Arial" w:cs="Arial" w:eastAsia="Arial" w:hAnsi="Arial"/>
                <w:sz w:val="14"/>
                <w:szCs w:val="14"/>
                <w:color w:val="auto"/>
              </w:rPr>
              <w:t>ELECTION OF DIRECTORS</w:t>
            </w:r>
          </w:p>
        </w:tc>
        <w:tc>
          <w:tcPr>
            <w:tcW w:w="2800" w:type="dxa"/>
            <w:vAlign w:val="bottom"/>
          </w:tcPr>
          <w:p>
            <w:pPr>
              <w:ind w:left="560"/>
              <w:spacing w:after="0"/>
              <w:rPr>
                <w:sz w:val="20"/>
                <w:szCs w:val="20"/>
                <w:color w:val="auto"/>
              </w:rPr>
            </w:pPr>
            <w:r>
              <w:rPr>
                <w:rFonts w:ascii="Arial" w:cs="Arial" w:eastAsia="Arial" w:hAnsi="Arial"/>
                <w:sz w:val="14"/>
                <w:szCs w:val="14"/>
                <w:color w:val="auto"/>
              </w:rPr>
              <w:t>o   FOR nominees listed below</w:t>
            </w:r>
          </w:p>
        </w:tc>
        <w:tc>
          <w:tcPr>
            <w:tcW w:w="2740" w:type="dxa"/>
            <w:vAlign w:val="bottom"/>
          </w:tcPr>
          <w:p>
            <w:pPr>
              <w:ind w:left="440"/>
              <w:spacing w:after="0"/>
              <w:rPr>
                <w:sz w:val="20"/>
                <w:szCs w:val="20"/>
                <w:color w:val="auto"/>
              </w:rPr>
            </w:pPr>
            <w:r>
              <w:rPr>
                <w:rFonts w:ascii="Arial" w:cs="Arial" w:eastAsia="Arial" w:hAnsi="Arial"/>
                <w:sz w:val="14"/>
                <w:szCs w:val="14"/>
                <w:color w:val="auto"/>
                <w:w w:val="96"/>
              </w:rPr>
              <w:t>o   WITHHOLD authority to vote for all</w:t>
            </w:r>
          </w:p>
        </w:tc>
      </w:tr>
      <w:tr>
        <w:trPr>
          <w:trHeight w:val="172"/>
        </w:trPr>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0" w:type="dxa"/>
            <w:vAlign w:val="bottom"/>
          </w:tcPr>
          <w:p>
            <w:pPr>
              <w:ind w:left="840"/>
              <w:spacing w:after="0"/>
              <w:rPr>
                <w:sz w:val="20"/>
                <w:szCs w:val="20"/>
                <w:color w:val="auto"/>
              </w:rPr>
            </w:pPr>
            <w:r>
              <w:rPr>
                <w:rFonts w:ascii="Arial" w:cs="Arial" w:eastAsia="Arial" w:hAnsi="Arial"/>
                <w:sz w:val="14"/>
                <w:szCs w:val="14"/>
                <w:color w:val="auto"/>
              </w:rPr>
              <w:t>(except as indicated)</w:t>
            </w:r>
          </w:p>
        </w:tc>
        <w:tc>
          <w:tcPr>
            <w:tcW w:w="2740" w:type="dxa"/>
            <w:vAlign w:val="bottom"/>
          </w:tcPr>
          <w:p>
            <w:pPr>
              <w:ind w:left="720"/>
              <w:spacing w:after="0"/>
              <w:rPr>
                <w:sz w:val="20"/>
                <w:szCs w:val="20"/>
                <w:color w:val="auto"/>
              </w:rPr>
            </w:pPr>
            <w:r>
              <w:rPr>
                <w:rFonts w:ascii="Arial" w:cs="Arial" w:eastAsia="Arial" w:hAnsi="Arial"/>
                <w:sz w:val="14"/>
                <w:szCs w:val="14"/>
                <w:color w:val="auto"/>
              </w:rPr>
              <w:t>nominees listed below</w:t>
            </w:r>
          </w:p>
        </w:tc>
      </w:tr>
    </w:tbl>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If you wish to withhold authority to vote for any individual nominee, strike a line through that nominee’s name in the list below:</w:t>
      </w:r>
    </w:p>
    <w:p>
      <w:pPr>
        <w:ind w:left="360"/>
        <w:spacing w:after="0"/>
        <w:rPr>
          <w:sz w:val="20"/>
          <w:szCs w:val="20"/>
          <w:color w:val="auto"/>
        </w:rPr>
      </w:pPr>
      <w:r>
        <w:rPr>
          <w:rFonts w:ascii="Arial" w:cs="Arial" w:eastAsia="Arial" w:hAnsi="Arial"/>
          <w:sz w:val="14"/>
          <w:szCs w:val="14"/>
          <w:color w:val="auto"/>
        </w:rPr>
        <w:t>Steven R. Appleton; James W. Bagley; Mercedes Johnson; Robert A. Lothrop; Lawrence N. Mondry; Gordon C. Smith; William P. Weber</w:t>
      </w:r>
    </w:p>
    <w:p>
      <w:pPr>
        <w:spacing w:after="0" w:line="30" w:lineRule="exact"/>
        <w:rPr>
          <w:sz w:val="20"/>
          <w:szCs w:val="20"/>
          <w:color w:val="auto"/>
        </w:rPr>
      </w:pPr>
    </w:p>
    <w:p>
      <w:pPr>
        <w:ind w:left="360" w:hanging="352"/>
        <w:spacing w:after="0" w:line="229" w:lineRule="auto"/>
        <w:tabs>
          <w:tab w:leader="none" w:pos="304"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PROPOSAL BY THE COMPANY TO APPROVE AN AMENDMENT TO THE COMPANY’S 2004 EQUITY INCENTIVE PLAN INCREASING THE NUMBER OF SHARES OF COMMON STOCK RESERVED FOR ISSUANCE THEREUNDER BY 12,000,000</w:t>
      </w:r>
    </w:p>
    <w:p>
      <w:pPr>
        <w:spacing w:after="0" w:line="30" w:lineRule="exact"/>
        <w:rPr>
          <w:sz w:val="20"/>
          <w:szCs w:val="20"/>
          <w:color w:val="auto"/>
        </w:rPr>
      </w:pPr>
    </w:p>
    <w:p>
      <w:pPr>
        <w:ind w:left="3040"/>
        <w:spacing w:after="0"/>
        <w:tabs>
          <w:tab w:leader="none" w:pos="5340" w:val="left"/>
          <w:tab w:leader="none" w:pos="7240" w:val="left"/>
        </w:tabs>
        <w:rPr>
          <w:sz w:val="20"/>
          <w:szCs w:val="20"/>
          <w:color w:val="auto"/>
        </w:rPr>
      </w:pPr>
      <w:r>
        <w:rPr>
          <w:rFonts w:ascii="Arial" w:cs="Arial" w:eastAsia="Arial" w:hAnsi="Arial"/>
          <w:sz w:val="14"/>
          <w:szCs w:val="14"/>
          <w:color w:val="auto"/>
        </w:rPr>
        <w:t>o FOR</w:t>
      </w:r>
      <w:r>
        <w:rPr>
          <w:sz w:val="20"/>
          <w:szCs w:val="20"/>
          <w:color w:val="auto"/>
        </w:rPr>
        <w:tab/>
      </w:r>
      <w:r>
        <w:rPr>
          <w:rFonts w:ascii="Arial" w:cs="Arial" w:eastAsia="Arial" w:hAnsi="Arial"/>
          <w:sz w:val="14"/>
          <w:szCs w:val="14"/>
          <w:color w:val="auto"/>
        </w:rPr>
        <w:t>o AGAINST</w:t>
      </w:r>
      <w:r>
        <w:rPr>
          <w:sz w:val="20"/>
          <w:szCs w:val="20"/>
          <w:color w:val="auto"/>
        </w:rPr>
        <w:tab/>
      </w:r>
      <w:r>
        <w:rPr>
          <w:rFonts w:ascii="Arial" w:cs="Arial" w:eastAsia="Arial" w:hAnsi="Arial"/>
          <w:sz w:val="12"/>
          <w:szCs w:val="12"/>
          <w:color w:val="auto"/>
        </w:rPr>
        <w:t>o ABSTAIN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(continued from other side)</w:t>
      </w:r>
    </w:p>
    <w:p>
      <w:pPr>
        <w:spacing w:after="0" w:line="44" w:lineRule="exact"/>
        <w:rPr>
          <w:sz w:val="20"/>
          <w:szCs w:val="20"/>
          <w:color w:val="auto"/>
        </w:rPr>
      </w:pPr>
    </w:p>
    <w:p>
      <w:pPr>
        <w:ind w:left="360" w:right="180" w:hanging="352"/>
        <w:spacing w:after="0" w:line="229" w:lineRule="auto"/>
        <w:tabs>
          <w:tab w:leader="none" w:pos="304"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PROPOSAL BY THE COMPANY TO RATIFY THE APPOINTMENT OF PRICEWATERHOUSECOOPERS LLP AS THE COMPANY’S INDEPENDENT REGISTERED PUBLIC ACCOUNTING FIRM FOR THE FISCAL YEAR ENDING AUGUST 31, 2006</w:t>
      </w:r>
    </w:p>
    <w:p>
      <w:pPr>
        <w:spacing w:after="0" w:line="57" w:lineRule="exact"/>
        <w:rPr>
          <w:sz w:val="20"/>
          <w:szCs w:val="20"/>
          <w:color w:val="auto"/>
        </w:rPr>
      </w:pPr>
    </w:p>
    <w:p>
      <w:pPr>
        <w:ind w:left="3040"/>
        <w:spacing w:after="0"/>
        <w:tabs>
          <w:tab w:leader="none" w:pos="5340" w:val="left"/>
          <w:tab w:leader="none" w:pos="7240" w:val="left"/>
        </w:tabs>
        <w:rPr>
          <w:sz w:val="20"/>
          <w:szCs w:val="20"/>
          <w:color w:val="auto"/>
        </w:rPr>
      </w:pPr>
      <w:r>
        <w:rPr>
          <w:rFonts w:ascii="Arial" w:cs="Arial" w:eastAsia="Arial" w:hAnsi="Arial"/>
          <w:sz w:val="14"/>
          <w:szCs w:val="14"/>
          <w:color w:val="auto"/>
        </w:rPr>
        <w:t>o FOR</w:t>
      </w:r>
      <w:r>
        <w:rPr>
          <w:sz w:val="20"/>
          <w:szCs w:val="20"/>
          <w:color w:val="auto"/>
        </w:rPr>
        <w:tab/>
      </w:r>
      <w:r>
        <w:rPr>
          <w:rFonts w:ascii="Arial" w:cs="Arial" w:eastAsia="Arial" w:hAnsi="Arial"/>
          <w:sz w:val="14"/>
          <w:szCs w:val="14"/>
          <w:color w:val="auto"/>
        </w:rPr>
        <w:t>o AGAINST</w:t>
      </w:r>
      <w:r>
        <w:rPr>
          <w:sz w:val="20"/>
          <w:szCs w:val="20"/>
          <w:color w:val="auto"/>
        </w:rPr>
        <w:tab/>
      </w:r>
      <w:r>
        <w:rPr>
          <w:rFonts w:ascii="Arial" w:cs="Arial" w:eastAsia="Arial" w:hAnsi="Arial"/>
          <w:sz w:val="12"/>
          <w:szCs w:val="12"/>
          <w:color w:val="auto"/>
        </w:rPr>
        <w:t>o ABSTAIN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and in their discretion, upon such other matter or matters which may properly come before the meeting or any adjournment or adjournments thereof.</w:t>
      </w:r>
    </w:p>
    <w:p>
      <w:pPr>
        <w:spacing w:after="0" w:line="40" w:lineRule="exact"/>
        <w:rPr>
          <w:sz w:val="20"/>
          <w:szCs w:val="20"/>
          <w:color w:val="auto"/>
        </w:rPr>
      </w:pPr>
    </w:p>
    <w:p>
      <w:pPr>
        <w:jc w:val="both"/>
        <w:ind w:right="20" w:firstLine="360"/>
        <w:spacing w:after="0" w:line="220" w:lineRule="auto"/>
        <w:rPr>
          <w:sz w:val="20"/>
          <w:szCs w:val="20"/>
          <w:color w:val="auto"/>
        </w:rPr>
      </w:pPr>
      <w:r>
        <w:rPr>
          <w:rFonts w:ascii="Arial" w:cs="Arial" w:eastAsia="Arial" w:hAnsi="Arial"/>
          <w:sz w:val="14"/>
          <w:szCs w:val="14"/>
          <w:color w:val="auto"/>
        </w:rPr>
        <w:t xml:space="preserve">The shares represented by this proxy when properly executed will be voted in the manner directed herein by the undersigned shareholder(s). </w:t>
      </w:r>
      <w:r>
        <w:rPr>
          <w:rFonts w:ascii="Arial" w:cs="Arial" w:eastAsia="Arial" w:hAnsi="Arial"/>
          <w:sz w:val="14"/>
          <w:szCs w:val="14"/>
          <w:b w:val="1"/>
          <w:bCs w:val="1"/>
          <w:color w:val="auto"/>
        </w:rPr>
        <w:t>If no direction is made, this proxy will be voted FOR items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1, 2 and 3. </w:t>
      </w:r>
      <w:r>
        <w:rPr>
          <w:rFonts w:ascii="Arial" w:cs="Arial" w:eastAsia="Arial" w:hAnsi="Arial"/>
          <w:sz w:val="14"/>
          <w:szCs w:val="14"/>
          <w:color w:val="auto"/>
        </w:rPr>
        <w:t>If any other matters properly come before the meeting, or if cumulative voting is required, the persons named in this proxy will vote, in their discretion, provided that they will not vote in the election</w:t>
      </w:r>
      <w:r>
        <w:rPr>
          <w:rFonts w:ascii="Arial" w:cs="Arial" w:eastAsia="Arial" w:hAnsi="Arial"/>
          <w:sz w:val="14"/>
          <w:szCs w:val="14"/>
          <w:b w:val="1"/>
          <w:bCs w:val="1"/>
          <w:color w:val="auto"/>
        </w:rPr>
        <w:t xml:space="preserve"> </w:t>
      </w:r>
      <w:r>
        <w:rPr>
          <w:rFonts w:ascii="Arial" w:cs="Arial" w:eastAsia="Arial" w:hAnsi="Arial"/>
          <w:sz w:val="14"/>
          <w:szCs w:val="14"/>
          <w:color w:val="auto"/>
        </w:rPr>
        <w:t>of directors for persons for whom authority to vote has been withheld.</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238760</wp:posOffset>
            </wp:positionV>
            <wp:extent cx="27787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-635</wp:posOffset>
            </wp:positionV>
            <wp:extent cx="24872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59"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144780</wp:posOffset>
            </wp:positionV>
            <wp:extent cx="27787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Signature</w:t>
      </w:r>
    </w:p>
    <w:p>
      <w:pPr>
        <w:sectPr>
          <w:pgSz w:w="11900" w:h="16838" w:orient="portrait"/>
          <w:cols w:equalWidth="0" w:num="1">
            <w:col w:w="11380"/>
          </w:cols>
          <w:pgMar w:left="240" w:top="101" w:right="279" w:bottom="0" w:gutter="0" w:footer="0" w:header="0"/>
        </w:sectPr>
      </w:pPr>
    </w:p>
    <w:bookmarkStart w:id="29" w:name="page30"/>
    <w:bookmarkEnd w:id="29"/>
    <w:p>
      <w:pPr>
        <w:ind w:firstLine="360"/>
        <w:spacing w:after="0" w:line="228" w:lineRule="auto"/>
        <w:rPr>
          <w:sz w:val="20"/>
          <w:szCs w:val="20"/>
          <w:color w:val="auto"/>
        </w:rPr>
      </w:pPr>
      <w:r>
        <w:rPr>
          <w:rFonts w:ascii="Arial" w:cs="Arial" w:eastAsia="Arial" w:hAnsi="Arial"/>
          <w:sz w:val="14"/>
          <w:szCs w:val="14"/>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60"/>
      </w:cols>
      <w:pgMar w:left="240" w:top="11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7"/>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3"/>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lowerRoman"/>
      <w:start w:val="1"/>
    </w:lvl>
  </w:abstractNum>
  <w:abstractNum w:abstractNumId="14">
    <w:nsid w:val="737B8DDC"/>
    <w:multiLevelType w:val="hybridMultilevel"/>
    <w:lvl w:ilvl="0">
      <w:lvlJc w:val="left"/>
      <w:lvlText w:val="(%1)"/>
      <w:numFmt w:val="lowerRoman"/>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Roman"/>
      <w:start w:val="1"/>
    </w:lvl>
  </w:abstractNum>
  <w:abstractNum w:abstractNumId="20">
    <w:nsid w:val="419AC24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1">
    <w:nsid w:val="5577F8E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22">
    <w:nsid w:val="440BADFC"/>
    <w:multiLevelType w:val="hybridMultilevel"/>
    <w:lvl w:ilvl="0">
      <w:lvlJc w:val="left"/>
      <w:lvlText w:val="(%1)"/>
      <w:numFmt w:val="lowerLetter"/>
      <w:start w:val="6"/>
    </w:lvl>
    <w:lvl w:ilvl="1">
      <w:lvlJc w:val="left"/>
      <w:lvlText w:val="%2"/>
      <w:numFmt w:val="upperLetter"/>
      <w:start w:val="1"/>
    </w:lvl>
    <w:lvl w:ilvl="2">
      <w:lvlJc w:val="left"/>
      <w:lvlText w:val="%3"/>
      <w:numFmt w:val="lowerRoman"/>
      <w:start w:val="1"/>
    </w:lvl>
  </w:abstractNum>
  <w:abstractNum w:abstractNumId="23">
    <w:nsid w:val="5072367"/>
    <w:multiLevelType w:val="hybridMultilevel"/>
    <w:lvl w:ilvl="0">
      <w:lvlJc w:val="left"/>
      <w:lvlText w:val="(%1)"/>
      <w:numFmt w:val="lowerLetter"/>
      <w:start w:val="10"/>
    </w:lvl>
  </w:abstractNum>
  <w:abstractNum w:abstractNumId="24">
    <w:nsid w:val="3804823E"/>
    <w:multiLevelType w:val="hybridMultilevel"/>
    <w:lvl w:ilvl="0">
      <w:lvlJc w:val="left"/>
      <w:lvlText w:val="(%1)"/>
      <w:numFmt w:val="lowerLetter"/>
      <w:start w:val="18"/>
    </w:lvl>
  </w:abstractNum>
  <w:abstractNum w:abstractNumId="25">
    <w:nsid w:val="77465F01"/>
    <w:multiLevelType w:val="hybridMultilevel"/>
    <w:lvl w:ilvl="0">
      <w:lvlJc w:val="left"/>
      <w:lvlText w:val="(%1)"/>
      <w:numFmt w:val="lowerLetter"/>
      <w:start w:val="20"/>
    </w:lvl>
  </w:abstractNum>
  <w:abstractNum w:abstractNumId="26">
    <w:nsid w:val="7724C67E"/>
    <w:multiLevelType w:val="hybridMultilevel"/>
    <w:lvl w:ilvl="0">
      <w:lvlJc w:val="left"/>
      <w:lvlText w:val="%1"/>
      <w:numFmt w:val="decimal"/>
      <w:start w:val="1"/>
    </w:lvl>
    <w:lvl w:ilvl="1">
      <w:lvlJc w:val="left"/>
      <w:lvlText w:val="(%2)"/>
      <w:numFmt w:val="lowerLetter"/>
      <w:start w:val="27"/>
    </w:lvl>
  </w:abstractNum>
  <w:abstractNum w:abstractNumId="27">
    <w:nsid w:val="5C482A97"/>
    <w:multiLevelType w:val="hybridMultilevel"/>
    <w:lvl w:ilvl="0">
      <w:lvlJc w:val="left"/>
      <w:lvlText w:val="(%1)"/>
      <w:numFmt w:val="decimal"/>
      <w:start w:val="2"/>
    </w:lvl>
    <w:lvl w:ilvl="1">
      <w:lvlJc w:val="left"/>
      <w:lvlText w:val="(%2)"/>
      <w:numFmt w:val="lowerLetter"/>
      <w:start w:val="29"/>
    </w:lvl>
  </w:abstractNum>
  <w:abstractNum w:abstractNumId="28">
    <w:nsid w:val="2463B9EA"/>
    <w:multiLevelType w:val="hybridMultilevel"/>
    <w:lvl w:ilvl="0">
      <w:lvlJc w:val="left"/>
      <w:lvlText w:val="(%1)"/>
      <w:numFmt w:val="lowerLetter"/>
      <w:start w:val="35"/>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lvl w:ilvl="1">
      <w:lvlJc w:val="left"/>
      <w:lvlText w:val="(%2)"/>
      <w:numFmt w:val="decimal"/>
      <w:start w:val="1"/>
    </w:lvl>
  </w:abstractNum>
  <w:abstractNum w:abstractNumId="33">
    <w:nsid w:val="153EA438"/>
    <w:multiLevelType w:val="hybridMultilevel"/>
    <w:lvl w:ilvl="0">
      <w:lvlJc w:val="left"/>
      <w:lvlText w:val="(%1)"/>
      <w:numFmt w:val="lowerLetter"/>
      <w:start w:val="3"/>
    </w:lvl>
  </w:abstractNum>
  <w:abstractNum w:abstractNumId="34">
    <w:nsid w:val="3855585C"/>
    <w:multiLevelType w:val="hybridMultilevel"/>
    <w:lvl w:ilvl="0">
      <w:lvlJc w:val="left"/>
      <w:lvlText w:val="(%1)"/>
      <w:numFmt w:val="lowerLetter"/>
      <w:start w:val="1"/>
    </w:lvl>
    <w:lvl w:ilvl="1">
      <w:lvlJc w:val="left"/>
      <w:lvlText w:val="(%2)"/>
      <w:numFmt w:val="decimal"/>
      <w:start w:val="1"/>
    </w:lvl>
  </w:abstractNum>
  <w:abstractNum w:abstractNumId="35">
    <w:nsid w:val="70A64E2A"/>
    <w:multiLevelType w:val="hybridMultilevel"/>
    <w:lvl w:ilvl="0">
      <w:lvlJc w:val="left"/>
      <w:lvlText w:val="(%1)"/>
      <w:numFmt w:val="lowerRoman"/>
      <w:start w:val="2"/>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2"/>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lowerLetter"/>
      <w:start w:val="3"/>
    </w:lvl>
  </w:abstractNum>
  <w:abstractNum w:abstractNumId="40">
    <w:nsid w:val="2CD89A32"/>
    <w:multiLevelType w:val="hybridMultilevel"/>
    <w:lvl w:ilvl="0">
      <w:lvlJc w:val="left"/>
      <w:lvlText w:val="%1"/>
      <w:numFmt w:val="lowerLetter"/>
      <w:start w:val="1"/>
    </w:lvl>
    <w:lvl w:ilvl="1">
      <w:lvlJc w:val="left"/>
      <w:lvlText w:val="(%2)"/>
      <w:numFmt w:val="lowerLetter"/>
      <w:start w:val="4"/>
    </w:lvl>
  </w:abstractNum>
  <w:abstractNum w:abstractNumId="41">
    <w:nsid w:val="57E4CCAF"/>
    <w:multiLevelType w:val="hybridMultilevel"/>
    <w:lvl w:ilvl="0">
      <w:lvlJc w:val="left"/>
      <w:lvlText w:val="(%1)"/>
      <w:numFmt w:val="lowerLetter"/>
      <w:start w:val="3"/>
    </w:lvl>
    <w:lvl w:ilvl="1">
      <w:lvlJc w:val="left"/>
      <w:lvlText w:val="%2"/>
      <w:numFmt w:val="lowerLetter"/>
      <w:start w:val="1"/>
    </w:lvl>
  </w:abstractNum>
  <w:abstractNum w:abstractNumId="42">
    <w:nsid w:val="7A6D8D3C"/>
    <w:multiLevelType w:val="hybridMultilevel"/>
    <w:lvl w:ilvl="0">
      <w:lvlJc w:val="left"/>
      <w:lvlText w:val="(%1)"/>
      <w:numFmt w:val="lowerLetter"/>
      <w:start w:val="6"/>
    </w:lvl>
    <w:lvl w:ilvl="1">
      <w:lvlJc w:val="left"/>
      <w:lvlText w:val="(%2)"/>
      <w:numFmt w:val="lowerLetter"/>
      <w:start w:val="5"/>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4"/>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2"/>
    </w:lvl>
  </w:abstractNum>
  <w:abstractNum w:abstractNumId="47">
    <w:nsid w:val="7644A45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2019-12-13T13:17:08Z</dcterms:created>
  <dcterms:modified xsi:type="dcterms:W3CDTF">2019-12-13T13:17:08Z</dcterms:modified>
</cp:coreProperties>
</file>