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320"/>
            <w:col w:w="940" w:space="520"/>
            <w:col w:w="74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36,503,767</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36,503,767</w:t>
      </w:r>
    </w:p>
    <w:p>
      <w:pPr>
        <w:spacing w:after="0" w:line="11" w:lineRule="exact"/>
        <w:rPr>
          <w:rFonts w:ascii="Courier New" w:cs="Courier New" w:eastAsia="Courier New" w:hAnsi="Courier New"/>
          <w:sz w:val="18"/>
          <w:szCs w:val="18"/>
          <w:color w:val="auto"/>
        </w:rPr>
      </w:pPr>
    </w:p>
    <w:p>
      <w:pPr>
        <w:ind w:right="261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36,503,767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Page 3</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MICRON TECHNOLOGY, INC.  (the "Company")</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40" w:type="dxa"/>
            <w:vAlign w:val="bottom"/>
          </w:tcPr>
          <w:p>
            <w:pPr>
              <w:ind w:left="640"/>
              <w:spacing w:after="0"/>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640" w:type="dxa"/>
            <w:vAlign w:val="bottom"/>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PO</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Box 6</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Boise, ID 83707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Common</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5"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investment company under Section 3(c) (14) of the Investment Company Act of 1940(15 U.S.C 80a-3),</w:t>
      </w:r>
    </w:p>
    <w:p>
      <w:pPr>
        <w:spacing w:after="0"/>
        <w:rPr>
          <w:sz w:val="20"/>
          <w:szCs w:val="20"/>
          <w:color w:val="auto"/>
        </w:rPr>
      </w:pPr>
      <w:r>
        <w:rPr>
          <w:rFonts w:ascii="Courier New" w:cs="Courier New" w:eastAsia="Courier New" w:hAnsi="Courier New"/>
          <w:sz w:val="18"/>
          <w:szCs w:val="18"/>
          <w:color w:val="auto"/>
        </w:rPr>
        <w:t>(j) [ ] Group, in accordance with SS 240. 13d-1(b) (1) (ii) (J).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X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3" w:name="page4"/>
    <w:bookmarkEnd w:id="3"/>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(Channel Islands)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09,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(Channel Islands)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A to this Schedule 13G filed with the Securities and Exchange Commission by BlackRock, Inc.</w:t>
      </w:r>
    </w:p>
    <w:p>
      <w:pPr>
        <w:sectPr>
          <w:pgSz w:w="11900" w:h="16838" w:orient="portrait"/>
          <w:cols w:equalWidth="0" w:num="1">
            <w:col w:w="10219"/>
          </w:cols>
          <w:pgMar w:left="240" w:top="344" w:right="1440" w:bottom="3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lvl w:ilvl="1">
      <w:lvlJc w:val="left"/>
      <w:lvlText w:val="%2"/>
      <w:numFmt w:val="upp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2019-12-10T05:04:18Z</dcterms:created>
  <dcterms:modified xsi:type="dcterms:W3CDTF">2019-12-10T05:04:18Z</dcterms:modified>
</cp:coreProperties>
</file>