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479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SADLER MICHAEL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01/22/2013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VP, Corporate Development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ind w:left="600"/>
              <w:spacing w:after="0"/>
              <w:rPr>
                <w:sz w:val="20"/>
                <w:szCs w:val="20"/>
                <w:color w:val="auto"/>
              </w:rPr>
            </w:pPr>
            <w:r>
              <w:rPr>
                <w:rFonts w:ascii="Arial" w:cs="Arial" w:eastAsia="Arial" w:hAnsi="Arial"/>
                <w:sz w:val="18"/>
                <w:szCs w:val="18"/>
                <w:color w:val="0000FF"/>
              </w:rPr>
              <w:t>302,919</w:t>
            </w:r>
          </w:p>
        </w:tc>
        <w:tc>
          <w:tcPr>
            <w:tcW w:w="1160" w:type="dxa"/>
            <w:vAlign w:val="bottom"/>
          </w:tcPr>
          <w:p>
            <w:pPr>
              <w:ind w:left="90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90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20" w:type="dxa"/>
            <w:vAlign w:val="bottom"/>
          </w:tcPr>
          <w:p>
            <w:pPr>
              <w:spacing w:after="0"/>
              <w:rPr>
                <w:sz w:val="12"/>
                <w:szCs w:val="12"/>
                <w:color w:val="auto"/>
              </w:rPr>
            </w:pPr>
          </w:p>
        </w:tc>
        <w:tc>
          <w:tcPr>
            <w:tcW w:w="11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09/23/2004</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09/23/2013</w:t>
            </w:r>
          </w:p>
        </w:tc>
        <w:tc>
          <w:tcPr>
            <w:tcW w:w="162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w w:val="95"/>
              </w:rPr>
              <w:t>125,000</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14.35</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03/29/2005</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03/29/2014</w:t>
            </w:r>
          </w:p>
        </w:tc>
        <w:tc>
          <w:tcPr>
            <w:tcW w:w="162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w w:val="95"/>
              </w:rPr>
              <w:t>125,000</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15.91</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10/03/2009</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10/03/2014</w:t>
            </w:r>
          </w:p>
        </w:tc>
        <w:tc>
          <w:tcPr>
            <w:tcW w:w="162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w w:val="95"/>
              </w:rPr>
              <w:t>189,500</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4.48</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10/05/2010</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10/05/2015</w:t>
            </w:r>
          </w:p>
        </w:tc>
        <w:tc>
          <w:tcPr>
            <w:tcW w:w="162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w w:val="95"/>
              </w:rPr>
              <w:t>189,000</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7.46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10/11/2011</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10/11/2016</w:t>
            </w:r>
          </w:p>
        </w:tc>
        <w:tc>
          <w:tcPr>
            <w:tcW w:w="162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w w:val="95"/>
              </w:rPr>
              <w:t>104,000</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7.59</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10/11/2012</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10/11/2017</w:t>
            </w:r>
          </w:p>
        </w:tc>
        <w:tc>
          <w:tcPr>
            <w:tcW w:w="162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w w:val="95"/>
              </w:rPr>
              <w:t>138,000</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5.16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Arial" w:cs="Arial" w:eastAsia="Arial" w:hAnsi="Arial"/>
                <w:sz w:val="14"/>
                <w:szCs w:val="14"/>
                <w:color w:val="0000FF"/>
                <w:w w:val="90"/>
              </w:rPr>
              <w:t>10/16/2013</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10/16/2018</w:t>
            </w:r>
          </w:p>
        </w:tc>
        <w:tc>
          <w:tcPr>
            <w:tcW w:w="162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w w:val="95"/>
              </w:rPr>
              <w:t>101,000</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5.72</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5"/>
          </w:tcPr>
          <w:p>
            <w:pPr>
              <w:ind w:left="20"/>
              <w:spacing w:after="0"/>
              <w:rPr>
                <w:sz w:val="20"/>
                <w:szCs w:val="20"/>
                <w:color w:val="auto"/>
              </w:rPr>
            </w:pPr>
            <w:r>
              <w:rPr>
                <w:rFonts w:ascii="Arial" w:cs="Arial" w:eastAsia="Arial" w:hAnsi="Arial"/>
                <w:sz w:val="14"/>
                <w:szCs w:val="14"/>
                <w:color w:val="008000"/>
              </w:rPr>
              <w:t>1. Non-Statutory Stock Options vest in 25% increments annually on the anniversary date of the grant.</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w w:val="92"/>
              </w:rPr>
              <w:t>Katie Reid, Attorney-in-fact</w:t>
            </w:r>
          </w:p>
        </w:tc>
        <w:tc>
          <w:tcPr>
            <w:tcW w:w="60" w:type="dxa"/>
            <w:vAlign w:val="bottom"/>
          </w:tcPr>
          <w:p>
            <w:pPr>
              <w:spacing w:after="0"/>
              <w:rPr>
                <w:sz w:val="24"/>
                <w:szCs w:val="24"/>
                <w:color w:val="auto"/>
              </w:rPr>
            </w:pPr>
          </w:p>
        </w:tc>
        <w:tc>
          <w:tcPr>
            <w:tcW w:w="2480" w:type="dxa"/>
            <w:vAlign w:val="bottom"/>
            <w:gridSpan w:val="4"/>
          </w:tcPr>
          <w:p>
            <w:pPr>
              <w:ind w:left="240"/>
              <w:spacing w:after="0"/>
              <w:rPr>
                <w:sz w:val="20"/>
                <w:szCs w:val="20"/>
                <w:color w:val="auto"/>
              </w:rPr>
            </w:pPr>
            <w:r>
              <w:rPr>
                <w:rFonts w:ascii="Arial" w:cs="Arial" w:eastAsia="Arial" w:hAnsi="Arial"/>
                <w:sz w:val="18"/>
                <w:szCs w:val="18"/>
                <w:color w:val="0000FF"/>
              </w:rPr>
              <w:t>02/01/2013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w w:val="97"/>
              </w:rPr>
              <w:t>** Signature of Reporting Person</w:t>
            </w:r>
          </w:p>
        </w:tc>
        <w:tc>
          <w:tcPr>
            <w:tcW w:w="60" w:type="dxa"/>
            <w:vAlign w:val="bottom"/>
          </w:tcPr>
          <w:p>
            <w:pPr>
              <w:spacing w:after="0"/>
              <w:rPr>
                <w:sz w:val="20"/>
                <w:szCs w:val="20"/>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5"/>
          </w:tcPr>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4"/>
          </w:tcPr>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Compensation, Equity and Payroll Manager, Katie Reid; Compensation and Equity Supervisor, Robert Case and General Counsel, Rod Lewis,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right="2099"/>
        <w:spacing w:after="0" w:line="540" w:lineRule="auto"/>
        <w:rPr>
          <w:sz w:val="20"/>
          <w:szCs w:val="20"/>
          <w:color w:val="auto"/>
        </w:rPr>
      </w:pPr>
      <w:r>
        <w:rPr>
          <w:rFonts w:ascii="Courier New" w:cs="Courier New" w:eastAsia="Courier New" w:hAnsi="Courier New"/>
          <w:sz w:val="16"/>
          <w:szCs w:val="16"/>
          <w:color w:val="auto"/>
        </w:rPr>
        <w:t>1.complete and execute Forms 4 and 5 and other forms, and all amendments thereto, as such attorney-in-fact shall in his or her discretion determine to be required or advisable pursuant to Section 16 of the Securities Exchange Act of 1934 as amendedand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5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2419"/>
        <w:spacing w:after="0" w:line="53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orcause to be done by virtue hereof. The undersigned acknowledges that the foregoing attorneysinfact,in serving in such capacity at the request of the undersigned, are not assuming, nor is</w:t>
      </w:r>
    </w:p>
    <w:p>
      <w:pPr>
        <w:spacing w:after="0" w:line="1" w:lineRule="exact"/>
        <w:rPr>
          <w:sz w:val="20"/>
          <w:szCs w:val="20"/>
          <w:color w:val="auto"/>
        </w:rPr>
      </w:pPr>
    </w:p>
    <w:p>
      <w:pPr>
        <w:ind w:right="3359"/>
        <w:spacing w:after="0" w:line="473"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283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right="3779"/>
        <w:spacing w:after="0" w:line="558"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22nd day of January, 2013.</w:t>
      </w:r>
    </w:p>
    <w:p>
      <w:pPr>
        <w:spacing w:after="0" w:line="36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Michael W. Sadler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Michael W. Sadler</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2363"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2019-12-16T04:16:22Z</dcterms:created>
  <dcterms:modified xsi:type="dcterms:W3CDTF">2019-12-16T04:16:22Z</dcterms:modified>
</cp:coreProperties>
</file>