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732155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FORM 10-Q</w:t>
      </w:r>
    </w:p>
    <w:p>
      <w:pPr>
        <w:spacing w:after="0" w:line="50"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1700" w:hanging="936"/>
        <w:spacing w:after="0"/>
        <w:tabs>
          <w:tab w:leader="none" w:pos="17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1700" w:hanging="936"/>
        <w:spacing w:after="0"/>
        <w:tabs>
          <w:tab w:leader="none" w:pos="17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20"/>
          </w:cols>
          <w:pgMar w:left="320" w:top="1237" w:right="359" w:bottom="1440" w:gutter="0" w:footer="0" w:header="0"/>
        </w:sectPr>
      </w:pPr>
    </w:p>
    <w:p>
      <w:pPr>
        <w:spacing w:after="0" w:line="142" w:lineRule="exact"/>
        <w:rPr>
          <w:sz w:val="24"/>
          <w:szCs w:val="24"/>
          <w:color w:val="auto"/>
        </w:rPr>
      </w:pPr>
    </w:p>
    <w:p>
      <w:pPr>
        <w:ind w:left="39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17" w:lineRule="exact"/>
        <w:rPr>
          <w:sz w:val="24"/>
          <w:szCs w:val="24"/>
          <w:color w:val="auto"/>
        </w:rPr>
      </w:pPr>
    </w:p>
    <w:p>
      <w:pPr>
        <w:sectPr>
          <w:pgSz w:w="11900" w:h="16838" w:orient="portrait"/>
          <w:cols w:equalWidth="0" w:num="2">
            <w:col w:w="6500" w:space="600"/>
            <w:col w:w="4120"/>
          </w:cols>
          <w:pgMar w:left="320" w:top="1237" w:right="3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61595</wp:posOffset>
            </wp:positionV>
            <wp:extent cx="152590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411480"/>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1" w:lineRule="exact"/>
        <w:rPr>
          <w:sz w:val="24"/>
          <w:szCs w:val="24"/>
          <w:color w:val="auto"/>
        </w:rPr>
      </w:pPr>
    </w:p>
    <w:tbl>
      <w:tblPr>
        <w:tblLayout w:type="fixed"/>
        <w:tblInd w:w="120" w:type="dxa"/>
        <w:tblCellMar>
          <w:top w:w="0" w:type="dxa"/>
          <w:left w:w="0" w:type="dxa"/>
          <w:bottom w:w="0" w:type="dxa"/>
          <w:right w:w="0" w:type="dxa"/>
        </w:tblCellMar>
      </w:tblPr>
      <w:tr>
        <w:trPr>
          <w:trHeight w:val="239"/>
        </w:trPr>
        <w:tc>
          <w:tcPr>
            <w:tcW w:w="6060" w:type="dxa"/>
            <w:vAlign w:val="bottom"/>
          </w:tcPr>
          <w:p>
            <w:pPr>
              <w:jc w:val="center"/>
              <w:ind w:right="1330"/>
              <w:spacing w:after="0"/>
              <w:rPr>
                <w:sz w:val="20"/>
                <w:szCs w:val="20"/>
                <w:color w:val="auto"/>
              </w:rPr>
            </w:pPr>
            <w:r>
              <w:rPr>
                <w:rFonts w:ascii="Arial" w:cs="Arial" w:eastAsia="Arial" w:hAnsi="Arial"/>
                <w:sz w:val="18"/>
                <w:szCs w:val="18"/>
                <w:b w:val="1"/>
                <w:bCs w:val="1"/>
                <w:color w:val="auto"/>
              </w:rPr>
              <w:t>Delaware</w:t>
            </w:r>
          </w:p>
        </w:tc>
        <w:tc>
          <w:tcPr>
            <w:tcW w:w="402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75-1618004</w:t>
            </w:r>
          </w:p>
        </w:tc>
      </w:tr>
      <w:tr>
        <w:trPr>
          <w:trHeight w:val="257"/>
        </w:trPr>
        <w:tc>
          <w:tcPr>
            <w:tcW w:w="6060" w:type="dxa"/>
            <w:vAlign w:val="bottom"/>
          </w:tcPr>
          <w:p>
            <w:pPr>
              <w:jc w:val="center"/>
              <w:ind w:right="1330"/>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4020" w:type="dxa"/>
            <w:vAlign w:val="bottom"/>
          </w:tcPr>
          <w:p>
            <w:pPr>
              <w:jc w:val="center"/>
              <w:ind w:left="1310"/>
              <w:spacing w:after="0"/>
              <w:rPr>
                <w:sz w:val="20"/>
                <w:szCs w:val="20"/>
                <w:color w:val="auto"/>
              </w:rPr>
            </w:pPr>
            <w:r>
              <w:rPr>
                <w:rFonts w:ascii="Arial" w:cs="Arial" w:eastAsia="Arial" w:hAnsi="Arial"/>
                <w:sz w:val="18"/>
                <w:szCs w:val="18"/>
                <w:color w:val="auto"/>
                <w:w w:val="99"/>
              </w:rPr>
              <w:t>(IRS Employer Identification No.)</w:t>
            </w:r>
          </w:p>
        </w:tc>
      </w:tr>
      <w:tr>
        <w:trPr>
          <w:trHeight w:val="243"/>
        </w:trPr>
        <w:tc>
          <w:tcPr>
            <w:tcW w:w="6060" w:type="dxa"/>
            <w:vAlign w:val="bottom"/>
          </w:tcPr>
          <w:p>
            <w:pPr>
              <w:jc w:val="center"/>
              <w:ind w:right="1330"/>
              <w:spacing w:after="0"/>
              <w:rPr>
                <w:sz w:val="20"/>
                <w:szCs w:val="20"/>
                <w:color w:val="auto"/>
              </w:rPr>
            </w:pPr>
            <w:r>
              <w:rPr>
                <w:rFonts w:ascii="Arial" w:cs="Arial" w:eastAsia="Arial" w:hAnsi="Arial"/>
                <w:sz w:val="18"/>
                <w:szCs w:val="18"/>
                <w:b w:val="1"/>
                <w:bCs w:val="1"/>
                <w:color w:val="auto"/>
                <w:w w:val="99"/>
              </w:rPr>
              <w:t>8000 S. Federal Way, Boise, Idaho</w:t>
            </w:r>
          </w:p>
        </w:tc>
        <w:tc>
          <w:tcPr>
            <w:tcW w:w="402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83716-9632</w:t>
            </w:r>
          </w:p>
        </w:tc>
      </w:tr>
      <w:tr>
        <w:trPr>
          <w:trHeight w:val="243"/>
        </w:trPr>
        <w:tc>
          <w:tcPr>
            <w:tcW w:w="6060" w:type="dxa"/>
            <w:vAlign w:val="bottom"/>
          </w:tcPr>
          <w:p>
            <w:pPr>
              <w:jc w:val="center"/>
              <w:ind w:right="1330"/>
              <w:spacing w:after="0"/>
              <w:rPr>
                <w:sz w:val="20"/>
                <w:szCs w:val="20"/>
                <w:color w:val="auto"/>
              </w:rPr>
            </w:pPr>
            <w:r>
              <w:rPr>
                <w:rFonts w:ascii="Arial" w:cs="Arial" w:eastAsia="Arial" w:hAnsi="Arial"/>
                <w:sz w:val="18"/>
                <w:szCs w:val="18"/>
                <w:color w:val="auto"/>
                <w:w w:val="99"/>
              </w:rPr>
              <w:t>(Address of principal executive offices)</w:t>
            </w:r>
          </w:p>
        </w:tc>
        <w:tc>
          <w:tcPr>
            <w:tcW w:w="4020" w:type="dxa"/>
            <w:vAlign w:val="bottom"/>
          </w:tcPr>
          <w:p>
            <w:pPr>
              <w:jc w:val="center"/>
              <w:ind w:left="1330"/>
              <w:spacing w:after="0"/>
              <w:rPr>
                <w:sz w:val="20"/>
                <w:szCs w:val="20"/>
                <w:color w:val="auto"/>
              </w:rPr>
            </w:pPr>
            <w:r>
              <w:rPr>
                <w:rFonts w:ascii="Arial" w:cs="Arial" w:eastAsia="Arial" w:hAnsi="Arial"/>
                <w:sz w:val="18"/>
                <w:szCs w:val="18"/>
                <w:color w:val="auto"/>
                <w:w w:val="98"/>
              </w:rPr>
              <w:t>(Zip Code)</w:t>
            </w:r>
          </w:p>
        </w:tc>
      </w:tr>
      <w:tr>
        <w:trPr>
          <w:trHeight w:val="256"/>
        </w:trPr>
        <w:tc>
          <w:tcPr>
            <w:tcW w:w="6060" w:type="dxa"/>
            <w:vAlign w:val="bottom"/>
          </w:tcPr>
          <w:p>
            <w:pPr>
              <w:jc w:val="center"/>
              <w:ind w:right="1310"/>
              <w:spacing w:after="0"/>
              <w:rPr>
                <w:sz w:val="20"/>
                <w:szCs w:val="20"/>
                <w:color w:val="auto"/>
              </w:rPr>
            </w:pPr>
            <w:r>
              <w:rPr>
                <w:rFonts w:ascii="Arial" w:cs="Arial" w:eastAsia="Arial" w:hAnsi="Arial"/>
                <w:sz w:val="18"/>
                <w:szCs w:val="18"/>
                <w:color w:val="auto"/>
                <w:w w:val="99"/>
              </w:rPr>
              <w:t>Registrant’s telephone number, including area code</w:t>
            </w:r>
          </w:p>
        </w:tc>
        <w:tc>
          <w:tcPr>
            <w:tcW w:w="4020" w:type="dxa"/>
            <w:vAlign w:val="bottom"/>
          </w:tcPr>
          <w:p>
            <w:pPr>
              <w:jc w:val="center"/>
              <w:ind w:left="1330"/>
              <w:spacing w:after="0"/>
              <w:rPr>
                <w:sz w:val="20"/>
                <w:szCs w:val="20"/>
                <w:color w:val="auto"/>
              </w:rPr>
            </w:pPr>
            <w:r>
              <w:rPr>
                <w:rFonts w:ascii="Arial" w:cs="Arial" w:eastAsia="Arial" w:hAnsi="Arial"/>
                <w:sz w:val="18"/>
                <w:szCs w:val="18"/>
                <w:b w:val="1"/>
                <w:bCs w:val="1"/>
                <w:color w:val="auto"/>
              </w:rPr>
              <w:t>(208) 368-4000</w:t>
            </w:r>
          </w:p>
        </w:tc>
      </w:tr>
    </w:tbl>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 w:lineRule="exact"/>
        <w:rPr>
          <w:sz w:val="24"/>
          <w:szCs w:val="24"/>
          <w:color w:val="auto"/>
        </w:rPr>
      </w:pPr>
    </w:p>
    <w:tbl>
      <w:tblPr>
        <w:tblLayout w:type="fixed"/>
        <w:tblInd w:w="2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1"/>
                <w:szCs w:val="21"/>
                <w:color w:val="auto"/>
              </w:rPr>
            </w:pPr>
          </w:p>
        </w:tc>
        <w:tc>
          <w:tcPr>
            <w:tcW w:w="4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Common Stock, par value $0.10 per share</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MU</w:t>
            </w:r>
          </w:p>
        </w:tc>
        <w:tc>
          <w:tcPr>
            <w:tcW w:w="382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Nasdaq Global Select Market</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500" w:type="dxa"/>
            <w:vAlign w:val="bottom"/>
            <w:gridSpan w:val="5"/>
          </w:tcPr>
          <w:p>
            <w:pPr>
              <w:ind w:left="304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520" w:type="dxa"/>
            <w:vAlign w:val="bottom"/>
            <w:gridSpan w:val="6"/>
          </w:tcPr>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w:t>
            </w:r>
          </w:p>
        </w:tc>
        <w:tc>
          <w:tcPr>
            <w:tcW w:w="8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8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9520" w:type="dxa"/>
            <w:vAlign w:val="bottom"/>
            <w:gridSpan w:val="6"/>
          </w:tcPr>
          <w:p>
            <w:pPr>
              <w:spacing w:after="0" w:line="202" w:lineRule="exact"/>
              <w:rPr>
                <w:sz w:val="20"/>
                <w:szCs w:val="20"/>
                <w:color w:val="auto"/>
              </w:rPr>
            </w:pPr>
            <w:r>
              <w:rPr>
                <w:rFonts w:ascii="Arial" w:cs="Arial" w:eastAsia="Arial" w:hAnsi="Arial"/>
                <w:sz w:val="18"/>
                <w:szCs w:val="18"/>
                <w:color w:val="auto"/>
              </w:rPr>
              <w:t>Securities Exchange Act of 1934 during the preceding 12 months (or for such shorter period that the registrant was</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520" w:type="dxa"/>
            <w:vAlign w:val="bottom"/>
            <w:gridSpan w:val="6"/>
          </w:tcPr>
          <w:p>
            <w:pPr>
              <w:spacing w:after="0"/>
              <w:rPr>
                <w:sz w:val="20"/>
                <w:szCs w:val="20"/>
                <w:color w:val="auto"/>
              </w:rPr>
            </w:pPr>
            <w:r>
              <w:rPr>
                <w:rFonts w:ascii="Arial" w:cs="Arial" w:eastAsia="Arial" w:hAnsi="Arial"/>
                <w:sz w:val="18"/>
                <w:szCs w:val="18"/>
                <w:color w:val="auto"/>
              </w:rPr>
              <w:t>required to file such reports), and (2) has been subject to such filing requirements for the past 90 days.</w:t>
            </w:r>
          </w:p>
        </w:tc>
        <w:tc>
          <w:tcPr>
            <w:tcW w:w="86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82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2"/>
        </w:trPr>
        <w:tc>
          <w:tcPr>
            <w:tcW w:w="9520" w:type="dxa"/>
            <w:vAlign w:val="bottom"/>
            <w:gridSpan w:val="6"/>
          </w:tcPr>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w:t>
            </w:r>
          </w:p>
        </w:tc>
        <w:tc>
          <w:tcPr>
            <w:tcW w:w="86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520" w:type="dxa"/>
            <w:vAlign w:val="bottom"/>
            <w:gridSpan w:val="6"/>
          </w:tcPr>
          <w:p>
            <w:pPr>
              <w:spacing w:after="0" w:line="202" w:lineRule="exact"/>
              <w:rPr>
                <w:sz w:val="20"/>
                <w:szCs w:val="20"/>
                <w:color w:val="auto"/>
              </w:rPr>
            </w:pPr>
            <w:r>
              <w:rPr>
                <w:rFonts w:ascii="Arial" w:cs="Arial" w:eastAsia="Arial" w:hAnsi="Arial"/>
                <w:sz w:val="18"/>
                <w:szCs w:val="18"/>
                <w:color w:val="auto"/>
              </w:rPr>
              <w:t>submitted pursuant to Rule 405 of Regulation S-T (§ 232.405 of this chapter) during the preceding 12 months (or for</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560" w:type="dxa"/>
            <w:vAlign w:val="bottom"/>
            <w:gridSpan w:val="5"/>
          </w:tcPr>
          <w:p>
            <w:pPr>
              <w:spacing w:after="0"/>
              <w:rPr>
                <w:sz w:val="20"/>
                <w:szCs w:val="20"/>
                <w:color w:val="auto"/>
              </w:rPr>
            </w:pPr>
            <w:r>
              <w:rPr>
                <w:rFonts w:ascii="Arial" w:cs="Arial" w:eastAsia="Arial" w:hAnsi="Arial"/>
                <w:sz w:val="18"/>
                <w:szCs w:val="18"/>
                <w:color w:val="auto"/>
              </w:rPr>
              <w:t>such shorter period that the registrant was required to submit such files).</w:t>
            </w:r>
          </w:p>
        </w:tc>
        <w:tc>
          <w:tcPr>
            <w:tcW w:w="2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20" w:right="30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194"/>
        </w:trPr>
        <w:tc>
          <w:tcPr>
            <w:tcW w:w="2360" w:type="dxa"/>
            <w:vAlign w:val="bottom"/>
          </w:tcPr>
          <w:p>
            <w:pPr>
              <w:jc w:val="center"/>
              <w:ind w:right="32"/>
              <w:spacing w:after="0"/>
              <w:rPr>
                <w:sz w:val="20"/>
                <w:szCs w:val="20"/>
                <w:color w:val="auto"/>
              </w:rPr>
            </w:pPr>
            <w:r>
              <w:rPr>
                <w:rFonts w:ascii="Arial" w:cs="Arial" w:eastAsia="Arial" w:hAnsi="Arial"/>
                <w:sz w:val="16"/>
                <w:szCs w:val="16"/>
                <w:color w:val="auto"/>
              </w:rPr>
              <w:t>Large Accelerated Filer</w:t>
            </w:r>
          </w:p>
        </w:tc>
        <w:tc>
          <w:tcPr>
            <w:tcW w:w="204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240" w:type="dxa"/>
            <w:vAlign w:val="bottom"/>
          </w:tcPr>
          <w:p>
            <w:pPr>
              <w:jc w:val="center"/>
              <w:ind w:left="115"/>
              <w:spacing w:after="0"/>
              <w:rPr>
                <w:sz w:val="20"/>
                <w:szCs w:val="20"/>
                <w:color w:val="auto"/>
              </w:rPr>
            </w:pPr>
            <w:r>
              <w:rPr>
                <w:rFonts w:ascii="Arial" w:cs="Arial" w:eastAsia="Arial" w:hAnsi="Arial"/>
                <w:sz w:val="16"/>
                <w:szCs w:val="16"/>
                <w:color w:val="auto"/>
              </w:rPr>
              <w:t>Non-Accelerated Filer</w:t>
            </w:r>
          </w:p>
        </w:tc>
        <w:tc>
          <w:tcPr>
            <w:tcW w:w="242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2040" w:type="dxa"/>
            <w:vAlign w:val="bottom"/>
            <w:gridSpan w:val="2"/>
          </w:tcPr>
          <w:p>
            <w:pPr>
              <w:jc w:val="center"/>
              <w:spacing w:after="0"/>
              <w:rPr>
                <w:sz w:val="20"/>
                <w:szCs w:val="20"/>
                <w:color w:val="auto"/>
              </w:rPr>
            </w:pPr>
            <w:r>
              <w:rPr>
                <w:rFonts w:ascii="Arial" w:cs="Arial" w:eastAsia="Arial" w:hAnsi="Arial"/>
                <w:sz w:val="16"/>
                <w:szCs w:val="16"/>
                <w:color w:val="auto"/>
              </w:rPr>
              <w:t>Emerging Growth Company</w:t>
            </w:r>
          </w:p>
        </w:tc>
        <w:tc>
          <w:tcPr>
            <w:tcW w:w="0" w:type="dxa"/>
            <w:vAlign w:val="bottom"/>
          </w:tcPr>
          <w:p>
            <w:pPr>
              <w:spacing w:after="0"/>
              <w:rPr>
                <w:sz w:val="1"/>
                <w:szCs w:val="1"/>
                <w:color w:val="auto"/>
              </w:rPr>
            </w:pPr>
          </w:p>
        </w:tc>
      </w:tr>
      <w:tr>
        <w:trPr>
          <w:trHeight w:val="283"/>
        </w:trPr>
        <w:tc>
          <w:tcPr>
            <w:tcW w:w="2360" w:type="dxa"/>
            <w:vAlign w:val="bottom"/>
          </w:tcPr>
          <w:p>
            <w:pPr>
              <w:jc w:val="center"/>
              <w:ind w:right="32"/>
              <w:spacing w:after="0" w:line="181" w:lineRule="exact"/>
              <w:rPr>
                <w:sz w:val="20"/>
                <w:szCs w:val="20"/>
                <w:color w:val="auto"/>
              </w:rPr>
            </w:pPr>
            <w:r>
              <w:rPr>
                <w:rFonts w:ascii="MS PGothic" w:cs="MS PGothic" w:eastAsia="MS PGothic" w:hAnsi="MS PGothic"/>
                <w:sz w:val="18"/>
                <w:szCs w:val="18"/>
                <w:color w:val="auto"/>
                <w:w w:val="88"/>
              </w:rPr>
              <w:t>☒</w:t>
            </w:r>
          </w:p>
        </w:tc>
        <w:tc>
          <w:tcPr>
            <w:tcW w:w="20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240" w:type="dxa"/>
            <w:vAlign w:val="bottom"/>
          </w:tcPr>
          <w:p>
            <w:pPr>
              <w:jc w:val="center"/>
              <w:ind w:left="115"/>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w w:val="88"/>
              </w:rPr>
              <w:t>☐</w:t>
            </w:r>
          </w:p>
        </w:tc>
        <w:tc>
          <w:tcPr>
            <w:tcW w:w="1320" w:type="dxa"/>
            <w:vAlign w:val="bottom"/>
          </w:tcPr>
          <w:p>
            <w:pPr>
              <w:jc w:val="center"/>
              <w:ind w:left="673"/>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vMerge w:val="restart"/>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2"/>
        </w:trPr>
        <w:tc>
          <w:tcPr>
            <w:tcW w:w="10380" w:type="dxa"/>
            <w:vAlign w:val="bottom"/>
            <w:gridSpan w:val="5"/>
          </w:tcPr>
          <w:p>
            <w:pPr>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380" w:type="dxa"/>
            <w:vAlign w:val="bottom"/>
            <w:gridSpan w:val="5"/>
          </w:tcPr>
          <w:p>
            <w:pPr>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60" w:type="dxa"/>
            <w:vAlign w:val="bottom"/>
            <w:gridSpan w:val="4"/>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1320" w:type="dxa"/>
            <w:vAlign w:val="bottom"/>
          </w:tcPr>
          <w:p>
            <w:pPr>
              <w:ind w:left="6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20" w:type="dxa"/>
            <w:vAlign w:val="bottom"/>
          </w:tcPr>
          <w:p>
            <w:pPr>
              <w:jc w:val="right"/>
              <w:ind w:right="3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June 23, 2020 was 1,110,998,472.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143510</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168910</wp:posOffset>
            </wp:positionV>
            <wp:extent cx="6926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2494280" cy="2160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2160270"/>
                    </a:xfrm>
                    <a:prstGeom prst="rect">
                      <a:avLst/>
                    </a:prstGeom>
                    <a:noFill/>
                  </pic:spPr>
                </pic:pic>
              </a:graphicData>
            </a:graphic>
          </wp:anchor>
        </w:drawing>
      </w:r>
    </w:p>
    <w:p>
      <w:pPr>
        <w:spacing w:after="0" w:line="329" w:lineRule="exact"/>
        <w:rPr>
          <w:sz w:val="20"/>
          <w:szCs w:val="20"/>
          <w:color w:val="auto"/>
        </w:rPr>
      </w:pPr>
    </w:p>
    <w:p>
      <w:pPr>
        <w:ind w:left="212" w:right="460"/>
        <w:spacing w:after="0" w:line="262" w:lineRule="auto"/>
        <w:rPr>
          <w:sz w:val="20"/>
          <w:szCs w:val="20"/>
          <w:color w:val="auto"/>
        </w:rPr>
      </w:pPr>
      <w:r>
        <w:rPr>
          <w:rFonts w:ascii="Arial" w:cs="Arial" w:eastAsia="Arial" w:hAnsi="Arial"/>
          <w:sz w:val="64"/>
          <w:szCs w:val="64"/>
          <w:b w:val="1"/>
          <w:bCs w:val="1"/>
          <w:color w:val="FFFFFF"/>
        </w:rPr>
        <w:t>Micron Company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2494280" cy="5109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5109210"/>
                    </a:xfrm>
                    <a:prstGeom prst="rect">
                      <a:avLst/>
                    </a:prstGeom>
                    <a:noFill/>
                  </pic:spPr>
                </pic:pic>
              </a:graphicData>
            </a:graphic>
          </wp:anchor>
        </w:drawing>
      </w:r>
    </w:p>
    <w:p>
      <w:pPr>
        <w:spacing w:after="0" w:line="33" w:lineRule="exact"/>
        <w:rPr>
          <w:sz w:val="20"/>
          <w:szCs w:val="20"/>
          <w:color w:val="auto"/>
        </w:rPr>
      </w:pPr>
    </w:p>
    <w:p>
      <w:pPr>
        <w:ind w:left="212" w:right="1220"/>
        <w:spacing w:after="0" w:line="227" w:lineRule="auto"/>
        <w:rPr>
          <w:sz w:val="20"/>
          <w:szCs w:val="20"/>
          <w:color w:val="auto"/>
        </w:rPr>
      </w:pPr>
      <w:r>
        <w:rPr>
          <w:rFonts w:ascii="Arial" w:cs="Arial" w:eastAsia="Arial" w:hAnsi="Arial"/>
          <w:sz w:val="18"/>
          <w:szCs w:val="18"/>
          <w:color w:val="FFFFFF"/>
        </w:rPr>
        <w:t>Founded over 40 years ago on October 5, 1978</w:t>
      </w:r>
    </w:p>
    <w:p>
      <w:pPr>
        <w:spacing w:after="0" w:line="252" w:lineRule="exact"/>
        <w:rPr>
          <w:sz w:val="20"/>
          <w:szCs w:val="20"/>
          <w:color w:val="auto"/>
        </w:rPr>
      </w:pPr>
    </w:p>
    <w:p>
      <w:pPr>
        <w:ind w:left="212"/>
        <w:spacing w:after="0"/>
        <w:rPr>
          <w:sz w:val="20"/>
          <w:szCs w:val="20"/>
          <w:color w:val="auto"/>
        </w:rPr>
      </w:pPr>
      <w:r>
        <w:rPr>
          <w:rFonts w:ascii="Arial" w:cs="Arial" w:eastAsia="Arial" w:hAnsi="Arial"/>
          <w:sz w:val="18"/>
          <w:szCs w:val="18"/>
          <w:color w:val="FFFFFF"/>
        </w:rPr>
        <w:t>Headquartered in</w:t>
      </w:r>
    </w:p>
    <w:p>
      <w:pPr>
        <w:ind w:left="212"/>
        <w:spacing w:after="0"/>
        <w:rPr>
          <w:sz w:val="20"/>
          <w:szCs w:val="20"/>
          <w:color w:val="auto"/>
        </w:rPr>
      </w:pPr>
      <w:r>
        <w:rPr>
          <w:rFonts w:ascii="Arial" w:cs="Arial" w:eastAsia="Arial" w:hAnsi="Arial"/>
          <w:sz w:val="18"/>
          <w:szCs w:val="18"/>
          <w:color w:val="FFFFFF"/>
        </w:rPr>
        <w:t>Boise, Idaho, USA</w:t>
      </w:r>
    </w:p>
    <w:p>
      <w:pPr>
        <w:spacing w:after="0" w:line="205" w:lineRule="exact"/>
        <w:rPr>
          <w:sz w:val="20"/>
          <w:szCs w:val="20"/>
          <w:color w:val="auto"/>
        </w:rPr>
      </w:pPr>
    </w:p>
    <w:p>
      <w:pPr>
        <w:ind w:left="212"/>
        <w:spacing w:after="0"/>
        <w:rPr>
          <w:sz w:val="20"/>
          <w:szCs w:val="20"/>
          <w:color w:val="auto"/>
        </w:rPr>
      </w:pPr>
      <w:r>
        <w:rPr>
          <w:rFonts w:ascii="Arial" w:cs="Arial" w:eastAsia="Arial" w:hAnsi="Arial"/>
          <w:sz w:val="50"/>
          <w:szCs w:val="50"/>
          <w:b w:val="1"/>
          <w:bCs w:val="1"/>
          <w:color w:val="FFFFFF"/>
        </w:rPr>
        <w:t>4th</w:t>
      </w:r>
    </w:p>
    <w:p>
      <w:pPr>
        <w:spacing w:after="0" w:line="12" w:lineRule="exact"/>
        <w:rPr>
          <w:sz w:val="20"/>
          <w:szCs w:val="20"/>
          <w:color w:val="auto"/>
        </w:rPr>
      </w:pPr>
    </w:p>
    <w:p>
      <w:pPr>
        <w:ind w:left="212" w:right="680"/>
        <w:spacing w:after="0" w:line="219" w:lineRule="auto"/>
        <w:rPr>
          <w:sz w:val="20"/>
          <w:szCs w:val="20"/>
          <w:color w:val="auto"/>
        </w:rPr>
      </w:pPr>
      <w:r>
        <w:rPr>
          <w:rFonts w:ascii="Arial" w:cs="Arial" w:eastAsia="Arial" w:hAnsi="Arial"/>
          <w:sz w:val="18"/>
          <w:szCs w:val="18"/>
          <w:color w:val="FFFFFF"/>
        </w:rPr>
        <w:t>Largest semiconductor company in the world, excluding IP/software revenue*</w:t>
      </w:r>
    </w:p>
    <w:p>
      <w:pPr>
        <w:spacing w:after="0" w:line="197" w:lineRule="exact"/>
        <w:rPr>
          <w:sz w:val="20"/>
          <w:szCs w:val="20"/>
          <w:color w:val="auto"/>
        </w:rPr>
      </w:pPr>
    </w:p>
    <w:p>
      <w:pPr>
        <w:ind w:left="212"/>
        <w:spacing w:after="0"/>
        <w:rPr>
          <w:sz w:val="20"/>
          <w:szCs w:val="20"/>
          <w:color w:val="auto"/>
        </w:rPr>
      </w:pPr>
      <w:r>
        <w:rPr>
          <w:rFonts w:ascii="Arial" w:cs="Arial" w:eastAsia="Arial" w:hAnsi="Arial"/>
          <w:sz w:val="50"/>
          <w:szCs w:val="50"/>
          <w:b w:val="1"/>
          <w:bCs w:val="1"/>
          <w:color w:val="FFFFFF"/>
        </w:rPr>
        <w:t>18</w:t>
      </w:r>
    </w:p>
    <w:p>
      <w:pPr>
        <w:spacing w:after="0" w:line="12" w:lineRule="exact"/>
        <w:rPr>
          <w:sz w:val="20"/>
          <w:szCs w:val="20"/>
          <w:color w:val="auto"/>
        </w:rPr>
      </w:pPr>
    </w:p>
    <w:p>
      <w:pPr>
        <w:ind w:left="212"/>
        <w:spacing w:after="0"/>
        <w:rPr>
          <w:sz w:val="20"/>
          <w:szCs w:val="20"/>
          <w:color w:val="auto"/>
        </w:rPr>
      </w:pPr>
      <w:r>
        <w:rPr>
          <w:rFonts w:ascii="Arial" w:cs="Arial" w:eastAsia="Arial" w:hAnsi="Arial"/>
          <w:sz w:val="18"/>
          <w:szCs w:val="18"/>
          <w:color w:val="FFFFFF"/>
        </w:rPr>
        <w:t>Countries**</w:t>
      </w:r>
    </w:p>
    <w:p>
      <w:pPr>
        <w:spacing w:after="0" w:line="205" w:lineRule="exact"/>
        <w:rPr>
          <w:sz w:val="20"/>
          <w:szCs w:val="20"/>
          <w:color w:val="auto"/>
        </w:rPr>
      </w:pPr>
    </w:p>
    <w:p>
      <w:pPr>
        <w:ind w:left="212"/>
        <w:spacing w:after="0"/>
        <w:rPr>
          <w:sz w:val="20"/>
          <w:szCs w:val="20"/>
          <w:color w:val="auto"/>
        </w:rPr>
      </w:pPr>
      <w:r>
        <w:rPr>
          <w:rFonts w:ascii="Arial" w:cs="Arial" w:eastAsia="Arial" w:hAnsi="Arial"/>
          <w:sz w:val="50"/>
          <w:szCs w:val="50"/>
          <w:b w:val="1"/>
          <w:bCs w:val="1"/>
          <w:color w:val="FFFFFF"/>
        </w:rPr>
        <w:t>13</w:t>
      </w:r>
    </w:p>
    <w:p>
      <w:pPr>
        <w:ind w:left="212"/>
        <w:spacing w:after="0" w:line="217" w:lineRule="auto"/>
        <w:rPr>
          <w:sz w:val="20"/>
          <w:szCs w:val="20"/>
          <w:color w:val="auto"/>
        </w:rPr>
      </w:pPr>
      <w:r>
        <w:rPr>
          <w:rFonts w:ascii="Arial" w:cs="Arial" w:eastAsia="Arial" w:hAnsi="Arial"/>
          <w:sz w:val="18"/>
          <w:szCs w:val="18"/>
          <w:color w:val="FFFFFF"/>
        </w:rPr>
        <w:t>Manufacturing sites and</w:t>
      </w:r>
    </w:p>
    <w:p>
      <w:pPr>
        <w:ind w:left="212"/>
        <w:spacing w:after="0"/>
        <w:rPr>
          <w:sz w:val="20"/>
          <w:szCs w:val="20"/>
          <w:color w:val="auto"/>
        </w:rPr>
      </w:pPr>
      <w:r>
        <w:rPr>
          <w:rFonts w:ascii="Arial" w:cs="Arial" w:eastAsia="Arial" w:hAnsi="Arial"/>
          <w:sz w:val="18"/>
          <w:szCs w:val="18"/>
          <w:color w:val="FFFFFF"/>
        </w:rPr>
        <w:t>13 customer labs**</w:t>
      </w:r>
    </w:p>
    <w:p>
      <w:pPr>
        <w:spacing w:after="0" w:line="205" w:lineRule="exact"/>
        <w:rPr>
          <w:sz w:val="20"/>
          <w:szCs w:val="20"/>
          <w:color w:val="auto"/>
        </w:rPr>
      </w:pPr>
    </w:p>
    <w:p>
      <w:pPr>
        <w:ind w:left="212"/>
        <w:spacing w:after="0"/>
        <w:rPr>
          <w:sz w:val="20"/>
          <w:szCs w:val="20"/>
          <w:color w:val="auto"/>
        </w:rPr>
      </w:pPr>
      <w:r>
        <w:rPr>
          <w:rFonts w:ascii="Arial" w:cs="Arial" w:eastAsia="Arial" w:hAnsi="Arial"/>
          <w:sz w:val="50"/>
          <w:szCs w:val="50"/>
          <w:b w:val="1"/>
          <w:bCs w:val="1"/>
          <w:color w:val="FFFFFF"/>
        </w:rPr>
        <w:t>37,000</w:t>
      </w:r>
    </w:p>
    <w:p>
      <w:pPr>
        <w:spacing w:after="0" w:line="12" w:lineRule="exact"/>
        <w:rPr>
          <w:sz w:val="20"/>
          <w:szCs w:val="20"/>
          <w:color w:val="auto"/>
        </w:rPr>
      </w:pPr>
    </w:p>
    <w:p>
      <w:pPr>
        <w:ind w:left="212"/>
        <w:spacing w:after="0"/>
        <w:rPr>
          <w:sz w:val="20"/>
          <w:szCs w:val="20"/>
          <w:color w:val="auto"/>
        </w:rPr>
      </w:pPr>
      <w:r>
        <w:rPr>
          <w:rFonts w:ascii="Arial" w:cs="Arial" w:eastAsia="Arial" w:hAnsi="Arial"/>
          <w:sz w:val="18"/>
          <w:szCs w:val="18"/>
          <w:color w:val="FFFFFF"/>
        </w:rPr>
        <w:t>Team members**</w:t>
      </w:r>
    </w:p>
    <w:p>
      <w:pPr>
        <w:spacing w:after="0" w:line="120" w:lineRule="exact"/>
        <w:rPr>
          <w:sz w:val="20"/>
          <w:szCs w:val="20"/>
          <w:color w:val="auto"/>
        </w:rPr>
      </w:pPr>
    </w:p>
    <w:p>
      <w:pPr>
        <w:ind w:left="212"/>
        <w:spacing w:after="0" w:line="253" w:lineRule="auto"/>
        <w:rPr>
          <w:sz w:val="20"/>
          <w:szCs w:val="20"/>
          <w:color w:val="auto"/>
        </w:rPr>
      </w:pPr>
      <w:r>
        <w:rPr>
          <w:rFonts w:ascii="Arial" w:cs="Arial" w:eastAsia="Arial" w:hAnsi="Arial"/>
          <w:sz w:val="16"/>
          <w:szCs w:val="16"/>
          <w:color w:val="FFFFFF"/>
        </w:rPr>
        <w:t>*Gartner Market Share: Semiconductors by End Market, Worldwide, 2019 (April 2020) **Micron data as of August 29, 2019.</w:t>
      </w:r>
    </w:p>
    <w:p>
      <w:pPr>
        <w:spacing w:after="0" w:line="77" w:lineRule="exact"/>
        <w:rPr>
          <w:sz w:val="20"/>
          <w:szCs w:val="20"/>
          <w:color w:val="auto"/>
        </w:rPr>
      </w:pPr>
    </w:p>
    <w:p>
      <w:pPr>
        <w:ind w:left="212" w:right="1140"/>
        <w:spacing w:after="0" w:line="274" w:lineRule="auto"/>
        <w:rPr>
          <w:sz w:val="20"/>
          <w:szCs w:val="20"/>
          <w:color w:val="auto"/>
        </w:rPr>
      </w:pPr>
      <w:r>
        <w:rPr>
          <w:rFonts w:ascii="Arial" w:cs="Arial" w:eastAsia="Arial" w:hAnsi="Arial"/>
          <w:sz w:val="17"/>
          <w:szCs w:val="17"/>
          <w:color w:val="FFFFFF"/>
        </w:rPr>
        <w:t>Media Inquiries mediarelations@micron.com</w:t>
      </w:r>
    </w:p>
    <w:p>
      <w:pPr>
        <w:spacing w:after="0" w:line="157" w:lineRule="exact"/>
        <w:rPr>
          <w:sz w:val="20"/>
          <w:szCs w:val="20"/>
          <w:color w:val="auto"/>
        </w:rPr>
      </w:pPr>
    </w:p>
    <w:p>
      <w:pPr>
        <w:ind w:left="212"/>
        <w:spacing w:after="0"/>
        <w:rPr>
          <w:sz w:val="20"/>
          <w:szCs w:val="20"/>
          <w:color w:val="auto"/>
        </w:rPr>
      </w:pPr>
      <w:r>
        <w:rPr>
          <w:rFonts w:ascii="Arial" w:cs="Arial" w:eastAsia="Arial" w:hAnsi="Arial"/>
          <w:sz w:val="18"/>
          <w:szCs w:val="18"/>
          <w:color w:val="FFFFFF"/>
        </w:rPr>
        <w:t>Government Inquiries</w:t>
      </w:r>
    </w:p>
    <w:p>
      <w:pPr>
        <w:ind w:left="212"/>
        <w:spacing w:after="0"/>
        <w:rPr>
          <w:sz w:val="20"/>
          <w:szCs w:val="20"/>
          <w:color w:val="auto"/>
        </w:rPr>
      </w:pPr>
      <w:r>
        <w:rPr>
          <w:rFonts w:ascii="Arial" w:cs="Arial" w:eastAsia="Arial" w:hAnsi="Arial"/>
          <w:sz w:val="18"/>
          <w:szCs w:val="18"/>
          <w:color w:val="FFFFFF"/>
        </w:rPr>
        <w:t>govaffairs@micron.com</w:t>
      </w:r>
    </w:p>
    <w:p>
      <w:pPr>
        <w:spacing w:after="0" w:line="198" w:lineRule="exact"/>
        <w:rPr>
          <w:sz w:val="20"/>
          <w:szCs w:val="20"/>
          <w:color w:val="auto"/>
        </w:rPr>
      </w:pPr>
    </w:p>
    <w:p>
      <w:pPr>
        <w:ind w:left="212" w:right="1000"/>
        <w:spacing w:after="0" w:line="274" w:lineRule="auto"/>
        <w:rPr>
          <w:sz w:val="20"/>
          <w:szCs w:val="20"/>
          <w:color w:val="auto"/>
        </w:rPr>
      </w:pPr>
      <w:r>
        <w:rPr>
          <w:rFonts w:ascii="Arial" w:cs="Arial" w:eastAsia="Arial" w:hAnsi="Arial"/>
          <w:sz w:val="17"/>
          <w:szCs w:val="17"/>
          <w:color w:val="FFFFFF"/>
        </w:rPr>
        <w:t>Investor Inquiries investorrelations@micron.com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100"/>
        <w:spacing w:after="0" w:line="248" w:lineRule="auto"/>
        <w:rPr>
          <w:sz w:val="20"/>
          <w:szCs w:val="20"/>
          <w:color w:val="auto"/>
        </w:rPr>
      </w:pPr>
      <w:r>
        <w:rPr>
          <w:rFonts w:ascii="Arial" w:cs="Arial" w:eastAsia="Arial" w:hAnsi="Arial"/>
          <w:sz w:val="57"/>
          <w:szCs w:val="57"/>
          <w:color w:val="auto"/>
        </w:rPr>
        <w:t>Redefining What’s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-3090545</wp:posOffset>
            </wp:positionV>
            <wp:extent cx="4217670" cy="2143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17670" cy="2143125"/>
                    </a:xfrm>
                    <a:prstGeom prst="rect">
                      <a:avLst/>
                    </a:prstGeom>
                    <a:noFill/>
                  </pic:spPr>
                </pic:pic>
              </a:graphicData>
            </a:graphic>
          </wp:anchor>
        </w:drawing>
      </w:r>
    </w:p>
    <w:p>
      <w:pPr>
        <w:ind w:right="280"/>
        <w:spacing w:after="0" w:line="247" w:lineRule="auto"/>
        <w:rPr>
          <w:sz w:val="20"/>
          <w:szCs w:val="20"/>
          <w:color w:val="auto"/>
        </w:rPr>
      </w:pPr>
      <w:r>
        <w:rPr>
          <w:rFonts w:ascii="Arial" w:cs="Arial" w:eastAsia="Arial" w:hAnsi="Arial"/>
          <w:sz w:val="27"/>
          <w:szCs w:val="27"/>
          <w:b w:val="1"/>
          <w:bCs w:val="1"/>
          <w:color w:val="0090DA"/>
        </w:rPr>
        <w:t>The world is moving to a new economic model, where data is driving value creation in ways nobody had imagined just a few years ago.</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Who We Are</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Data is today’s new business currency, and memory and storage are emerging as strategic differentiators that will redefine how we extract value from data to learn, explore, communicate, and experience. Our more than 37,000 team members, in 18 different countries, work with countless customers to innovate every day and pursue the products that will shape how we live and work tomorrow.</w:t>
      </w:r>
    </w:p>
    <w:p>
      <w:pPr>
        <w:spacing w:after="0" w:line="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Vision</w:t>
      </w:r>
    </w:p>
    <w:p>
      <w:pPr>
        <w:spacing w:after="0" w:line="9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As a global leader in memory and storage solutions, we are transforming how the world uses information to enrich life by enabling technologies to collect, store, and manage data with unprecedented speed and efficiency. We are accelerating the transformation of information into intelligence – inspiring the world to learn, communicate, and advance faster than ever.</w:t>
      </w:r>
    </w:p>
    <w:p>
      <w:pPr>
        <w:spacing w:after="0" w:line="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Commitment</w:t>
      </w:r>
    </w:p>
    <w:p>
      <w:pPr>
        <w:spacing w:after="0" w:line="9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day-to-day operations wouldn’t be possible without our team members’ commitment to business integrity and environmental sustainability. Whether it’s adhering to our professional values or valuing the communities we work in, for us, doing business better means doing business right.</w:t>
      </w:r>
    </w:p>
    <w:p>
      <w:pPr>
        <w:spacing w:after="0" w:line="139" w:lineRule="exact"/>
        <w:rPr>
          <w:sz w:val="20"/>
          <w:szCs w:val="20"/>
          <w:color w:val="auto"/>
        </w:rPr>
      </w:pPr>
    </w:p>
    <w:p>
      <w:pPr>
        <w:spacing w:after="0"/>
        <w:rPr>
          <w:sz w:val="20"/>
          <w:szCs w:val="20"/>
          <w:color w:val="auto"/>
        </w:rPr>
      </w:pPr>
      <w:r>
        <w:rPr>
          <w:rFonts w:ascii="Arial" w:cs="Arial" w:eastAsia="Arial" w:hAnsi="Arial"/>
          <w:sz w:val="29"/>
          <w:szCs w:val="29"/>
          <w:b w:val="1"/>
          <w:bCs w:val="1"/>
          <w:color w:val="0090DA"/>
        </w:rPr>
        <w:t>Global Product Portfolio</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0090DA"/>
        </w:rPr>
        <w:t>DRAM | NAND | 3D XPoint</w:t>
      </w:r>
      <w:r>
        <w:rPr>
          <w:rFonts w:ascii="Arial" w:cs="Arial" w:eastAsia="Arial" w:hAnsi="Arial"/>
          <w:sz w:val="21"/>
          <w:szCs w:val="21"/>
          <w:color w:val="0090DA"/>
          <w:vertAlign w:val="superscript"/>
        </w:rPr>
        <w:t>TM</w:t>
      </w:r>
      <w:r>
        <w:rPr>
          <w:rFonts w:ascii="Arial" w:cs="Arial" w:eastAsia="Arial" w:hAnsi="Arial"/>
          <w:sz w:val="16"/>
          <w:szCs w:val="16"/>
          <w:color w:val="0090DA"/>
        </w:rPr>
        <w:t xml:space="preserve"> Memory | NOR | Solid-State Drives</w:t>
      </w:r>
    </w:p>
    <w:p>
      <w:pPr>
        <w:spacing w:after="0"/>
        <w:rPr>
          <w:sz w:val="20"/>
          <w:szCs w:val="20"/>
          <w:color w:val="auto"/>
        </w:rPr>
      </w:pPr>
      <w:r>
        <w:rPr>
          <w:rFonts w:ascii="Arial" w:cs="Arial" w:eastAsia="Arial" w:hAnsi="Arial"/>
          <w:sz w:val="16"/>
          <w:szCs w:val="16"/>
          <w:color w:val="0090DA"/>
        </w:rPr>
        <w:t>High Bandwidth Memory (HBM) | Multichip Packages | Advanced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453453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34535" cy="308610"/>
                    </a:xfrm>
                    <a:prstGeom prst="rect">
                      <a:avLst/>
                    </a:prstGeom>
                    <a:noFill/>
                  </pic:spPr>
                </pic:pic>
              </a:graphicData>
            </a:graphic>
          </wp:anchor>
        </w:drawing>
      </w:r>
    </w:p>
    <w:p>
      <w:pPr>
        <w:spacing w:after="0" w:line="182" w:lineRule="exact"/>
        <w:rPr>
          <w:sz w:val="20"/>
          <w:szCs w:val="20"/>
          <w:color w:val="auto"/>
        </w:rPr>
      </w:pPr>
    </w:p>
    <w:p>
      <w:pPr>
        <w:jc w:val="right"/>
        <w:ind w:right="80"/>
        <w:spacing w:after="0"/>
        <w:rPr>
          <w:sz w:val="20"/>
          <w:szCs w:val="20"/>
          <w:color w:val="auto"/>
        </w:rPr>
      </w:pPr>
      <w:r>
        <w:rPr>
          <w:rFonts w:ascii="Arial" w:cs="Arial" w:eastAsia="Arial" w:hAnsi="Arial"/>
          <w:sz w:val="25"/>
          <w:szCs w:val="25"/>
          <w:b w:val="1"/>
          <w:bCs w:val="1"/>
          <w:color w:val="FFFFFF"/>
        </w:rPr>
        <w:t>Connect with us on micron.com</w:t>
      </w:r>
    </w:p>
    <w:p>
      <w:pPr>
        <w:spacing w:after="0" w:line="238" w:lineRule="exact"/>
        <w:rPr>
          <w:sz w:val="20"/>
          <w:szCs w:val="20"/>
          <w:color w:val="auto"/>
        </w:rPr>
      </w:pPr>
    </w:p>
    <w:p>
      <w:pPr>
        <w:sectPr>
          <w:pgSz w:w="11900" w:h="16838" w:orient="portrait"/>
          <w:cols w:equalWidth="0" w:num="2">
            <w:col w:w="3632" w:space="400"/>
            <w:col w:w="7200"/>
          </w:cols>
          <w:pgMar w:left="328" w:top="1440" w:right="339" w:bottom="1440" w:gutter="0" w:footer="0" w:header="0"/>
        </w:sectPr>
      </w:pPr>
    </w:p>
    <w:p>
      <w:pPr>
        <w:ind w:left="-8" w:firstLine="8"/>
        <w:spacing w:after="0" w:line="223" w:lineRule="auto"/>
        <w:tabs>
          <w:tab w:leader="none" w:pos="138" w:val="left"/>
        </w:tabs>
        <w:numPr>
          <w:ilvl w:val="0"/>
          <w:numId w:val="3"/>
        </w:numPr>
        <w:rPr>
          <w:rFonts w:ascii="Arial" w:cs="Arial" w:eastAsia="Arial" w:hAnsi="Arial"/>
          <w:sz w:val="14"/>
          <w:szCs w:val="14"/>
          <w:color w:val="auto"/>
        </w:rPr>
      </w:pPr>
      <w:r>
        <w:rPr>
          <w:rFonts w:ascii="Arial" w:cs="Arial" w:eastAsia="Arial" w:hAnsi="Arial"/>
          <w:sz w:val="14"/>
          <w:szCs w:val="14"/>
          <w:color w:val="auto"/>
        </w:rPr>
        <w:t>2020 Micron Technology, Inc. Micron, the Micron logo, the M orbit logo, Intelligence Accelerated</w:t>
      </w:r>
      <w:r>
        <w:rPr>
          <w:rFonts w:ascii="Arial" w:cs="Arial" w:eastAsia="Arial" w:hAnsi="Arial"/>
          <w:sz w:val="18"/>
          <w:szCs w:val="18"/>
          <w:color w:val="auto"/>
          <w:vertAlign w:val="superscript"/>
        </w:rPr>
        <w:t>TM</w:t>
      </w:r>
      <w:r>
        <w:rPr>
          <w:rFonts w:ascii="Arial" w:cs="Arial" w:eastAsia="Arial" w:hAnsi="Arial"/>
          <w:sz w:val="14"/>
          <w:szCs w:val="14"/>
          <w:color w:val="auto"/>
        </w:rPr>
        <w:t>, and other Micron trademarks are the property of Micron Technology, Inc. All other trademarks are the property of their respective owners. Products and specifications are subject to change without notice. Rev 03/20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39"/>
          <w:szCs w:val="3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Introduction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2"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color w:val="auto"/>
        </w:rPr>
        <w:t>Financial Statements:</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Comprehensive Income</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Changes in Equity</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50" w:lineRule="exact"/>
        <w:rPr>
          <w:sz w:val="20"/>
          <w:szCs w:val="20"/>
          <w:color w:val="auto"/>
        </w:rPr>
      </w:pPr>
    </w:p>
    <w:p>
      <w:pPr>
        <w:ind w:left="1180" w:right="1180" w:hanging="1160"/>
        <w:spacing w:after="0" w:line="297" w:lineRule="auto"/>
        <w:tabs>
          <w:tab w:leader="none" w:pos="11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color w:val="auto"/>
        </w:rPr>
        <w:t>Quantitative and Qualitative Disclosures about Market Risk</w:t>
      </w:r>
    </w:p>
    <w:p>
      <w:pPr>
        <w:spacing w:after="0" w:line="50"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II. Other Information</w:t>
      </w:r>
    </w:p>
    <w:p>
      <w:pPr>
        <w:spacing w:after="0" w:line="72"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50"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color w:val="auto"/>
        </w:rPr>
        <w:t>Exhibits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left="960"/>
        <w:spacing w:after="0"/>
        <w:rPr>
          <w:rFonts w:ascii="Arial" w:cs="Arial" w:eastAsia="Arial" w:hAnsi="Arial"/>
          <w:sz w:val="18"/>
          <w:szCs w:val="18"/>
          <w:u w:val="single" w:color="auto"/>
          <w:color w:val="auto"/>
        </w:rPr>
      </w:pPr>
      <w:hyperlink w:anchor="page3">
        <w:r>
          <w:rPr>
            <w:rFonts w:ascii="Arial" w:cs="Arial" w:eastAsia="Arial" w:hAnsi="Arial"/>
            <w:sz w:val="18"/>
            <w:szCs w:val="18"/>
            <w:u w:val="single" w:color="auto"/>
            <w:color w:val="auto"/>
          </w:rPr>
          <w:t>2</w:t>
        </w:r>
      </w:hyperlink>
    </w:p>
    <w:p>
      <w:pPr>
        <w:spacing w:after="0" w:line="200" w:lineRule="exact"/>
        <w:rPr>
          <w:sz w:val="20"/>
          <w:szCs w:val="20"/>
          <w:color w:val="auto"/>
        </w:rPr>
      </w:pPr>
    </w:p>
    <w:p>
      <w:pPr>
        <w:spacing w:after="0" w:line="363"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5">
        <w:r>
          <w:rPr>
            <w:rFonts w:ascii="Arial" w:cs="Arial" w:eastAsia="Arial" w:hAnsi="Arial"/>
            <w:sz w:val="18"/>
            <w:szCs w:val="18"/>
            <w:u w:val="single" w:color="auto"/>
            <w:color w:val="auto"/>
          </w:rPr>
          <w:t>3</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5">
        <w:r>
          <w:rPr>
            <w:rFonts w:ascii="Arial" w:cs="Arial" w:eastAsia="Arial" w:hAnsi="Arial"/>
            <w:sz w:val="18"/>
            <w:szCs w:val="18"/>
            <w:u w:val="single" w:color="auto"/>
            <w:color w:val="auto"/>
          </w:rPr>
          <w:t>4</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6">
        <w:r>
          <w:rPr>
            <w:rFonts w:ascii="Arial" w:cs="Arial" w:eastAsia="Arial" w:hAnsi="Arial"/>
            <w:sz w:val="18"/>
            <w:szCs w:val="18"/>
            <w:u w:val="single" w:color="auto"/>
            <w:color w:val="auto"/>
          </w:rPr>
          <w:t>5</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7">
        <w:r>
          <w:rPr>
            <w:rFonts w:ascii="Arial" w:cs="Arial" w:eastAsia="Arial" w:hAnsi="Arial"/>
            <w:sz w:val="18"/>
            <w:szCs w:val="18"/>
            <w:u w:val="single" w:color="auto"/>
            <w:color w:val="auto"/>
          </w:rPr>
          <w:t>6</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9">
        <w:r>
          <w:rPr>
            <w:rFonts w:ascii="Arial" w:cs="Arial" w:eastAsia="Arial" w:hAnsi="Arial"/>
            <w:sz w:val="18"/>
            <w:szCs w:val="18"/>
            <w:u w:val="single" w:color="auto"/>
            <w:color w:val="auto"/>
          </w:rPr>
          <w:t>8</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10">
        <w:r>
          <w:rPr>
            <w:rFonts w:ascii="Arial" w:cs="Arial" w:eastAsia="Arial" w:hAnsi="Arial"/>
            <w:sz w:val="18"/>
            <w:szCs w:val="18"/>
            <w:u w:val="single" w:color="auto"/>
            <w:color w:val="auto"/>
          </w:rPr>
          <w:t>9</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28">
        <w:r>
          <w:rPr>
            <w:rFonts w:ascii="Arial" w:cs="Arial" w:eastAsia="Arial" w:hAnsi="Arial"/>
            <w:sz w:val="18"/>
            <w:szCs w:val="18"/>
            <w:u w:val="single" w:color="auto"/>
            <w:color w:val="auto"/>
          </w:rPr>
          <w:t>27</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31">
        <w:r>
          <w:rPr>
            <w:rFonts w:ascii="Arial" w:cs="Arial" w:eastAsia="Arial" w:hAnsi="Arial"/>
            <w:sz w:val="18"/>
            <w:szCs w:val="18"/>
            <w:u w:val="single" w:color="auto"/>
            <w:color w:val="auto"/>
          </w:rPr>
          <w:t>29</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35">
        <w:r>
          <w:rPr>
            <w:rFonts w:ascii="Arial" w:cs="Arial" w:eastAsia="Arial" w:hAnsi="Arial"/>
            <w:sz w:val="18"/>
            <w:szCs w:val="18"/>
            <w:u w:val="single" w:color="auto"/>
            <w:color w:val="auto"/>
          </w:rPr>
          <w:t>33</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37">
        <w:r>
          <w:rPr>
            <w:rFonts w:ascii="Arial" w:cs="Arial" w:eastAsia="Arial" w:hAnsi="Arial"/>
            <w:sz w:val="18"/>
            <w:szCs w:val="18"/>
            <w:u w:val="single" w:color="auto"/>
            <w:color w:val="auto"/>
          </w:rPr>
          <w:t>35</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37">
        <w:r>
          <w:rPr>
            <w:rFonts w:ascii="Arial" w:cs="Arial" w:eastAsia="Arial" w:hAnsi="Arial"/>
            <w:sz w:val="18"/>
            <w:szCs w:val="18"/>
            <w:u w:val="single" w:color="auto"/>
            <w:color w:val="auto"/>
          </w:rPr>
          <w:t>35</w:t>
        </w:r>
      </w:hyperlink>
    </w:p>
    <w:p>
      <w:pPr>
        <w:spacing w:after="0" w:line="306" w:lineRule="exact"/>
        <w:rPr>
          <w:sz w:val="20"/>
          <w:szCs w:val="20"/>
          <w:color w:val="auto"/>
        </w:rPr>
      </w:pPr>
    </w:p>
    <w:p>
      <w:pPr>
        <w:ind w:left="860"/>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36</w:t>
        </w:r>
      </w:hyperlink>
    </w:p>
    <w:p>
      <w:pPr>
        <w:spacing w:after="0" w:line="50" w:lineRule="exact"/>
        <w:rPr>
          <w:sz w:val="20"/>
          <w:szCs w:val="20"/>
          <w:color w:val="auto"/>
        </w:rPr>
      </w:pPr>
    </w:p>
    <w:p>
      <w:pPr>
        <w:ind w:left="860"/>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36</w:t>
        </w:r>
      </w:hyperlink>
    </w:p>
    <w:p>
      <w:pPr>
        <w:spacing w:after="0" w:line="50" w:lineRule="exact"/>
        <w:rPr>
          <w:sz w:val="20"/>
          <w:szCs w:val="20"/>
          <w:color w:val="auto"/>
        </w:rPr>
      </w:pPr>
    </w:p>
    <w:p>
      <w:pPr>
        <w:ind w:left="860"/>
        <w:spacing w:after="0"/>
        <w:rPr>
          <w:rFonts w:ascii="Arial" w:cs="Arial" w:eastAsia="Arial" w:hAnsi="Arial"/>
          <w:sz w:val="18"/>
          <w:szCs w:val="18"/>
          <w:u w:val="single" w:color="auto"/>
          <w:color w:val="auto"/>
        </w:rPr>
      </w:pPr>
      <w:hyperlink w:anchor="page55">
        <w:r>
          <w:rPr>
            <w:rFonts w:ascii="Arial" w:cs="Arial" w:eastAsia="Arial" w:hAnsi="Arial"/>
            <w:sz w:val="18"/>
            <w:szCs w:val="18"/>
            <w:u w:val="single" w:color="auto"/>
            <w:color w:val="auto"/>
          </w:rPr>
          <w:t>53</w:t>
        </w:r>
      </w:hyperlink>
    </w:p>
    <w:p>
      <w:pPr>
        <w:spacing w:after="0" w:line="50" w:lineRule="exact"/>
        <w:rPr>
          <w:sz w:val="20"/>
          <w:szCs w:val="20"/>
          <w:color w:val="auto"/>
        </w:rPr>
      </w:pPr>
    </w:p>
    <w:p>
      <w:pPr>
        <w:ind w:left="860"/>
        <w:spacing w:after="0"/>
        <w:rPr>
          <w:rFonts w:ascii="Arial" w:cs="Arial" w:eastAsia="Arial" w:hAnsi="Arial"/>
          <w:sz w:val="18"/>
          <w:szCs w:val="18"/>
          <w:u w:val="single" w:color="auto"/>
          <w:color w:val="auto"/>
        </w:rPr>
      </w:pPr>
      <w:hyperlink w:anchor="page55">
        <w:r>
          <w:rPr>
            <w:rFonts w:ascii="Arial" w:cs="Arial" w:eastAsia="Arial" w:hAnsi="Arial"/>
            <w:sz w:val="18"/>
            <w:szCs w:val="18"/>
            <w:u w:val="single" w:color="auto"/>
            <w:color w:val="auto"/>
          </w:rPr>
          <w:t>54</w:t>
        </w:r>
      </w:hyperlink>
    </w:p>
    <w:p>
      <w:pPr>
        <w:spacing w:after="0" w:line="50" w:lineRule="exact"/>
        <w:rPr>
          <w:sz w:val="20"/>
          <w:szCs w:val="20"/>
          <w:color w:val="auto"/>
        </w:rPr>
      </w:pPr>
    </w:p>
    <w:p>
      <w:pPr>
        <w:ind w:left="860"/>
        <w:spacing w:after="0"/>
        <w:rPr>
          <w:rFonts w:ascii="Arial" w:cs="Arial" w:eastAsia="Arial" w:hAnsi="Arial"/>
          <w:sz w:val="18"/>
          <w:szCs w:val="18"/>
          <w:u w:val="single" w:color="auto"/>
          <w:color w:val="auto"/>
        </w:rPr>
      </w:pPr>
      <w:hyperlink w:anchor="page56">
        <w:r>
          <w:rPr>
            <w:rFonts w:ascii="Arial" w:cs="Arial" w:eastAsia="Arial" w:hAnsi="Arial"/>
            <w:sz w:val="18"/>
            <w:szCs w:val="18"/>
            <w:u w:val="single" w:color="auto"/>
            <w:color w:val="auto"/>
          </w:rPr>
          <w:t>55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sz w:val="1"/>
          <w:szCs w:val="1"/>
          <w:color w:val="auto"/>
        </w:rPr>
        <w:drawing>
          <wp:inline distT="0" distB="0" distL="0" distR="0">
            <wp:extent cx="591820" cy="1543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2"/>
          <w:szCs w:val="12"/>
          <w:color w:val="auto"/>
        </w:rPr>
        <w:t xml:space="preserve"> 1</w:t>
      </w:r>
    </w:p>
    <w:p>
      <w:pPr>
        <w:sectPr>
          <w:pgSz w:w="11900" w:h="16838" w:orient="portrait"/>
          <w:cols w:equalWidth="0" w:num="2">
            <w:col w:w="9440" w:space="720"/>
            <w:col w:w="1080"/>
          </w:cols>
          <w:pgMar w:left="320" w:top="919"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8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used herein, “we,” “our,” “us,” and similar terms include Micron Technology, Inc. and our consolidated subsidiaries, unless the context indicates otherwise. Abbreviations, terms, or acronyms are commonly used or found in multiple locations throughout this report and include the following: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980" w:type="dxa"/>
            <w:vAlign w:val="bottom"/>
          </w:tcPr>
          <w:p>
            <w:pPr>
              <w:ind w:left="240"/>
              <w:spacing w:after="0"/>
              <w:rPr>
                <w:sz w:val="20"/>
                <w:szCs w:val="20"/>
                <w:color w:val="auto"/>
              </w:rPr>
            </w:pPr>
            <w:r>
              <w:rPr>
                <w:rFonts w:ascii="Arial" w:cs="Arial" w:eastAsia="Arial" w:hAnsi="Arial"/>
                <w:sz w:val="16"/>
                <w:szCs w:val="16"/>
                <w:b w:val="1"/>
                <w:bCs w:val="1"/>
                <w:color w:val="auto"/>
              </w:rPr>
              <w:t>Term</w:t>
            </w:r>
          </w:p>
        </w:tc>
        <w:tc>
          <w:tcPr>
            <w:tcW w:w="980" w:type="dxa"/>
            <w:vAlign w:val="bottom"/>
          </w:tcPr>
          <w:p>
            <w:pPr>
              <w:spacing w:after="0"/>
              <w:rPr>
                <w:sz w:val="19"/>
                <w:szCs w:val="19"/>
                <w:color w:val="auto"/>
              </w:rPr>
            </w:pPr>
          </w:p>
        </w:tc>
        <w:tc>
          <w:tcPr>
            <w:tcW w:w="3140" w:type="dxa"/>
            <w:vAlign w:val="bottom"/>
            <w:gridSpan w:val="2"/>
          </w:tcPr>
          <w:p>
            <w:pPr>
              <w:ind w:left="820"/>
              <w:spacing w:after="0"/>
              <w:rPr>
                <w:sz w:val="20"/>
                <w:szCs w:val="20"/>
                <w:color w:val="auto"/>
              </w:rPr>
            </w:pPr>
            <w:r>
              <w:rPr>
                <w:rFonts w:ascii="Arial" w:cs="Arial" w:eastAsia="Arial" w:hAnsi="Arial"/>
                <w:sz w:val="16"/>
                <w:szCs w:val="16"/>
                <w:b w:val="1"/>
                <w:bCs w:val="1"/>
                <w:color w:val="auto"/>
              </w:rPr>
              <w:t>Definition</w:t>
            </w:r>
          </w:p>
        </w:tc>
        <w:tc>
          <w:tcPr>
            <w:tcW w:w="1580" w:type="dxa"/>
            <w:vAlign w:val="bottom"/>
          </w:tcPr>
          <w:p>
            <w:pPr>
              <w:ind w:left="700"/>
              <w:spacing w:after="0"/>
              <w:rPr>
                <w:sz w:val="20"/>
                <w:szCs w:val="20"/>
                <w:color w:val="auto"/>
              </w:rPr>
            </w:pPr>
            <w:r>
              <w:rPr>
                <w:rFonts w:ascii="Arial" w:cs="Arial" w:eastAsia="Arial" w:hAnsi="Arial"/>
                <w:sz w:val="16"/>
                <w:szCs w:val="16"/>
                <w:b w:val="1"/>
                <w:bCs w:val="1"/>
                <w:color w:val="auto"/>
              </w:rPr>
              <w:t>Term</w:t>
            </w:r>
          </w:p>
        </w:tc>
        <w:tc>
          <w:tcPr>
            <w:tcW w:w="3900" w:type="dxa"/>
            <w:vAlign w:val="bottom"/>
          </w:tcPr>
          <w:p>
            <w:pPr>
              <w:ind w:left="1680"/>
              <w:spacing w:after="0"/>
              <w:rPr>
                <w:sz w:val="20"/>
                <w:szCs w:val="20"/>
                <w:color w:val="auto"/>
              </w:rPr>
            </w:pPr>
            <w:r>
              <w:rPr>
                <w:rFonts w:ascii="Arial" w:cs="Arial" w:eastAsia="Arial" w:hAnsi="Arial"/>
                <w:sz w:val="16"/>
                <w:szCs w:val="16"/>
                <w:b w:val="1"/>
                <w:bCs w:val="1"/>
                <w:color w:val="auto"/>
              </w:rPr>
              <w:t>Definition</w:t>
            </w:r>
          </w:p>
        </w:tc>
        <w:tc>
          <w:tcPr>
            <w:tcW w:w="0" w:type="dxa"/>
            <w:vAlign w:val="bottom"/>
          </w:tcPr>
          <w:p>
            <w:pPr>
              <w:spacing w:after="0"/>
              <w:rPr>
                <w:sz w:val="1"/>
                <w:szCs w:val="1"/>
                <w:color w:val="auto"/>
              </w:rPr>
            </w:pPr>
          </w:p>
        </w:tc>
      </w:tr>
      <w:tr>
        <w:trPr>
          <w:trHeight w:val="40"/>
        </w:trPr>
        <w:tc>
          <w:tcPr>
            <w:tcW w:w="460" w:type="dxa"/>
            <w:vAlign w:val="bottom"/>
            <w:tcBorders>
              <w:top w:val="single" w:sz="8" w:color="0090DA"/>
            </w:tcBorders>
          </w:tcPr>
          <w:p>
            <w:pPr>
              <w:spacing w:after="0"/>
              <w:rPr>
                <w:sz w:val="3"/>
                <w:szCs w:val="3"/>
                <w:color w:val="auto"/>
              </w:rPr>
            </w:pPr>
          </w:p>
        </w:tc>
        <w:tc>
          <w:tcPr>
            <w:tcW w:w="980" w:type="dxa"/>
            <w:vAlign w:val="bottom"/>
            <w:tcBorders>
              <w:top w:val="single" w:sz="8" w:color="0090DA"/>
            </w:tcBorders>
          </w:tcPr>
          <w:p>
            <w:pPr>
              <w:spacing w:after="0"/>
              <w:rPr>
                <w:sz w:val="3"/>
                <w:szCs w:val="3"/>
                <w:color w:val="auto"/>
              </w:rPr>
            </w:pPr>
          </w:p>
        </w:tc>
        <w:tc>
          <w:tcPr>
            <w:tcW w:w="980" w:type="dxa"/>
            <w:vAlign w:val="bottom"/>
            <w:tcBorders>
              <w:top w:val="single" w:sz="8" w:color="0090DA"/>
            </w:tcBorders>
          </w:tcPr>
          <w:p>
            <w:pPr>
              <w:spacing w:after="0"/>
              <w:rPr>
                <w:sz w:val="3"/>
                <w:szCs w:val="3"/>
                <w:color w:val="auto"/>
              </w:rPr>
            </w:pPr>
          </w:p>
        </w:tc>
        <w:tc>
          <w:tcPr>
            <w:tcW w:w="3040" w:type="dxa"/>
            <w:vAlign w:val="bottom"/>
            <w:tcBorders>
              <w:top w:val="single" w:sz="8" w:color="0090DA"/>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top w:val="single" w:sz="8" w:color="0090DA"/>
            </w:tcBorders>
          </w:tcPr>
          <w:p>
            <w:pPr>
              <w:spacing w:after="0"/>
              <w:rPr>
                <w:sz w:val="3"/>
                <w:szCs w:val="3"/>
                <w:color w:val="auto"/>
              </w:rPr>
            </w:pPr>
          </w:p>
        </w:tc>
        <w:tc>
          <w:tcPr>
            <w:tcW w:w="3900" w:type="dxa"/>
            <w:vAlign w:val="bottom"/>
            <w:tcBorders>
              <w:top w:val="single" w:sz="8" w:color="0090DA"/>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2023</w:t>
            </w:r>
          </w:p>
        </w:tc>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980" w:type="dxa"/>
            <w:vAlign w:val="bottom"/>
            <w:shd w:val="clear" w:color="auto" w:fill="D1D2D4"/>
          </w:tcPr>
          <w:p>
            <w:pPr>
              <w:ind w:left="360"/>
              <w:spacing w:after="0"/>
              <w:rPr>
                <w:sz w:val="20"/>
                <w:szCs w:val="20"/>
                <w:color w:val="auto"/>
              </w:rPr>
            </w:pPr>
            <w:r>
              <w:rPr>
                <w:rFonts w:ascii="Arial" w:cs="Arial" w:eastAsia="Arial" w:hAnsi="Arial"/>
                <w:sz w:val="18"/>
                <w:szCs w:val="18"/>
                <w:color w:val="auto"/>
                <w:w w:val="98"/>
              </w:rPr>
              <w:t>2.497%</w:t>
            </w:r>
          </w:p>
        </w:tc>
        <w:tc>
          <w:tcPr>
            <w:tcW w:w="314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Senior Notes due 2023</w:t>
            </w:r>
          </w:p>
        </w:tc>
        <w:tc>
          <w:tcPr>
            <w:tcW w:w="1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IMFT</w:t>
            </w:r>
          </w:p>
        </w:tc>
        <w:tc>
          <w:tcPr>
            <w:tcW w:w="3900" w:type="dxa"/>
            <w:vAlign w:val="bottom"/>
            <w:shd w:val="clear" w:color="auto" w:fill="D1D2D4"/>
          </w:tcPr>
          <w:p>
            <w:pPr>
              <w:ind w:left="240"/>
              <w:spacing w:after="0"/>
              <w:rPr>
                <w:sz w:val="20"/>
                <w:szCs w:val="20"/>
                <w:color w:val="auto"/>
              </w:rPr>
            </w:pPr>
            <w:r>
              <w:rPr>
                <w:rFonts w:ascii="Arial" w:cs="Arial" w:eastAsia="Arial" w:hAnsi="Arial"/>
                <w:sz w:val="18"/>
                <w:szCs w:val="18"/>
                <w:color w:val="auto"/>
              </w:rPr>
              <w:t>IM Flash Technologies, LLC</w:t>
            </w:r>
          </w:p>
        </w:tc>
        <w:tc>
          <w:tcPr>
            <w:tcW w:w="0" w:type="dxa"/>
            <w:vAlign w:val="bottom"/>
          </w:tcPr>
          <w:p>
            <w:pPr>
              <w:spacing w:after="0"/>
              <w:rPr>
                <w:sz w:val="1"/>
                <w:szCs w:val="1"/>
                <w:color w:val="auto"/>
              </w:rPr>
            </w:pP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2024</w:t>
            </w:r>
          </w:p>
        </w:tc>
        <w:tc>
          <w:tcPr>
            <w:tcW w:w="980" w:type="dxa"/>
            <w:vAlign w:val="bottom"/>
          </w:tcPr>
          <w:p>
            <w:pPr>
              <w:ind w:left="20"/>
              <w:spacing w:after="0"/>
              <w:rPr>
                <w:sz w:val="20"/>
                <w:szCs w:val="20"/>
                <w:color w:val="auto"/>
              </w:rPr>
            </w:pPr>
            <w:r>
              <w:rPr>
                <w:rFonts w:ascii="Arial" w:cs="Arial" w:eastAsia="Arial" w:hAnsi="Arial"/>
                <w:sz w:val="18"/>
                <w:szCs w:val="18"/>
                <w:color w:val="auto"/>
              </w:rPr>
              <w:t>Notes</w:t>
            </w:r>
          </w:p>
        </w:tc>
        <w:tc>
          <w:tcPr>
            <w:tcW w:w="980" w:type="dxa"/>
            <w:vAlign w:val="bottom"/>
          </w:tcPr>
          <w:p>
            <w:pPr>
              <w:ind w:left="360"/>
              <w:spacing w:after="0"/>
              <w:rPr>
                <w:sz w:val="20"/>
                <w:szCs w:val="20"/>
                <w:color w:val="auto"/>
              </w:rPr>
            </w:pPr>
            <w:r>
              <w:rPr>
                <w:rFonts w:ascii="Arial" w:cs="Arial" w:eastAsia="Arial" w:hAnsi="Arial"/>
                <w:sz w:val="18"/>
                <w:szCs w:val="18"/>
                <w:color w:val="auto"/>
                <w:w w:val="98"/>
              </w:rPr>
              <w:t>4.640%</w:t>
            </w:r>
          </w:p>
        </w:tc>
        <w:tc>
          <w:tcPr>
            <w:tcW w:w="3140" w:type="dxa"/>
            <w:vAlign w:val="bottom"/>
            <w:gridSpan w:val="2"/>
          </w:tcPr>
          <w:p>
            <w:pPr>
              <w:ind w:left="40"/>
              <w:spacing w:after="0"/>
              <w:rPr>
                <w:sz w:val="20"/>
                <w:szCs w:val="20"/>
                <w:color w:val="auto"/>
              </w:rPr>
            </w:pPr>
            <w:r>
              <w:rPr>
                <w:rFonts w:ascii="Arial" w:cs="Arial" w:eastAsia="Arial" w:hAnsi="Arial"/>
                <w:sz w:val="18"/>
                <w:szCs w:val="18"/>
                <w:color w:val="auto"/>
              </w:rPr>
              <w:t>Senior Notes due 2024</w:t>
            </w:r>
          </w:p>
        </w:tc>
        <w:tc>
          <w:tcPr>
            <w:tcW w:w="1580" w:type="dxa"/>
            <w:vAlign w:val="bottom"/>
          </w:tcPr>
          <w:p>
            <w:pPr>
              <w:ind w:left="20"/>
              <w:spacing w:after="0"/>
              <w:rPr>
                <w:sz w:val="20"/>
                <w:szCs w:val="20"/>
                <w:color w:val="auto"/>
              </w:rPr>
            </w:pPr>
            <w:r>
              <w:rPr>
                <w:rFonts w:ascii="Arial" w:cs="Arial" w:eastAsia="Arial" w:hAnsi="Arial"/>
                <w:sz w:val="18"/>
                <w:szCs w:val="18"/>
                <w:color w:val="auto"/>
              </w:rPr>
              <w:t>Intel</w:t>
            </w:r>
          </w:p>
        </w:tc>
        <w:tc>
          <w:tcPr>
            <w:tcW w:w="3900" w:type="dxa"/>
            <w:vAlign w:val="bottom"/>
          </w:tcPr>
          <w:p>
            <w:pPr>
              <w:ind w:left="240"/>
              <w:spacing w:after="0"/>
              <w:rPr>
                <w:sz w:val="20"/>
                <w:szCs w:val="20"/>
                <w:color w:val="auto"/>
              </w:rPr>
            </w:pPr>
            <w:r>
              <w:rPr>
                <w:rFonts w:ascii="Arial" w:cs="Arial" w:eastAsia="Arial" w:hAnsi="Arial"/>
                <w:sz w:val="18"/>
                <w:szCs w:val="18"/>
                <w:color w:val="auto"/>
              </w:rPr>
              <w:t>Intel Corporation</w:t>
            </w:r>
          </w:p>
        </w:tc>
        <w:tc>
          <w:tcPr>
            <w:tcW w:w="0" w:type="dxa"/>
            <w:vAlign w:val="bottom"/>
          </w:tcPr>
          <w:p>
            <w:pPr>
              <w:spacing w:after="0"/>
              <w:rPr>
                <w:sz w:val="1"/>
                <w:szCs w:val="1"/>
                <w:color w:val="auto"/>
              </w:rPr>
            </w:pPr>
          </w:p>
        </w:tc>
      </w:tr>
      <w:tr>
        <w:trPr>
          <w:trHeight w:val="257"/>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5100" w:type="dxa"/>
            <w:vAlign w:val="bottom"/>
            <w:gridSpan w:val="4"/>
            <w:shd w:val="clear" w:color="auto" w:fill="D1D2D4"/>
          </w:tcPr>
          <w:p>
            <w:pPr>
              <w:ind w:left="20"/>
              <w:spacing w:after="0"/>
              <w:rPr>
                <w:sz w:val="20"/>
                <w:szCs w:val="20"/>
                <w:color w:val="auto"/>
              </w:rPr>
            </w:pPr>
            <w:r>
              <w:rPr>
                <w:rFonts w:ascii="Arial" w:cs="Arial" w:eastAsia="Arial" w:hAnsi="Arial"/>
                <w:sz w:val="18"/>
                <w:szCs w:val="18"/>
                <w:color w:val="auto"/>
              </w:rPr>
              <w:t>Term Loan A   Senior Term Loan A due 2024</w:t>
            </w:r>
          </w:p>
        </w:tc>
        <w:tc>
          <w:tcPr>
            <w:tcW w:w="1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MCP</w:t>
            </w:r>
          </w:p>
        </w:tc>
        <w:tc>
          <w:tcPr>
            <w:tcW w:w="3900" w:type="dxa"/>
            <w:vAlign w:val="bottom"/>
            <w:shd w:val="clear" w:color="auto" w:fill="D1D2D4"/>
          </w:tcPr>
          <w:p>
            <w:pPr>
              <w:ind w:left="240"/>
              <w:spacing w:after="0"/>
              <w:rPr>
                <w:sz w:val="20"/>
                <w:szCs w:val="20"/>
                <w:color w:val="auto"/>
              </w:rPr>
            </w:pPr>
            <w:r>
              <w:rPr>
                <w:rFonts w:ascii="Arial" w:cs="Arial" w:eastAsia="Arial" w:hAnsi="Arial"/>
                <w:sz w:val="18"/>
                <w:szCs w:val="18"/>
                <w:color w:val="auto"/>
              </w:rPr>
              <w:t>Multi-Chip Package</w:t>
            </w:r>
          </w:p>
        </w:tc>
        <w:tc>
          <w:tcPr>
            <w:tcW w:w="0" w:type="dxa"/>
            <w:vAlign w:val="bottom"/>
          </w:tcPr>
          <w:p>
            <w:pPr>
              <w:spacing w:after="0"/>
              <w:rPr>
                <w:sz w:val="1"/>
                <w:szCs w:val="1"/>
                <w:color w:val="auto"/>
              </w:rPr>
            </w:pPr>
          </w:p>
        </w:tc>
      </w:tr>
      <w:tr>
        <w:trPr>
          <w:trHeight w:val="257"/>
        </w:trPr>
        <w:tc>
          <w:tcPr>
            <w:tcW w:w="460" w:type="dxa"/>
            <w:vAlign w:val="bottom"/>
          </w:tcPr>
          <w:p>
            <w:pPr>
              <w:ind w:left="20"/>
              <w:spacing w:after="0"/>
              <w:rPr>
                <w:sz w:val="20"/>
                <w:szCs w:val="20"/>
                <w:color w:val="auto"/>
              </w:rPr>
            </w:pPr>
            <w:r>
              <w:rPr>
                <w:rFonts w:ascii="Arial" w:cs="Arial" w:eastAsia="Arial" w:hAnsi="Arial"/>
                <w:sz w:val="18"/>
                <w:szCs w:val="18"/>
                <w:color w:val="auto"/>
              </w:rPr>
              <w:t>2025</w:t>
            </w:r>
          </w:p>
        </w:tc>
        <w:tc>
          <w:tcPr>
            <w:tcW w:w="980" w:type="dxa"/>
            <w:vAlign w:val="bottom"/>
          </w:tcPr>
          <w:p>
            <w:pPr>
              <w:ind w:left="20"/>
              <w:spacing w:after="0"/>
              <w:rPr>
                <w:sz w:val="20"/>
                <w:szCs w:val="20"/>
                <w:color w:val="auto"/>
              </w:rPr>
            </w:pPr>
            <w:r>
              <w:rPr>
                <w:rFonts w:ascii="Arial" w:cs="Arial" w:eastAsia="Arial" w:hAnsi="Arial"/>
                <w:sz w:val="18"/>
                <w:szCs w:val="18"/>
                <w:color w:val="auto"/>
              </w:rPr>
              <w:t>Notes</w:t>
            </w:r>
          </w:p>
        </w:tc>
        <w:tc>
          <w:tcPr>
            <w:tcW w:w="980" w:type="dxa"/>
            <w:vAlign w:val="bottom"/>
          </w:tcPr>
          <w:p>
            <w:pPr>
              <w:ind w:left="360"/>
              <w:spacing w:after="0"/>
              <w:rPr>
                <w:sz w:val="20"/>
                <w:szCs w:val="20"/>
                <w:color w:val="auto"/>
              </w:rPr>
            </w:pPr>
            <w:r>
              <w:rPr>
                <w:rFonts w:ascii="Arial" w:cs="Arial" w:eastAsia="Arial" w:hAnsi="Arial"/>
                <w:sz w:val="18"/>
                <w:szCs w:val="18"/>
                <w:color w:val="auto"/>
                <w:w w:val="98"/>
              </w:rPr>
              <w:t>5.500%</w:t>
            </w:r>
          </w:p>
        </w:tc>
        <w:tc>
          <w:tcPr>
            <w:tcW w:w="3140" w:type="dxa"/>
            <w:vAlign w:val="bottom"/>
            <w:gridSpan w:val="2"/>
          </w:tcPr>
          <w:p>
            <w:pPr>
              <w:ind w:left="40"/>
              <w:spacing w:after="0"/>
              <w:rPr>
                <w:sz w:val="20"/>
                <w:szCs w:val="20"/>
                <w:color w:val="auto"/>
              </w:rPr>
            </w:pPr>
            <w:r>
              <w:rPr>
                <w:rFonts w:ascii="Arial" w:cs="Arial" w:eastAsia="Arial" w:hAnsi="Arial"/>
                <w:sz w:val="18"/>
                <w:szCs w:val="18"/>
                <w:color w:val="auto"/>
              </w:rPr>
              <w:t>Senior Notes due 2025</w:t>
            </w:r>
          </w:p>
        </w:tc>
        <w:tc>
          <w:tcPr>
            <w:tcW w:w="1580" w:type="dxa"/>
            <w:vAlign w:val="bottom"/>
          </w:tcPr>
          <w:p>
            <w:pPr>
              <w:ind w:left="20"/>
              <w:spacing w:after="0"/>
              <w:rPr>
                <w:sz w:val="20"/>
                <w:szCs w:val="20"/>
                <w:color w:val="auto"/>
              </w:rPr>
            </w:pPr>
            <w:r>
              <w:rPr>
                <w:rFonts w:ascii="Arial" w:cs="Arial" w:eastAsia="Arial" w:hAnsi="Arial"/>
                <w:sz w:val="18"/>
                <w:szCs w:val="18"/>
                <w:color w:val="auto"/>
              </w:rPr>
              <w:t>Micron</w:t>
            </w:r>
          </w:p>
        </w:tc>
        <w:tc>
          <w:tcPr>
            <w:tcW w:w="3900" w:type="dxa"/>
            <w:vAlign w:val="bottom"/>
          </w:tcPr>
          <w:p>
            <w:pPr>
              <w:ind w:left="240"/>
              <w:spacing w:after="0"/>
              <w:rPr>
                <w:sz w:val="20"/>
                <w:szCs w:val="20"/>
                <w:color w:val="auto"/>
              </w:rPr>
            </w:pPr>
            <w:r>
              <w:rPr>
                <w:rFonts w:ascii="Arial" w:cs="Arial" w:eastAsia="Arial" w:hAnsi="Arial"/>
                <w:sz w:val="18"/>
                <w:szCs w:val="18"/>
                <w:color w:val="auto"/>
              </w:rPr>
              <w:t>Micron Technology, Inc. (Parent Company)</w:t>
            </w:r>
          </w:p>
        </w:tc>
        <w:tc>
          <w:tcPr>
            <w:tcW w:w="0" w:type="dxa"/>
            <w:vAlign w:val="bottom"/>
          </w:tcPr>
          <w:p>
            <w:pPr>
              <w:spacing w:after="0"/>
              <w:rPr>
                <w:sz w:val="1"/>
                <w:szCs w:val="1"/>
                <w:color w:val="auto"/>
              </w:rPr>
            </w:pPr>
          </w:p>
        </w:tc>
      </w:tr>
      <w:tr>
        <w:trPr>
          <w:trHeight w:val="229"/>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w:t>
            </w:r>
          </w:p>
        </w:tc>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980" w:type="dxa"/>
            <w:vAlign w:val="bottom"/>
            <w:shd w:val="clear" w:color="auto" w:fill="D1D2D4"/>
          </w:tcPr>
          <w:p>
            <w:pPr>
              <w:ind w:left="360"/>
              <w:spacing w:after="0"/>
              <w:rPr>
                <w:sz w:val="20"/>
                <w:szCs w:val="20"/>
                <w:color w:val="auto"/>
              </w:rPr>
            </w:pPr>
            <w:r>
              <w:rPr>
                <w:rFonts w:ascii="Arial" w:cs="Arial" w:eastAsia="Arial" w:hAnsi="Arial"/>
                <w:sz w:val="18"/>
                <w:szCs w:val="18"/>
                <w:color w:val="auto"/>
                <w:w w:val="98"/>
              </w:rPr>
              <w:t>4.975%</w:t>
            </w:r>
          </w:p>
        </w:tc>
        <w:tc>
          <w:tcPr>
            <w:tcW w:w="314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Senior Notes due 2026</w:t>
            </w:r>
          </w:p>
        </w:tc>
        <w:tc>
          <w:tcPr>
            <w:tcW w:w="1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MMJ</w:t>
            </w:r>
          </w:p>
        </w:tc>
        <w:tc>
          <w:tcPr>
            <w:tcW w:w="3900" w:type="dxa"/>
            <w:vAlign w:val="bottom"/>
            <w:shd w:val="clear" w:color="auto" w:fill="D1D2D4"/>
          </w:tcPr>
          <w:p>
            <w:pPr>
              <w:ind w:left="240"/>
              <w:spacing w:after="0"/>
              <w:rPr>
                <w:sz w:val="20"/>
                <w:szCs w:val="20"/>
                <w:color w:val="auto"/>
              </w:rPr>
            </w:pPr>
            <w:r>
              <w:rPr>
                <w:rFonts w:ascii="Arial" w:cs="Arial" w:eastAsia="Arial" w:hAnsi="Arial"/>
                <w:sz w:val="18"/>
                <w:szCs w:val="18"/>
                <w:color w:val="auto"/>
              </w:rPr>
              <w:t>Micron Memory Japan, G.K.</w:t>
            </w:r>
          </w:p>
        </w:tc>
        <w:tc>
          <w:tcPr>
            <w:tcW w:w="0" w:type="dxa"/>
            <w:vAlign w:val="bottom"/>
          </w:tcPr>
          <w:p>
            <w:pPr>
              <w:spacing w:after="0"/>
              <w:rPr>
                <w:sz w:val="1"/>
                <w:szCs w:val="1"/>
                <w:color w:val="auto"/>
              </w:rPr>
            </w:pP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2027</w:t>
            </w:r>
          </w:p>
        </w:tc>
        <w:tc>
          <w:tcPr>
            <w:tcW w:w="980" w:type="dxa"/>
            <w:vAlign w:val="bottom"/>
          </w:tcPr>
          <w:p>
            <w:pPr>
              <w:ind w:left="20"/>
              <w:spacing w:after="0"/>
              <w:rPr>
                <w:sz w:val="20"/>
                <w:szCs w:val="20"/>
                <w:color w:val="auto"/>
              </w:rPr>
            </w:pPr>
            <w:r>
              <w:rPr>
                <w:rFonts w:ascii="Arial" w:cs="Arial" w:eastAsia="Arial" w:hAnsi="Arial"/>
                <w:sz w:val="18"/>
                <w:szCs w:val="18"/>
                <w:color w:val="auto"/>
              </w:rPr>
              <w:t>Notes</w:t>
            </w:r>
          </w:p>
        </w:tc>
        <w:tc>
          <w:tcPr>
            <w:tcW w:w="980" w:type="dxa"/>
            <w:vAlign w:val="bottom"/>
          </w:tcPr>
          <w:p>
            <w:pPr>
              <w:ind w:left="360"/>
              <w:spacing w:after="0"/>
              <w:rPr>
                <w:sz w:val="20"/>
                <w:szCs w:val="20"/>
                <w:color w:val="auto"/>
              </w:rPr>
            </w:pPr>
            <w:r>
              <w:rPr>
                <w:rFonts w:ascii="Arial" w:cs="Arial" w:eastAsia="Arial" w:hAnsi="Arial"/>
                <w:sz w:val="18"/>
                <w:szCs w:val="18"/>
                <w:color w:val="auto"/>
                <w:w w:val="98"/>
              </w:rPr>
              <w:t>4.185%</w:t>
            </w:r>
          </w:p>
        </w:tc>
        <w:tc>
          <w:tcPr>
            <w:tcW w:w="3140" w:type="dxa"/>
            <w:vAlign w:val="bottom"/>
            <w:gridSpan w:val="2"/>
          </w:tcPr>
          <w:p>
            <w:pPr>
              <w:ind w:left="40"/>
              <w:spacing w:after="0"/>
              <w:rPr>
                <w:sz w:val="20"/>
                <w:szCs w:val="20"/>
                <w:color w:val="auto"/>
              </w:rPr>
            </w:pPr>
            <w:r>
              <w:rPr>
                <w:rFonts w:ascii="Arial" w:cs="Arial" w:eastAsia="Arial" w:hAnsi="Arial"/>
                <w:sz w:val="18"/>
                <w:szCs w:val="18"/>
                <w:color w:val="auto"/>
              </w:rPr>
              <w:t>Senior Notes due 2027</w:t>
            </w:r>
          </w:p>
        </w:tc>
        <w:tc>
          <w:tcPr>
            <w:tcW w:w="1580" w:type="dxa"/>
            <w:vAlign w:val="bottom"/>
          </w:tcPr>
          <w:p>
            <w:pPr>
              <w:ind w:left="20"/>
              <w:spacing w:after="0"/>
              <w:rPr>
                <w:sz w:val="20"/>
                <w:szCs w:val="20"/>
                <w:color w:val="auto"/>
              </w:rPr>
            </w:pPr>
            <w:r>
              <w:rPr>
                <w:rFonts w:ascii="Arial" w:cs="Arial" w:eastAsia="Arial" w:hAnsi="Arial"/>
                <w:sz w:val="18"/>
                <w:szCs w:val="18"/>
                <w:color w:val="auto"/>
              </w:rPr>
              <w:t>MMT</w:t>
            </w:r>
          </w:p>
        </w:tc>
        <w:tc>
          <w:tcPr>
            <w:tcW w:w="3900" w:type="dxa"/>
            <w:vAlign w:val="bottom"/>
          </w:tcPr>
          <w:p>
            <w:pPr>
              <w:ind w:left="240"/>
              <w:spacing w:after="0"/>
              <w:rPr>
                <w:sz w:val="20"/>
                <w:szCs w:val="20"/>
                <w:color w:val="auto"/>
              </w:rPr>
            </w:pPr>
            <w:r>
              <w:rPr>
                <w:rFonts w:ascii="Arial" w:cs="Arial" w:eastAsia="Arial" w:hAnsi="Arial"/>
                <w:sz w:val="18"/>
                <w:szCs w:val="18"/>
                <w:color w:val="auto"/>
              </w:rPr>
              <w:t>Micron Memory Taiwan Co., Ltd.</w:t>
            </w:r>
          </w:p>
        </w:tc>
        <w:tc>
          <w:tcPr>
            <w:tcW w:w="0" w:type="dxa"/>
            <w:vAlign w:val="bottom"/>
          </w:tcPr>
          <w:p>
            <w:pPr>
              <w:spacing w:after="0"/>
              <w:rPr>
                <w:sz w:val="1"/>
                <w:szCs w:val="1"/>
                <w:color w:val="auto"/>
              </w:rPr>
            </w:pPr>
          </w:p>
        </w:tc>
      </w:tr>
      <w:tr>
        <w:trPr>
          <w:trHeight w:val="229"/>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w:t>
            </w:r>
          </w:p>
        </w:tc>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980" w:type="dxa"/>
            <w:vAlign w:val="bottom"/>
            <w:shd w:val="clear" w:color="auto" w:fill="D1D2D4"/>
          </w:tcPr>
          <w:p>
            <w:pPr>
              <w:ind w:left="360"/>
              <w:spacing w:after="0"/>
              <w:rPr>
                <w:sz w:val="20"/>
                <w:szCs w:val="20"/>
                <w:color w:val="auto"/>
              </w:rPr>
            </w:pPr>
            <w:r>
              <w:rPr>
                <w:rFonts w:ascii="Arial" w:cs="Arial" w:eastAsia="Arial" w:hAnsi="Arial"/>
                <w:sz w:val="18"/>
                <w:szCs w:val="18"/>
                <w:color w:val="auto"/>
                <w:w w:val="98"/>
              </w:rPr>
              <w:t>5.327%</w:t>
            </w:r>
          </w:p>
        </w:tc>
        <w:tc>
          <w:tcPr>
            <w:tcW w:w="314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Senior Notes due 2029</w:t>
            </w:r>
          </w:p>
        </w:tc>
        <w:tc>
          <w:tcPr>
            <w:tcW w:w="1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MTTW</w:t>
            </w:r>
          </w:p>
        </w:tc>
        <w:tc>
          <w:tcPr>
            <w:tcW w:w="3900" w:type="dxa"/>
            <w:vAlign w:val="bottom"/>
            <w:shd w:val="clear" w:color="auto" w:fill="D1D2D4"/>
          </w:tcPr>
          <w:p>
            <w:pPr>
              <w:ind w:left="240"/>
              <w:spacing w:after="0"/>
              <w:rPr>
                <w:sz w:val="20"/>
                <w:szCs w:val="20"/>
                <w:color w:val="auto"/>
              </w:rPr>
            </w:pPr>
            <w:r>
              <w:rPr>
                <w:rFonts w:ascii="Arial" w:cs="Arial" w:eastAsia="Arial" w:hAnsi="Arial"/>
                <w:sz w:val="18"/>
                <w:szCs w:val="18"/>
                <w:color w:val="auto"/>
              </w:rPr>
              <w:t>Micron Technology Taiwan, Inc.</w:t>
            </w:r>
          </w:p>
        </w:tc>
        <w:tc>
          <w:tcPr>
            <w:tcW w:w="0" w:type="dxa"/>
            <w:vAlign w:val="bottom"/>
          </w:tcPr>
          <w:p>
            <w:pPr>
              <w:spacing w:after="0"/>
              <w:rPr>
                <w:sz w:val="1"/>
                <w:szCs w:val="1"/>
                <w:color w:val="auto"/>
              </w:rPr>
            </w:pPr>
          </w:p>
        </w:tc>
      </w:tr>
      <w:tr>
        <w:trPr>
          <w:trHeight w:val="257"/>
        </w:trPr>
        <w:tc>
          <w:tcPr>
            <w:tcW w:w="460" w:type="dxa"/>
            <w:vAlign w:val="bottom"/>
          </w:tcPr>
          <w:p>
            <w:pPr>
              <w:ind w:left="20"/>
              <w:spacing w:after="0"/>
              <w:rPr>
                <w:sz w:val="20"/>
                <w:szCs w:val="20"/>
                <w:color w:val="auto"/>
              </w:rPr>
            </w:pPr>
            <w:r>
              <w:rPr>
                <w:rFonts w:ascii="Arial" w:cs="Arial" w:eastAsia="Arial" w:hAnsi="Arial"/>
                <w:sz w:val="18"/>
                <w:szCs w:val="18"/>
                <w:color w:val="auto"/>
              </w:rPr>
              <w:t>2030</w:t>
            </w:r>
          </w:p>
        </w:tc>
        <w:tc>
          <w:tcPr>
            <w:tcW w:w="980" w:type="dxa"/>
            <w:vAlign w:val="bottom"/>
          </w:tcPr>
          <w:p>
            <w:pPr>
              <w:ind w:left="20"/>
              <w:spacing w:after="0"/>
              <w:rPr>
                <w:sz w:val="20"/>
                <w:szCs w:val="20"/>
                <w:color w:val="auto"/>
              </w:rPr>
            </w:pPr>
            <w:r>
              <w:rPr>
                <w:rFonts w:ascii="Arial" w:cs="Arial" w:eastAsia="Arial" w:hAnsi="Arial"/>
                <w:sz w:val="18"/>
                <w:szCs w:val="18"/>
                <w:color w:val="auto"/>
              </w:rPr>
              <w:t>Notes</w:t>
            </w:r>
          </w:p>
        </w:tc>
        <w:tc>
          <w:tcPr>
            <w:tcW w:w="980" w:type="dxa"/>
            <w:vAlign w:val="bottom"/>
          </w:tcPr>
          <w:p>
            <w:pPr>
              <w:ind w:left="360"/>
              <w:spacing w:after="0"/>
              <w:rPr>
                <w:sz w:val="20"/>
                <w:szCs w:val="20"/>
                <w:color w:val="auto"/>
              </w:rPr>
            </w:pPr>
            <w:r>
              <w:rPr>
                <w:rFonts w:ascii="Arial" w:cs="Arial" w:eastAsia="Arial" w:hAnsi="Arial"/>
                <w:sz w:val="18"/>
                <w:szCs w:val="18"/>
                <w:color w:val="auto"/>
                <w:w w:val="98"/>
              </w:rPr>
              <w:t>4.663%</w:t>
            </w:r>
          </w:p>
        </w:tc>
        <w:tc>
          <w:tcPr>
            <w:tcW w:w="3140" w:type="dxa"/>
            <w:vAlign w:val="bottom"/>
            <w:gridSpan w:val="2"/>
          </w:tcPr>
          <w:p>
            <w:pPr>
              <w:ind w:left="40"/>
              <w:spacing w:after="0"/>
              <w:rPr>
                <w:sz w:val="20"/>
                <w:szCs w:val="20"/>
                <w:color w:val="auto"/>
              </w:rPr>
            </w:pPr>
            <w:r>
              <w:rPr>
                <w:rFonts w:ascii="Arial" w:cs="Arial" w:eastAsia="Arial" w:hAnsi="Arial"/>
                <w:sz w:val="18"/>
                <w:szCs w:val="18"/>
                <w:color w:val="auto"/>
              </w:rPr>
              <w:t>Senior Notes due 2030</w:t>
            </w:r>
          </w:p>
        </w:tc>
        <w:tc>
          <w:tcPr>
            <w:tcW w:w="1580" w:type="dxa"/>
            <w:vAlign w:val="bottom"/>
          </w:tcPr>
          <w:p>
            <w:pPr>
              <w:ind w:left="20"/>
              <w:spacing w:after="0"/>
              <w:rPr>
                <w:sz w:val="20"/>
                <w:szCs w:val="20"/>
                <w:color w:val="auto"/>
              </w:rPr>
            </w:pPr>
            <w:r>
              <w:rPr>
                <w:rFonts w:ascii="Arial" w:cs="Arial" w:eastAsia="Arial" w:hAnsi="Arial"/>
                <w:sz w:val="18"/>
                <w:szCs w:val="18"/>
                <w:color w:val="auto"/>
              </w:rPr>
              <w:t>MTU</w:t>
            </w:r>
          </w:p>
        </w:tc>
        <w:tc>
          <w:tcPr>
            <w:tcW w:w="3900" w:type="dxa"/>
            <w:vAlign w:val="bottom"/>
          </w:tcPr>
          <w:p>
            <w:pPr>
              <w:ind w:left="240"/>
              <w:spacing w:after="0"/>
              <w:rPr>
                <w:sz w:val="20"/>
                <w:szCs w:val="20"/>
                <w:color w:val="auto"/>
              </w:rPr>
            </w:pPr>
            <w:r>
              <w:rPr>
                <w:rFonts w:ascii="Arial" w:cs="Arial" w:eastAsia="Arial" w:hAnsi="Arial"/>
                <w:sz w:val="18"/>
                <w:szCs w:val="18"/>
                <w:color w:val="auto"/>
              </w:rPr>
              <w:t>Micron Technology Utah, LLC</w:t>
            </w:r>
          </w:p>
        </w:tc>
        <w:tc>
          <w:tcPr>
            <w:tcW w:w="0" w:type="dxa"/>
            <w:vAlign w:val="bottom"/>
          </w:tcPr>
          <w:p>
            <w:pPr>
              <w:spacing w:after="0"/>
              <w:rPr>
                <w:sz w:val="1"/>
                <w:szCs w:val="1"/>
                <w:color w:val="auto"/>
              </w:rPr>
            </w:pPr>
          </w:p>
        </w:tc>
      </w:tr>
      <w:tr>
        <w:trPr>
          <w:trHeight w:val="229"/>
        </w:trPr>
        <w:tc>
          <w:tcPr>
            <w:tcW w:w="14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2032D Notes</w:t>
            </w:r>
          </w:p>
        </w:tc>
        <w:tc>
          <w:tcPr>
            <w:tcW w:w="980" w:type="dxa"/>
            <w:vAlign w:val="bottom"/>
            <w:shd w:val="clear" w:color="auto" w:fill="D1D2D4"/>
          </w:tcPr>
          <w:p>
            <w:pPr>
              <w:ind w:left="360"/>
              <w:spacing w:after="0"/>
              <w:rPr>
                <w:sz w:val="20"/>
                <w:szCs w:val="20"/>
                <w:color w:val="auto"/>
              </w:rPr>
            </w:pPr>
            <w:r>
              <w:rPr>
                <w:rFonts w:ascii="Arial" w:cs="Arial" w:eastAsia="Arial" w:hAnsi="Arial"/>
                <w:sz w:val="18"/>
                <w:szCs w:val="18"/>
                <w:color w:val="auto"/>
                <w:w w:val="98"/>
              </w:rPr>
              <w:t>3.125%</w:t>
            </w:r>
          </w:p>
        </w:tc>
        <w:tc>
          <w:tcPr>
            <w:tcW w:w="314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Convertible Senior Notes due 2032</w:t>
            </w:r>
          </w:p>
        </w:tc>
        <w:tc>
          <w:tcPr>
            <w:tcW w:w="1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Qimonda</w:t>
            </w:r>
          </w:p>
        </w:tc>
        <w:tc>
          <w:tcPr>
            <w:tcW w:w="3900" w:type="dxa"/>
            <w:vAlign w:val="bottom"/>
            <w:shd w:val="clear" w:color="auto" w:fill="D1D2D4"/>
          </w:tcPr>
          <w:p>
            <w:pPr>
              <w:ind w:left="240"/>
              <w:spacing w:after="0"/>
              <w:rPr>
                <w:sz w:val="20"/>
                <w:szCs w:val="20"/>
                <w:color w:val="auto"/>
              </w:rPr>
            </w:pPr>
            <w:r>
              <w:rPr>
                <w:rFonts w:ascii="Arial" w:cs="Arial" w:eastAsia="Arial" w:hAnsi="Arial"/>
                <w:sz w:val="18"/>
                <w:szCs w:val="18"/>
                <w:color w:val="auto"/>
              </w:rPr>
              <w:t>Qimonda AG</w:t>
            </w:r>
          </w:p>
        </w:tc>
        <w:tc>
          <w:tcPr>
            <w:tcW w:w="0" w:type="dxa"/>
            <w:vAlign w:val="bottom"/>
          </w:tcPr>
          <w:p>
            <w:pPr>
              <w:spacing w:after="0"/>
              <w:rPr>
                <w:sz w:val="1"/>
                <w:szCs w:val="1"/>
                <w:color w:val="auto"/>
              </w:rPr>
            </w:pPr>
          </w:p>
        </w:tc>
      </w:tr>
      <w:tr>
        <w:trPr>
          <w:trHeight w:val="230"/>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2033F Notes</w:t>
            </w:r>
          </w:p>
        </w:tc>
        <w:tc>
          <w:tcPr>
            <w:tcW w:w="980" w:type="dxa"/>
            <w:vAlign w:val="bottom"/>
          </w:tcPr>
          <w:p>
            <w:pPr>
              <w:ind w:left="360"/>
              <w:spacing w:after="0"/>
              <w:rPr>
                <w:sz w:val="20"/>
                <w:szCs w:val="20"/>
                <w:color w:val="auto"/>
              </w:rPr>
            </w:pPr>
            <w:r>
              <w:rPr>
                <w:rFonts w:ascii="Arial" w:cs="Arial" w:eastAsia="Arial" w:hAnsi="Arial"/>
                <w:sz w:val="18"/>
                <w:szCs w:val="18"/>
                <w:color w:val="auto"/>
                <w:w w:val="98"/>
              </w:rPr>
              <w:t>2.125%</w:t>
            </w:r>
          </w:p>
        </w:tc>
        <w:tc>
          <w:tcPr>
            <w:tcW w:w="3140" w:type="dxa"/>
            <w:vAlign w:val="bottom"/>
            <w:gridSpan w:val="2"/>
          </w:tcPr>
          <w:p>
            <w:pPr>
              <w:ind w:left="40"/>
              <w:spacing w:after="0"/>
              <w:rPr>
                <w:sz w:val="20"/>
                <w:szCs w:val="20"/>
                <w:color w:val="auto"/>
              </w:rPr>
            </w:pPr>
            <w:r>
              <w:rPr>
                <w:rFonts w:ascii="Arial" w:cs="Arial" w:eastAsia="Arial" w:hAnsi="Arial"/>
                <w:sz w:val="18"/>
                <w:szCs w:val="18"/>
                <w:color w:val="auto"/>
              </w:rPr>
              <w:t>Convertible Senior Notes due 2033</w:t>
            </w:r>
          </w:p>
        </w:tc>
        <w:tc>
          <w:tcPr>
            <w:tcW w:w="1580" w:type="dxa"/>
            <w:vAlign w:val="bottom"/>
          </w:tcPr>
          <w:p>
            <w:pPr>
              <w:ind w:left="20"/>
              <w:spacing w:after="0"/>
              <w:rPr>
                <w:sz w:val="20"/>
                <w:szCs w:val="20"/>
                <w:color w:val="auto"/>
              </w:rPr>
            </w:pPr>
            <w:r>
              <w:rPr>
                <w:rFonts w:ascii="Arial" w:cs="Arial" w:eastAsia="Arial" w:hAnsi="Arial"/>
                <w:sz w:val="18"/>
                <w:szCs w:val="18"/>
                <w:color w:val="auto"/>
              </w:rPr>
              <w:t>SSD</w:t>
            </w:r>
          </w:p>
        </w:tc>
        <w:tc>
          <w:tcPr>
            <w:tcW w:w="3900" w:type="dxa"/>
            <w:vAlign w:val="bottom"/>
          </w:tcPr>
          <w:p>
            <w:pPr>
              <w:ind w:left="240"/>
              <w:spacing w:after="0"/>
              <w:rPr>
                <w:sz w:val="20"/>
                <w:szCs w:val="20"/>
                <w:color w:val="auto"/>
              </w:rPr>
            </w:pPr>
            <w:r>
              <w:rPr>
                <w:rFonts w:ascii="Arial" w:cs="Arial" w:eastAsia="Arial" w:hAnsi="Arial"/>
                <w:sz w:val="18"/>
                <w:szCs w:val="18"/>
                <w:color w:val="auto"/>
              </w:rPr>
              <w:t>Solid State Drive</w:t>
            </w:r>
          </w:p>
        </w:tc>
        <w:tc>
          <w:tcPr>
            <w:tcW w:w="0" w:type="dxa"/>
            <w:vAlign w:val="bottom"/>
          </w:tcPr>
          <w:p>
            <w:pPr>
              <w:spacing w:after="0"/>
              <w:rPr>
                <w:sz w:val="1"/>
                <w:szCs w:val="1"/>
                <w:color w:val="auto"/>
              </w:rPr>
            </w:pPr>
          </w:p>
        </w:tc>
      </w:tr>
      <w:tr>
        <w:trPr>
          <w:trHeight w:val="188"/>
        </w:trPr>
        <w:tc>
          <w:tcPr>
            <w:tcW w:w="460" w:type="dxa"/>
            <w:vAlign w:val="bottom"/>
            <w:vMerge w:val="restart"/>
            <w:shd w:val="clear" w:color="auto" w:fill="D1D2D4"/>
          </w:tcPr>
          <w:p>
            <w:pPr>
              <w:ind w:left="20"/>
              <w:spacing w:after="0"/>
              <w:rPr>
                <w:sz w:val="20"/>
                <w:szCs w:val="20"/>
                <w:color w:val="auto"/>
              </w:rPr>
            </w:pPr>
            <w:r>
              <w:rPr>
                <w:rFonts w:ascii="Arial" w:cs="Arial" w:eastAsia="Arial" w:hAnsi="Arial"/>
                <w:sz w:val="18"/>
                <w:szCs w:val="18"/>
                <w:color w:val="auto"/>
              </w:rPr>
              <w:t>DDR</w:t>
            </w:r>
          </w:p>
        </w:tc>
        <w:tc>
          <w:tcPr>
            <w:tcW w:w="980" w:type="dxa"/>
            <w:vAlign w:val="bottom"/>
            <w:shd w:val="clear" w:color="auto" w:fill="D1D2D4"/>
          </w:tcPr>
          <w:p>
            <w:pPr>
              <w:spacing w:after="0"/>
              <w:rPr>
                <w:sz w:val="16"/>
                <w:szCs w:val="16"/>
                <w:color w:val="auto"/>
              </w:rPr>
            </w:pPr>
          </w:p>
        </w:tc>
        <w:tc>
          <w:tcPr>
            <w:tcW w:w="4120" w:type="dxa"/>
            <w:vAlign w:val="bottom"/>
            <w:gridSpan w:val="3"/>
            <w:vMerge w:val="restart"/>
            <w:shd w:val="clear" w:color="auto" w:fill="D1D2D4"/>
          </w:tcPr>
          <w:p>
            <w:pPr>
              <w:ind w:left="360"/>
              <w:spacing w:after="0"/>
              <w:rPr>
                <w:sz w:val="20"/>
                <w:szCs w:val="20"/>
                <w:color w:val="auto"/>
              </w:rPr>
            </w:pPr>
            <w:r>
              <w:rPr>
                <w:rFonts w:ascii="Arial" w:cs="Arial" w:eastAsia="Arial" w:hAnsi="Arial"/>
                <w:sz w:val="18"/>
                <w:szCs w:val="18"/>
                <w:color w:val="auto"/>
              </w:rPr>
              <w:t>Double Data Rate</w:t>
            </w:r>
          </w:p>
        </w:tc>
        <w:tc>
          <w:tcPr>
            <w:tcW w:w="15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Revolving Credit</w:t>
            </w:r>
          </w:p>
        </w:tc>
        <w:tc>
          <w:tcPr>
            <w:tcW w:w="3900" w:type="dxa"/>
            <w:vAlign w:val="bottom"/>
            <w:shd w:val="clear" w:color="auto" w:fill="D1D2D4"/>
          </w:tcPr>
          <w:p>
            <w:pPr>
              <w:ind w:left="240"/>
              <w:spacing w:after="0" w:line="189" w:lineRule="exact"/>
              <w:rPr>
                <w:sz w:val="20"/>
                <w:szCs w:val="20"/>
                <w:color w:val="auto"/>
              </w:rPr>
            </w:pPr>
            <w:r>
              <w:rPr>
                <w:rFonts w:ascii="Arial" w:cs="Arial" w:eastAsia="Arial" w:hAnsi="Arial"/>
                <w:sz w:val="18"/>
                <w:szCs w:val="18"/>
                <w:color w:val="auto"/>
              </w:rPr>
              <w:t>$2.5 billion Revolving Credit Facility due July</w:t>
            </w:r>
          </w:p>
        </w:tc>
        <w:tc>
          <w:tcPr>
            <w:tcW w:w="0" w:type="dxa"/>
            <w:vAlign w:val="bottom"/>
          </w:tcPr>
          <w:p>
            <w:pPr>
              <w:spacing w:after="0"/>
              <w:rPr>
                <w:sz w:val="1"/>
                <w:szCs w:val="1"/>
                <w:color w:val="auto"/>
              </w:rPr>
            </w:pPr>
          </w:p>
        </w:tc>
      </w:tr>
      <w:tr>
        <w:trPr>
          <w:trHeight w:val="217"/>
        </w:trPr>
        <w:tc>
          <w:tcPr>
            <w:tcW w:w="460" w:type="dxa"/>
            <w:vAlign w:val="bottom"/>
            <w:vMerge w:val="continue"/>
            <w:shd w:val="clear" w:color="auto" w:fill="D1D2D4"/>
          </w:tcPr>
          <w:p>
            <w:pPr>
              <w:spacing w:after="0"/>
              <w:rPr>
                <w:sz w:val="18"/>
                <w:szCs w:val="18"/>
                <w:color w:val="auto"/>
              </w:rPr>
            </w:pPr>
          </w:p>
        </w:tc>
        <w:tc>
          <w:tcPr>
            <w:tcW w:w="980" w:type="dxa"/>
            <w:vAlign w:val="bottom"/>
            <w:shd w:val="clear" w:color="auto" w:fill="D1D2D4"/>
          </w:tcPr>
          <w:p>
            <w:pPr>
              <w:spacing w:after="0"/>
              <w:rPr>
                <w:sz w:val="18"/>
                <w:szCs w:val="18"/>
                <w:color w:val="auto"/>
              </w:rPr>
            </w:pPr>
          </w:p>
        </w:tc>
        <w:tc>
          <w:tcPr>
            <w:tcW w:w="4120" w:type="dxa"/>
            <w:vAlign w:val="bottom"/>
            <w:gridSpan w:val="3"/>
            <w:vMerge w:val="continue"/>
            <w:shd w:val="clear" w:color="auto" w:fill="D1D2D4"/>
          </w:tcPr>
          <w:p>
            <w:pPr>
              <w:spacing w:after="0"/>
              <w:rPr>
                <w:sz w:val="18"/>
                <w:szCs w:val="18"/>
                <w:color w:val="auto"/>
              </w:rPr>
            </w:pPr>
          </w:p>
        </w:tc>
        <w:tc>
          <w:tcPr>
            <w:tcW w:w="1580" w:type="dxa"/>
            <w:vAlign w:val="bottom"/>
            <w:shd w:val="clear" w:color="auto" w:fill="D1D2D4"/>
          </w:tcPr>
          <w:p>
            <w:pPr>
              <w:ind w:left="160"/>
              <w:spacing w:after="0"/>
              <w:rPr>
                <w:sz w:val="20"/>
                <w:szCs w:val="20"/>
                <w:color w:val="auto"/>
              </w:rPr>
            </w:pPr>
            <w:r>
              <w:rPr>
                <w:rFonts w:ascii="Arial" w:cs="Arial" w:eastAsia="Arial" w:hAnsi="Arial"/>
                <w:sz w:val="18"/>
                <w:szCs w:val="18"/>
                <w:color w:val="auto"/>
              </w:rPr>
              <w:t>Facility</w:t>
            </w:r>
          </w:p>
        </w:tc>
        <w:tc>
          <w:tcPr>
            <w:tcW w:w="39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30"/>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GDDR</w:t>
            </w:r>
          </w:p>
        </w:tc>
        <w:tc>
          <w:tcPr>
            <w:tcW w:w="4120" w:type="dxa"/>
            <w:vAlign w:val="bottom"/>
            <w:gridSpan w:val="3"/>
          </w:tcPr>
          <w:p>
            <w:pPr>
              <w:ind w:left="360"/>
              <w:spacing w:after="0"/>
              <w:rPr>
                <w:sz w:val="20"/>
                <w:szCs w:val="20"/>
                <w:color w:val="auto"/>
              </w:rPr>
            </w:pPr>
            <w:r>
              <w:rPr>
                <w:rFonts w:ascii="Arial" w:cs="Arial" w:eastAsia="Arial" w:hAnsi="Arial"/>
                <w:sz w:val="18"/>
                <w:szCs w:val="18"/>
                <w:color w:val="auto"/>
              </w:rPr>
              <w:t>Graphics Double Data Rate</w:t>
            </w:r>
          </w:p>
        </w:tc>
        <w:tc>
          <w:tcPr>
            <w:tcW w:w="1580" w:type="dxa"/>
            <w:vAlign w:val="bottom"/>
          </w:tcPr>
          <w:p>
            <w:pPr>
              <w:ind w:left="20"/>
              <w:spacing w:after="0"/>
              <w:rPr>
                <w:sz w:val="20"/>
                <w:szCs w:val="20"/>
                <w:color w:val="auto"/>
              </w:rPr>
            </w:pPr>
            <w:r>
              <w:rPr>
                <w:rFonts w:ascii="Arial" w:cs="Arial" w:eastAsia="Arial" w:hAnsi="Arial"/>
                <w:sz w:val="18"/>
                <w:szCs w:val="18"/>
                <w:color w:val="auto"/>
              </w:rPr>
              <w:t>VIE</w:t>
            </w:r>
          </w:p>
        </w:tc>
        <w:tc>
          <w:tcPr>
            <w:tcW w:w="3900" w:type="dxa"/>
            <w:vAlign w:val="bottom"/>
          </w:tcPr>
          <w:p>
            <w:pPr>
              <w:ind w:left="240"/>
              <w:spacing w:after="0"/>
              <w:rPr>
                <w:sz w:val="20"/>
                <w:szCs w:val="20"/>
                <w:color w:val="auto"/>
              </w:rPr>
            </w:pPr>
            <w:r>
              <w:rPr>
                <w:rFonts w:ascii="Arial" w:cs="Arial" w:eastAsia="Arial" w:hAnsi="Arial"/>
                <w:sz w:val="18"/>
                <w:szCs w:val="18"/>
                <w:color w:val="auto"/>
              </w:rPr>
              <w:t>Variable Interest Entity</w:t>
            </w: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Crucial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24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Micron and the Micron orbit logo are trademarks of Micron Technology, Inc. 3D XPoint is a trademark of Intel in the United States and/or other countries. All other trademarks are the property of their respective owners.</w:t>
      </w:r>
    </w:p>
    <w:p>
      <w:pPr>
        <w:spacing w:after="0" w:line="19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28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SEC filings, press releases, public conference calls,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0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8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Forward-looking statements include, but are not limited to, statements such as those made regarding the impact of coronavirus disease 2019 (“COVID-19”) to our business; the sufficiency of our cash and investments, cash flows from operations, and available financing; and capital spending in 2020. We are under no obligation to update these forward-looking statements.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19" w:right="399" w:bottom="1440" w:gutter="0" w:footer="0" w:header="0"/>
        </w:sectPr>
      </w:pPr>
    </w:p>
    <w:bookmarkStart w:id="4" w:name="page5"/>
    <w:bookmarkEnd w:id="4"/>
    <w:p>
      <w:pPr>
        <w:spacing w:after="0"/>
        <w:rPr>
          <w:sz w:val="20"/>
          <w:szCs w:val="20"/>
          <w:color w:val="auto"/>
        </w:rPr>
      </w:pPr>
      <w:r>
        <w:rPr>
          <w:rFonts w:ascii="Arial" w:cs="Arial" w:eastAsia="Arial" w:hAnsi="Arial"/>
          <w:sz w:val="29"/>
          <w:szCs w:val="29"/>
          <w:b w:val="1"/>
          <w:bCs w:val="1"/>
          <w:color w:val="auto"/>
        </w:rPr>
        <w:t>PART I. FINANCIAL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60" w:type="dxa"/>
            <w:vAlign w:val="bottom"/>
          </w:tcPr>
          <w:p>
            <w:pPr>
              <w:spacing w:after="0"/>
              <w:rPr>
                <w:sz w:val="21"/>
                <w:szCs w:val="21"/>
                <w:color w:val="auto"/>
              </w:rPr>
            </w:pPr>
          </w:p>
        </w:tc>
        <w:tc>
          <w:tcPr>
            <w:tcW w:w="260" w:type="dxa"/>
            <w:vAlign w:val="bottom"/>
            <w:tcBorders>
              <w:bottom w:val="single" w:sz="8" w:color="0094FF"/>
            </w:tcBorders>
          </w:tcPr>
          <w:p>
            <w:pPr>
              <w:spacing w:after="0"/>
              <w:rPr>
                <w:sz w:val="21"/>
                <w:szCs w:val="21"/>
                <w:color w:val="auto"/>
              </w:rPr>
            </w:pPr>
          </w:p>
        </w:tc>
        <w:tc>
          <w:tcPr>
            <w:tcW w:w="2640" w:type="dxa"/>
            <w:vAlign w:val="bottom"/>
            <w:tcBorders>
              <w:bottom w:val="single" w:sz="8" w:color="0094FF"/>
            </w:tcBorders>
            <w:gridSpan w:val="3"/>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1"/>
                <w:szCs w:val="21"/>
                <w:color w:val="auto"/>
              </w:rPr>
            </w:pPr>
          </w:p>
        </w:tc>
        <w:tc>
          <w:tcPr>
            <w:tcW w:w="240" w:type="dxa"/>
            <w:vAlign w:val="bottom"/>
            <w:tcBorders>
              <w:bottom w:val="single" w:sz="8" w:color="0094FF"/>
            </w:tcBorders>
          </w:tcPr>
          <w:p>
            <w:pPr>
              <w:spacing w:after="0"/>
              <w:rPr>
                <w:sz w:val="21"/>
                <w:szCs w:val="21"/>
                <w:color w:val="auto"/>
              </w:rPr>
            </w:pPr>
          </w:p>
        </w:tc>
        <w:tc>
          <w:tcPr>
            <w:tcW w:w="2640" w:type="dxa"/>
            <w:vAlign w:val="bottom"/>
            <w:tcBorders>
              <w:bottom w:val="single" w:sz="8" w:color="0094FF"/>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40" w:type="dxa"/>
            <w:vAlign w:val="bottom"/>
          </w:tcPr>
          <w:p>
            <w:pPr>
              <w:spacing w:after="0"/>
              <w:rPr>
                <w:sz w:val="17"/>
                <w:szCs w:val="17"/>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30,</w:t>
            </w:r>
          </w:p>
        </w:tc>
      </w:tr>
      <w:tr>
        <w:trPr>
          <w:trHeight w:val="246"/>
        </w:trPr>
        <w:tc>
          <w:tcPr>
            <w:tcW w:w="5360" w:type="dxa"/>
            <w:vAlign w:val="bottom"/>
            <w:tcBorders>
              <w:bottom w:val="single" w:sz="8" w:color="0090DA"/>
            </w:tcBorders>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1"/>
        </w:trPr>
        <w:tc>
          <w:tcPr>
            <w:tcW w:w="5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5,438</w:t>
            </w:r>
          </w:p>
        </w:tc>
        <w:tc>
          <w:tcPr>
            <w:tcW w:w="3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4,788</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15,379</w:t>
            </w:r>
          </w:p>
        </w:tc>
        <w:tc>
          <w:tcPr>
            <w:tcW w:w="3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18,536</w:t>
            </w:r>
          </w:p>
        </w:tc>
      </w:tr>
      <w:tr>
        <w:trPr>
          <w:trHeight w:val="250"/>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3,675</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D1D2D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10,895</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9,229</w:t>
            </w:r>
          </w:p>
        </w:tc>
      </w:tr>
      <w:tr>
        <w:trPr>
          <w:trHeight w:val="257"/>
        </w:trPr>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1,763</w:t>
            </w: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4,484</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9,307</w:t>
            </w:r>
          </w:p>
        </w:tc>
      </w:tr>
      <w:tr>
        <w:trPr>
          <w:trHeight w:val="256"/>
        </w:trPr>
        <w:tc>
          <w:tcPr>
            <w:tcW w:w="5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650</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624</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3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1,970</w:t>
            </w:r>
          </w:p>
        </w:tc>
        <w:tc>
          <w:tcPr>
            <w:tcW w:w="3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1,818</w:t>
            </w: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26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shd w:val="clear" w:color="auto" w:fill="D1D2D4"/>
          </w:tcPr>
          <w:p>
            <w:pPr>
              <w:spacing w:after="0"/>
              <w:rPr>
                <w:sz w:val="22"/>
                <w:szCs w:val="22"/>
                <w:color w:val="auto"/>
              </w:rPr>
            </w:pP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shd w:val="clear" w:color="auto" w:fill="D1D2D4"/>
          </w:tcPr>
          <w:p>
            <w:pPr>
              <w:spacing w:after="0"/>
              <w:rPr>
                <w:sz w:val="22"/>
                <w:szCs w:val="22"/>
                <w:color w:val="auto"/>
              </w:rPr>
            </w:pPr>
          </w:p>
        </w:tc>
        <w:tc>
          <w:tcPr>
            <w:tcW w:w="24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shd w:val="clear" w:color="auto" w:fill="D1D2D4"/>
          </w:tcPr>
          <w:p>
            <w:pPr>
              <w:spacing w:after="0"/>
              <w:rPr>
                <w:sz w:val="22"/>
                <w:szCs w:val="22"/>
                <w:color w:val="auto"/>
              </w:rPr>
            </w:pPr>
          </w:p>
        </w:tc>
        <w:tc>
          <w:tcPr>
            <w:tcW w:w="11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139</w:t>
            </w:r>
          </w:p>
        </w:tc>
      </w:tr>
      <w:tr>
        <w:trPr>
          <w:trHeight w:val="250"/>
        </w:trPr>
        <w:tc>
          <w:tcPr>
            <w:tcW w:w="536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888</w:t>
            </w:r>
          </w:p>
        </w:tc>
        <w:tc>
          <w:tcPr>
            <w:tcW w:w="3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1,846</w:t>
            </w:r>
          </w:p>
        </w:tc>
        <w:tc>
          <w:tcPr>
            <w:tcW w:w="3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6,726</w:t>
            </w:r>
          </w:p>
        </w:tc>
      </w:tr>
      <w:tr>
        <w:trPr>
          <w:trHeight w:val="263"/>
        </w:trPr>
        <w:tc>
          <w:tcPr>
            <w:tcW w:w="536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148</w:t>
            </w:r>
          </w:p>
        </w:tc>
      </w:tr>
      <w:tr>
        <w:trPr>
          <w:trHeight w:val="263"/>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(89)</w:t>
            </w:r>
          </w:p>
        </w:tc>
      </w:tr>
      <w:tr>
        <w:trPr>
          <w:trHeight w:val="250"/>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D1D2D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w:t>
            </w:r>
          </w:p>
        </w:tc>
      </w:tr>
      <w:tr>
        <w:trPr>
          <w:trHeight w:val="256"/>
        </w:trPr>
        <w:tc>
          <w:tcPr>
            <w:tcW w:w="536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870</w:t>
            </w: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1,858</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6,393</w:t>
            </w:r>
          </w:p>
        </w:tc>
      </w:tr>
      <w:tr>
        <w:trPr>
          <w:trHeight w:val="257"/>
        </w:trPr>
        <w:tc>
          <w:tcPr>
            <w:tcW w:w="5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(622)</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56"/>
        </w:trPr>
        <w:tc>
          <w:tcPr>
            <w:tcW w:w="5360" w:type="dxa"/>
            <w:vAlign w:val="bottom"/>
            <w:tcBorders>
              <w:top w:val="single" w:sz="8" w:color="D1D2D4"/>
            </w:tcBorders>
            <w:shd w:val="clear" w:color="auto" w:fill="D1D2D4"/>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shd w:val="clear" w:color="auto" w:fill="D1D2D4"/>
          </w:tcPr>
          <w:p>
            <w:pPr>
              <w:spacing w:after="0"/>
              <w:rPr>
                <w:sz w:val="22"/>
                <w:szCs w:val="22"/>
                <w:color w:val="auto"/>
              </w:rPr>
            </w:pPr>
          </w:p>
        </w:tc>
        <w:tc>
          <w:tcPr>
            <w:tcW w:w="1140" w:type="dxa"/>
            <w:vAlign w:val="bottom"/>
            <w:tcBorders>
              <w:top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805</w:t>
            </w:r>
          </w:p>
        </w:tc>
        <w:tc>
          <w:tcPr>
            <w:tcW w:w="300" w:type="dxa"/>
            <w:vAlign w:val="bottom"/>
            <w:tcBorders>
              <w:top w:val="single" w:sz="8" w:color="auto"/>
            </w:tcBorders>
            <w:shd w:val="clear" w:color="auto" w:fill="D1D2D4"/>
          </w:tcPr>
          <w:p>
            <w:pPr>
              <w:spacing w:after="0"/>
              <w:rPr>
                <w:sz w:val="22"/>
                <w:szCs w:val="22"/>
                <w:color w:val="auto"/>
              </w:rPr>
            </w:pPr>
          </w:p>
        </w:tc>
        <w:tc>
          <w:tcPr>
            <w:tcW w:w="1200" w:type="dxa"/>
            <w:vAlign w:val="bottom"/>
            <w:tcBorders>
              <w:top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851</w:t>
            </w:r>
          </w:p>
        </w:tc>
        <w:tc>
          <w:tcPr>
            <w:tcW w:w="100" w:type="dxa"/>
            <w:vAlign w:val="bottom"/>
            <w:tcBorders>
              <w:top w:val="single" w:sz="8" w:color="D1D2D4"/>
            </w:tcBorders>
            <w:shd w:val="clear" w:color="auto" w:fill="D1D2D4"/>
          </w:tcPr>
          <w:p>
            <w:pPr>
              <w:spacing w:after="0"/>
              <w:rPr>
                <w:sz w:val="22"/>
                <w:szCs w:val="22"/>
                <w:color w:val="auto"/>
              </w:rPr>
            </w:pPr>
          </w:p>
        </w:tc>
        <w:tc>
          <w:tcPr>
            <w:tcW w:w="240" w:type="dxa"/>
            <w:vAlign w:val="bottom"/>
            <w:tcBorders>
              <w:top w:val="single" w:sz="8" w:color="auto"/>
            </w:tcBorders>
            <w:shd w:val="clear" w:color="auto" w:fill="D1D2D4"/>
          </w:tcPr>
          <w:p>
            <w:pPr>
              <w:spacing w:after="0"/>
              <w:rPr>
                <w:sz w:val="22"/>
                <w:szCs w:val="22"/>
                <w:color w:val="auto"/>
              </w:rPr>
            </w:pPr>
          </w:p>
        </w:tc>
        <w:tc>
          <w:tcPr>
            <w:tcW w:w="1160" w:type="dxa"/>
            <w:vAlign w:val="bottom"/>
            <w:tcBorders>
              <w:top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1,720</w:t>
            </w:r>
          </w:p>
        </w:tc>
        <w:tc>
          <w:tcPr>
            <w:tcW w:w="300" w:type="dxa"/>
            <w:vAlign w:val="bottom"/>
            <w:tcBorders>
              <w:top w:val="single" w:sz="8" w:color="auto"/>
            </w:tcBorders>
            <w:shd w:val="clear" w:color="auto" w:fill="D1D2D4"/>
          </w:tcPr>
          <w:p>
            <w:pPr>
              <w:spacing w:after="0"/>
              <w:rPr>
                <w:sz w:val="22"/>
                <w:szCs w:val="22"/>
                <w:color w:val="auto"/>
              </w:rPr>
            </w:pPr>
          </w:p>
        </w:tc>
        <w:tc>
          <w:tcPr>
            <w:tcW w:w="1180" w:type="dxa"/>
            <w:vAlign w:val="bottom"/>
            <w:tcBorders>
              <w:top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5,772</w:t>
            </w:r>
          </w:p>
        </w:tc>
      </w:tr>
      <w:tr>
        <w:trPr>
          <w:trHeight w:val="257"/>
        </w:trPr>
        <w:tc>
          <w:tcPr>
            <w:tcW w:w="5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shd w:val="clear" w:color="auto" w:fill="D1D2D4"/>
          </w:tcPr>
          <w:p>
            <w:pPr>
              <w:spacing w:after="0"/>
              <w:rPr>
                <w:sz w:val="21"/>
                <w:szCs w:val="21"/>
                <w:color w:val="auto"/>
              </w:rPr>
            </w:pPr>
          </w:p>
        </w:tc>
        <w:tc>
          <w:tcPr>
            <w:tcW w:w="120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(20)</w:t>
            </w:r>
          </w:p>
        </w:tc>
      </w:tr>
      <w:tr>
        <w:trPr>
          <w:trHeight w:val="256"/>
        </w:trPr>
        <w:tc>
          <w:tcPr>
            <w:tcW w:w="5360" w:type="dxa"/>
            <w:vAlign w:val="bottom"/>
          </w:tcPr>
          <w:p>
            <w:pPr>
              <w:ind w:left="220"/>
              <w:spacing w:after="0"/>
              <w:rPr>
                <w:sz w:val="20"/>
                <w:szCs w:val="20"/>
                <w:color w:val="auto"/>
              </w:rPr>
            </w:pPr>
            <w:r>
              <w:rPr>
                <w:rFonts w:ascii="Arial" w:cs="Arial" w:eastAsia="Arial" w:hAnsi="Arial"/>
                <w:sz w:val="18"/>
                <w:szCs w:val="18"/>
                <w:color w:val="auto"/>
              </w:rPr>
              <w:t>Net income attributable to Micron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5,752</w:t>
            </w:r>
          </w:p>
        </w:tc>
      </w:tr>
      <w:tr>
        <w:trPr>
          <w:trHeight w:val="20"/>
        </w:trPr>
        <w:tc>
          <w:tcPr>
            <w:tcW w:w="5360" w:type="dxa"/>
            <w:vAlign w:val="bottom"/>
            <w:tcBorders>
              <w:bottom w:val="single" w:sz="8" w:color="D1D2D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53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0.72</w:t>
            </w:r>
          </w:p>
        </w:tc>
        <w:tc>
          <w:tcPr>
            <w:tcW w:w="3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5.15</w:t>
            </w:r>
          </w:p>
        </w:tc>
      </w:tr>
      <w:tr>
        <w:trPr>
          <w:trHeight w:val="250"/>
        </w:trPr>
        <w:tc>
          <w:tcPr>
            <w:tcW w:w="5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0.71</w:t>
            </w:r>
          </w:p>
        </w:tc>
        <w:tc>
          <w:tcPr>
            <w:tcW w:w="3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5.01</w:t>
            </w:r>
          </w:p>
        </w:tc>
      </w:tr>
      <w:tr>
        <w:trPr>
          <w:trHeight w:val="263"/>
        </w:trPr>
        <w:tc>
          <w:tcPr>
            <w:tcW w:w="536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1,111</w:t>
            </w: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1,110</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1,117</w:t>
            </w: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1,129</w:t>
            </w:r>
          </w:p>
        </w:tc>
        <w:tc>
          <w:tcPr>
            <w:tcW w:w="3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1,131</w:t>
            </w:r>
          </w:p>
        </w:tc>
        <w:tc>
          <w:tcPr>
            <w:tcW w:w="3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09"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10160"/>
        <w:spacing w:after="0"/>
        <w:rPr>
          <w:sz w:val="20"/>
          <w:szCs w:val="20"/>
          <w:color w:val="auto"/>
        </w:rPr>
      </w:pPr>
      <w:r>
        <w:rPr>
          <w:sz w:val="1"/>
          <w:szCs w:val="1"/>
          <w:color w:val="auto"/>
        </w:rPr>
        <w:drawing>
          <wp:inline distT="0" distB="0" distL="0" distR="0">
            <wp:extent cx="591820" cy="1543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2"/>
          <w:szCs w:val="12"/>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80" w:type="dxa"/>
            <w:vAlign w:val="bottom"/>
          </w:tcPr>
          <w:p>
            <w:pPr>
              <w:spacing w:after="0"/>
              <w:rPr>
                <w:sz w:val="21"/>
                <w:szCs w:val="21"/>
                <w:color w:val="auto"/>
              </w:rPr>
            </w:pPr>
          </w:p>
        </w:tc>
        <w:tc>
          <w:tcPr>
            <w:tcW w:w="260" w:type="dxa"/>
            <w:vAlign w:val="bottom"/>
            <w:tcBorders>
              <w:bottom w:val="single" w:sz="8" w:color="0094FF"/>
            </w:tcBorders>
          </w:tcPr>
          <w:p>
            <w:pPr>
              <w:spacing w:after="0"/>
              <w:rPr>
                <w:sz w:val="21"/>
                <w:szCs w:val="21"/>
                <w:color w:val="auto"/>
              </w:rPr>
            </w:pPr>
          </w:p>
        </w:tc>
        <w:tc>
          <w:tcPr>
            <w:tcW w:w="2600" w:type="dxa"/>
            <w:vAlign w:val="bottom"/>
            <w:tcBorders>
              <w:bottom w:val="single" w:sz="8" w:color="0094FF"/>
            </w:tcBorders>
            <w:gridSpan w:val="3"/>
          </w:tcPr>
          <w:p>
            <w:pPr>
              <w:jc w:val="right"/>
              <w:ind w:right="730"/>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21"/>
                <w:szCs w:val="21"/>
                <w:color w:val="auto"/>
              </w:rPr>
            </w:pPr>
          </w:p>
        </w:tc>
        <w:tc>
          <w:tcPr>
            <w:tcW w:w="240" w:type="dxa"/>
            <w:vAlign w:val="bottom"/>
            <w:tcBorders>
              <w:bottom w:val="single" w:sz="8" w:color="0094FF"/>
            </w:tcBorders>
          </w:tcPr>
          <w:p>
            <w:pPr>
              <w:spacing w:after="0"/>
              <w:rPr>
                <w:sz w:val="21"/>
                <w:szCs w:val="21"/>
                <w:color w:val="auto"/>
              </w:rPr>
            </w:pPr>
          </w:p>
        </w:tc>
        <w:tc>
          <w:tcPr>
            <w:tcW w:w="2640" w:type="dxa"/>
            <w:vAlign w:val="bottom"/>
            <w:tcBorders>
              <w:bottom w:val="single" w:sz="8" w:color="0094FF"/>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40" w:type="dxa"/>
            <w:vAlign w:val="bottom"/>
          </w:tcPr>
          <w:p>
            <w:pPr>
              <w:spacing w:after="0"/>
              <w:rPr>
                <w:sz w:val="17"/>
                <w:szCs w:val="17"/>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30,</w:t>
            </w:r>
          </w:p>
        </w:tc>
      </w:tr>
      <w:tr>
        <w:trPr>
          <w:trHeight w:val="246"/>
        </w:trPr>
        <w:tc>
          <w:tcPr>
            <w:tcW w:w="5380" w:type="dxa"/>
            <w:vAlign w:val="bottom"/>
            <w:tcBorders>
              <w:bottom w:val="single" w:sz="8" w:color="0090DA"/>
            </w:tcBorders>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0"/>
        </w:trPr>
        <w:tc>
          <w:tcPr>
            <w:tcW w:w="5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7"/>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805</w:t>
            </w:r>
          </w:p>
        </w:tc>
        <w:tc>
          <w:tcPr>
            <w:tcW w:w="3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D1D2D4"/>
          </w:tcPr>
          <w:p>
            <w:pPr>
              <w:spacing w:after="0"/>
              <w:rPr>
                <w:sz w:val="22"/>
                <w:szCs w:val="22"/>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1,720</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5,772</w:t>
            </w:r>
          </w:p>
        </w:tc>
      </w:tr>
      <w:tr>
        <w:trPr>
          <w:trHeight w:val="257"/>
        </w:trPr>
        <w:tc>
          <w:tcPr>
            <w:tcW w:w="5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6"/>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50"/>
        </w:trPr>
        <w:tc>
          <w:tcPr>
            <w:tcW w:w="5380" w:type="dxa"/>
            <w:vAlign w:val="bottom"/>
          </w:tcPr>
          <w:p>
            <w:pPr>
              <w:ind w:left="120"/>
              <w:spacing w:after="0"/>
              <w:rPr>
                <w:sz w:val="20"/>
                <w:szCs w:val="20"/>
                <w:color w:val="auto"/>
              </w:rPr>
            </w:pPr>
            <w:r>
              <w:rPr>
                <w:rFonts w:ascii="Arial" w:cs="Arial" w:eastAsia="Arial" w:hAnsi="Arial"/>
                <w:sz w:val="18"/>
                <w:szCs w:val="18"/>
                <w:color w:val="auto"/>
              </w:rPr>
              <w:t>Gains (losses) on derivative instruments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63"/>
        </w:trPr>
        <w:tc>
          <w:tcPr>
            <w:tcW w:w="53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Pension liability adjustments</w:t>
            </w:r>
          </w:p>
        </w:tc>
        <w:tc>
          <w:tcPr>
            <w:tcW w:w="26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5380" w:type="dxa"/>
            <w:vAlign w:val="bottom"/>
          </w:tcPr>
          <w:p>
            <w:pPr>
              <w:ind w:left="120"/>
              <w:spacing w:after="0"/>
              <w:rPr>
                <w:sz w:val="20"/>
                <w:szCs w:val="20"/>
                <w:color w:val="auto"/>
              </w:rPr>
            </w:pPr>
            <w:r>
              <w:rPr>
                <w:rFonts w:ascii="Arial" w:cs="Arial" w:eastAsia="Arial" w:hAnsi="Arial"/>
                <w:sz w:val="18"/>
                <w:szCs w:val="18"/>
                <w:color w:val="auto"/>
              </w:rPr>
              <w:t>Gains (losses) on investments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257"/>
        </w:trPr>
        <w:tc>
          <w:tcPr>
            <w:tcW w:w="53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22"/>
                <w:szCs w:val="22"/>
                <w:color w:val="auto"/>
              </w:rPr>
            </w:pPr>
          </w:p>
        </w:tc>
        <w:tc>
          <w:tcPr>
            <w:tcW w:w="1300" w:type="dxa"/>
            <w:vAlign w:val="bottom"/>
            <w:gridSpan w:val="2"/>
            <w:shd w:val="clear" w:color="auto" w:fill="D1D2D4"/>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538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D1D2D4"/>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Total comprehensive income</w:t>
            </w:r>
          </w:p>
        </w:tc>
        <w:tc>
          <w:tcPr>
            <w:tcW w:w="26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803</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1,700</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5,770</w:t>
            </w:r>
          </w:p>
        </w:tc>
      </w:tr>
      <w:tr>
        <w:trPr>
          <w:trHeight w:val="256"/>
        </w:trPr>
        <w:tc>
          <w:tcPr>
            <w:tcW w:w="53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D1D2D4"/>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r>
      <w:tr>
        <w:trPr>
          <w:trHeight w:val="275"/>
        </w:trPr>
        <w:tc>
          <w:tcPr>
            <w:tcW w:w="53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Comprehensive income attributable to Micron</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801</w:t>
            </w:r>
          </w:p>
        </w:tc>
        <w:tc>
          <w:tcPr>
            <w:tcW w:w="30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D1D2D4"/>
            </w:tcBorders>
            <w:shd w:val="clear" w:color="auto" w:fill="D1D2D4"/>
          </w:tcPr>
          <w:p>
            <w:pPr>
              <w:spacing w:after="0"/>
              <w:rPr>
                <w:sz w:val="23"/>
                <w:szCs w:val="23"/>
                <w:color w:val="auto"/>
              </w:rPr>
            </w:pPr>
          </w:p>
        </w:tc>
        <w:tc>
          <w:tcPr>
            <w:tcW w:w="2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1,679</w:t>
            </w:r>
          </w:p>
        </w:tc>
        <w:tc>
          <w:tcPr>
            <w:tcW w:w="30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5,750</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9" w:right="339" w:bottom="967"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967" w:gutter="0" w:footer="0" w:header="0"/>
          <w:type w:val="continuous"/>
        </w:sectPr>
      </w:pPr>
    </w:p>
    <w:bookmarkStart w:id="6" w:name="page7"/>
    <w:bookmarkEnd w:id="6"/>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 except par value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May 28,</w:t>
            </w:r>
          </w:p>
        </w:tc>
        <w:tc>
          <w:tcPr>
            <w:tcW w:w="20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1"/>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391</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3,603</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5,405</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7"/>
        </w:trPr>
        <w:tc>
          <w:tcPr>
            <w:tcW w:w="8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17,899</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16,503</w:t>
            </w: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30,081</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28,240</w:t>
            </w: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775</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599</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514</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81"/>
        </w:trPr>
        <w:tc>
          <w:tcPr>
            <w:tcW w:w="860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52,005</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48,887</w:t>
            </w:r>
          </w:p>
        </w:tc>
        <w:tc>
          <w:tcPr>
            <w:tcW w:w="0" w:type="dxa"/>
            <w:vAlign w:val="bottom"/>
          </w:tcPr>
          <w:p>
            <w:pPr>
              <w:spacing w:after="0"/>
              <w:rPr>
                <w:sz w:val="1"/>
                <w:szCs w:val="1"/>
                <w:color w:val="auto"/>
              </w:rPr>
            </w:pPr>
          </w:p>
        </w:tc>
      </w:tr>
      <w:tr>
        <w:trPr>
          <w:trHeight w:val="20"/>
        </w:trPr>
        <w:tc>
          <w:tcPr>
            <w:tcW w:w="86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491</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57"/>
        </w:trPr>
        <w:tc>
          <w:tcPr>
            <w:tcW w:w="8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6,185</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6,356</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D1D2D4"/>
          </w:tcPr>
          <w:p>
            <w:pPr>
              <w:spacing w:after="0"/>
              <w:rPr>
                <w:sz w:val="22"/>
                <w:szCs w:val="22"/>
                <w:color w:val="auto"/>
              </w:rPr>
            </w:pPr>
          </w:p>
        </w:tc>
        <w:tc>
          <w:tcPr>
            <w:tcW w:w="10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453</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14,087</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12,019</w:t>
            </w:r>
          </w:p>
        </w:tc>
        <w:tc>
          <w:tcPr>
            <w:tcW w:w="0" w:type="dxa"/>
            <w:vAlign w:val="bottom"/>
          </w:tcPr>
          <w:p>
            <w:pPr>
              <w:spacing w:after="0"/>
              <w:rPr>
                <w:sz w:val="1"/>
                <w:szCs w:val="1"/>
                <w:color w:val="auto"/>
              </w:rPr>
            </w:pPr>
          </w:p>
        </w:tc>
      </w:tr>
      <w:tr>
        <w:trPr>
          <w:trHeight w:val="203"/>
        </w:trPr>
        <w:tc>
          <w:tcPr>
            <w:tcW w:w="860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06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86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Micron shareholders’ equity</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8600" w:type="dxa"/>
            <w:vAlign w:val="bottom"/>
            <w:shd w:val="clear" w:color="auto" w:fill="D1D2D4"/>
          </w:tcPr>
          <w:p>
            <w:pPr>
              <w:ind w:left="260"/>
              <w:spacing w:after="0" w:line="195" w:lineRule="exact"/>
              <w:rPr>
                <w:sz w:val="20"/>
                <w:szCs w:val="20"/>
                <w:color w:val="auto"/>
              </w:rPr>
            </w:pPr>
            <w:r>
              <w:rPr>
                <w:rFonts w:ascii="Arial" w:cs="Arial" w:eastAsia="Arial" w:hAnsi="Arial"/>
                <w:sz w:val="18"/>
                <w:szCs w:val="18"/>
                <w:color w:val="auto"/>
              </w:rPr>
              <w:t>Common stock, $0.10 par value, 3,000 shares authorized, 1,192 shares issued and 1,112 outstanding</w:t>
            </w:r>
          </w:p>
        </w:tc>
        <w:tc>
          <w:tcPr>
            <w:tcW w:w="220" w:type="dxa"/>
            <w:vAlign w:val="bottom"/>
            <w:shd w:val="clear" w:color="auto" w:fill="D1D2D4"/>
          </w:tcPr>
          <w:p>
            <w:pPr>
              <w:spacing w:after="0"/>
              <w:rPr>
                <w:sz w:val="16"/>
                <w:szCs w:val="16"/>
                <w:color w:val="auto"/>
              </w:rPr>
            </w:pPr>
          </w:p>
        </w:tc>
        <w:tc>
          <w:tcPr>
            <w:tcW w:w="1060" w:type="dxa"/>
            <w:vAlign w:val="bottom"/>
            <w:vMerge w:val="restart"/>
            <w:shd w:val="clear" w:color="auto" w:fill="D1D2D4"/>
          </w:tcPr>
          <w:p>
            <w:pPr>
              <w:jc w:val="right"/>
              <w:ind w:right="3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D1D2D4"/>
          </w:tcPr>
          <w:p>
            <w:pPr>
              <w:spacing w:after="0"/>
              <w:rPr>
                <w:sz w:val="16"/>
                <w:szCs w:val="16"/>
                <w:color w:val="auto"/>
              </w:rPr>
            </w:pPr>
          </w:p>
        </w:tc>
        <w:tc>
          <w:tcPr>
            <w:tcW w:w="116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7"/>
        </w:trPr>
        <w:tc>
          <w:tcPr>
            <w:tcW w:w="86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(1,182 shares issued and 1,106 outstanding as of August 29, 2019)</w:t>
            </w:r>
          </w:p>
        </w:tc>
        <w:tc>
          <w:tcPr>
            <w:tcW w:w="220" w:type="dxa"/>
            <w:vAlign w:val="bottom"/>
            <w:shd w:val="clear" w:color="auto" w:fill="D1D2D4"/>
          </w:tcPr>
          <w:p>
            <w:pPr>
              <w:spacing w:after="0"/>
              <w:rPr>
                <w:sz w:val="18"/>
                <w:szCs w:val="18"/>
                <w:color w:val="auto"/>
              </w:rPr>
            </w:pPr>
          </w:p>
        </w:tc>
        <w:tc>
          <w:tcPr>
            <w:tcW w:w="1060" w:type="dxa"/>
            <w:vAlign w:val="bottom"/>
            <w:vMerge w:val="continue"/>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116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8,764</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32,402</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30,761</w:t>
            </w:r>
          </w:p>
        </w:tc>
        <w:tc>
          <w:tcPr>
            <w:tcW w:w="0" w:type="dxa"/>
            <w:vAlign w:val="bottom"/>
          </w:tcPr>
          <w:p>
            <w:pPr>
              <w:spacing w:after="0"/>
              <w:rPr>
                <w:sz w:val="1"/>
                <w:szCs w:val="1"/>
                <w:color w:val="auto"/>
              </w:rPr>
            </w:pPr>
          </w:p>
        </w:tc>
      </w:tr>
      <w:tr>
        <w:trPr>
          <w:trHeight w:val="256"/>
        </w:trPr>
        <w:tc>
          <w:tcPr>
            <w:tcW w:w="8600" w:type="dxa"/>
            <w:vAlign w:val="bottom"/>
          </w:tcPr>
          <w:p>
            <w:pPr>
              <w:ind w:left="220"/>
              <w:spacing w:after="0"/>
              <w:rPr>
                <w:sz w:val="20"/>
                <w:szCs w:val="20"/>
                <w:color w:val="auto"/>
              </w:rPr>
            </w:pPr>
            <w:r>
              <w:rPr>
                <w:rFonts w:ascii="Arial" w:cs="Arial" w:eastAsia="Arial" w:hAnsi="Arial"/>
                <w:sz w:val="18"/>
                <w:szCs w:val="18"/>
                <w:color w:val="auto"/>
              </w:rPr>
              <w:t>Treasury stock, 80 shares held (76 shares as of August 29, 2019)</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(3,454)</w:t>
            </w:r>
          </w:p>
        </w:tc>
        <w:tc>
          <w:tcPr>
            <w:tcW w:w="2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50"/>
        </w:trPr>
        <w:tc>
          <w:tcPr>
            <w:tcW w:w="8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shd w:val="clear" w:color="auto" w:fill="D1D2D4"/>
          </w:tcPr>
          <w:p>
            <w:pPr>
              <w:spacing w:after="0"/>
              <w:rPr>
                <w:sz w:val="21"/>
                <w:szCs w:val="21"/>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8600" w:type="dxa"/>
            <w:vAlign w:val="bottom"/>
          </w:tcPr>
          <w:p>
            <w:pPr>
              <w:ind w:left="460"/>
              <w:spacing w:after="0"/>
              <w:rPr>
                <w:sz w:val="20"/>
                <w:szCs w:val="20"/>
                <w:color w:val="auto"/>
              </w:rPr>
            </w:pPr>
            <w:r>
              <w:rPr>
                <w:rFonts w:ascii="Arial" w:cs="Arial" w:eastAsia="Arial" w:hAnsi="Arial"/>
                <w:sz w:val="18"/>
                <w:szCs w:val="18"/>
                <w:color w:val="auto"/>
              </w:rPr>
              <w:t>Total Micron shareholders’ equity</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37,820</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35,881</w:t>
            </w:r>
          </w:p>
        </w:tc>
        <w:tc>
          <w:tcPr>
            <w:tcW w:w="0" w:type="dxa"/>
            <w:vAlign w:val="bottom"/>
          </w:tcPr>
          <w:p>
            <w:pPr>
              <w:spacing w:after="0"/>
              <w:rPr>
                <w:sz w:val="1"/>
                <w:szCs w:val="1"/>
                <w:color w:val="auto"/>
              </w:rPr>
            </w:pP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Noncontrolling interest in subsidiary</w:t>
            </w:r>
          </w:p>
        </w:tc>
        <w:tc>
          <w:tcPr>
            <w:tcW w:w="220" w:type="dxa"/>
            <w:vAlign w:val="bottom"/>
            <w:tcBorders>
              <w:bottom w:val="single" w:sz="8" w:color="auto"/>
            </w:tcBorders>
            <w:shd w:val="clear" w:color="auto" w:fill="D1D2D4"/>
          </w:tcPr>
          <w:p>
            <w:pPr>
              <w:spacing w:after="0"/>
              <w:rPr>
                <w:sz w:val="22"/>
                <w:szCs w:val="22"/>
                <w:color w:val="auto"/>
              </w:rPr>
            </w:pPr>
          </w:p>
        </w:tc>
        <w:tc>
          <w:tcPr>
            <w:tcW w:w="10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37,820</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36,770</w:t>
            </w:r>
          </w:p>
        </w:tc>
        <w:tc>
          <w:tcPr>
            <w:tcW w:w="0" w:type="dxa"/>
            <w:vAlign w:val="bottom"/>
          </w:tcPr>
          <w:p>
            <w:pPr>
              <w:spacing w:after="0"/>
              <w:rPr>
                <w:sz w:val="1"/>
                <w:szCs w:val="1"/>
                <w:color w:val="auto"/>
              </w:rPr>
            </w:pPr>
          </w:p>
        </w:tc>
      </w:tr>
      <w:tr>
        <w:trPr>
          <w:trHeight w:val="281"/>
        </w:trPr>
        <w:tc>
          <w:tcPr>
            <w:tcW w:w="860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52,005</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48,887</w:t>
            </w:r>
          </w:p>
        </w:tc>
        <w:tc>
          <w:tcPr>
            <w:tcW w:w="0" w:type="dxa"/>
            <w:vAlign w:val="bottom"/>
          </w:tcPr>
          <w:p>
            <w:pPr>
              <w:spacing w:after="0"/>
              <w:rPr>
                <w:sz w:val="1"/>
                <w:szCs w:val="1"/>
                <w:color w:val="auto"/>
              </w:rPr>
            </w:pPr>
          </w:p>
        </w:tc>
      </w:tr>
      <w:tr>
        <w:trPr>
          <w:trHeight w:val="20"/>
        </w:trPr>
        <w:tc>
          <w:tcPr>
            <w:tcW w:w="86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10160"/>
        <w:spacing w:after="0"/>
        <w:rPr>
          <w:sz w:val="20"/>
          <w:szCs w:val="20"/>
          <w:color w:val="auto"/>
        </w:rPr>
      </w:pPr>
      <w:r>
        <w:rPr>
          <w:sz w:val="1"/>
          <w:szCs w:val="1"/>
          <w:color w:val="auto"/>
        </w:rPr>
        <w:drawing>
          <wp:inline distT="0" distB="0" distL="0" distR="0">
            <wp:extent cx="591820" cy="1543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2"/>
          <w:szCs w:val="12"/>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1420" w:type="dxa"/>
            <w:vAlign w:val="bottom"/>
            <w:tcBorders>
              <w:bottom w:val="single" w:sz="8" w:color="0090DA"/>
            </w:tcBorders>
          </w:tcPr>
          <w:p>
            <w:pPr>
              <w:spacing w:after="0"/>
              <w:rPr>
                <w:sz w:val="19"/>
                <w:szCs w:val="19"/>
                <w:color w:val="auto"/>
              </w:rPr>
            </w:pPr>
          </w:p>
        </w:tc>
        <w:tc>
          <w:tcPr>
            <w:tcW w:w="900" w:type="dxa"/>
            <w:vAlign w:val="bottom"/>
            <w:tcBorders>
              <w:bottom w:val="single" w:sz="8" w:color="0090DA"/>
            </w:tcBorders>
          </w:tcPr>
          <w:p>
            <w:pPr>
              <w:spacing w:after="0"/>
              <w:rPr>
                <w:sz w:val="19"/>
                <w:szCs w:val="19"/>
                <w:color w:val="auto"/>
              </w:rPr>
            </w:pPr>
          </w:p>
        </w:tc>
        <w:tc>
          <w:tcPr>
            <w:tcW w:w="2960" w:type="dxa"/>
            <w:vAlign w:val="bottom"/>
            <w:tcBorders>
              <w:bottom w:val="single" w:sz="8" w:color="0090DA"/>
            </w:tcBorders>
            <w:gridSpan w:val="3"/>
          </w:tcPr>
          <w:p>
            <w:pPr>
              <w:ind w:left="100"/>
              <w:spacing w:after="0"/>
              <w:rPr>
                <w:sz w:val="20"/>
                <w:szCs w:val="20"/>
                <w:color w:val="auto"/>
              </w:rPr>
            </w:pPr>
            <w:r>
              <w:rPr>
                <w:rFonts w:ascii="Arial" w:cs="Arial" w:eastAsia="Arial" w:hAnsi="Arial"/>
                <w:sz w:val="16"/>
                <w:szCs w:val="16"/>
                <w:b w:val="1"/>
                <w:bCs w:val="1"/>
                <w:color w:val="auto"/>
              </w:rPr>
              <w:t>Micron Shareholders</w:t>
            </w:r>
          </w:p>
        </w:tc>
        <w:tc>
          <w:tcPr>
            <w:tcW w:w="1180" w:type="dxa"/>
            <w:vAlign w:val="bottom"/>
            <w:tcBorders>
              <w:bottom w:val="single" w:sz="8" w:color="0090DA"/>
            </w:tcBorders>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3"/>
        </w:trPr>
        <w:tc>
          <w:tcPr>
            <w:tcW w:w="2700" w:type="dxa"/>
            <w:vAlign w:val="bottom"/>
          </w:tcPr>
          <w:p>
            <w:pPr>
              <w:spacing w:after="0"/>
              <w:rPr>
                <w:sz w:val="21"/>
                <w:szCs w:val="21"/>
                <w:color w:val="auto"/>
              </w:rPr>
            </w:pPr>
          </w:p>
        </w:tc>
        <w:tc>
          <w:tcPr>
            <w:tcW w:w="14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Common Stock</w:t>
            </w: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9"/>
              </w:rPr>
              <w:t>Accumulated</w:t>
            </w:r>
          </w:p>
        </w:tc>
        <w:tc>
          <w:tcPr>
            <w:tcW w:w="1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191"/>
        </w:trPr>
        <w:tc>
          <w:tcPr>
            <w:tcW w:w="2700" w:type="dxa"/>
            <w:vAlign w:val="bottom"/>
          </w:tcPr>
          <w:p>
            <w:pPr>
              <w:spacing w:after="0"/>
              <w:rPr>
                <w:sz w:val="16"/>
                <w:szCs w:val="16"/>
                <w:color w:val="auto"/>
              </w:rPr>
            </w:pPr>
          </w:p>
        </w:tc>
        <w:tc>
          <w:tcPr>
            <w:tcW w:w="1420" w:type="dxa"/>
            <w:vAlign w:val="bottom"/>
          </w:tcPr>
          <w:p>
            <w:pPr>
              <w:jc w:val="center"/>
              <w:ind w:right="639"/>
              <w:spacing w:after="0"/>
              <w:rPr>
                <w:sz w:val="20"/>
                <w:szCs w:val="20"/>
                <w:color w:val="auto"/>
              </w:rPr>
            </w:pPr>
            <w:r>
              <w:rPr>
                <w:rFonts w:ascii="Arial" w:cs="Arial" w:eastAsia="Arial" w:hAnsi="Arial"/>
                <w:sz w:val="16"/>
                <w:szCs w:val="16"/>
                <w:b w:val="1"/>
                <w:bCs w:val="1"/>
                <w:color w:val="auto"/>
              </w:rPr>
              <w:t>Number</w:t>
            </w: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Other</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8"/>
              </w:rPr>
              <w:t>Total Micron</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Noncontrolling</w:t>
            </w:r>
          </w:p>
        </w:tc>
        <w:tc>
          <w:tcPr>
            <w:tcW w:w="780" w:type="dxa"/>
            <w:vAlign w:val="bottom"/>
          </w:tcPr>
          <w:p>
            <w:pPr>
              <w:spacing w:after="0"/>
              <w:rPr>
                <w:sz w:val="16"/>
                <w:szCs w:val="16"/>
                <w:color w:val="auto"/>
              </w:rPr>
            </w:pPr>
          </w:p>
        </w:tc>
      </w:tr>
      <w:tr>
        <w:trPr>
          <w:trHeight w:val="189"/>
        </w:trPr>
        <w:tc>
          <w:tcPr>
            <w:tcW w:w="2700" w:type="dxa"/>
            <w:vAlign w:val="bottom"/>
          </w:tcPr>
          <w:p>
            <w:pPr>
              <w:spacing w:after="0"/>
              <w:rPr>
                <w:sz w:val="16"/>
                <w:szCs w:val="16"/>
                <w:color w:val="auto"/>
              </w:rPr>
            </w:pPr>
          </w:p>
        </w:tc>
        <w:tc>
          <w:tcPr>
            <w:tcW w:w="1420" w:type="dxa"/>
            <w:vAlign w:val="bottom"/>
          </w:tcPr>
          <w:p>
            <w:pPr>
              <w:jc w:val="center"/>
              <w:ind w:right="639"/>
              <w:spacing w:after="0"/>
              <w:rPr>
                <w:sz w:val="20"/>
                <w:szCs w:val="20"/>
                <w:color w:val="auto"/>
              </w:rPr>
            </w:pPr>
            <w:r>
              <w:rPr>
                <w:rFonts w:ascii="Arial" w:cs="Arial" w:eastAsia="Arial" w:hAnsi="Arial"/>
                <w:sz w:val="16"/>
                <w:szCs w:val="16"/>
                <w:b w:val="1"/>
                <w:bCs w:val="1"/>
                <w:color w:val="auto"/>
                <w:w w:val="92"/>
              </w:rPr>
              <w:t>of</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Additional</w:t>
            </w:r>
          </w:p>
        </w:tc>
        <w:tc>
          <w:tcPr>
            <w:tcW w:w="840" w:type="dxa"/>
            <w:vAlign w:val="bottom"/>
          </w:tcPr>
          <w:p>
            <w:pPr>
              <w:ind w:left="80"/>
              <w:spacing w:after="0"/>
              <w:rPr>
                <w:sz w:val="20"/>
                <w:szCs w:val="20"/>
                <w:color w:val="auto"/>
              </w:rPr>
            </w:pPr>
            <w:r>
              <w:rPr>
                <w:rFonts w:ascii="Arial" w:cs="Arial" w:eastAsia="Arial" w:hAnsi="Arial"/>
                <w:sz w:val="16"/>
                <w:szCs w:val="16"/>
                <w:b w:val="1"/>
                <w:bCs w:val="1"/>
                <w:color w:val="auto"/>
              </w:rPr>
              <w:t>Retained</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Treasury</w:t>
            </w:r>
          </w:p>
        </w:tc>
        <w:tc>
          <w:tcPr>
            <w:tcW w:w="2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Comprehensive Shareholders’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Interest in</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r>
      <w:tr>
        <w:trPr>
          <w:trHeight w:val="228"/>
        </w:trPr>
        <w:tc>
          <w:tcPr>
            <w:tcW w:w="2700" w:type="dxa"/>
            <w:vAlign w:val="bottom"/>
            <w:tcBorders>
              <w:bottom w:val="single" w:sz="8" w:color="0090DA"/>
            </w:tcBorders>
          </w:tcPr>
          <w:p>
            <w:pPr>
              <w:spacing w:after="0"/>
              <w:rPr>
                <w:sz w:val="19"/>
                <w:szCs w:val="19"/>
                <w:color w:val="auto"/>
              </w:rPr>
            </w:pPr>
          </w:p>
        </w:tc>
        <w:tc>
          <w:tcPr>
            <w:tcW w:w="14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Shares  Amount</w:t>
            </w:r>
          </w:p>
        </w:tc>
        <w:tc>
          <w:tcPr>
            <w:tcW w:w="9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Capital</w:t>
            </w:r>
          </w:p>
        </w:tc>
        <w:tc>
          <w:tcPr>
            <w:tcW w:w="840" w:type="dxa"/>
            <w:vAlign w:val="bottom"/>
            <w:tcBorders>
              <w:bottom w:val="single" w:sz="8" w:color="0090DA"/>
            </w:tcBorders>
          </w:tcPr>
          <w:p>
            <w:pPr>
              <w:ind w:left="60"/>
              <w:spacing w:after="0"/>
              <w:rPr>
                <w:sz w:val="20"/>
                <w:szCs w:val="20"/>
                <w:color w:val="auto"/>
              </w:rPr>
            </w:pPr>
            <w:r>
              <w:rPr>
                <w:rFonts w:ascii="Arial" w:cs="Arial" w:eastAsia="Arial" w:hAnsi="Arial"/>
                <w:sz w:val="16"/>
                <w:szCs w:val="16"/>
                <w:b w:val="1"/>
                <w:bCs w:val="1"/>
                <w:color w:val="auto"/>
              </w:rPr>
              <w:t>Earnings</w:t>
            </w:r>
          </w:p>
        </w:tc>
        <w:tc>
          <w:tcPr>
            <w:tcW w:w="8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Stock</w:t>
            </w:r>
          </w:p>
        </w:tc>
        <w:tc>
          <w:tcPr>
            <w:tcW w:w="13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Income (Loss)</w:t>
            </w:r>
          </w:p>
        </w:tc>
        <w:tc>
          <w:tcPr>
            <w:tcW w:w="118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Equity</w:t>
            </w:r>
          </w:p>
        </w:tc>
        <w:tc>
          <w:tcPr>
            <w:tcW w:w="13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Subsidiary</w:t>
            </w:r>
          </w:p>
        </w:tc>
        <w:tc>
          <w:tcPr>
            <w:tcW w:w="78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p>
      <w:pPr>
        <w:spacing w:after="0" w:line="63" w:lineRule="exact"/>
        <w:rPr>
          <w:sz w:val="20"/>
          <w:szCs w:val="20"/>
          <w:color w:val="auto"/>
        </w:rPr>
      </w:pPr>
    </w:p>
    <w:p>
      <w:pPr>
        <w:ind w:left="20" w:right="520"/>
        <w:spacing w:after="0" w:line="330" w:lineRule="auto"/>
        <w:rPr>
          <w:sz w:val="20"/>
          <w:szCs w:val="20"/>
          <w:color w:val="auto"/>
        </w:rPr>
      </w:pPr>
      <w:r>
        <w:rPr>
          <w:rFonts w:ascii="Arial" w:cs="Arial" w:eastAsia="Arial" w:hAnsi="Arial"/>
          <w:sz w:val="16"/>
          <w:szCs w:val="16"/>
          <w:b w:val="1"/>
          <w:bCs w:val="1"/>
          <w:color w:val="auto"/>
        </w:rPr>
        <w:t xml:space="preserve">Balance at August 29, 2019 </w:t>
      </w:r>
      <w:r>
        <w:rPr>
          <w:rFonts w:ascii="Arial" w:cs="Arial" w:eastAsia="Arial" w:hAnsi="Arial"/>
          <w:sz w:val="16"/>
          <w:szCs w:val="16"/>
          <w:color w:val="auto"/>
        </w:rPr>
        <w:t>Net income</w:t>
      </w:r>
    </w:p>
    <w:p>
      <w:pPr>
        <w:ind w:left="100" w:right="20" w:hanging="80"/>
        <w:spacing w:after="0" w:line="232" w:lineRule="auto"/>
        <w:rPr>
          <w:sz w:val="20"/>
          <w:szCs w:val="20"/>
          <w:color w:val="auto"/>
        </w:rPr>
      </w:pPr>
      <w:r>
        <w:rPr>
          <w:rFonts w:ascii="Arial" w:cs="Arial" w:eastAsia="Arial" w:hAnsi="Arial"/>
          <w:sz w:val="16"/>
          <w:szCs w:val="16"/>
          <w:color w:val="auto"/>
        </w:rPr>
        <w:t>Other comprehensive income (loss), net</w:t>
      </w:r>
    </w:p>
    <w:p>
      <w:pPr>
        <w:spacing w:after="0" w:line="49" w:lineRule="exact"/>
        <w:rPr>
          <w:sz w:val="20"/>
          <w:szCs w:val="20"/>
          <w:color w:val="auto"/>
        </w:rPr>
      </w:pPr>
    </w:p>
    <w:p>
      <w:pPr>
        <w:ind w:left="20"/>
        <w:spacing w:after="0" w:line="334" w:lineRule="auto"/>
        <w:rPr>
          <w:sz w:val="20"/>
          <w:szCs w:val="20"/>
          <w:color w:val="auto"/>
        </w:rPr>
      </w:pPr>
      <w:r>
        <w:rPr>
          <w:rFonts w:ascii="Arial" w:cs="Arial" w:eastAsia="Arial" w:hAnsi="Arial"/>
          <w:sz w:val="16"/>
          <w:szCs w:val="16"/>
          <w:color w:val="auto"/>
        </w:rPr>
        <w:t>Stock issued under stock plans Stock-based compensation expense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Repurchase of stock</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of noncontrolling interest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Conversion of convertible notes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November 28, 2019</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46" w:lineRule="exact"/>
        <w:rPr>
          <w:sz w:val="20"/>
          <w:szCs w:val="20"/>
          <w:color w:val="auto"/>
        </w:rPr>
      </w:pPr>
    </w:p>
    <w:p>
      <w:pPr>
        <w:ind w:left="100" w:right="20" w:hanging="80"/>
        <w:spacing w:after="0" w:line="232" w:lineRule="auto"/>
        <w:rPr>
          <w:sz w:val="20"/>
          <w:szCs w:val="20"/>
          <w:color w:val="auto"/>
        </w:rPr>
      </w:pPr>
      <w:r>
        <w:rPr>
          <w:rFonts w:ascii="Arial" w:cs="Arial" w:eastAsia="Arial" w:hAnsi="Arial"/>
          <w:sz w:val="16"/>
          <w:szCs w:val="16"/>
          <w:color w:val="auto"/>
        </w:rPr>
        <w:t>Other comprehensive income (loss), net</w:t>
      </w:r>
    </w:p>
    <w:p>
      <w:pPr>
        <w:spacing w:after="0" w:line="49" w:lineRule="exact"/>
        <w:rPr>
          <w:sz w:val="20"/>
          <w:szCs w:val="20"/>
          <w:color w:val="auto"/>
        </w:rPr>
      </w:pPr>
    </w:p>
    <w:p>
      <w:pPr>
        <w:ind w:left="20"/>
        <w:spacing w:after="0" w:line="334" w:lineRule="auto"/>
        <w:rPr>
          <w:sz w:val="20"/>
          <w:szCs w:val="20"/>
          <w:color w:val="auto"/>
        </w:rPr>
      </w:pPr>
      <w:r>
        <w:rPr>
          <w:rFonts w:ascii="Arial" w:cs="Arial" w:eastAsia="Arial" w:hAnsi="Arial"/>
          <w:sz w:val="16"/>
          <w:szCs w:val="16"/>
          <w:color w:val="auto"/>
        </w:rPr>
        <w:t>Stock issued under stock plans Stock-based compensation expense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Repurchase of stock</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 of capped calls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Conversion of convertible notes</w:t>
      </w:r>
    </w:p>
    <w:p>
      <w:pPr>
        <w:spacing w:after="0" w:line="53" w:lineRule="exact"/>
        <w:rPr>
          <w:sz w:val="20"/>
          <w:szCs w:val="20"/>
          <w:color w:val="auto"/>
        </w:rPr>
      </w:pPr>
    </w:p>
    <w:p>
      <w:pPr>
        <w:ind w:left="20" w:right="380"/>
        <w:spacing w:after="0" w:line="330" w:lineRule="auto"/>
        <w:rPr>
          <w:sz w:val="20"/>
          <w:szCs w:val="20"/>
          <w:color w:val="auto"/>
        </w:rPr>
      </w:pPr>
      <w:r>
        <w:rPr>
          <w:rFonts w:ascii="Arial" w:cs="Arial" w:eastAsia="Arial" w:hAnsi="Arial"/>
          <w:sz w:val="16"/>
          <w:szCs w:val="16"/>
          <w:b w:val="1"/>
          <w:bCs w:val="1"/>
          <w:color w:val="auto"/>
        </w:rPr>
        <w:t xml:space="preserve">Balance at February 27, 2020 </w:t>
      </w:r>
      <w:r>
        <w:rPr>
          <w:rFonts w:ascii="Arial" w:cs="Arial" w:eastAsia="Arial" w:hAnsi="Arial"/>
          <w:sz w:val="16"/>
          <w:szCs w:val="16"/>
          <w:color w:val="auto"/>
        </w:rPr>
        <w:t>Net income</w:t>
      </w:r>
    </w:p>
    <w:p>
      <w:pPr>
        <w:ind w:left="100" w:right="20" w:hanging="80"/>
        <w:spacing w:after="0" w:line="232" w:lineRule="auto"/>
        <w:rPr>
          <w:sz w:val="20"/>
          <w:szCs w:val="20"/>
          <w:color w:val="auto"/>
        </w:rPr>
      </w:pPr>
      <w:r>
        <w:rPr>
          <w:rFonts w:ascii="Arial" w:cs="Arial" w:eastAsia="Arial" w:hAnsi="Arial"/>
          <w:sz w:val="16"/>
          <w:szCs w:val="16"/>
          <w:color w:val="auto"/>
        </w:rPr>
        <w:t>Other comprehensive income (loss), net</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 issued under stock plans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Stock-based compensation expense</w:t>
      </w:r>
    </w:p>
    <w:p>
      <w:pPr>
        <w:spacing w:after="0" w:line="59" w:lineRule="exact"/>
        <w:rPr>
          <w:sz w:val="20"/>
          <w:szCs w:val="20"/>
          <w:color w:val="auto"/>
        </w:rPr>
      </w:pPr>
    </w:p>
    <w:p>
      <w:pPr>
        <w:ind w:left="20" w:right="340"/>
        <w:spacing w:after="0" w:line="367" w:lineRule="auto"/>
        <w:rPr>
          <w:sz w:val="20"/>
          <w:szCs w:val="20"/>
          <w:color w:val="auto"/>
        </w:rPr>
      </w:pPr>
      <w:r>
        <w:rPr>
          <w:rFonts w:ascii="Arial" w:cs="Arial" w:eastAsia="Arial" w:hAnsi="Arial"/>
          <w:sz w:val="16"/>
          <w:szCs w:val="16"/>
          <w:color w:val="auto"/>
        </w:rPr>
        <w:t xml:space="preserve">Repurchase of stock Conversion of convertible notes </w:t>
      </w:r>
      <w:r>
        <w:rPr>
          <w:rFonts w:ascii="Arial" w:cs="Arial" w:eastAsia="Arial" w:hAnsi="Arial"/>
          <w:sz w:val="16"/>
          <w:szCs w:val="16"/>
          <w:b w:val="1"/>
          <w:bCs w:val="1"/>
          <w:color w:val="auto"/>
        </w:rPr>
        <w:t>Balance at May 28, 2020</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1,182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8,214</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$ 30,761</w:t>
            </w:r>
          </w:p>
        </w:tc>
        <w:tc>
          <w:tcPr>
            <w:tcW w:w="840" w:type="dxa"/>
            <w:vAlign w:val="bottom"/>
          </w:tcPr>
          <w:p>
            <w:pPr>
              <w:jc w:val="right"/>
              <w:spacing w:after="0"/>
              <w:rPr>
                <w:sz w:val="20"/>
                <w:szCs w:val="20"/>
                <w:color w:val="auto"/>
              </w:rPr>
            </w:pPr>
            <w:r>
              <w:rPr>
                <w:rFonts w:ascii="Arial" w:cs="Arial" w:eastAsia="Arial" w:hAnsi="Arial"/>
                <w:sz w:val="18"/>
                <w:szCs w:val="18"/>
                <w:color w:val="auto"/>
              </w:rPr>
              <w:t>$ (3,221)</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35,881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889</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$ 36,770</w:t>
            </w:r>
          </w:p>
        </w:tc>
      </w:tr>
      <w:tr>
        <w:trPr>
          <w:trHeight w:val="257"/>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491</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491</w:t>
            </w:r>
          </w:p>
        </w:tc>
        <w:tc>
          <w:tcPr>
            <w:tcW w:w="4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506</w:t>
            </w:r>
          </w:p>
        </w:tc>
      </w:tr>
      <w:tr>
        <w:trPr>
          <w:trHeight w:val="378"/>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56"/>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32</w:t>
            </w:r>
          </w:p>
        </w:tc>
      </w:tr>
      <w:tr>
        <w:trPr>
          <w:trHeight w:val="257"/>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4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w:t>
            </w:r>
          </w:p>
        </w:tc>
      </w:tr>
      <w:tr>
        <w:trPr>
          <w:trHeight w:val="257"/>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57"/>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4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(904)</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(781)</w:t>
            </w:r>
          </w:p>
        </w:tc>
      </w:tr>
      <w:tr>
        <w:trPr>
          <w:trHeight w:val="263"/>
        </w:trPr>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1,185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8,428</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$ 31,218</w:t>
            </w:r>
          </w:p>
        </w:tc>
        <w:tc>
          <w:tcPr>
            <w:tcW w:w="840" w:type="dxa"/>
            <w:vAlign w:val="bottom"/>
          </w:tcPr>
          <w:p>
            <w:pPr>
              <w:jc w:val="right"/>
              <w:spacing w:after="0"/>
              <w:rPr>
                <w:sz w:val="20"/>
                <w:szCs w:val="20"/>
                <w:color w:val="auto"/>
              </w:rPr>
            </w:pPr>
            <w:r>
              <w:rPr>
                <w:rFonts w:ascii="Arial" w:cs="Arial" w:eastAsia="Arial" w:hAnsi="Arial"/>
                <w:sz w:val="18"/>
                <w:szCs w:val="18"/>
                <w:color w:val="auto"/>
              </w:rPr>
              <w:t>$ (3,271)</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36,500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$ 36,500</w:t>
            </w:r>
          </w:p>
        </w:tc>
      </w:tr>
      <w:tr>
        <w:trPr>
          <w:trHeight w:val="256"/>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4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405</w:t>
            </w:r>
          </w:p>
        </w:tc>
      </w:tr>
      <w:tr>
        <w:trPr>
          <w:trHeight w:val="378"/>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56"/>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4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121</w:t>
            </w:r>
          </w:p>
        </w:tc>
      </w:tr>
      <w:tr>
        <w:trPr>
          <w:trHeight w:val="257"/>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85</w:t>
            </w:r>
          </w:p>
        </w:tc>
      </w:tr>
      <w:tr>
        <w:trPr>
          <w:trHeight w:val="256"/>
        </w:trPr>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57"/>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5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1,191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8,725</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$ 31,602</w:t>
            </w:r>
          </w:p>
        </w:tc>
        <w:tc>
          <w:tcPr>
            <w:tcW w:w="840" w:type="dxa"/>
            <w:vAlign w:val="bottom"/>
          </w:tcPr>
          <w:p>
            <w:pPr>
              <w:jc w:val="right"/>
              <w:spacing w:after="0"/>
              <w:rPr>
                <w:sz w:val="20"/>
                <w:szCs w:val="20"/>
                <w:color w:val="auto"/>
              </w:rPr>
            </w:pPr>
            <w:r>
              <w:rPr>
                <w:rFonts w:ascii="Arial" w:cs="Arial" w:eastAsia="Arial" w:hAnsi="Arial"/>
                <w:sz w:val="18"/>
                <w:szCs w:val="18"/>
                <w:color w:val="auto"/>
              </w:rPr>
              <w:t>$ (3,414)</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37,023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$ 37,023</w:t>
            </w:r>
          </w:p>
        </w:tc>
      </w:tr>
      <w:tr>
        <w:trPr>
          <w:trHeight w:val="256"/>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4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803</w:t>
            </w:r>
          </w:p>
        </w:tc>
      </w:tr>
      <w:tr>
        <w:trPr>
          <w:trHeight w:val="378"/>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w:t>
            </w:r>
          </w:p>
        </w:tc>
      </w:tr>
      <w:tr>
        <w:trPr>
          <w:trHeight w:val="256"/>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82</w:t>
            </w:r>
          </w:p>
        </w:tc>
      </w:tr>
      <w:tr>
        <w:trPr>
          <w:trHeight w:val="257"/>
        </w:trPr>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63"/>
        </w:trPr>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r>
      <w:tr>
        <w:trPr>
          <w:trHeight w:val="250"/>
        </w:trPr>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8,764</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$ 32,402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(3,454)</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37,820</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$ 37,820</w:t>
            </w:r>
          </w:p>
        </w:tc>
      </w:tr>
      <w:tr>
        <w:trPr>
          <w:trHeight w:val="27"/>
        </w:trPr>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-3874135</wp:posOffset>
            </wp:positionV>
            <wp:extent cx="713232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-3471545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-3145155</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-2819400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-2485390</wp:posOffset>
            </wp:positionV>
            <wp:extent cx="713232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-2082165</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-1757045</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-1430655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-1096645</wp:posOffset>
            </wp:positionV>
            <wp:extent cx="713232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-693420</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-367665</wp:posOffset>
            </wp:positionV>
            <wp:extent cx="713232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2640" w:space="60"/>
            <w:col w:w="8540"/>
          </w:cols>
          <w:pgMar w:left="320" w:top="8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240"/>
          </w:cols>
          <w:pgMar w:left="320" w:top="879" w:right="339" w:bottom="1440" w:gutter="0" w:footer="0" w:header="0"/>
          <w:type w:val="continuous"/>
        </w:sect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68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54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720" w:type="dxa"/>
            <w:vAlign w:val="bottom"/>
            <w:tcBorders>
              <w:bottom w:val="single" w:sz="8" w:color="0090DA"/>
            </w:tcBorders>
          </w:tcPr>
          <w:p>
            <w:pPr>
              <w:spacing w:after="0"/>
              <w:rPr>
                <w:sz w:val="19"/>
                <w:szCs w:val="19"/>
                <w:color w:val="auto"/>
              </w:rPr>
            </w:pPr>
          </w:p>
        </w:tc>
        <w:tc>
          <w:tcPr>
            <w:tcW w:w="1840" w:type="dxa"/>
            <w:vAlign w:val="bottom"/>
            <w:tcBorders>
              <w:bottom w:val="single" w:sz="8" w:color="0090DA"/>
            </w:tcBorders>
            <w:gridSpan w:val="4"/>
          </w:tcPr>
          <w:p>
            <w:pPr>
              <w:jc w:val="center"/>
              <w:spacing w:after="0"/>
              <w:rPr>
                <w:sz w:val="20"/>
                <w:szCs w:val="20"/>
                <w:color w:val="auto"/>
              </w:rPr>
            </w:pPr>
            <w:r>
              <w:rPr>
                <w:rFonts w:ascii="Arial" w:cs="Arial" w:eastAsia="Arial" w:hAnsi="Arial"/>
                <w:sz w:val="16"/>
                <w:szCs w:val="16"/>
                <w:b w:val="1"/>
                <w:bCs w:val="1"/>
                <w:color w:val="auto"/>
              </w:rPr>
              <w:t>Micron Shareholders</w:t>
            </w:r>
          </w:p>
        </w:tc>
        <w:tc>
          <w:tcPr>
            <w:tcW w:w="112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1060" w:type="dxa"/>
            <w:vAlign w:val="bottom"/>
            <w:tcBorders>
              <w:bottom w:val="single" w:sz="8" w:color="0090DA"/>
            </w:tcBorders>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1"/>
                <w:szCs w:val="21"/>
                <w:color w:val="auto"/>
              </w:rPr>
            </w:pPr>
          </w:p>
        </w:tc>
        <w:tc>
          <w:tcPr>
            <w:tcW w:w="1420" w:type="dxa"/>
            <w:vAlign w:val="bottom"/>
            <w:tcBorders>
              <w:bottom w:val="single" w:sz="8" w:color="0090DA"/>
            </w:tcBorders>
            <w:gridSpan w:val="3"/>
          </w:tcPr>
          <w:p>
            <w:pPr>
              <w:jc w:val="right"/>
              <w:ind w:right="3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7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6"/>
                <w:szCs w:val="16"/>
                <w:color w:val="auto"/>
              </w:rPr>
            </w:pPr>
          </w:p>
        </w:tc>
        <w:tc>
          <w:tcPr>
            <w:tcW w:w="1060" w:type="dxa"/>
            <w:vAlign w:val="bottom"/>
          </w:tcPr>
          <w:p>
            <w:pPr>
              <w:jc w:val="right"/>
              <w:ind w:right="31"/>
              <w:spacing w:after="0"/>
              <w:rPr>
                <w:sz w:val="20"/>
                <w:szCs w:val="20"/>
                <w:color w:val="auto"/>
              </w:rPr>
            </w:pPr>
            <w:r>
              <w:rPr>
                <w:rFonts w:ascii="Arial" w:cs="Arial" w:eastAsia="Arial" w:hAnsi="Arial"/>
                <w:sz w:val="16"/>
                <w:szCs w:val="16"/>
                <w:b w:val="1"/>
                <w:bCs w:val="1"/>
                <w:color w:val="auto"/>
                <w:w w:val="96"/>
              </w:rPr>
              <w:t>Total Micron</w:t>
            </w: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Noncontrolling</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2"/>
              </w:rPr>
              <w:t>of</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Additional</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Retained</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Treasury</w:t>
            </w:r>
          </w:p>
        </w:tc>
        <w:tc>
          <w:tcPr>
            <w:tcW w:w="2480" w:type="dxa"/>
            <w:vAlign w:val="bottom"/>
            <w:gridSpan w:val="4"/>
          </w:tcPr>
          <w:p>
            <w:pPr>
              <w:ind w:left="60"/>
              <w:spacing w:after="0"/>
              <w:rPr>
                <w:sz w:val="20"/>
                <w:szCs w:val="20"/>
                <w:color w:val="auto"/>
              </w:rPr>
            </w:pPr>
            <w:r>
              <w:rPr>
                <w:rFonts w:ascii="Arial" w:cs="Arial" w:eastAsia="Arial" w:hAnsi="Arial"/>
                <w:sz w:val="16"/>
                <w:szCs w:val="16"/>
                <w:b w:val="1"/>
                <w:bCs w:val="1"/>
                <w:color w:val="auto"/>
              </w:rPr>
              <w:t>Comprehensive Shareholders’</w:t>
            </w:r>
          </w:p>
        </w:tc>
        <w:tc>
          <w:tcPr>
            <w:tcW w:w="160" w:type="dxa"/>
            <w:vAlign w:val="bottom"/>
          </w:tcPr>
          <w:p>
            <w:pPr>
              <w:spacing w:after="0"/>
              <w:rPr>
                <w:sz w:val="16"/>
                <w:szCs w:val="16"/>
                <w:color w:val="auto"/>
              </w:rPr>
            </w:pPr>
          </w:p>
        </w:tc>
        <w:tc>
          <w:tcPr>
            <w:tcW w:w="1060" w:type="dxa"/>
            <w:vAlign w:val="bottom"/>
          </w:tcPr>
          <w:p>
            <w:pPr>
              <w:jc w:val="right"/>
              <w:ind w:right="131"/>
              <w:spacing w:after="0"/>
              <w:rPr>
                <w:sz w:val="20"/>
                <w:szCs w:val="20"/>
                <w:color w:val="auto"/>
              </w:rPr>
            </w:pPr>
            <w:r>
              <w:rPr>
                <w:rFonts w:ascii="Arial" w:cs="Arial" w:eastAsia="Arial" w:hAnsi="Arial"/>
                <w:sz w:val="16"/>
                <w:szCs w:val="16"/>
                <w:b w:val="1"/>
                <w:bCs w:val="1"/>
                <w:color w:val="auto"/>
              </w:rPr>
              <w:t>Interest in</w:t>
            </w:r>
          </w:p>
        </w:tc>
        <w:tc>
          <w:tcPr>
            <w:tcW w:w="860" w:type="dxa"/>
            <w:vAlign w:val="bottom"/>
          </w:tcPr>
          <w:p>
            <w:pPr>
              <w:jc w:val="right"/>
              <w:ind w:right="1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8"/>
        </w:trPr>
        <w:tc>
          <w:tcPr>
            <w:tcW w:w="2700" w:type="dxa"/>
            <w:vAlign w:val="bottom"/>
            <w:tcBorders>
              <w:bottom w:val="single" w:sz="8" w:color="0090DA"/>
            </w:tcBorders>
          </w:tcPr>
          <w:p>
            <w:pPr>
              <w:spacing w:after="0"/>
              <w:rPr>
                <w:sz w:val="19"/>
                <w:szCs w:val="19"/>
                <w:color w:val="auto"/>
              </w:rPr>
            </w:pPr>
          </w:p>
        </w:tc>
        <w:tc>
          <w:tcPr>
            <w:tcW w:w="68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740" w:type="dxa"/>
            <w:vAlign w:val="bottom"/>
            <w:tcBorders>
              <w:bottom w:val="single" w:sz="8" w:color="0090DA"/>
            </w:tcBorders>
            <w:gridSpan w:val="2"/>
          </w:tcPr>
          <w:p>
            <w:pPr>
              <w:jc w:val="right"/>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0090DA"/>
            </w:tcBorders>
          </w:tcPr>
          <w:p>
            <w:pPr>
              <w:spacing w:after="0"/>
              <w:rPr>
                <w:sz w:val="19"/>
                <w:szCs w:val="19"/>
                <w:color w:val="auto"/>
              </w:rPr>
            </w:pPr>
          </w:p>
        </w:tc>
        <w:tc>
          <w:tcPr>
            <w:tcW w:w="720" w:type="dxa"/>
            <w:vAlign w:val="bottom"/>
            <w:tcBorders>
              <w:bottom w:val="single" w:sz="8" w:color="0090DA"/>
            </w:tcBorders>
          </w:tcPr>
          <w:p>
            <w:pPr>
              <w:jc w:val="right"/>
              <w:ind w:right="70"/>
              <w:spacing w:after="0"/>
              <w:rPr>
                <w:sz w:val="20"/>
                <w:szCs w:val="20"/>
                <w:color w:val="auto"/>
              </w:rPr>
            </w:pPr>
            <w:r>
              <w:rPr>
                <w:rFonts w:ascii="Arial" w:cs="Arial" w:eastAsia="Arial" w:hAnsi="Arial"/>
                <w:sz w:val="16"/>
                <w:szCs w:val="16"/>
                <w:b w:val="1"/>
                <w:bCs w:val="1"/>
                <w:color w:val="auto"/>
              </w:rPr>
              <w:t>Capital</w:t>
            </w:r>
          </w:p>
        </w:tc>
        <w:tc>
          <w:tcPr>
            <w:tcW w:w="860" w:type="dxa"/>
            <w:vAlign w:val="bottom"/>
            <w:tcBorders>
              <w:bottom w:val="single" w:sz="8" w:color="0090DA"/>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160" w:type="dxa"/>
            <w:vAlign w:val="bottom"/>
            <w:tcBorders>
              <w:bottom w:val="single" w:sz="8" w:color="0090DA"/>
            </w:tcBorders>
          </w:tcPr>
          <w:p>
            <w:pPr>
              <w:spacing w:after="0"/>
              <w:rPr>
                <w:sz w:val="19"/>
                <w:szCs w:val="19"/>
                <w:color w:val="auto"/>
              </w:rPr>
            </w:pPr>
          </w:p>
        </w:tc>
        <w:tc>
          <w:tcPr>
            <w:tcW w:w="680" w:type="dxa"/>
            <w:vAlign w:val="bottom"/>
            <w:tcBorders>
              <w:bottom w:val="single" w:sz="8" w:color="0090DA"/>
            </w:tcBorders>
          </w:tcPr>
          <w:p>
            <w:pPr>
              <w:jc w:val="right"/>
              <w:ind w:right="90"/>
              <w:spacing w:after="0"/>
              <w:rPr>
                <w:sz w:val="20"/>
                <w:szCs w:val="20"/>
                <w:color w:val="auto"/>
              </w:rPr>
            </w:pPr>
            <w:r>
              <w:rPr>
                <w:rFonts w:ascii="Arial" w:cs="Arial" w:eastAsia="Arial" w:hAnsi="Arial"/>
                <w:sz w:val="16"/>
                <w:szCs w:val="16"/>
                <w:b w:val="1"/>
                <w:bCs w:val="1"/>
                <w:color w:val="auto"/>
              </w:rPr>
              <w:t>Stock</w:t>
            </w:r>
          </w:p>
        </w:tc>
        <w:tc>
          <w:tcPr>
            <w:tcW w:w="126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160" w:type="dxa"/>
            <w:vAlign w:val="bottom"/>
            <w:tcBorders>
              <w:bottom w:val="single" w:sz="8" w:color="0090DA"/>
            </w:tcBorders>
          </w:tcPr>
          <w:p>
            <w:pPr>
              <w:spacing w:after="0"/>
              <w:rPr>
                <w:sz w:val="19"/>
                <w:szCs w:val="19"/>
                <w:color w:val="auto"/>
              </w:rPr>
            </w:pPr>
          </w:p>
        </w:tc>
        <w:tc>
          <w:tcPr>
            <w:tcW w:w="1060" w:type="dxa"/>
            <w:vAlign w:val="bottom"/>
            <w:tcBorders>
              <w:bottom w:val="single" w:sz="8" w:color="0090DA"/>
            </w:tcBorders>
          </w:tcPr>
          <w:p>
            <w:pPr>
              <w:jc w:val="right"/>
              <w:ind w:right="251"/>
              <w:spacing w:after="0"/>
              <w:rPr>
                <w:sz w:val="20"/>
                <w:szCs w:val="20"/>
                <w:color w:val="auto"/>
              </w:rPr>
            </w:pPr>
            <w:r>
              <w:rPr>
                <w:rFonts w:ascii="Arial" w:cs="Arial" w:eastAsia="Arial" w:hAnsi="Arial"/>
                <w:sz w:val="16"/>
                <w:szCs w:val="16"/>
                <w:b w:val="1"/>
                <w:bCs w:val="1"/>
                <w:color w:val="auto"/>
              </w:rPr>
              <w:t>Equity</w:t>
            </w:r>
          </w:p>
        </w:tc>
        <w:tc>
          <w:tcPr>
            <w:tcW w:w="160" w:type="dxa"/>
            <w:vAlign w:val="bottom"/>
            <w:tcBorders>
              <w:bottom w:val="single" w:sz="8" w:color="0090DA"/>
            </w:tcBorders>
          </w:tcPr>
          <w:p>
            <w:pPr>
              <w:spacing w:after="0"/>
              <w:rPr>
                <w:sz w:val="19"/>
                <w:szCs w:val="19"/>
                <w:color w:val="auto"/>
              </w:rPr>
            </w:pPr>
          </w:p>
        </w:tc>
        <w:tc>
          <w:tcPr>
            <w:tcW w:w="1060" w:type="dxa"/>
            <w:vAlign w:val="bottom"/>
            <w:tcBorders>
              <w:bottom w:val="single" w:sz="8" w:color="0090DA"/>
            </w:tcBorders>
          </w:tcPr>
          <w:p>
            <w:pPr>
              <w:jc w:val="right"/>
              <w:ind w:right="111"/>
              <w:spacing w:after="0"/>
              <w:rPr>
                <w:sz w:val="20"/>
                <w:szCs w:val="20"/>
                <w:color w:val="auto"/>
              </w:rPr>
            </w:pPr>
            <w:r>
              <w:rPr>
                <w:rFonts w:ascii="Arial" w:cs="Arial" w:eastAsia="Arial" w:hAnsi="Arial"/>
                <w:sz w:val="16"/>
                <w:szCs w:val="16"/>
                <w:b w:val="1"/>
                <w:bCs w:val="1"/>
                <w:color w:val="auto"/>
              </w:rPr>
              <w:t>Subsidiary</w:t>
            </w:r>
          </w:p>
        </w:tc>
        <w:tc>
          <w:tcPr>
            <w:tcW w:w="860" w:type="dxa"/>
            <w:vAlign w:val="bottom"/>
            <w:tcBorders>
              <w:bottom w:val="single" w:sz="8" w:color="0090DA"/>
            </w:tcBorders>
          </w:tcPr>
          <w:p>
            <w:pPr>
              <w:jc w:val="right"/>
              <w:ind w:right="9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40"/>
        </w:trPr>
        <w:tc>
          <w:tcPr>
            <w:tcW w:w="2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August 30, 2018</w:t>
            </w:r>
          </w:p>
        </w:tc>
        <w:tc>
          <w:tcPr>
            <w:tcW w:w="68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1,170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8,201</w:t>
            </w:r>
          </w:p>
        </w:tc>
        <w:tc>
          <w:tcPr>
            <w:tcW w:w="8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$ 24,395</w:t>
            </w:r>
          </w:p>
        </w:tc>
        <w:tc>
          <w:tcPr>
            <w:tcW w:w="16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D1D2D4"/>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10</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32,294</w:t>
            </w:r>
          </w:p>
        </w:tc>
        <w:tc>
          <w:tcPr>
            <w:tcW w:w="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870</w:t>
            </w:r>
          </w:p>
        </w:tc>
        <w:tc>
          <w:tcPr>
            <w:tcW w:w="8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6"/>
              </w:rPr>
              <w:t>$ 33,164</w:t>
            </w:r>
          </w:p>
        </w:tc>
        <w:tc>
          <w:tcPr>
            <w:tcW w:w="0" w:type="dxa"/>
            <w:vAlign w:val="bottom"/>
          </w:tcPr>
          <w:p>
            <w:pPr>
              <w:spacing w:after="0"/>
              <w:rPr>
                <w:sz w:val="1"/>
                <w:szCs w:val="1"/>
                <w:color w:val="auto"/>
              </w:rPr>
            </w:pP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Cumulative effect from adoption of</w:t>
            </w:r>
          </w:p>
        </w:tc>
        <w:tc>
          <w:tcPr>
            <w:tcW w:w="68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5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51"/>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5"/>
                <w:szCs w:val="15"/>
                <w:color w:val="auto"/>
              </w:rPr>
            </w:pPr>
          </w:p>
        </w:tc>
        <w:tc>
          <w:tcPr>
            <w:tcW w:w="6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5"/>
                <w:szCs w:val="15"/>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8"/>
        </w:trPr>
        <w:tc>
          <w:tcPr>
            <w:tcW w:w="2700" w:type="dxa"/>
            <w:vAlign w:val="bottom"/>
          </w:tcPr>
          <w:p>
            <w:pPr>
              <w:ind w:left="180"/>
              <w:spacing w:after="0"/>
              <w:rPr>
                <w:sz w:val="20"/>
                <w:szCs w:val="20"/>
                <w:color w:val="auto"/>
              </w:rPr>
            </w:pPr>
            <w:r>
              <w:rPr>
                <w:rFonts w:ascii="Arial" w:cs="Arial" w:eastAsia="Arial" w:hAnsi="Arial"/>
                <w:sz w:val="16"/>
                <w:szCs w:val="16"/>
                <w:color w:val="auto"/>
              </w:rPr>
              <w:t>new accounting standard</w:t>
            </w:r>
          </w:p>
        </w:tc>
        <w:tc>
          <w:tcPr>
            <w:tcW w:w="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income</w:t>
            </w:r>
          </w:p>
        </w:tc>
        <w:tc>
          <w:tcPr>
            <w:tcW w:w="68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3,293</w:t>
            </w:r>
          </w:p>
        </w:tc>
        <w:tc>
          <w:tcPr>
            <w:tcW w:w="160" w:type="dxa"/>
            <w:vAlign w:val="bottom"/>
            <w:shd w:val="clear" w:color="auto" w:fill="D1D2D4"/>
          </w:tcPr>
          <w:p>
            <w:pPr>
              <w:spacing w:after="0"/>
              <w:rPr>
                <w:sz w:val="22"/>
                <w:szCs w:val="22"/>
                <w:color w:val="auto"/>
              </w:rPr>
            </w:pPr>
          </w:p>
        </w:tc>
        <w:tc>
          <w:tcPr>
            <w:tcW w:w="6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3,293</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8"/>
        </w:trPr>
        <w:tc>
          <w:tcPr>
            <w:tcW w:w="27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68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Arial" w:cs="Arial" w:eastAsia="Arial" w:hAnsi="Arial"/>
                <w:sz w:val="16"/>
                <w:szCs w:val="16"/>
                <w:color w:val="auto"/>
              </w:rPr>
              <w:t>net</w:t>
            </w:r>
          </w:p>
        </w:tc>
        <w:tc>
          <w:tcPr>
            <w:tcW w:w="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 issued under stock plans</w:t>
            </w:r>
          </w:p>
        </w:tc>
        <w:tc>
          <w:tcPr>
            <w:tcW w:w="68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3</w:t>
            </w: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15</w:t>
            </w:r>
          </w:p>
        </w:tc>
        <w:tc>
          <w:tcPr>
            <w:tcW w:w="8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6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15</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Repurchase of stock</w:t>
            </w:r>
          </w:p>
        </w:tc>
        <w:tc>
          <w:tcPr>
            <w:tcW w:w="68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108</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(1,933)</w:t>
            </w:r>
          </w:p>
        </w:tc>
        <w:tc>
          <w:tcPr>
            <w:tcW w:w="14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(1,836)</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Reclassification of redeemable</w:t>
            </w:r>
          </w:p>
        </w:tc>
        <w:tc>
          <w:tcPr>
            <w:tcW w:w="68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5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2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86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6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5"/>
                <w:szCs w:val="15"/>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8"/>
        </w:trPr>
        <w:tc>
          <w:tcPr>
            <w:tcW w:w="2700" w:type="dxa"/>
            <w:vAlign w:val="bottom"/>
          </w:tcPr>
          <w:p>
            <w:pPr>
              <w:ind w:left="180"/>
              <w:spacing w:after="0"/>
              <w:rPr>
                <w:sz w:val="20"/>
                <w:szCs w:val="20"/>
                <w:color w:val="auto"/>
              </w:rPr>
            </w:pPr>
            <w:r>
              <w:rPr>
                <w:rFonts w:ascii="Arial" w:cs="Arial" w:eastAsia="Arial" w:hAnsi="Arial"/>
                <w:sz w:val="16"/>
                <w:szCs w:val="16"/>
                <w:color w:val="auto"/>
              </w:rPr>
              <w:t>convertible notes, net</w:t>
            </w:r>
          </w:p>
        </w:tc>
        <w:tc>
          <w:tcPr>
            <w:tcW w:w="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Conversion of convertible notes</w:t>
            </w:r>
          </w:p>
        </w:tc>
        <w:tc>
          <w:tcPr>
            <w:tcW w:w="68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22"/>
                <w:szCs w:val="22"/>
                <w:color w:val="auto"/>
              </w:rPr>
            </w:pPr>
          </w:p>
        </w:tc>
        <w:tc>
          <w:tcPr>
            <w:tcW w:w="5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22"/>
                <w:szCs w:val="22"/>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w:t>
            </w:r>
          </w:p>
        </w:tc>
        <w:tc>
          <w:tcPr>
            <w:tcW w:w="86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22"/>
                <w:szCs w:val="22"/>
                <w:color w:val="auto"/>
              </w:rPr>
            </w:pPr>
          </w:p>
        </w:tc>
        <w:tc>
          <w:tcPr>
            <w:tcW w:w="68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22"/>
                <w:szCs w:val="22"/>
                <w:color w:val="auto"/>
              </w:rPr>
            </w:pPr>
          </w:p>
        </w:tc>
        <w:tc>
          <w:tcPr>
            <w:tcW w:w="1060" w:type="dxa"/>
            <w:vAlign w:val="bottom"/>
            <w:tcBorders>
              <w:bottom w:val="single" w:sz="8" w:color="auto"/>
            </w:tcBorders>
            <w:shd w:val="clear" w:color="auto" w:fill="D1D2D4"/>
          </w:tcPr>
          <w:p>
            <w:pPr>
              <w:jc w:val="right"/>
              <w:ind w:right="11"/>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auto"/>
            </w:tcBorders>
            <w:shd w:val="clear" w:color="auto" w:fill="D1D2D4"/>
          </w:tcPr>
          <w:p>
            <w:pPr>
              <w:spacing w:after="0"/>
              <w:rPr>
                <w:sz w:val="22"/>
                <w:szCs w:val="22"/>
                <w:color w:val="auto"/>
              </w:rPr>
            </w:pPr>
          </w:p>
        </w:tc>
        <w:tc>
          <w:tcPr>
            <w:tcW w:w="1060" w:type="dxa"/>
            <w:vAlign w:val="bottom"/>
            <w:tcBorders>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1D2D4"/>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Balance at November 29, 2018</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1,172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8,350</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w w:val="99"/>
              </w:rPr>
              <w:t>$ 27,769</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(2,362)</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33,869</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870</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w w:val="96"/>
              </w:rPr>
              <w:t>$ 34,739</w:t>
            </w: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income</w:t>
            </w:r>
          </w:p>
        </w:tc>
        <w:tc>
          <w:tcPr>
            <w:tcW w:w="68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1,619</w:t>
            </w:r>
          </w:p>
        </w:tc>
        <w:tc>
          <w:tcPr>
            <w:tcW w:w="160" w:type="dxa"/>
            <w:vAlign w:val="bottom"/>
            <w:shd w:val="clear" w:color="auto" w:fill="D1D2D4"/>
          </w:tcPr>
          <w:p>
            <w:pPr>
              <w:spacing w:after="0"/>
              <w:rPr>
                <w:sz w:val="22"/>
                <w:szCs w:val="22"/>
                <w:color w:val="auto"/>
              </w:rPr>
            </w:pPr>
          </w:p>
        </w:tc>
        <w:tc>
          <w:tcPr>
            <w:tcW w:w="6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1,619</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8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8"/>
        </w:trPr>
        <w:tc>
          <w:tcPr>
            <w:tcW w:w="27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68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Arial" w:cs="Arial" w:eastAsia="Arial" w:hAnsi="Arial"/>
                <w:sz w:val="16"/>
                <w:szCs w:val="16"/>
                <w:color w:val="auto"/>
              </w:rPr>
              <w:t>net</w:t>
            </w:r>
          </w:p>
        </w:tc>
        <w:tc>
          <w:tcPr>
            <w:tcW w:w="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 issued under stock plans</w:t>
            </w:r>
          </w:p>
        </w:tc>
        <w:tc>
          <w:tcPr>
            <w:tcW w:w="68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7</w:t>
            </w: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76</w:t>
            </w:r>
          </w:p>
        </w:tc>
        <w:tc>
          <w:tcPr>
            <w:tcW w:w="8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6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77</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Repurchase of stock</w:t>
            </w:r>
          </w:p>
        </w:tc>
        <w:tc>
          <w:tcPr>
            <w:tcW w:w="68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(702)</w:t>
            </w:r>
          </w:p>
        </w:tc>
        <w:tc>
          <w:tcPr>
            <w:tcW w:w="14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(731)</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color w:val="auto"/>
              </w:rPr>
              <w:t>Acquisition of noncontrolling interest</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4"/>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Reclassification of redeemable</w:t>
            </w:r>
          </w:p>
        </w:tc>
        <w:tc>
          <w:tcPr>
            <w:tcW w:w="680" w:type="dxa"/>
            <w:vAlign w:val="bottom"/>
            <w:vMerge w:val="restart"/>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6"/>
                <w:szCs w:val="16"/>
                <w:color w:val="auto"/>
              </w:rPr>
            </w:pPr>
          </w:p>
        </w:tc>
        <w:tc>
          <w:tcPr>
            <w:tcW w:w="54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6"/>
                <w:szCs w:val="16"/>
                <w:color w:val="auto"/>
              </w:rPr>
            </w:pPr>
          </w:p>
        </w:tc>
        <w:tc>
          <w:tcPr>
            <w:tcW w:w="720" w:type="dxa"/>
            <w:vAlign w:val="bottom"/>
            <w:vMerge w:val="restart"/>
            <w:shd w:val="clear" w:color="auto" w:fill="D1D2D4"/>
          </w:tcPr>
          <w:p>
            <w:pPr>
              <w:jc w:val="right"/>
              <w:ind w:right="50"/>
              <w:spacing w:after="0"/>
              <w:rPr>
                <w:sz w:val="20"/>
                <w:szCs w:val="20"/>
                <w:color w:val="auto"/>
              </w:rPr>
            </w:pPr>
            <w:r>
              <w:rPr>
                <w:rFonts w:ascii="Arial" w:cs="Arial" w:eastAsia="Arial" w:hAnsi="Arial"/>
                <w:sz w:val="18"/>
                <w:szCs w:val="18"/>
                <w:color w:val="auto"/>
              </w:rPr>
              <w:t>1</w:t>
            </w:r>
          </w:p>
        </w:tc>
        <w:tc>
          <w:tcPr>
            <w:tcW w:w="860" w:type="dxa"/>
            <w:vAlign w:val="bottom"/>
            <w:vMerge w:val="restart"/>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6"/>
                <w:szCs w:val="16"/>
                <w:color w:val="auto"/>
              </w:rPr>
            </w:pPr>
          </w:p>
        </w:tc>
        <w:tc>
          <w:tcPr>
            <w:tcW w:w="680" w:type="dxa"/>
            <w:vAlign w:val="bottom"/>
            <w:vMerge w:val="restart"/>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6"/>
                <w:szCs w:val="16"/>
                <w:color w:val="auto"/>
              </w:rPr>
            </w:pPr>
          </w:p>
        </w:tc>
        <w:tc>
          <w:tcPr>
            <w:tcW w:w="1120" w:type="dxa"/>
            <w:vAlign w:val="bottom"/>
            <w:vMerge w:val="restart"/>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6"/>
                <w:szCs w:val="16"/>
                <w:color w:val="auto"/>
              </w:rPr>
            </w:pPr>
          </w:p>
        </w:tc>
        <w:tc>
          <w:tcPr>
            <w:tcW w:w="1060" w:type="dxa"/>
            <w:vAlign w:val="bottom"/>
            <w:vMerge w:val="restart"/>
            <w:shd w:val="clear" w:color="auto" w:fill="D1D2D4"/>
          </w:tcPr>
          <w:p>
            <w:pPr>
              <w:jc w:val="right"/>
              <w:ind w:right="71"/>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6"/>
                <w:szCs w:val="16"/>
                <w:color w:val="auto"/>
              </w:rPr>
            </w:pPr>
          </w:p>
        </w:tc>
        <w:tc>
          <w:tcPr>
            <w:tcW w:w="1060" w:type="dxa"/>
            <w:vAlign w:val="bottom"/>
            <w:vMerge w:val="restart"/>
            <w:shd w:val="clear" w:color="auto" w:fill="D1D2D4"/>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D1D2D4"/>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1"/>
        </w:trPr>
        <w:tc>
          <w:tcPr>
            <w:tcW w:w="2700" w:type="dxa"/>
            <w:vAlign w:val="bottom"/>
            <w:shd w:val="clear" w:color="auto" w:fill="D1D2D4"/>
          </w:tcPr>
          <w:p>
            <w:pPr>
              <w:ind w:left="180"/>
              <w:spacing w:after="0"/>
              <w:rPr>
                <w:sz w:val="20"/>
                <w:szCs w:val="20"/>
                <w:color w:val="auto"/>
              </w:rPr>
            </w:pPr>
            <w:r>
              <w:rPr>
                <w:rFonts w:ascii="Arial" w:cs="Arial" w:eastAsia="Arial" w:hAnsi="Arial"/>
                <w:sz w:val="16"/>
                <w:szCs w:val="16"/>
                <w:color w:val="auto"/>
              </w:rPr>
              <w:t>convertible notes, net</w:t>
            </w:r>
          </w:p>
        </w:tc>
        <w:tc>
          <w:tcPr>
            <w:tcW w:w="680" w:type="dxa"/>
            <w:vAlign w:val="bottom"/>
            <w:vMerge w:val="continue"/>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54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720" w:type="dxa"/>
            <w:vAlign w:val="bottom"/>
            <w:vMerge w:val="continue"/>
            <w:shd w:val="clear" w:color="auto" w:fill="D1D2D4"/>
          </w:tcPr>
          <w:p>
            <w:pPr>
              <w:spacing w:after="0"/>
              <w:rPr>
                <w:sz w:val="17"/>
                <w:szCs w:val="17"/>
                <w:color w:val="auto"/>
              </w:rPr>
            </w:pPr>
          </w:p>
        </w:tc>
        <w:tc>
          <w:tcPr>
            <w:tcW w:w="86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68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12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86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7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Conversion of convertible notes</w:t>
            </w: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(336)</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5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February 28, 2019</w:t>
            </w:r>
          </w:p>
        </w:tc>
        <w:tc>
          <w:tcPr>
            <w:tcW w:w="68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1,178</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8,143</w:t>
            </w:r>
          </w:p>
        </w:tc>
        <w:tc>
          <w:tcPr>
            <w:tcW w:w="8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$ 29,364</w:t>
            </w:r>
          </w:p>
        </w:tc>
        <w:tc>
          <w:tcPr>
            <w:tcW w:w="16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(3,064)</w:t>
            </w:r>
          </w:p>
        </w:tc>
        <w:tc>
          <w:tcPr>
            <w:tcW w:w="140" w:type="dxa"/>
            <w:vAlign w:val="bottom"/>
            <w:shd w:val="clear" w:color="auto" w:fill="D1D2D4"/>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6</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34,567</w:t>
            </w:r>
          </w:p>
        </w:tc>
        <w:tc>
          <w:tcPr>
            <w:tcW w:w="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863</w:t>
            </w:r>
          </w:p>
        </w:tc>
        <w:tc>
          <w:tcPr>
            <w:tcW w:w="8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6"/>
              </w:rPr>
              <w:t>$ 35,430</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840</w:t>
            </w: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840</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25"/>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w:t>
            </w:r>
          </w:p>
        </w:tc>
        <w:tc>
          <w:tcPr>
            <w:tcW w:w="680" w:type="dxa"/>
            <w:vAlign w:val="bottom"/>
            <w:vMerge w:val="restart"/>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54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20" w:type="dxa"/>
            <w:vAlign w:val="bottom"/>
            <w:vMerge w:val="restart"/>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680" w:type="dxa"/>
            <w:vAlign w:val="bottom"/>
            <w:vMerge w:val="restart"/>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20" w:type="dxa"/>
            <w:vAlign w:val="bottom"/>
            <w:vMerge w:val="restart"/>
            <w:shd w:val="clear" w:color="auto" w:fill="D1D2D4"/>
          </w:tcPr>
          <w:p>
            <w:pPr>
              <w:jc w:val="right"/>
              <w:ind w:right="31"/>
              <w:spacing w:after="0"/>
              <w:rPr>
                <w:sz w:val="20"/>
                <w:szCs w:val="20"/>
                <w:color w:val="auto"/>
              </w:rPr>
            </w:pPr>
            <w:r>
              <w:rPr>
                <w:rFonts w:ascii="Arial" w:cs="Arial" w:eastAsia="Arial" w:hAnsi="Arial"/>
                <w:sz w:val="18"/>
                <w:szCs w:val="18"/>
                <w:color w:val="auto"/>
              </w:rPr>
              <w:t>2</w:t>
            </w:r>
          </w:p>
        </w:tc>
        <w:tc>
          <w:tcPr>
            <w:tcW w:w="160" w:type="dxa"/>
            <w:vAlign w:val="bottom"/>
            <w:shd w:val="clear" w:color="auto" w:fill="D1D2D4"/>
          </w:tcPr>
          <w:p>
            <w:pPr>
              <w:spacing w:after="0"/>
              <w:rPr>
                <w:sz w:val="19"/>
                <w:szCs w:val="19"/>
                <w:color w:val="auto"/>
              </w:rPr>
            </w:pPr>
          </w:p>
        </w:tc>
        <w:tc>
          <w:tcPr>
            <w:tcW w:w="1060" w:type="dxa"/>
            <w:vAlign w:val="bottom"/>
            <w:vMerge w:val="restart"/>
            <w:shd w:val="clear" w:color="auto" w:fill="D1D2D4"/>
          </w:tcPr>
          <w:p>
            <w:pPr>
              <w:jc w:val="right"/>
              <w:ind w:right="71"/>
              <w:spacing w:after="0"/>
              <w:rPr>
                <w:sz w:val="20"/>
                <w:szCs w:val="20"/>
                <w:color w:val="auto"/>
              </w:rPr>
            </w:pPr>
            <w:r>
              <w:rPr>
                <w:rFonts w:ascii="Arial" w:cs="Arial" w:eastAsia="Arial" w:hAnsi="Arial"/>
                <w:sz w:val="18"/>
                <w:szCs w:val="18"/>
                <w:color w:val="auto"/>
              </w:rPr>
              <w:t>2</w:t>
            </w:r>
          </w:p>
        </w:tc>
        <w:tc>
          <w:tcPr>
            <w:tcW w:w="160" w:type="dxa"/>
            <w:vAlign w:val="bottom"/>
            <w:shd w:val="clear" w:color="auto" w:fill="D1D2D4"/>
          </w:tcPr>
          <w:p>
            <w:pPr>
              <w:spacing w:after="0"/>
              <w:rPr>
                <w:sz w:val="19"/>
                <w:szCs w:val="19"/>
                <w:color w:val="auto"/>
              </w:rPr>
            </w:pPr>
          </w:p>
        </w:tc>
        <w:tc>
          <w:tcPr>
            <w:tcW w:w="1060" w:type="dxa"/>
            <w:vAlign w:val="bottom"/>
            <w:vMerge w:val="restart"/>
            <w:shd w:val="clear" w:color="auto" w:fill="D1D2D4"/>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D1D2D4"/>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w:t>
            </w:r>
          </w:p>
        </w:tc>
        <w:tc>
          <w:tcPr>
            <w:tcW w:w="680" w:type="dxa"/>
            <w:vAlign w:val="bottom"/>
            <w:vMerge w:val="continue"/>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54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20" w:type="dxa"/>
            <w:vAlign w:val="bottom"/>
            <w:vMerge w:val="continue"/>
            <w:shd w:val="clear" w:color="auto" w:fill="D1D2D4"/>
          </w:tcPr>
          <w:p>
            <w:pPr>
              <w:spacing w:after="0"/>
              <w:rPr>
                <w:sz w:val="18"/>
                <w:szCs w:val="18"/>
                <w:color w:val="auto"/>
              </w:rPr>
            </w:pPr>
          </w:p>
        </w:tc>
        <w:tc>
          <w:tcPr>
            <w:tcW w:w="860" w:type="dxa"/>
            <w:vAlign w:val="bottom"/>
            <w:vMerge w:val="continue"/>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68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120" w:type="dxa"/>
            <w:vAlign w:val="bottom"/>
            <w:vMerge w:val="continue"/>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060" w:type="dxa"/>
            <w:vAlign w:val="bottom"/>
            <w:vMerge w:val="continue"/>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060" w:type="dxa"/>
            <w:vAlign w:val="bottom"/>
            <w:vMerge w:val="continue"/>
            <w:shd w:val="clear" w:color="auto" w:fill="D1D2D4"/>
          </w:tcPr>
          <w:p>
            <w:pPr>
              <w:spacing w:after="0"/>
              <w:rPr>
                <w:sz w:val="18"/>
                <w:szCs w:val="18"/>
                <w:color w:val="auto"/>
              </w:rPr>
            </w:pPr>
          </w:p>
        </w:tc>
        <w:tc>
          <w:tcPr>
            <w:tcW w:w="86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68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58</w:t>
            </w:r>
          </w:p>
        </w:tc>
        <w:tc>
          <w:tcPr>
            <w:tcW w:w="8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6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58</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color w:val="auto"/>
              </w:rPr>
              <w:t>Repurchase of stock</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Acquisition of noncontrolling interest</w:t>
            </w:r>
          </w:p>
        </w:tc>
        <w:tc>
          <w:tcPr>
            <w:tcW w:w="68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w:t>
            </w:r>
          </w:p>
        </w:tc>
        <w:tc>
          <w:tcPr>
            <w:tcW w:w="8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6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(5)</w:t>
            </w:r>
          </w:p>
        </w:tc>
        <w:tc>
          <w:tcPr>
            <w:tcW w:w="86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3"/>
        </w:trPr>
        <w:tc>
          <w:tcPr>
            <w:tcW w:w="27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Conversion of convertible notes</w:t>
            </w: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8"/>
        </w:trPr>
        <w:tc>
          <w:tcPr>
            <w:tcW w:w="27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May 30, 2019</w:t>
            </w:r>
          </w:p>
        </w:tc>
        <w:tc>
          <w:tcPr>
            <w:tcW w:w="68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rPr>
              <w:t>1,180</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8,217</w:t>
            </w:r>
          </w:p>
        </w:tc>
        <w:tc>
          <w:tcPr>
            <w:tcW w:w="86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w w:val="99"/>
              </w:rPr>
              <w:t>$ 30,201</w:t>
            </w:r>
          </w:p>
        </w:tc>
        <w:tc>
          <w:tcPr>
            <w:tcW w:w="160" w:type="dxa"/>
            <w:vAlign w:val="bottom"/>
            <w:tcBorders>
              <w:bottom w:val="single" w:sz="8" w:color="auto"/>
            </w:tcBorders>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(3,221)</w:t>
            </w:r>
          </w:p>
        </w:tc>
        <w:tc>
          <w:tcPr>
            <w:tcW w:w="140" w:type="dxa"/>
            <w:vAlign w:val="bottom"/>
            <w:tcBorders>
              <w:bottom w:val="single" w:sz="8" w:color="auto"/>
            </w:tcBorders>
            <w:shd w:val="clear" w:color="auto" w:fill="D1D2D4"/>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ind w:right="31"/>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rPr>
              <w:t>35,323</w:t>
            </w:r>
          </w:p>
        </w:tc>
        <w:tc>
          <w:tcPr>
            <w:tcW w:w="16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rPr>
              <w:t>867</w:t>
            </w:r>
          </w:p>
        </w:tc>
        <w:tc>
          <w:tcPr>
            <w:tcW w:w="860" w:type="dxa"/>
            <w:vAlign w:val="bottom"/>
            <w:tcBorders>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w w:val="96"/>
              </w:rPr>
              <w:t>$ 36,190</w:t>
            </w:r>
          </w:p>
        </w:tc>
        <w:tc>
          <w:tcPr>
            <w:tcW w:w="0" w:type="dxa"/>
            <w:vAlign w:val="bottom"/>
          </w:tcPr>
          <w:p>
            <w:pPr>
              <w:spacing w:after="0"/>
              <w:rPr>
                <w:sz w:val="1"/>
                <w:szCs w:val="1"/>
                <w:color w:val="auto"/>
              </w:rPr>
            </w:pPr>
          </w:p>
        </w:tc>
      </w:tr>
      <w:tr>
        <w:trPr>
          <w:trHeight w:val="20"/>
        </w:trPr>
        <w:tc>
          <w:tcPr>
            <w:tcW w:w="2700" w:type="dxa"/>
            <w:vAlign w:val="bottom"/>
            <w:tcBorders>
              <w:top w:val="single" w:sz="8" w:color="D1D2D4"/>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54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86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8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10160"/>
        <w:spacing w:after="0"/>
        <w:rPr>
          <w:sz w:val="20"/>
          <w:szCs w:val="20"/>
          <w:color w:val="auto"/>
        </w:rPr>
      </w:pPr>
      <w:r>
        <w:rPr>
          <w:sz w:val="1"/>
          <w:szCs w:val="1"/>
          <w:color w:val="auto"/>
        </w:rPr>
        <w:drawing>
          <wp:inline distT="0" distB="0" distL="0" distR="0">
            <wp:extent cx="591820" cy="1543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2"/>
          <w:szCs w:val="12"/>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3820" w:type="dxa"/>
            <w:vAlign w:val="bottom"/>
          </w:tcPr>
          <w:p>
            <w:pPr>
              <w:jc w:val="center"/>
              <w:ind w:left="2150"/>
              <w:spacing w:after="0"/>
              <w:rPr>
                <w:sz w:val="20"/>
                <w:szCs w:val="20"/>
                <w:color w:val="auto"/>
              </w:rPr>
            </w:pPr>
            <w:r>
              <w:rPr>
                <w:rFonts w:ascii="Arial" w:cs="Arial" w:eastAsia="Arial" w:hAnsi="Arial"/>
                <w:sz w:val="18"/>
                <w:szCs w:val="18"/>
                <w:b w:val="1"/>
                <w:bCs w:val="1"/>
                <w:color w:val="auto"/>
              </w:rPr>
              <w:t>May 28,</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8"/>
              </w:rPr>
              <w:t>May 30,</w:t>
            </w:r>
          </w:p>
        </w:tc>
      </w:tr>
      <w:tr>
        <w:trPr>
          <w:trHeight w:val="246"/>
        </w:trPr>
        <w:tc>
          <w:tcPr>
            <w:tcW w:w="58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Nine months ended</w:t>
            </w:r>
          </w:p>
        </w:tc>
        <w:tc>
          <w:tcPr>
            <w:tcW w:w="3820" w:type="dxa"/>
            <w:vAlign w:val="bottom"/>
            <w:tcBorders>
              <w:bottom w:val="single" w:sz="8" w:color="0090DA"/>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0" w:type="dxa"/>
            <w:vAlign w:val="bottom"/>
            <w:tcBorders>
              <w:bottom w:val="single" w:sz="8" w:color="0090DA"/>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40"/>
        </w:trPr>
        <w:tc>
          <w:tcPr>
            <w:tcW w:w="5820" w:type="dxa"/>
            <w:vAlign w:val="bottom"/>
          </w:tcPr>
          <w:p>
            <w:pPr>
              <w:spacing w:after="0"/>
              <w:rPr>
                <w:sz w:val="3"/>
                <w:szCs w:val="3"/>
                <w:color w:val="auto"/>
              </w:rPr>
            </w:pPr>
          </w:p>
        </w:tc>
        <w:tc>
          <w:tcPr>
            <w:tcW w:w="382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7"/>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20" w:type="dxa"/>
            <w:vAlign w:val="bottom"/>
            <w:shd w:val="clear" w:color="auto" w:fill="D1D2D4"/>
          </w:tcPr>
          <w:p>
            <w:pPr>
              <w:spacing w:after="0"/>
              <w:rPr>
                <w:sz w:val="22"/>
                <w:szCs w:val="22"/>
                <w:color w:val="auto"/>
              </w:rPr>
            </w:pPr>
          </w:p>
        </w:tc>
        <w:tc>
          <w:tcPr>
            <w:tcW w:w="1600" w:type="dxa"/>
            <w:vAlign w:val="bottom"/>
            <w:shd w:val="clear" w:color="auto" w:fill="D1D2D4"/>
          </w:tcPr>
          <w:p>
            <w:pPr>
              <w:spacing w:after="0"/>
              <w:rPr>
                <w:sz w:val="22"/>
                <w:szCs w:val="22"/>
                <w:color w:val="auto"/>
              </w:rPr>
            </w:pPr>
          </w:p>
        </w:tc>
      </w:tr>
    </w:tbl>
    <w:p>
      <w:pPr>
        <w:spacing w:after="0" w:line="26" w:lineRule="exact"/>
        <w:rPr>
          <w:sz w:val="20"/>
          <w:szCs w:val="20"/>
          <w:color w:val="auto"/>
        </w:rPr>
      </w:pPr>
    </w:p>
    <w:p>
      <w:pPr>
        <w:sectPr>
          <w:pgSz w:w="11900" w:h="16838" w:orient="portrait"/>
          <w:cols w:equalWidth="0" w:num="1">
            <w:col w:w="11240"/>
          </w:cols>
          <w:pgMar w:left="320" w:top="919" w:right="339" w:bottom="1440" w:gutter="0" w:footer="0" w:header="0"/>
        </w:sectPr>
      </w:pPr>
    </w:p>
    <w:p>
      <w:pPr>
        <w:ind w:left="2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ind w:left="220" w:right="1000" w:hanging="183"/>
        <w:spacing w:after="0" w:line="289" w:lineRule="auto"/>
        <w:rPr>
          <w:sz w:val="20"/>
          <w:szCs w:val="20"/>
          <w:color w:val="auto"/>
        </w:rPr>
      </w:pPr>
      <w:r>
        <w:rPr>
          <w:rFonts w:ascii="Arial" w:cs="Arial" w:eastAsia="Arial" w:hAnsi="Arial"/>
          <w:sz w:val="18"/>
          <w:szCs w:val="18"/>
          <w:color w:val="auto"/>
        </w:rPr>
        <w:t>Adjustments to reconcile net income to net cash provided by operating activities Depreciation expense and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Amortization of debt discount and other costs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20" w:right="2900" w:hanging="17"/>
        <w:spacing w:after="0" w:line="297" w:lineRule="auto"/>
        <w:rPr>
          <w:sz w:val="20"/>
          <w:szCs w:val="20"/>
          <w:color w:val="auto"/>
        </w:rPr>
      </w:pPr>
      <w:r>
        <w:rPr>
          <w:rFonts w:ascii="Arial" w:cs="Arial" w:eastAsia="Arial" w:hAnsi="Arial"/>
          <w:sz w:val="18"/>
          <w:szCs w:val="18"/>
          <w:color w:val="auto"/>
        </w:rPr>
        <w:t>(Gains) losses on debt prepayments and conversions 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Receivables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payable and accrued expenses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4" w:lineRule="exact"/>
        <w:rPr>
          <w:sz w:val="20"/>
          <w:szCs w:val="20"/>
          <w:color w:val="auto"/>
        </w:rPr>
      </w:pPr>
    </w:p>
    <w:p>
      <w:pPr>
        <w:ind w:left="20" w:right="2900"/>
        <w:spacing w:after="0" w:line="305"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Expenditures for property, plant, and equipment Purchases of available-for-sale securities Proceeds from sales of available-for-sale securities Proceeds from maturities of available-for-sale securities Proceeds from government incentives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-841375</wp:posOffset>
            </wp:positionV>
            <wp:extent cx="713232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-515620</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provided by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 of noncontrolling interest in IMFT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Payments to acquire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Payments on equipment purchase contracts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issuance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provided by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changes in currency exchange rates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cash equivalents, and restricted cash at beginning of period</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cash equivalents, and restricted cash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17"/>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1,720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5,772</w:t>
            </w:r>
          </w:p>
        </w:tc>
      </w:tr>
      <w:tr>
        <w:trPr>
          <w:trHeight w:val="513"/>
        </w:trPr>
        <w:tc>
          <w:tcPr>
            <w:tcW w:w="5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4,083</w:t>
            </w:r>
          </w:p>
        </w:tc>
        <w:tc>
          <w:tcPr>
            <w:tcW w:w="6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4,008</w:t>
            </w:r>
          </w:p>
        </w:tc>
      </w:tr>
      <w:tr>
        <w:trPr>
          <w:trHeight w:val="257"/>
        </w:trPr>
        <w:tc>
          <w:tcPr>
            <w:tcW w:w="52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57"/>
        </w:trPr>
        <w:tc>
          <w:tcPr>
            <w:tcW w:w="52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6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57"/>
        </w:trPr>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w:t>
            </w:r>
          </w:p>
        </w:tc>
      </w:tr>
    </w:tbl>
    <w:p>
      <w:pPr>
        <w:spacing w:after="0" w:line="296" w:lineRule="exact"/>
        <w:rPr>
          <w:sz w:val="20"/>
          <w:szCs w:val="20"/>
          <w:color w:val="auto"/>
        </w:rPr>
      </w:pPr>
    </w:p>
    <w:p>
      <w:pPr>
        <w:ind w:left="2580" w:hanging="1521"/>
        <w:spacing w:after="0"/>
        <w:tabs>
          <w:tab w:leader="none" w:pos="2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2,373</w:t>
      </w:r>
    </w:p>
    <w:p>
      <w:pPr>
        <w:spacing w:after="0" w:line="50" w:lineRule="exact"/>
        <w:rPr>
          <w:sz w:val="20"/>
          <w:szCs w:val="20"/>
          <w:color w:val="auto"/>
        </w:rPr>
      </w:pPr>
    </w:p>
    <w:p>
      <w:pPr>
        <w:ind w:left="2500" w:hanging="1441"/>
        <w:spacing w:after="0"/>
        <w:tabs>
          <w:tab w:leader="none" w:pos="2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(1,315)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60" w:type="dxa"/>
            <w:vAlign w:val="bottom"/>
          </w:tcPr>
          <w:p>
            <w:pPr>
              <w:jc w:val="right"/>
              <w:ind w:right="450"/>
              <w:spacing w:after="0"/>
              <w:rPr>
                <w:sz w:val="20"/>
                <w:szCs w:val="20"/>
                <w:color w:val="auto"/>
              </w:rPr>
            </w:pPr>
            <w:r>
              <w:rPr>
                <w:rFonts w:ascii="Arial" w:cs="Arial" w:eastAsia="Arial" w:hAnsi="Arial"/>
                <w:sz w:val="18"/>
                <w:szCs w:val="18"/>
                <w:color w:val="auto"/>
              </w:rPr>
              <w:t>700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(703)</w:t>
            </w:r>
          </w:p>
        </w:tc>
      </w:tr>
      <w:tr>
        <w:trPr>
          <w:trHeight w:val="257"/>
        </w:trPr>
        <w:tc>
          <w:tcPr>
            <w:tcW w:w="1960" w:type="dxa"/>
            <w:vAlign w:val="bottom"/>
          </w:tcPr>
          <w:p>
            <w:pPr>
              <w:jc w:val="right"/>
              <w:ind w:right="450"/>
              <w:spacing w:after="0"/>
              <w:rPr>
                <w:sz w:val="20"/>
                <w:szCs w:val="20"/>
                <w:color w:val="auto"/>
              </w:rPr>
            </w:pPr>
            <w:r>
              <w:rPr>
                <w:rFonts w:ascii="Arial" w:cs="Arial" w:eastAsia="Arial" w:hAnsi="Arial"/>
                <w:sz w:val="18"/>
                <w:szCs w:val="18"/>
                <w:color w:val="auto"/>
              </w:rPr>
              <w:t>26</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195</w:t>
            </w:r>
          </w:p>
        </w:tc>
      </w:tr>
      <w:tr>
        <w:trPr>
          <w:trHeight w:val="263"/>
        </w:trPr>
        <w:tc>
          <w:tcPr>
            <w:tcW w:w="1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34</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w:t>
            </w:r>
          </w:p>
        </w:tc>
      </w:tr>
      <w:tr>
        <w:trPr>
          <w:trHeight w:val="250"/>
        </w:trPr>
        <w:tc>
          <w:tcPr>
            <w:tcW w:w="1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6,035</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10,956</w:t>
            </w:r>
          </w:p>
        </w:tc>
      </w:tr>
    </w:tbl>
    <w:p>
      <w:pPr>
        <w:spacing w:after="0" w:line="200" w:lineRule="exact"/>
        <w:rPr>
          <w:sz w:val="20"/>
          <w:szCs w:val="20"/>
          <w:color w:val="auto"/>
        </w:rPr>
      </w:pPr>
    </w:p>
    <w:p>
      <w:pPr>
        <w:spacing w:after="0" w:line="326" w:lineRule="exact"/>
        <w:rPr>
          <w:sz w:val="20"/>
          <w:szCs w:val="20"/>
          <w:color w:val="auto"/>
        </w:rPr>
      </w:pPr>
    </w:p>
    <w:p>
      <w:pPr>
        <w:ind w:left="900"/>
        <w:spacing w:after="0"/>
        <w:tabs>
          <w:tab w:leader="none" w:pos="2480" w:val="left"/>
        </w:tabs>
        <w:rPr>
          <w:sz w:val="20"/>
          <w:szCs w:val="20"/>
          <w:color w:val="auto"/>
        </w:rPr>
      </w:pPr>
      <w:r>
        <w:rPr>
          <w:rFonts w:ascii="Arial" w:cs="Arial" w:eastAsia="Arial" w:hAnsi="Arial"/>
          <w:sz w:val="18"/>
          <w:szCs w:val="18"/>
          <w:color w:val="auto"/>
        </w:rPr>
        <w:t>(5,943)</w:t>
      </w:r>
      <w:r>
        <w:rPr>
          <w:sz w:val="20"/>
          <w:szCs w:val="20"/>
          <w:color w:val="auto"/>
        </w:rPr>
        <w:tab/>
      </w:r>
      <w:r>
        <w:rPr>
          <w:rFonts w:ascii="Arial" w:cs="Arial" w:eastAsia="Arial" w:hAnsi="Arial"/>
          <w:sz w:val="18"/>
          <w:szCs w:val="18"/>
          <w:color w:val="auto"/>
        </w:rPr>
        <w:t>(7,752)</w:t>
      </w:r>
    </w:p>
    <w:p>
      <w:pPr>
        <w:spacing w:after="0" w:line="50" w:lineRule="exact"/>
        <w:rPr>
          <w:sz w:val="20"/>
          <w:szCs w:val="20"/>
          <w:color w:val="auto"/>
        </w:rPr>
      </w:pPr>
    </w:p>
    <w:p>
      <w:pPr>
        <w:ind w:left="2500" w:hanging="1441"/>
        <w:spacing w:after="0"/>
        <w:tabs>
          <w:tab w:leader="none" w:pos="2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(3,814)</w:t>
      </w:r>
    </w:p>
    <w:p>
      <w:pPr>
        <w:spacing w:after="0" w:line="50" w:lineRule="exact"/>
        <w:rPr>
          <w:sz w:val="20"/>
          <w:szCs w:val="20"/>
          <w:color w:val="auto"/>
        </w:rPr>
      </w:pPr>
    </w:p>
    <w:tbl>
      <w:tblPr>
        <w:tblLayout w:type="fixed"/>
        <w:tblInd w:w="980" w:type="dxa"/>
        <w:tblCellMar>
          <w:top w:w="0" w:type="dxa"/>
          <w:left w:w="0" w:type="dxa"/>
          <w:bottom w:w="0" w:type="dxa"/>
          <w:right w:w="0" w:type="dxa"/>
        </w:tblCellMar>
      </w:tblPr>
      <w:tr>
        <w:trPr>
          <w:trHeight w:val="217"/>
        </w:trPr>
        <w:tc>
          <w:tcPr>
            <w:tcW w:w="1020" w:type="dxa"/>
            <w:vAlign w:val="bottom"/>
          </w:tcPr>
          <w:p>
            <w:pPr>
              <w:jc w:val="right"/>
              <w:ind w:right="490"/>
              <w:spacing w:after="0"/>
              <w:rPr>
                <w:sz w:val="20"/>
                <w:szCs w:val="20"/>
                <w:color w:val="auto"/>
              </w:rPr>
            </w:pPr>
            <w:r>
              <w:rPr>
                <w:rFonts w:ascii="Arial" w:cs="Arial" w:eastAsia="Arial" w:hAnsi="Arial"/>
                <w:sz w:val="18"/>
                <w:szCs w:val="18"/>
                <w:color w:val="auto"/>
                <w:w w:val="93"/>
              </w:rPr>
              <w:t>1,157</w:t>
            </w:r>
          </w:p>
        </w:tc>
        <w:tc>
          <w:tcPr>
            <w:tcW w:w="1020" w:type="dxa"/>
            <w:vAlign w:val="bottom"/>
          </w:tcPr>
          <w:p>
            <w:pPr>
              <w:jc w:val="right"/>
              <w:spacing w:after="0"/>
              <w:rPr>
                <w:sz w:val="20"/>
                <w:szCs w:val="20"/>
                <w:color w:val="auto"/>
              </w:rPr>
            </w:pPr>
            <w:r>
              <w:rPr>
                <w:rFonts w:ascii="Arial" w:cs="Arial" w:eastAsia="Arial" w:hAnsi="Arial"/>
                <w:sz w:val="18"/>
                <w:szCs w:val="18"/>
                <w:color w:val="auto"/>
              </w:rPr>
              <w:t>1,271</w:t>
            </w:r>
          </w:p>
        </w:tc>
      </w:tr>
      <w:tr>
        <w:trPr>
          <w:trHeight w:val="256"/>
        </w:trPr>
        <w:tc>
          <w:tcPr>
            <w:tcW w:w="1020" w:type="dxa"/>
            <w:vAlign w:val="bottom"/>
          </w:tcPr>
          <w:p>
            <w:pPr>
              <w:jc w:val="right"/>
              <w:ind w:right="490"/>
              <w:spacing w:after="0"/>
              <w:rPr>
                <w:sz w:val="20"/>
                <w:szCs w:val="20"/>
                <w:color w:val="auto"/>
              </w:rPr>
            </w:pPr>
            <w:r>
              <w:rPr>
                <w:rFonts w:ascii="Arial" w:cs="Arial" w:eastAsia="Arial" w:hAnsi="Arial"/>
                <w:sz w:val="18"/>
                <w:szCs w:val="18"/>
                <w:color w:val="auto"/>
              </w:rPr>
              <w:t>636</w:t>
            </w:r>
          </w:p>
        </w:tc>
        <w:tc>
          <w:tcPr>
            <w:tcW w:w="1020" w:type="dxa"/>
            <w:vAlign w:val="bottom"/>
          </w:tcPr>
          <w:p>
            <w:pPr>
              <w:jc w:val="right"/>
              <w:spacing w:after="0"/>
              <w:rPr>
                <w:sz w:val="20"/>
                <w:szCs w:val="20"/>
                <w:color w:val="auto"/>
              </w:rPr>
            </w:pPr>
            <w:r>
              <w:rPr>
                <w:rFonts w:ascii="Arial" w:cs="Arial" w:eastAsia="Arial" w:hAnsi="Arial"/>
                <w:sz w:val="18"/>
                <w:szCs w:val="18"/>
                <w:color w:val="auto"/>
              </w:rPr>
              <w:t>626</w:t>
            </w:r>
          </w:p>
        </w:tc>
      </w:tr>
    </w:tbl>
    <w:p>
      <w:pPr>
        <w:spacing w:after="0" w:line="40" w:lineRule="exact"/>
        <w:rPr>
          <w:sz w:val="20"/>
          <w:szCs w:val="20"/>
          <w:color w:val="auto"/>
        </w:rPr>
      </w:pPr>
    </w:p>
    <w:p>
      <w:pPr>
        <w:ind w:left="2720" w:hanging="1591"/>
        <w:spacing w:after="0"/>
        <w:tabs>
          <w:tab w:leader="none" w:pos="2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668</w:t>
      </w:r>
    </w:p>
    <w:p>
      <w:pPr>
        <w:spacing w:after="0" w:line="49" w:lineRule="exact"/>
        <w:rPr>
          <w:rFonts w:ascii="Arial" w:cs="Arial" w:eastAsia="Arial" w:hAnsi="Arial"/>
          <w:sz w:val="18"/>
          <w:szCs w:val="18"/>
          <w:color w:val="auto"/>
        </w:rPr>
      </w:pPr>
    </w:p>
    <w:p>
      <w:pPr>
        <w:ind w:left="2820" w:hanging="1661"/>
        <w:spacing w:after="0"/>
        <w:tabs>
          <w:tab w:leader="none" w:pos="2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16</w:t>
      </w:r>
    </w:p>
    <w:p>
      <w:pPr>
        <w:spacing w:after="0" w:line="6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(4,851)(8,985)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0231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900"/>
        <w:spacing w:after="0"/>
        <w:tabs>
          <w:tab w:leader="none" w:pos="2480" w:val="left"/>
        </w:tabs>
        <w:rPr>
          <w:sz w:val="20"/>
          <w:szCs w:val="20"/>
          <w:color w:val="auto"/>
        </w:rPr>
      </w:pPr>
      <w:r>
        <w:rPr>
          <w:rFonts w:ascii="Arial" w:cs="Arial" w:eastAsia="Arial" w:hAnsi="Arial"/>
          <w:sz w:val="18"/>
          <w:szCs w:val="18"/>
          <w:color w:val="auto"/>
        </w:rPr>
        <w:t>(4,286)</w:t>
      </w:r>
      <w:r>
        <w:rPr>
          <w:sz w:val="20"/>
          <w:szCs w:val="20"/>
          <w:color w:val="auto"/>
        </w:rPr>
        <w:tab/>
      </w:r>
      <w:r>
        <w:rPr>
          <w:rFonts w:ascii="Arial" w:cs="Arial" w:eastAsia="Arial" w:hAnsi="Arial"/>
          <w:sz w:val="18"/>
          <w:szCs w:val="18"/>
          <w:color w:val="auto"/>
        </w:rPr>
        <w:t>(2,376)</w:t>
      </w:r>
    </w:p>
    <w:p>
      <w:pPr>
        <w:spacing w:after="0" w:line="50" w:lineRule="exact"/>
        <w:rPr>
          <w:sz w:val="20"/>
          <w:szCs w:val="20"/>
          <w:color w:val="auto"/>
        </w:rPr>
      </w:pPr>
    </w:p>
    <w:p>
      <w:pPr>
        <w:ind w:left="2840" w:hanging="1781"/>
        <w:spacing w:after="0"/>
        <w:tabs>
          <w:tab w:leader="none" w:pos="2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50" w:lineRule="exact"/>
        <w:rPr>
          <w:sz w:val="20"/>
          <w:szCs w:val="20"/>
          <w:color w:val="auto"/>
        </w:rPr>
      </w:pPr>
    </w:p>
    <w:p>
      <w:pPr>
        <w:ind w:left="2500" w:hanging="1441"/>
        <w:spacing w:after="0"/>
        <w:tabs>
          <w:tab w:leader="none" w:pos="2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(2,727)</w:t>
      </w:r>
    </w:p>
    <w:p>
      <w:pPr>
        <w:spacing w:after="0" w:line="49" w:lineRule="exact"/>
        <w:rPr>
          <w:rFonts w:ascii="Arial" w:cs="Arial" w:eastAsia="Arial" w:hAnsi="Arial"/>
          <w:sz w:val="18"/>
          <w:szCs w:val="18"/>
          <w:color w:val="auto"/>
        </w:rPr>
      </w:pPr>
    </w:p>
    <w:p>
      <w:pPr>
        <w:ind w:left="2760" w:hanging="1601"/>
        <w:spacing w:after="0"/>
        <w:tabs>
          <w:tab w:leader="none" w:pos="2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(54)</w:t>
      </w:r>
    </w:p>
    <w:p>
      <w:pPr>
        <w:spacing w:after="0" w:line="50" w:lineRule="exact"/>
        <w:rPr>
          <w:sz w:val="20"/>
          <w:szCs w:val="20"/>
          <w:color w:val="auto"/>
        </w:rPr>
      </w:pPr>
    </w:p>
    <w:tbl>
      <w:tblPr>
        <w:tblLayout w:type="fixed"/>
        <w:tblInd w:w="980" w:type="dxa"/>
        <w:tblCellMar>
          <w:top w:w="0" w:type="dxa"/>
          <w:left w:w="0" w:type="dxa"/>
          <w:bottom w:w="0" w:type="dxa"/>
          <w:right w:w="0" w:type="dxa"/>
        </w:tblCellMar>
      </w:tblPr>
      <w:tr>
        <w:trPr>
          <w:trHeight w:val="217"/>
        </w:trPr>
        <w:tc>
          <w:tcPr>
            <w:tcW w:w="1020" w:type="dxa"/>
            <w:vAlign w:val="bottom"/>
          </w:tcPr>
          <w:p>
            <w:pPr>
              <w:jc w:val="right"/>
              <w:ind w:right="490"/>
              <w:spacing w:after="0"/>
              <w:rPr>
                <w:sz w:val="20"/>
                <w:szCs w:val="20"/>
                <w:color w:val="auto"/>
              </w:rPr>
            </w:pPr>
            <w:r>
              <w:rPr>
                <w:rFonts w:ascii="Arial" w:cs="Arial" w:eastAsia="Arial" w:hAnsi="Arial"/>
                <w:sz w:val="18"/>
                <w:szCs w:val="18"/>
                <w:color w:val="auto"/>
                <w:w w:val="93"/>
              </w:rPr>
              <w:t>5,000</w:t>
            </w:r>
          </w:p>
        </w:tc>
        <w:tc>
          <w:tcPr>
            <w:tcW w:w="102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57"/>
        </w:trPr>
        <w:tc>
          <w:tcPr>
            <w:tcW w:w="1020" w:type="dxa"/>
            <w:vAlign w:val="bottom"/>
          </w:tcPr>
          <w:p>
            <w:pPr>
              <w:jc w:val="right"/>
              <w:ind w:right="490"/>
              <w:spacing w:after="0"/>
              <w:rPr>
                <w:sz w:val="20"/>
                <w:szCs w:val="20"/>
                <w:color w:val="auto"/>
              </w:rPr>
            </w:pPr>
            <w:r>
              <w:rPr>
                <w:rFonts w:ascii="Arial" w:cs="Arial" w:eastAsia="Arial" w:hAnsi="Arial"/>
                <w:sz w:val="18"/>
                <w:szCs w:val="18"/>
                <w:color w:val="auto"/>
              </w:rPr>
              <w:t>147</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20231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3" w:lineRule="exact"/>
        <w:rPr>
          <w:sz w:val="20"/>
          <w:szCs w:val="20"/>
          <w:color w:val="auto"/>
        </w:rPr>
      </w:pPr>
    </w:p>
    <w:p>
      <w:pPr>
        <w:ind w:left="2500" w:hanging="1441"/>
        <w:spacing w:after="0"/>
        <w:tabs>
          <w:tab w:leader="none" w:pos="2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(3,330)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513"/>
        </w:trPr>
        <w:tc>
          <w:tcPr>
            <w:tcW w:w="54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1,041</w:t>
            </w:r>
          </w:p>
        </w:tc>
        <w:tc>
          <w:tcPr>
            <w:tcW w:w="5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(1,353)</w:t>
            </w:r>
          </w:p>
        </w:tc>
      </w:tr>
      <w:tr>
        <w:trPr>
          <w:trHeight w:val="264"/>
        </w:trPr>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7,279</w:t>
            </w: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6,587</w:t>
            </w:r>
          </w:p>
        </w:tc>
      </w:tr>
      <w:tr>
        <w:trPr>
          <w:trHeight w:val="250"/>
        </w:trPr>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8,320</w:t>
            </w:r>
          </w:p>
        </w:tc>
        <w:tc>
          <w:tcPr>
            <w:tcW w:w="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5,234</w:t>
            </w:r>
          </w:p>
        </w:tc>
      </w:tr>
      <w:tr>
        <w:trPr>
          <w:trHeight w:val="27"/>
        </w:trPr>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360" w:space="700"/>
            <w:col w:w="3180"/>
          </w:cols>
          <w:pgMar w:left="320" w:top="919" w:right="339" w:bottom="1440" w:gutter="0" w:footer="0" w:header="0"/>
          <w:type w:val="continuous"/>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240"/>
          </w:cols>
          <w:pgMar w:left="320" w:top="919" w:right="33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40"/>
          <w:szCs w:val="40"/>
          <w:b w:val="1"/>
          <w:bCs w:val="1"/>
          <w:color w:val="auto"/>
        </w:rPr>
        <w:t>Micron Technology, Inc.</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Basis of Presentation</w:t>
      </w:r>
    </w:p>
    <w:p>
      <w:pPr>
        <w:spacing w:after="0" w:line="28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accompanying consolidated financial statements include the accounts of Micron and our consolidated subsidiaries and have been prepared in accordance with accounting principles generally accepted in the United States of America consistent in all material respects with those applied in our Annual Report on Form 10-K for the year ended August 29, 2019, except for changes related to recently adopted accounting standards. See “Recently Adopted Accounting Standards.” Prior year information is presented in accordance with the accounting guidance in effect during that period and has not been recast for recently adopted accounting standards. 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23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fiscal year is the 52 or 53-week period ending on the Thursday closest to August 31. Fiscal year 2020 contains 53 weeks and the fourth quarter of 2020 will contain 14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29, 2019.</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8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For a discussion of our significant accounting policies, see “Part II – Item 8. Financial Statements and Supplementary Data – Notes to Consolidated Financial Statements – Significant Accounting Policies” of our Annual Report on Form 10-K for the year ended August 29, 2019. Except for the significant accounting policy associated with leases as discussed below, there have been no material changes to our significant accounting policies since our Annual Report on Form 10-K for the year ended August 29, 2019.</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Leases</w:t>
      </w:r>
    </w:p>
    <w:p>
      <w:pPr>
        <w:spacing w:after="0" w:line="24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In the first quarter of 2020, we elected new accounting policies in connection with the adoption of ASC 842 – </w:t>
      </w:r>
      <w:r>
        <w:rPr>
          <w:rFonts w:ascii="Arial" w:cs="Arial" w:eastAsia="Arial" w:hAnsi="Arial"/>
          <w:sz w:val="18"/>
          <w:szCs w:val="18"/>
          <w:i w:val="1"/>
          <w:iCs w:val="1"/>
          <w:color w:val="auto"/>
        </w:rPr>
        <w:t>Leases</w:t>
      </w:r>
      <w:r>
        <w:rPr>
          <w:rFonts w:ascii="Arial" w:cs="Arial" w:eastAsia="Arial" w:hAnsi="Arial"/>
          <w:sz w:val="18"/>
          <w:szCs w:val="18"/>
          <w:color w:val="auto"/>
        </w:rPr>
        <w:t>. We do not recognize a right-of-use asset or lease liability for leases with a term of 12 months or less. For real estate and gas plant leases entered into after adoption, we do not separate lease and non-lease components. Sublease income is presented within lease expense.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Variable Interest Entities</w:t>
      </w:r>
    </w:p>
    <w:p>
      <w:pPr>
        <w:spacing w:after="0" w:line="2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interests in entities that are VIEs.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0090DA"/>
        </w:rPr>
        <w:t>Unconsolidated VIE</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PTI Xi’an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Powertech Technology Inc. Xi’an (“PTI Xi’an”) is a wholly-owned subsidiary of Powertech Technology Inc. (“PTI”) and was created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provide assembly services to us at our manufacturing site in Xi’an, China. We do not have an equity interest in PTI Xi’an. PTI Xi’an is a VIE because of the terms of its service agreement with us and its dependency on PTI to finance its operations. We do not have the power to direct the activities of PTI Xi’an that most significantly impact its economic performance, primarily because we do not have governance rights. Therefore, we do not consolidate PTI Xi’an. In connection with our assembly services with PTI, as of May 28, 2020 and August 29, 2019, we had net property, plant, and equipment of $41 million and $50 million, respectively, and finance lease obligations of $37 million and $47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VIE</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date we acquired Intel’s noncontrolling interest in IMFT, IMFT was a VIE because all of its costs were passed to us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member, Intel, through product purchase agreements and because IMFT was dependent upon us or Intel for additional cash requirements. The primary activities of IMFT were driven by the constant introduction of product and process technology. Because we performed a significant majority of the technology development, we had the power to direct its key activities. We consolidated IMFT due to this power and our obligation to absorb losses and the right to receive benefits from IMFT that could have been potentially significant to it. On October 31, 2019, we acquired Intel’s interest in IMFT at which time IMFT, now known as MTU, became a wholly-owned subsidiary. (See “Equity – Noncontrolling Interest in Subsidiary.”)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Adopted Accounting Standards</w:t>
      </w:r>
    </w:p>
    <w:p>
      <w:pPr>
        <w:spacing w:after="0" w:line="2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ASU 2016-02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amended, “ASC 842”), which amends a number of aspects of lease accounting, including requiring lessees to recognize operating leases with a term greater than one year on their balance sheet as a right-of-use asset and corresponding lease liability, measured at the present value of lease payments. We adopted ASC 842 in the first quarter of 2020 under the modified retrospective method and elected to not recast prior periods. We elected the practical expedients available under the transition guidance, including but not limited to, not reassessing past lease accounting or using hindsight to evaluate lease term. In addition, we elected to not separate lease and non-lease components for real estate or gas plant leases. As a result of adopting ASC 842, we recognized $567 million for operating lease liabilities and right-of-use assets and reclassified an additional $66 million of other balances to right-of-use assets to conform to the new presentation requirements of ASC 842.</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November 2018, the FASB issued ASU 2018-18 –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which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will be effective for us in the first quarter of 2021 with early adoption permitted. This ASU requires retrospective adoption to the date we adopted ASC 606, which was August 31, 2018, by recognizing a cumulative-effect adjustment to the opening balance of retained earnings of the earliest annual period presented. We do not anticipate the adoption of this ASU will have a material impact on our financial statements.</w:t>
      </w:r>
    </w:p>
    <w:p>
      <w:pPr>
        <w:spacing w:after="0" w:line="2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In June 2016, the FASB issued ASU 2016-13 –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increases or decreases of expected credit losses that have taken place during the period. This ASU requires that credit losses of debt securities designated as available-for-sale be recorded through an allowance for credit losses and limits the credit loss to the amount by which fair value is below amortized cost. This ASU will be effective for us in the first quarter of 2021 with early</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jc w:val="both"/>
        <w:ind w:right="20"/>
        <w:spacing w:after="0" w:line="256" w:lineRule="auto"/>
        <w:rPr>
          <w:sz w:val="20"/>
          <w:szCs w:val="20"/>
          <w:color w:val="auto"/>
        </w:rPr>
      </w:pPr>
      <w:r>
        <w:rPr>
          <w:rFonts w:ascii="Arial" w:cs="Arial" w:eastAsia="Arial" w:hAnsi="Arial"/>
          <w:sz w:val="18"/>
          <w:szCs w:val="18"/>
          <w:color w:val="auto"/>
        </w:rPr>
        <w:t>adoption permitted. This ASU requires modified retrospective adoption, with prospective adoption for debt securities for which an other-than-temporary impairment had been recognized before the effective date. We are evaluating the timing and effects of our adoption of this ASU on our financial statements.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4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Substantially all of our marketable debt and equity investments were classified as available-for-sale as of the dates noted below. Cash and equivalents and the fair values of our available-for-sale investments, which approximated amortized costs,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12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2380" w:type="dxa"/>
            <w:vAlign w:val="bottom"/>
            <w:tcBorders>
              <w:bottom w:val="single" w:sz="8" w:color="0090DA"/>
            </w:tcBorders>
            <w:gridSpan w:val="3"/>
          </w:tcPr>
          <w:p>
            <w:pPr>
              <w:jc w:val="right"/>
              <w:ind w:right="710"/>
              <w:spacing w:after="0"/>
              <w:rPr>
                <w:sz w:val="20"/>
                <w:szCs w:val="20"/>
                <w:color w:val="auto"/>
              </w:rPr>
            </w:pPr>
            <w:r>
              <w:rPr>
                <w:rFonts w:ascii="Arial" w:cs="Arial" w:eastAsia="Arial" w:hAnsi="Arial"/>
                <w:sz w:val="18"/>
                <w:szCs w:val="18"/>
                <w:b w:val="1"/>
                <w:bCs w:val="1"/>
                <w:color w:val="auto"/>
              </w:rPr>
              <w:t>May 28, 2020</w:t>
            </w:r>
          </w:p>
        </w:tc>
        <w:tc>
          <w:tcPr>
            <w:tcW w:w="200" w:type="dxa"/>
            <w:vAlign w:val="bottom"/>
            <w:tcBorders>
              <w:bottom w:val="single" w:sz="8" w:color="0090DA"/>
            </w:tcBorders>
          </w:tcPr>
          <w:p>
            <w:pPr>
              <w:spacing w:after="0"/>
              <w:rPr>
                <w:sz w:val="21"/>
                <w:szCs w:val="21"/>
                <w:color w:val="auto"/>
              </w:rPr>
            </w:pPr>
          </w:p>
        </w:tc>
        <w:tc>
          <w:tcPr>
            <w:tcW w:w="70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tcPr>
          <w:p>
            <w:pPr>
              <w:spacing w:after="0"/>
              <w:rPr>
                <w:sz w:val="21"/>
                <w:szCs w:val="21"/>
                <w:color w:val="auto"/>
              </w:rPr>
            </w:pPr>
          </w:p>
        </w:tc>
        <w:tc>
          <w:tcPr>
            <w:tcW w:w="280" w:type="dxa"/>
            <w:vAlign w:val="bottom"/>
            <w:tcBorders>
              <w:bottom w:val="single" w:sz="8" w:color="0090DA"/>
            </w:tcBorders>
          </w:tcPr>
          <w:p>
            <w:pPr>
              <w:spacing w:after="0"/>
              <w:rPr>
                <w:sz w:val="21"/>
                <w:szCs w:val="21"/>
                <w:color w:val="auto"/>
              </w:rPr>
            </w:pPr>
          </w:p>
        </w:tc>
        <w:tc>
          <w:tcPr>
            <w:tcW w:w="220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August 29, 2019</w:t>
            </w:r>
          </w:p>
        </w:tc>
        <w:tc>
          <w:tcPr>
            <w:tcW w:w="200" w:type="dxa"/>
            <w:vAlign w:val="bottom"/>
            <w:tcBorders>
              <w:bottom w:val="single" w:sz="8" w:color="0090DA"/>
            </w:tcBorders>
          </w:tcPr>
          <w:p>
            <w:pPr>
              <w:spacing w:after="0"/>
              <w:rPr>
                <w:sz w:val="21"/>
                <w:szCs w:val="21"/>
                <w:color w:val="auto"/>
              </w:rPr>
            </w:pPr>
          </w:p>
        </w:tc>
        <w:tc>
          <w:tcPr>
            <w:tcW w:w="700" w:type="dxa"/>
            <w:vAlign w:val="bottom"/>
            <w:tcBorders>
              <w:bottom w:val="single" w:sz="8" w:color="0090DA"/>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5"/>
                <w:szCs w:val="15"/>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7"/>
              </w:rPr>
              <w:t>Short-term</w:t>
            </w:r>
          </w:p>
        </w:tc>
        <w:tc>
          <w:tcPr>
            <w:tcW w:w="180" w:type="dxa"/>
            <w:vAlign w:val="bottom"/>
          </w:tcPr>
          <w:p>
            <w:pPr>
              <w:spacing w:after="0"/>
              <w:rPr>
                <w:sz w:val="15"/>
                <w:szCs w:val="15"/>
                <w:color w:val="auto"/>
              </w:rPr>
            </w:pPr>
          </w:p>
        </w:tc>
        <w:tc>
          <w:tcPr>
            <w:tcW w:w="11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Long-term</w:t>
            </w:r>
          </w:p>
        </w:tc>
        <w:tc>
          <w:tcPr>
            <w:tcW w:w="100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Total Fair</w:t>
            </w:r>
          </w:p>
        </w:tc>
        <w:tc>
          <w:tcPr>
            <w:tcW w:w="140" w:type="dxa"/>
            <w:vAlign w:val="bottom"/>
          </w:tcPr>
          <w:p>
            <w:pPr>
              <w:spacing w:after="0"/>
              <w:rPr>
                <w:sz w:val="15"/>
                <w:szCs w:val="15"/>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Short-term</w:t>
            </w:r>
          </w:p>
        </w:tc>
        <w:tc>
          <w:tcPr>
            <w:tcW w:w="180" w:type="dxa"/>
            <w:vAlign w:val="bottom"/>
          </w:tcPr>
          <w:p>
            <w:pPr>
              <w:spacing w:after="0"/>
              <w:rPr>
                <w:sz w:val="15"/>
                <w:szCs w:val="15"/>
                <w:color w:val="auto"/>
              </w:rPr>
            </w:pPr>
          </w:p>
        </w:tc>
        <w:tc>
          <w:tcPr>
            <w:tcW w:w="11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rPr>
              <w:t>Long-term</w:t>
            </w:r>
          </w:p>
        </w:tc>
        <w:tc>
          <w:tcPr>
            <w:tcW w:w="9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76"/>
        </w:trPr>
        <w:tc>
          <w:tcPr>
            <w:tcW w:w="2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Marketable</w:t>
            </w: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6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20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Value</w:t>
            </w:r>
          </w:p>
        </w:tc>
        <w:tc>
          <w:tcPr>
            <w:tcW w:w="2240" w:type="dxa"/>
            <w:vAlign w:val="bottom"/>
            <w:gridSpan w:val="4"/>
          </w:tcPr>
          <w:p>
            <w:pPr>
              <w:jc w:val="right"/>
              <w:spacing w:after="0"/>
              <w:rPr>
                <w:sz w:val="20"/>
                <w:szCs w:val="20"/>
                <w:color w:val="auto"/>
              </w:rPr>
            </w:pPr>
            <w:r>
              <w:rPr>
                <w:rFonts w:ascii="Arial" w:cs="Arial" w:eastAsia="Arial" w:hAnsi="Arial"/>
                <w:sz w:val="18"/>
                <w:szCs w:val="18"/>
                <w:b w:val="1"/>
                <w:bCs w:val="1"/>
                <w:color w:val="auto"/>
              </w:rPr>
              <w:t>Equivalents Investments</w:t>
            </w:r>
          </w:p>
        </w:tc>
        <w:tc>
          <w:tcPr>
            <w:tcW w:w="136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200" w:type="dxa"/>
            <w:vAlign w:val="bottom"/>
          </w:tcPr>
          <w:p>
            <w:pPr>
              <w:spacing w:after="0"/>
              <w:rPr>
                <w:sz w:val="19"/>
                <w:szCs w:val="19"/>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34"/>
        </w:trPr>
        <w:tc>
          <w:tcPr>
            <w:tcW w:w="212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84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2,506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2,388</w:t>
            </w:r>
          </w:p>
        </w:tc>
        <w:tc>
          <w:tcPr>
            <w:tcW w:w="28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shd w:val="clear" w:color="auto" w:fill="D1D2D4"/>
          </w:tcPr>
          <w:p>
            <w:pPr>
              <w:ind w:left="10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D1D2D4"/>
          </w:tcPr>
          <w:p>
            <w:pPr>
              <w:spacing w:after="0"/>
              <w:rPr>
                <w:sz w:val="22"/>
                <w:szCs w:val="22"/>
                <w:color w:val="auto"/>
              </w:rPr>
            </w:pPr>
          </w:p>
        </w:tc>
        <w:tc>
          <w:tcPr>
            <w:tcW w:w="9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4,346</w:t>
            </w:r>
          </w:p>
        </w:tc>
        <w:tc>
          <w:tcPr>
            <w:tcW w:w="12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22"/>
                <w:szCs w:val="22"/>
                <w:color w:val="auto"/>
              </w:rPr>
            </w:pPr>
          </w:p>
        </w:tc>
        <w:tc>
          <w:tcPr>
            <w:tcW w:w="7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4,346</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9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3,418</w:t>
            </w:r>
          </w:p>
        </w:tc>
        <w:tc>
          <w:tcPr>
            <w:tcW w:w="280" w:type="dxa"/>
            <w:vAlign w:val="bottom"/>
            <w:shd w:val="clear" w:color="auto" w:fill="D1D2D4"/>
          </w:tcPr>
          <w:p>
            <w:pPr>
              <w:spacing w:after="0"/>
              <w:rPr>
                <w:sz w:val="22"/>
                <w:szCs w:val="22"/>
                <w:color w:val="auto"/>
              </w:rPr>
            </w:pPr>
          </w:p>
        </w:tc>
        <w:tc>
          <w:tcPr>
            <w:tcW w:w="8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22"/>
                <w:szCs w:val="22"/>
                <w:color w:val="auto"/>
              </w:rPr>
            </w:pPr>
          </w:p>
        </w:tc>
        <w:tc>
          <w:tcPr>
            <w:tcW w:w="7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Certificates of deposits</w:t>
            </w:r>
          </w:p>
        </w:tc>
        <w:tc>
          <w:tcPr>
            <w:tcW w:w="140" w:type="dxa"/>
            <w:vAlign w:val="bottom"/>
            <w:shd w:val="clear" w:color="auto" w:fill="D1D2D4"/>
          </w:tcPr>
          <w:p>
            <w:pPr>
              <w:spacing w:after="0"/>
              <w:rPr>
                <w:sz w:val="22"/>
                <w:szCs w:val="22"/>
                <w:color w:val="auto"/>
              </w:rPr>
            </w:pPr>
          </w:p>
        </w:tc>
        <w:tc>
          <w:tcPr>
            <w:tcW w:w="9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3</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shd w:val="clear" w:color="auto" w:fill="D1D2D4"/>
          </w:tcPr>
          <w:p>
            <w:pPr>
              <w:spacing w:after="0"/>
              <w:rPr>
                <w:sz w:val="22"/>
                <w:szCs w:val="22"/>
                <w:color w:val="auto"/>
              </w:rPr>
            </w:pPr>
          </w:p>
        </w:tc>
        <w:tc>
          <w:tcPr>
            <w:tcW w:w="7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9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1,292</w:t>
            </w:r>
          </w:p>
        </w:tc>
        <w:tc>
          <w:tcPr>
            <w:tcW w:w="280" w:type="dxa"/>
            <w:vAlign w:val="bottom"/>
            <w:shd w:val="clear" w:color="auto" w:fill="D1D2D4"/>
          </w:tcPr>
          <w:p>
            <w:pPr>
              <w:spacing w:after="0"/>
              <w:rPr>
                <w:sz w:val="22"/>
                <w:szCs w:val="22"/>
                <w:color w:val="auto"/>
              </w:rPr>
            </w:pPr>
          </w:p>
        </w:tc>
        <w:tc>
          <w:tcPr>
            <w:tcW w:w="8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22"/>
                <w:szCs w:val="22"/>
                <w:color w:val="auto"/>
              </w:rPr>
            </w:pPr>
          </w:p>
        </w:tc>
        <w:tc>
          <w:tcPr>
            <w:tcW w:w="7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57"/>
        </w:trPr>
        <w:tc>
          <w:tcPr>
            <w:tcW w:w="212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57"/>
        </w:trPr>
        <w:tc>
          <w:tcPr>
            <w:tcW w:w="2120" w:type="dxa"/>
            <w:vAlign w:val="bottom"/>
            <w:shd w:val="clear" w:color="auto" w:fill="D1D2D4"/>
          </w:tcPr>
          <w:p>
            <w:pPr>
              <w:ind w:left="100"/>
              <w:spacing w:after="0"/>
              <w:rPr>
                <w:sz w:val="20"/>
                <w:szCs w:val="20"/>
                <w:color w:val="auto"/>
              </w:rPr>
            </w:pPr>
            <w:r>
              <w:rPr>
                <w:rFonts w:ascii="Arial" w:cs="Arial" w:eastAsia="Arial" w:hAnsi="Arial"/>
                <w:sz w:val="18"/>
                <w:szCs w:val="18"/>
                <w:color w:val="auto"/>
              </w:rPr>
              <w:t>Government securities</w:t>
            </w:r>
          </w:p>
        </w:tc>
        <w:tc>
          <w:tcPr>
            <w:tcW w:w="140" w:type="dxa"/>
            <w:vAlign w:val="bottom"/>
            <w:shd w:val="clear" w:color="auto" w:fill="D1D2D4"/>
          </w:tcPr>
          <w:p>
            <w:pPr>
              <w:spacing w:after="0"/>
              <w:rPr>
                <w:sz w:val="22"/>
                <w:szCs w:val="22"/>
                <w:color w:val="auto"/>
              </w:rPr>
            </w:pPr>
          </w:p>
        </w:tc>
        <w:tc>
          <w:tcPr>
            <w:tcW w:w="9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D1D2D4"/>
          </w:tcPr>
          <w:p>
            <w:pPr>
              <w:spacing w:after="0"/>
              <w:rPr>
                <w:sz w:val="22"/>
                <w:szCs w:val="22"/>
                <w:color w:val="auto"/>
              </w:rPr>
            </w:pPr>
          </w:p>
        </w:tc>
        <w:tc>
          <w:tcPr>
            <w:tcW w:w="7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9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D1D2D4"/>
          </w:tcPr>
          <w:p>
            <w:pPr>
              <w:spacing w:after="0"/>
              <w:rPr>
                <w:sz w:val="22"/>
                <w:szCs w:val="22"/>
                <w:color w:val="auto"/>
              </w:rPr>
            </w:pPr>
          </w:p>
        </w:tc>
        <w:tc>
          <w:tcPr>
            <w:tcW w:w="8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D1D2D4"/>
          </w:tcPr>
          <w:p>
            <w:pPr>
              <w:spacing w:after="0"/>
              <w:rPr>
                <w:sz w:val="22"/>
                <w:szCs w:val="22"/>
                <w:color w:val="auto"/>
              </w:rPr>
            </w:pPr>
          </w:p>
        </w:tc>
        <w:tc>
          <w:tcPr>
            <w:tcW w:w="7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56"/>
        </w:trPr>
        <w:tc>
          <w:tcPr>
            <w:tcW w:w="2120" w:type="dxa"/>
            <w:vAlign w:val="bottom"/>
          </w:tcPr>
          <w:p>
            <w:pPr>
              <w:ind w:left="10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57"/>
        </w:trPr>
        <w:tc>
          <w:tcPr>
            <w:tcW w:w="212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D1D2D4"/>
          </w:tcPr>
          <w:p>
            <w:pPr>
              <w:spacing w:after="0"/>
              <w:rPr>
                <w:sz w:val="22"/>
                <w:szCs w:val="22"/>
                <w:color w:val="auto"/>
              </w:rPr>
            </w:pPr>
          </w:p>
        </w:tc>
        <w:tc>
          <w:tcPr>
            <w:tcW w:w="9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auto"/>
            </w:tcBorders>
            <w:shd w:val="clear" w:color="auto" w:fill="D1D2D4"/>
          </w:tcPr>
          <w:p>
            <w:pPr>
              <w:spacing w:after="0"/>
              <w:rPr>
                <w:sz w:val="22"/>
                <w:szCs w:val="22"/>
                <w:color w:val="auto"/>
              </w:rPr>
            </w:pPr>
          </w:p>
        </w:tc>
        <w:tc>
          <w:tcPr>
            <w:tcW w:w="118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22"/>
                <w:szCs w:val="22"/>
                <w:color w:val="auto"/>
              </w:rPr>
            </w:pPr>
          </w:p>
        </w:tc>
        <w:tc>
          <w:tcPr>
            <w:tcW w:w="7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D1D2D4"/>
          </w:tcPr>
          <w:p>
            <w:pPr>
              <w:spacing w:after="0"/>
              <w:rPr>
                <w:sz w:val="22"/>
                <w:szCs w:val="22"/>
                <w:color w:val="auto"/>
              </w:rPr>
            </w:pPr>
          </w:p>
        </w:tc>
        <w:tc>
          <w:tcPr>
            <w:tcW w:w="140" w:type="dxa"/>
            <w:vAlign w:val="bottom"/>
            <w:tcBorders>
              <w:bottom w:val="single" w:sz="8" w:color="auto"/>
            </w:tcBorders>
            <w:shd w:val="clear" w:color="auto" w:fill="D1D2D4"/>
          </w:tcPr>
          <w:p>
            <w:pPr>
              <w:spacing w:after="0"/>
              <w:rPr>
                <w:sz w:val="22"/>
                <w:szCs w:val="22"/>
                <w:color w:val="auto"/>
              </w:rPr>
            </w:pPr>
          </w:p>
        </w:tc>
        <w:tc>
          <w:tcPr>
            <w:tcW w:w="9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shd w:val="clear" w:color="auto" w:fill="D1D2D4"/>
          </w:tcPr>
          <w:p>
            <w:pPr>
              <w:spacing w:after="0"/>
              <w:rPr>
                <w:sz w:val="22"/>
                <w:szCs w:val="22"/>
                <w:color w:val="auto"/>
              </w:rPr>
            </w:pPr>
          </w:p>
        </w:tc>
        <w:tc>
          <w:tcPr>
            <w:tcW w:w="8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shd w:val="clear" w:color="auto" w:fill="D1D2D4"/>
          </w:tcPr>
          <w:p>
            <w:pPr>
              <w:spacing w:after="0"/>
              <w:rPr>
                <w:sz w:val="22"/>
                <w:szCs w:val="22"/>
                <w:color w:val="auto"/>
              </w:rPr>
            </w:pPr>
          </w:p>
        </w:tc>
        <w:tc>
          <w:tcPr>
            <w:tcW w:w="118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22"/>
                <w:szCs w:val="22"/>
                <w:color w:val="auto"/>
              </w:rPr>
            </w:pPr>
          </w:p>
        </w:tc>
        <w:tc>
          <w:tcPr>
            <w:tcW w:w="7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8,267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577</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7,152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1,164</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20"/>
        </w:trPr>
        <w:tc>
          <w:tcPr>
            <w:tcW w:w="21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120" w:type="dxa"/>
            <w:vAlign w:val="bottom"/>
            <w:shd w:val="clear" w:color="auto" w:fill="D1D2D4"/>
          </w:tcPr>
          <w:p>
            <w:pPr>
              <w:ind w:left="180"/>
              <w:spacing w:after="0" w:line="223" w:lineRule="exact"/>
              <w:rPr>
                <w:sz w:val="20"/>
                <w:szCs w:val="20"/>
                <w:color w:val="auto"/>
              </w:rPr>
            </w:pPr>
            <w:r>
              <w:rPr>
                <w:rFonts w:ascii="Arial" w:cs="Arial" w:eastAsia="Arial" w:hAnsi="Arial"/>
                <w:sz w:val="18"/>
                <w:szCs w:val="18"/>
                <w:color w:val="auto"/>
              </w:rPr>
              <w:t>Restricted cash</w:t>
            </w:r>
            <w:r>
              <w:rPr>
                <w:rFonts w:ascii="Arial" w:cs="Arial" w:eastAsia="Arial" w:hAnsi="Arial"/>
                <w:sz w:val="23"/>
                <w:szCs w:val="23"/>
                <w:color w:val="auto"/>
                <w:vertAlign w:val="superscript"/>
              </w:rPr>
              <w:t>(4)</w:t>
            </w: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D1D2D4"/>
          </w:tcPr>
          <w:p>
            <w:pPr>
              <w:spacing w:after="0"/>
              <w:rPr>
                <w:sz w:val="19"/>
                <w:szCs w:val="19"/>
                <w:color w:val="auto"/>
              </w:rPr>
            </w:pPr>
          </w:p>
        </w:tc>
        <w:tc>
          <w:tcPr>
            <w:tcW w:w="8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line="168" w:lineRule="exact"/>
              <w:rPr>
                <w:sz w:val="20"/>
                <w:szCs w:val="20"/>
                <w:color w:val="auto"/>
              </w:rPr>
            </w:pPr>
            <w:r>
              <w:rPr>
                <w:rFonts w:ascii="Arial" w:cs="Arial" w:eastAsia="Arial" w:hAnsi="Arial"/>
                <w:sz w:val="18"/>
                <w:szCs w:val="18"/>
                <w:color w:val="auto"/>
              </w:rPr>
              <w:t>Cash, cash equivalents,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rPr>
              <w:t>8,320</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rPr>
              <w:t>7,279</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20" w:type="dxa"/>
            <w:vAlign w:val="bottom"/>
          </w:tcPr>
          <w:p>
            <w:pPr>
              <w:ind w:left="180"/>
              <w:spacing w:after="0" w:line="190" w:lineRule="exact"/>
              <w:rPr>
                <w:sz w:val="20"/>
                <w:szCs w:val="20"/>
                <w:color w:val="auto"/>
              </w:rPr>
            </w:pPr>
            <w:r>
              <w:rPr>
                <w:rFonts w:ascii="Arial" w:cs="Arial" w:eastAsia="Arial" w:hAnsi="Arial"/>
                <w:sz w:val="18"/>
                <w:szCs w:val="18"/>
                <w:color w:val="auto"/>
              </w:rPr>
              <w:t>and restricted cash</w:t>
            </w:r>
          </w:p>
        </w:tc>
        <w:tc>
          <w:tcPr>
            <w:tcW w:w="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investments range from one to four years.</w:t>
      </w:r>
    </w:p>
    <w:p>
      <w:pPr>
        <w:ind w:left="240" w:hanging="232"/>
        <w:spacing w:after="0" w:line="196" w:lineRule="auto"/>
        <w:tabs>
          <w:tab w:leader="none" w:pos="2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00" w:hanging="252"/>
        <w:spacing w:after="0" w:line="237" w:lineRule="auto"/>
        <w:tabs>
          <w:tab w:leader="none" w:pos="254" w:val="left"/>
        </w:tabs>
        <w:numPr>
          <w:ilvl w:val="0"/>
          <w:numId w:val="1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analyses to validate information obtained from these pricing services. No adjustments were made to the fair values indicated by such pricing information as of May 28, 2020 or August 29, 2019.</w:t>
      </w:r>
    </w:p>
    <w:p>
      <w:pPr>
        <w:spacing w:after="0" w:line="1" w:lineRule="exact"/>
        <w:rPr>
          <w:rFonts w:ascii="Arial" w:cs="Arial" w:eastAsia="Arial" w:hAnsi="Arial"/>
          <w:sz w:val="23"/>
          <w:szCs w:val="23"/>
          <w:i w:val="1"/>
          <w:iCs w:val="1"/>
          <w:color w:val="auto"/>
          <w:vertAlign w:val="superscript"/>
        </w:rPr>
      </w:pPr>
    </w:p>
    <w:p>
      <w:pPr>
        <w:jc w:val="both"/>
        <w:ind w:left="260" w:right="580" w:hanging="252"/>
        <w:spacing w:after="0" w:line="229" w:lineRule="auto"/>
        <w:tabs>
          <w:tab w:leader="none" w:pos="254" w:val="left"/>
        </w:tabs>
        <w:numPr>
          <w:ilvl w:val="0"/>
          <w:numId w:val="1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noncurrent assets and primarily relates to certain government incentives received prior to being earned. The restrictions lapse upon achieving certain performance conditions. Restricted cash as of August 29, 2019 also included amounts related to the corporate reorganization proceedings of MMJ.</w:t>
      </w:r>
    </w:p>
    <w:p>
      <w:pPr>
        <w:spacing w:after="0" w:line="24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 As of May 28, 2020, there were no available-for-sale securities that had been in a loss position for longer than 12 months.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Receivables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May 28,</w:t>
            </w:r>
          </w:p>
        </w:tc>
        <w:tc>
          <w:tcPr>
            <w:tcW w:w="2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0"/>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3,265</w:t>
            </w:r>
          </w:p>
        </w:tc>
        <w:tc>
          <w:tcPr>
            <w:tcW w:w="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2,778</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242</w:t>
            </w: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175</w:t>
            </w:r>
          </w:p>
        </w:tc>
      </w:tr>
      <w:tr>
        <w:trPr>
          <w:trHeight w:val="250"/>
        </w:trPr>
        <w:tc>
          <w:tcPr>
            <w:tcW w:w="86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3,195</w:t>
            </w:r>
          </w:p>
        </w:tc>
      </w:tr>
      <w:tr>
        <w:trPr>
          <w:trHeight w:val="27"/>
        </w:trPr>
        <w:tc>
          <w:tcPr>
            <w:tcW w:w="8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10060"/>
        <w:spacing w:after="0"/>
        <w:rPr>
          <w:sz w:val="20"/>
          <w:szCs w:val="20"/>
          <w:color w:val="auto"/>
        </w:rPr>
      </w:pPr>
      <w:r>
        <w:rPr>
          <w:sz w:val="1"/>
          <w:szCs w:val="1"/>
          <w:color w:val="auto"/>
        </w:rPr>
        <w:drawing>
          <wp:inline distT="0" distB="0" distL="0" distR="0">
            <wp:extent cx="591820" cy="1543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3"/>
          <w:szCs w:val="13"/>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40"/>
          <w:szCs w:val="40"/>
          <w:b w:val="1"/>
          <w:bCs w:val="1"/>
          <w:color w:val="auto"/>
        </w:rPr>
        <w:t>Inventories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May 28,</w:t>
            </w:r>
          </w:p>
        </w:tc>
        <w:tc>
          <w:tcPr>
            <w:tcW w:w="24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0"/>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817</w:t>
            </w:r>
          </w:p>
        </w:tc>
        <w:tc>
          <w:tcPr>
            <w:tcW w:w="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757</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3,866</w:t>
            </w:r>
          </w:p>
        </w:tc>
        <w:tc>
          <w:tcPr>
            <w:tcW w:w="2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3,825</w:t>
            </w: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22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722</w:t>
            </w:r>
          </w:p>
        </w:tc>
        <w:tc>
          <w:tcPr>
            <w:tcW w:w="24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536</w:t>
            </w:r>
          </w:p>
        </w:tc>
      </w:tr>
      <w:tr>
        <w:trPr>
          <w:trHeight w:val="250"/>
        </w:trPr>
        <w:tc>
          <w:tcPr>
            <w:tcW w:w="86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5,118</w:t>
            </w:r>
          </w:p>
        </w:tc>
      </w:tr>
      <w:tr>
        <w:trPr>
          <w:trHeight w:val="27"/>
        </w:trPr>
        <w:tc>
          <w:tcPr>
            <w:tcW w:w="8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May 28,</w:t>
            </w:r>
          </w:p>
        </w:tc>
        <w:tc>
          <w:tcPr>
            <w:tcW w:w="20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1"/>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6"/>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352</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12,068</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10,931</w:t>
            </w:r>
          </w:p>
        </w:tc>
      </w:tr>
      <w:tr>
        <w:trPr>
          <w:trHeight w:val="263"/>
        </w:trPr>
        <w:tc>
          <w:tcPr>
            <w:tcW w:w="8600" w:type="dxa"/>
            <w:vAlign w:val="bottom"/>
            <w:shd w:val="clear" w:color="auto" w:fill="D1D2D4"/>
          </w:tcPr>
          <w:p>
            <w:pPr>
              <w:ind w:left="20"/>
              <w:spacing w:after="0" w:line="263"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47,292</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44,051</w:t>
            </w:r>
          </w:p>
        </w:tc>
      </w:tr>
      <w:tr>
        <w:trPr>
          <w:trHeight w:val="257"/>
        </w:trPr>
        <w:tc>
          <w:tcPr>
            <w:tcW w:w="8600" w:type="dxa"/>
            <w:vAlign w:val="bottom"/>
          </w:tcPr>
          <w:p>
            <w:pPr>
              <w:ind w:left="20"/>
              <w:spacing w:after="0" w:line="256"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2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2,674</w:t>
            </w:r>
          </w:p>
        </w:tc>
        <w:tc>
          <w:tcPr>
            <w:tcW w:w="20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1,700</w:t>
            </w:r>
          </w:p>
        </w:tc>
      </w:tr>
      <w:tr>
        <w:trPr>
          <w:trHeight w:val="250"/>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Borders>
              <w:bottom w:val="single" w:sz="8" w:color="auto"/>
            </w:tcBorders>
            <w:shd w:val="clear" w:color="auto" w:fill="D1D2D4"/>
          </w:tcPr>
          <w:p>
            <w:pPr>
              <w:spacing w:after="0"/>
              <w:rPr>
                <w:sz w:val="21"/>
                <w:szCs w:val="21"/>
                <w:color w:val="auto"/>
              </w:rPr>
            </w:pPr>
          </w:p>
        </w:tc>
        <w:tc>
          <w:tcPr>
            <w:tcW w:w="10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885</w:t>
            </w:r>
          </w:p>
        </w:tc>
        <w:tc>
          <w:tcPr>
            <w:tcW w:w="20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790</w:t>
            </w:r>
          </w:p>
        </w:tc>
      </w:tr>
      <w:tr>
        <w:trPr>
          <w:trHeight w:val="250"/>
        </w:trPr>
        <w:tc>
          <w:tcPr>
            <w:tcW w:w="8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63,271</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57,824</w:t>
            </w: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auto"/>
            </w:tcBorders>
            <w:shd w:val="clear" w:color="auto" w:fill="D1D2D4"/>
          </w:tcPr>
          <w:p>
            <w:pPr>
              <w:spacing w:after="0"/>
              <w:rPr>
                <w:sz w:val="22"/>
                <w:szCs w:val="22"/>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(33,190)</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(29,584)</w:t>
            </w:r>
          </w:p>
        </w:tc>
      </w:tr>
      <w:tr>
        <w:trPr>
          <w:trHeight w:val="250"/>
        </w:trPr>
        <w:tc>
          <w:tcPr>
            <w:tcW w:w="86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28,240</w:t>
            </w:r>
          </w:p>
        </w:tc>
      </w:tr>
      <w:tr>
        <w:trPr>
          <w:trHeight w:val="27"/>
        </w:trPr>
        <w:tc>
          <w:tcPr>
            <w:tcW w:w="8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59"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costs related to equipment not placed into service of $817 million as of May 28, 2020 and $2.33 billion as of August 29, 2019.</w:t>
      </w:r>
    </w:p>
    <w:p>
      <w:pPr>
        <w:ind w:left="240" w:hanging="232"/>
        <w:spacing w:after="0" w:line="196" w:lineRule="auto"/>
        <w:tabs>
          <w:tab w:leader="none" w:pos="240" w:val="left"/>
        </w:tabs>
        <w:numPr>
          <w:ilvl w:val="0"/>
          <w:numId w:val="1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building-related construction, tool installation, and software costs for assets not placed into service.</w:t>
      </w:r>
    </w:p>
    <w:p>
      <w:pPr>
        <w:spacing w:after="0" w:line="24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periodically assess the estimated useful lives of our property, plant, and equipment. Based on our assessment of planned technology node transitions, capital spending, and re -use rates, we revised the estimated useful lives of the existing equipment in our NAND wafer fabrication facilities and our research and development (“R&amp;D”) facilities from five years to seven years as of the beginning of the first quarter of 2020. This revision reduced our aggregate depreciation expense by approximately $510 million in the first nine months of 2020, of which approximately $150 million remained capitalized in inventory as of the end of the third quarter of 2020. Adjusting for the effect of the reduced amount of depreciation expense remaining in inventory, the revision in estimated useful lives benefited both operating income and net income by approximately $160 million and diluted earnings per share by approximately $0.14 for the third quarter of 2020, and benefited both operating income and net income by approximately $360 million and diluted earnings per share by approximately $0.32 for the first nine months of 2020.</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 and Goodwill</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9"/>
              </w:rPr>
              <w:t>May 28, 2020</w:t>
            </w:r>
          </w:p>
        </w:tc>
        <w:tc>
          <w:tcPr>
            <w:tcW w:w="260" w:type="dxa"/>
            <w:vAlign w:val="bottom"/>
          </w:tcPr>
          <w:p>
            <w:pPr>
              <w:spacing w:after="0"/>
              <w:rPr>
                <w:sz w:val="21"/>
                <w:szCs w:val="21"/>
                <w:color w:val="auto"/>
              </w:rPr>
            </w:pPr>
          </w:p>
        </w:tc>
        <w:tc>
          <w:tcPr>
            <w:tcW w:w="272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9"/>
              </w:rPr>
              <w:t>August 29, 2019</w:t>
            </w:r>
          </w:p>
        </w:tc>
        <w:tc>
          <w:tcPr>
            <w:tcW w:w="0" w:type="dxa"/>
            <w:vAlign w:val="bottom"/>
          </w:tcPr>
          <w:p>
            <w:pPr>
              <w:spacing w:after="0"/>
              <w:rPr>
                <w:sz w:val="1"/>
                <w:szCs w:val="1"/>
                <w:color w:val="auto"/>
              </w:rPr>
            </w:pPr>
          </w:p>
        </w:tc>
      </w:tr>
      <w:tr>
        <w:trPr>
          <w:trHeight w:val="175"/>
        </w:trPr>
        <w:tc>
          <w:tcPr>
            <w:tcW w:w="5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Borders>
              <w:top w:val="single" w:sz="8" w:color="0090DA"/>
            </w:tcBorders>
          </w:tcPr>
          <w:p>
            <w:pPr>
              <w:spacing w:after="0"/>
              <w:rPr>
                <w:sz w:val="15"/>
                <w:szCs w:val="15"/>
                <w:color w:val="auto"/>
              </w:rPr>
            </w:pPr>
          </w:p>
        </w:tc>
        <w:tc>
          <w:tcPr>
            <w:tcW w:w="1120" w:type="dxa"/>
            <w:vAlign w:val="bottom"/>
            <w:tcBorders>
              <w:top w:val="single" w:sz="8" w:color="0090DA"/>
            </w:tcBorders>
          </w:tcPr>
          <w:p>
            <w:pPr>
              <w:jc w:val="right"/>
              <w:ind w:right="290"/>
              <w:spacing w:after="0" w:line="176" w:lineRule="exact"/>
              <w:rPr>
                <w:sz w:val="20"/>
                <w:szCs w:val="20"/>
                <w:color w:val="auto"/>
              </w:rPr>
            </w:pPr>
            <w:r>
              <w:rPr>
                <w:rFonts w:ascii="Arial" w:cs="Arial" w:eastAsia="Arial" w:hAnsi="Arial"/>
                <w:sz w:val="18"/>
                <w:szCs w:val="18"/>
                <w:b w:val="1"/>
                <w:bCs w:val="1"/>
                <w:color w:val="auto"/>
              </w:rPr>
              <w:t>Gross</w:t>
            </w:r>
          </w:p>
        </w:tc>
        <w:tc>
          <w:tcPr>
            <w:tcW w:w="240" w:type="dxa"/>
            <w:vAlign w:val="bottom"/>
            <w:tcBorders>
              <w:top w:val="single" w:sz="8" w:color="0090DA"/>
            </w:tcBorders>
          </w:tcPr>
          <w:p>
            <w:pPr>
              <w:spacing w:after="0"/>
              <w:rPr>
                <w:sz w:val="15"/>
                <w:szCs w:val="15"/>
                <w:color w:val="auto"/>
              </w:rPr>
            </w:pPr>
          </w:p>
        </w:tc>
        <w:tc>
          <w:tcPr>
            <w:tcW w:w="1360" w:type="dxa"/>
            <w:vAlign w:val="bottom"/>
            <w:tcBorders>
              <w:top w:val="single" w:sz="8" w:color="0090DA"/>
            </w:tcBorders>
          </w:tcPr>
          <w:p>
            <w:pPr>
              <w:ind w:left="40"/>
              <w:spacing w:after="0" w:line="176"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5"/>
                <w:szCs w:val="15"/>
                <w:color w:val="auto"/>
              </w:rPr>
            </w:pPr>
          </w:p>
        </w:tc>
        <w:tc>
          <w:tcPr>
            <w:tcW w:w="260" w:type="dxa"/>
            <w:vAlign w:val="bottom"/>
            <w:tcBorders>
              <w:top w:val="single" w:sz="8" w:color="0090DA"/>
            </w:tcBorders>
          </w:tcPr>
          <w:p>
            <w:pPr>
              <w:spacing w:after="0"/>
              <w:rPr>
                <w:sz w:val="15"/>
                <w:szCs w:val="15"/>
                <w:color w:val="auto"/>
              </w:rPr>
            </w:pPr>
          </w:p>
        </w:tc>
        <w:tc>
          <w:tcPr>
            <w:tcW w:w="1120" w:type="dxa"/>
            <w:vAlign w:val="bottom"/>
            <w:tcBorders>
              <w:top w:val="single" w:sz="8" w:color="0090DA"/>
            </w:tcBorders>
          </w:tcPr>
          <w:p>
            <w:pPr>
              <w:jc w:val="right"/>
              <w:ind w:right="290"/>
              <w:spacing w:after="0" w:line="176" w:lineRule="exact"/>
              <w:rPr>
                <w:sz w:val="20"/>
                <w:szCs w:val="20"/>
                <w:color w:val="auto"/>
              </w:rPr>
            </w:pPr>
            <w:r>
              <w:rPr>
                <w:rFonts w:ascii="Arial" w:cs="Arial" w:eastAsia="Arial" w:hAnsi="Arial"/>
                <w:sz w:val="18"/>
                <w:szCs w:val="18"/>
                <w:b w:val="1"/>
                <w:bCs w:val="1"/>
                <w:color w:val="auto"/>
              </w:rPr>
              <w:t>Gross</w:t>
            </w:r>
          </w:p>
        </w:tc>
        <w:tc>
          <w:tcPr>
            <w:tcW w:w="240" w:type="dxa"/>
            <w:vAlign w:val="bottom"/>
            <w:tcBorders>
              <w:top w:val="single" w:sz="8" w:color="0090DA"/>
            </w:tcBorders>
          </w:tcPr>
          <w:p>
            <w:pPr>
              <w:spacing w:after="0"/>
              <w:rPr>
                <w:sz w:val="15"/>
                <w:szCs w:val="15"/>
                <w:color w:val="auto"/>
              </w:rPr>
            </w:pPr>
          </w:p>
        </w:tc>
        <w:tc>
          <w:tcPr>
            <w:tcW w:w="1360" w:type="dxa"/>
            <w:vAlign w:val="bottom"/>
            <w:tcBorders>
              <w:top w:val="single" w:sz="8" w:color="0090DA"/>
            </w:tcBorders>
          </w:tcPr>
          <w:p>
            <w:pPr>
              <w:ind w:left="40"/>
              <w:spacing w:after="0" w:line="176" w:lineRule="exact"/>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30"/>
        </w:trPr>
        <w:tc>
          <w:tcPr>
            <w:tcW w:w="5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19"/>
                <w:szCs w:val="19"/>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19"/>
                <w:szCs w:val="19"/>
                <w:color w:val="auto"/>
              </w:rPr>
            </w:pPr>
          </w:p>
        </w:tc>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34"/>
        </w:trPr>
        <w:tc>
          <w:tcPr>
            <w:tcW w:w="520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36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36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Product and process technology</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602</w:t>
            </w:r>
          </w:p>
        </w:tc>
        <w:tc>
          <w:tcPr>
            <w:tcW w:w="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D1D2D4"/>
          </w:tcPr>
          <w:p>
            <w:pPr>
              <w:spacing w:after="0"/>
              <w:rPr>
                <w:sz w:val="22"/>
                <w:szCs w:val="22"/>
                <w:color w:val="auto"/>
              </w:rPr>
            </w:pP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583</w:t>
            </w:r>
          </w:p>
        </w:tc>
        <w:tc>
          <w:tcPr>
            <w:tcW w:w="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1,228</w:t>
            </w:r>
          </w:p>
        </w:tc>
        <w:tc>
          <w:tcPr>
            <w:tcW w:w="240" w:type="dxa"/>
            <w:vAlign w:val="bottom"/>
          </w:tcPr>
          <w:p>
            <w:pPr>
              <w:spacing w:after="0"/>
              <w:rPr>
                <w:sz w:val="21"/>
                <w:szCs w:val="21"/>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1,228</w:t>
            </w:r>
          </w:p>
        </w:tc>
        <w:tc>
          <w:tcPr>
            <w:tcW w:w="240" w:type="dxa"/>
            <w:vAlign w:val="bottom"/>
          </w:tcPr>
          <w:p>
            <w:pPr>
              <w:spacing w:after="0"/>
              <w:rPr>
                <w:sz w:val="21"/>
                <w:szCs w:val="21"/>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first nine months of 2020 and 2019, we capitalized $50 million and $71 million, respectively, for product and process technology with weighted-average useful lives of 10 years and 8 years, respectively. Expected amortization expense is $21 million for the remainder of 2020, $69 million for 2021, $55 million for 2022, $49 million for 2023, and $44 million for 2024.</w:t>
      </w:r>
    </w:p>
    <w:p>
      <w:pPr>
        <w:sectPr>
          <w:pgSz w:w="11900" w:h="16838" w:orient="portrait"/>
          <w:cols w:equalWidth="0" w:num="1">
            <w:col w:w="11240"/>
          </w:cols>
          <w:pgMar w:left="320" w:top="1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40"/>
          <w:szCs w:val="40"/>
          <w:b w:val="1"/>
          <w:bCs w:val="1"/>
          <w:color w:val="auto"/>
        </w:rPr>
        <w:t>Leases</w:t>
      </w:r>
    </w:p>
    <w:p>
      <w:pPr>
        <w:spacing w:after="0" w:line="28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have finance and operating leases through which we acquire or utilize equipment and facilities in our manufacturing operations and R&amp;D activities as well as office space and other facilities used in our selling, general, and administrative (“SG&amp;A”) functions.</w:t>
      </w:r>
    </w:p>
    <w:p>
      <w:pPr>
        <w:spacing w:after="0" w:line="22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Our finance leases consist primarily of gas or other supply or service agreements that are deemed to be embedded leases in which we effectively control the underlying gas plants or other assets used to fulfill the supply agreements.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operating leases consist primarily of offices, other facilities, and land used in SG&amp;A, R&amp;D, and certain of our manufacturing operations. Certain of our operating leases include one or more options to extend the lease term for periods from one year to 10 years for real estate and one year to 30 years for land.</w:t>
      </w:r>
    </w:p>
    <w:p>
      <w:pPr>
        <w:spacing w:after="0" w:line="22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Certain supply or service agreements require us to exercise significant judgment to determine whether the agreement contains a lease of a right-of-use asset. Our assessment includes determining whether we or the supplier control the assets used to fulfill the supply or service agreement by identifying whether we or the supplier have the right to change the type, quantity, timing, or location of the output of the assets. In determining the lease term, we assess whether we are reasonably certain to exercise options to renew or terminate a lease, and when or whether we would exercise an option to purchase the right-of-use asset. Measuring the present value of the initial lease liability requires exercising judgment to determine the discount rate, which we base on interest rates for similar borrowings issued by entities with credit ratings similar to ours.</w:t>
      </w:r>
    </w:p>
    <w:p>
      <w:pPr>
        <w:spacing w:after="0" w:line="23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Short-term and variable lease expenses were not significant and are presented within operating lease costs in the table below. Sublease income was not significant in any period presented. The components of lease expense are presented 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Nine months</w:t>
            </w:r>
          </w:p>
        </w:tc>
        <w:tc>
          <w:tcPr>
            <w:tcW w:w="0" w:type="dxa"/>
            <w:vAlign w:val="bottom"/>
          </w:tcPr>
          <w:p>
            <w:pPr>
              <w:spacing w:after="0"/>
              <w:rPr>
                <w:sz w:val="1"/>
                <w:szCs w:val="1"/>
                <w:color w:val="auto"/>
              </w:rPr>
            </w:pPr>
          </w:p>
        </w:tc>
      </w:tr>
      <w:tr>
        <w:trPr>
          <w:trHeight w:val="246"/>
        </w:trPr>
        <w:tc>
          <w:tcPr>
            <w:tcW w:w="8600" w:type="dxa"/>
            <w:vAlign w:val="bottom"/>
          </w:tcPr>
          <w:p>
            <w:pPr>
              <w:spacing w:after="0"/>
              <w:rPr>
                <w:sz w:val="21"/>
                <w:szCs w:val="21"/>
                <w:color w:val="auto"/>
              </w:rPr>
            </w:pPr>
          </w:p>
        </w:tc>
        <w:tc>
          <w:tcPr>
            <w:tcW w:w="130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8"/>
              </w:rPr>
              <w:t>ended</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May 28,</w:t>
            </w:r>
          </w:p>
        </w:tc>
        <w:tc>
          <w:tcPr>
            <w:tcW w:w="140" w:type="dxa"/>
            <w:vAlign w:val="bottom"/>
          </w:tcPr>
          <w:p>
            <w:pPr>
              <w:spacing w:after="0"/>
              <w:rPr>
                <w:sz w:val="17"/>
                <w:szCs w:val="17"/>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May 28,</w:t>
            </w:r>
          </w:p>
        </w:tc>
        <w:tc>
          <w:tcPr>
            <w:tcW w:w="0" w:type="dxa"/>
            <w:vAlign w:val="bottom"/>
          </w:tcPr>
          <w:p>
            <w:pPr>
              <w:spacing w:after="0"/>
              <w:rPr>
                <w:sz w:val="1"/>
                <w:szCs w:val="1"/>
                <w:color w:val="auto"/>
              </w:rPr>
            </w:pPr>
          </w:p>
        </w:tc>
      </w:tr>
      <w:tr>
        <w:trPr>
          <w:trHeight w:val="246"/>
        </w:trPr>
        <w:tc>
          <w:tcPr>
            <w:tcW w:w="860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40"/>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600" w:type="dxa"/>
            <w:vAlign w:val="bottom"/>
            <w:shd w:val="clear" w:color="auto" w:fill="DDDDDD"/>
          </w:tcPr>
          <w:p>
            <w:pPr>
              <w:ind w:left="2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DDDDDD"/>
          </w:tcPr>
          <w:p>
            <w:pPr>
              <w:spacing w:after="0"/>
              <w:rPr>
                <w:sz w:val="22"/>
                <w:szCs w:val="22"/>
                <w:color w:val="auto"/>
              </w:rPr>
            </w:pPr>
          </w:p>
        </w:tc>
        <w:tc>
          <w:tcPr>
            <w:tcW w:w="108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20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600" w:type="dxa"/>
            <w:vAlign w:val="bottom"/>
          </w:tcPr>
          <w:p>
            <w:pPr>
              <w:ind w:left="120"/>
              <w:spacing w:after="0"/>
              <w:rPr>
                <w:sz w:val="20"/>
                <w:szCs w:val="20"/>
                <w:color w:val="auto"/>
              </w:rPr>
            </w:pPr>
            <w:r>
              <w:rPr>
                <w:rFonts w:ascii="Arial" w:cs="Arial" w:eastAsia="Arial" w:hAnsi="Arial"/>
                <w:sz w:val="18"/>
                <w:szCs w:val="18"/>
                <w:color w:val="auto"/>
              </w:rPr>
              <w:t>Amortization of right-of-use asset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63"/>
        </w:trPr>
        <w:tc>
          <w:tcPr>
            <w:tcW w:w="8600" w:type="dxa"/>
            <w:vAlign w:val="bottom"/>
            <w:shd w:val="clear" w:color="auto" w:fill="DDDDDD"/>
          </w:tcPr>
          <w:p>
            <w:pPr>
              <w:ind w:left="120"/>
              <w:spacing w:after="0"/>
              <w:rPr>
                <w:sz w:val="20"/>
                <w:szCs w:val="20"/>
                <w:color w:val="auto"/>
              </w:rPr>
            </w:pPr>
            <w:r>
              <w:rPr>
                <w:rFonts w:ascii="Arial" w:cs="Arial" w:eastAsia="Arial" w:hAnsi="Arial"/>
                <w:sz w:val="18"/>
                <w:szCs w:val="18"/>
                <w:color w:val="auto"/>
              </w:rPr>
              <w:t>Interest on lease liability</w:t>
            </w:r>
          </w:p>
        </w:tc>
        <w:tc>
          <w:tcPr>
            <w:tcW w:w="22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6</w:t>
            </w:r>
          </w:p>
        </w:tc>
        <w:tc>
          <w:tcPr>
            <w:tcW w:w="140" w:type="dxa"/>
            <w:vAlign w:val="bottom"/>
            <w:shd w:val="clear" w:color="auto" w:fill="DDDDDD"/>
          </w:tcPr>
          <w:p>
            <w:pPr>
              <w:spacing w:after="0"/>
              <w:rPr>
                <w:sz w:val="22"/>
                <w:szCs w:val="22"/>
                <w:color w:val="auto"/>
              </w:rPr>
            </w:pPr>
          </w:p>
        </w:tc>
        <w:tc>
          <w:tcPr>
            <w:tcW w:w="120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5"/>
        </w:trPr>
        <w:tc>
          <w:tcPr>
            <w:tcW w:w="8600" w:type="dxa"/>
            <w:vAlign w:val="bottom"/>
            <w:tcBorders>
              <w:bottom w:val="single" w:sz="8" w:color="DDDDDD"/>
            </w:tcBorders>
            <w:shd w:val="clear" w:color="auto" w:fill="DDDDDD"/>
          </w:tcPr>
          <w:p>
            <w:pPr>
              <w:spacing w:after="0"/>
              <w:rPr>
                <w:sz w:val="23"/>
                <w:szCs w:val="23"/>
                <w:color w:val="auto"/>
              </w:rPr>
            </w:pPr>
          </w:p>
        </w:tc>
        <w:tc>
          <w:tcPr>
            <w:tcW w:w="220" w:type="dxa"/>
            <w:vAlign w:val="bottom"/>
            <w:tcBorders>
              <w:bottom w:val="single" w:sz="8" w:color="auto"/>
            </w:tcBorders>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DDDDD"/>
          </w:tcPr>
          <w:p>
            <w:pPr>
              <w:jc w:val="right"/>
              <w:ind w:right="50"/>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DDDDD"/>
          </w:tcPr>
          <w:p>
            <w:pPr>
              <w:jc w:val="right"/>
              <w:ind w:right="7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8600" w:type="dxa"/>
            <w:vAlign w:val="bottom"/>
            <w:tcBorders>
              <w:top w:val="single" w:sz="8" w:color="DDDDDD"/>
              <w:bottom w:val="single" w:sz="8" w:color="DDDDDD"/>
            </w:tcBorders>
            <w:vMerge w:val="restart"/>
          </w:tcPr>
          <w:p>
            <w:pPr>
              <w:spacing w:after="0"/>
              <w:rPr>
                <w:sz w:val="20"/>
                <w:szCs w:val="20"/>
                <w:color w:val="auto"/>
              </w:rPr>
            </w:pPr>
            <w:r>
              <w:rPr>
                <w:rFonts w:ascii="Arial" w:cs="Arial" w:eastAsia="Arial" w:hAnsi="Arial"/>
                <w:sz w:val="18"/>
                <w:szCs w:val="18"/>
                <w:color w:val="auto"/>
              </w:rPr>
              <w:t>Other information related to our leases were as follows:</w:t>
            </w:r>
          </w:p>
        </w:tc>
        <w:tc>
          <w:tcPr>
            <w:tcW w:w="22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May 28,</w:t>
            </w:r>
          </w:p>
        </w:tc>
        <w:tc>
          <w:tcPr>
            <w:tcW w:w="0" w:type="dxa"/>
            <w:vAlign w:val="bottom"/>
          </w:tcPr>
          <w:p>
            <w:pPr>
              <w:spacing w:after="0"/>
              <w:rPr>
                <w:sz w:val="1"/>
                <w:szCs w:val="1"/>
                <w:color w:val="auto"/>
              </w:rPr>
            </w:pP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40"/>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600" w:type="dxa"/>
            <w:vAlign w:val="bottom"/>
            <w:shd w:val="clear" w:color="auto" w:fill="DDDDDD"/>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220" w:type="dxa"/>
            <w:vAlign w:val="bottom"/>
            <w:shd w:val="clear" w:color="auto" w:fill="DDDDDD"/>
          </w:tcPr>
          <w:p>
            <w:pPr>
              <w:spacing w:after="0"/>
              <w:rPr>
                <w:sz w:val="22"/>
                <w:szCs w:val="22"/>
                <w:color w:val="auto"/>
              </w:rPr>
            </w:pPr>
          </w:p>
        </w:tc>
        <w:tc>
          <w:tcPr>
            <w:tcW w:w="108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20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6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6"/>
        </w:trPr>
        <w:tc>
          <w:tcPr>
            <w:tcW w:w="8600" w:type="dxa"/>
            <w:vAlign w:val="bottom"/>
            <w:shd w:val="clear" w:color="auto" w:fill="DDDDDD"/>
          </w:tcPr>
          <w:p>
            <w:pPr>
              <w:ind w:left="140"/>
              <w:spacing w:after="0" w:line="256"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(1)</w:t>
            </w:r>
          </w:p>
        </w:tc>
        <w:tc>
          <w:tcPr>
            <w:tcW w:w="220" w:type="dxa"/>
            <w:vAlign w:val="bottom"/>
            <w:shd w:val="clear" w:color="auto" w:fill="DDDDDD"/>
          </w:tcPr>
          <w:p>
            <w:pPr>
              <w:spacing w:after="0"/>
              <w:rPr>
                <w:sz w:val="22"/>
                <w:szCs w:val="22"/>
                <w:color w:val="auto"/>
              </w:rPr>
            </w:pPr>
          </w:p>
        </w:tc>
        <w:tc>
          <w:tcPr>
            <w:tcW w:w="108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20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600" w:type="dxa"/>
            <w:vAlign w:val="bottom"/>
            <w:shd w:val="clear" w:color="auto" w:fill="DDDDDD"/>
          </w:tcPr>
          <w:p>
            <w:pPr>
              <w:ind w:left="12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DDDDDD"/>
          </w:tcPr>
          <w:p>
            <w:pPr>
              <w:spacing w:after="0"/>
              <w:rPr>
                <w:sz w:val="22"/>
                <w:szCs w:val="22"/>
                <w:color w:val="auto"/>
              </w:rPr>
            </w:pPr>
          </w:p>
        </w:tc>
        <w:tc>
          <w:tcPr>
            <w:tcW w:w="108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20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00" w:type="dxa"/>
            <w:vAlign w:val="bottom"/>
            <w:shd w:val="clear" w:color="auto" w:fill="DDDDDD"/>
          </w:tcPr>
          <w:p>
            <w:pPr>
              <w:ind w:left="12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DDDDDD"/>
          </w:tcPr>
          <w:p>
            <w:pPr>
              <w:spacing w:after="0"/>
              <w:rPr>
                <w:sz w:val="22"/>
                <w:szCs w:val="22"/>
                <w:color w:val="auto"/>
              </w:rPr>
            </w:pPr>
          </w:p>
        </w:tc>
        <w:tc>
          <w:tcPr>
            <w:tcW w:w="108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20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6"/>
        </w:trPr>
        <w:tc>
          <w:tcPr>
            <w:tcW w:w="86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Amount is net of $48 million of reimbursements received for tenant improvements.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May 28,</w:t>
            </w: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Borders>
              <w:bottom w:val="single" w:sz="8" w:color="0090DA"/>
            </w:tcBorders>
          </w:tcPr>
          <w:p>
            <w:pPr>
              <w:spacing w:after="0"/>
              <w:rPr>
                <w:sz w:val="21"/>
                <w:szCs w:val="21"/>
                <w:color w:val="auto"/>
              </w:rPr>
            </w:pPr>
          </w:p>
        </w:tc>
        <w:tc>
          <w:tcPr>
            <w:tcW w:w="1000" w:type="dxa"/>
            <w:vAlign w:val="bottom"/>
            <w:tcBorders>
              <w:bottom w:val="single" w:sz="8" w:color="0090DA"/>
            </w:tcBorders>
          </w:tcPr>
          <w:p>
            <w:pPr>
              <w:spacing w:after="0"/>
              <w:rPr>
                <w:sz w:val="21"/>
                <w:szCs w:val="21"/>
                <w:color w:val="auto"/>
              </w:rPr>
            </w:pPr>
          </w:p>
        </w:tc>
        <w:tc>
          <w:tcPr>
            <w:tcW w:w="28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40"/>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right-of-use assets (included in property, plant, and equipment)</w:t>
            </w:r>
          </w:p>
        </w:tc>
        <w:tc>
          <w:tcPr>
            <w:tcW w:w="220" w:type="dxa"/>
            <w:vAlign w:val="bottom"/>
            <w:shd w:val="clear" w:color="auto" w:fill="D1D2D4"/>
          </w:tcPr>
          <w:p>
            <w:pPr>
              <w:spacing w:after="0"/>
              <w:rPr>
                <w:sz w:val="22"/>
                <w:szCs w:val="22"/>
                <w:color w:val="auto"/>
              </w:rPr>
            </w:pPr>
          </w:p>
        </w:tc>
        <w:tc>
          <w:tcPr>
            <w:tcW w:w="1000" w:type="dxa"/>
            <w:vAlign w:val="bottom"/>
            <w:shd w:val="clear" w:color="auto" w:fill="D1D2D4"/>
          </w:tcPr>
          <w:p>
            <w:pPr>
              <w:spacing w:after="0"/>
              <w:rPr>
                <w:sz w:val="22"/>
                <w:szCs w:val="22"/>
                <w:color w:val="auto"/>
              </w:rPr>
            </w:pP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550</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6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D1D2D4"/>
          </w:tcPr>
          <w:p>
            <w:pPr>
              <w:spacing w:after="0"/>
              <w:rPr>
                <w:sz w:val="22"/>
                <w:szCs w:val="22"/>
                <w:color w:val="auto"/>
              </w:rPr>
            </w:pPr>
          </w:p>
        </w:tc>
        <w:tc>
          <w:tcPr>
            <w:tcW w:w="100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r>
      <w:tr>
        <w:trPr>
          <w:trHeight w:val="257"/>
        </w:trPr>
        <w:tc>
          <w:tcPr>
            <w:tcW w:w="86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56"/>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discount rate</w:t>
            </w:r>
          </w:p>
        </w:tc>
        <w:tc>
          <w:tcPr>
            <w:tcW w:w="220" w:type="dxa"/>
            <w:vAlign w:val="bottom"/>
            <w:shd w:val="clear" w:color="auto" w:fill="D1D2D4"/>
          </w:tcPr>
          <w:p>
            <w:pPr>
              <w:spacing w:after="0"/>
              <w:rPr>
                <w:sz w:val="22"/>
                <w:szCs w:val="22"/>
                <w:color w:val="auto"/>
              </w:rPr>
            </w:pPr>
          </w:p>
        </w:tc>
        <w:tc>
          <w:tcPr>
            <w:tcW w:w="100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r>
      <w:tr>
        <w:trPr>
          <w:trHeight w:val="257"/>
        </w:trPr>
        <w:tc>
          <w:tcPr>
            <w:tcW w:w="86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4.64 %</w:t>
            </w:r>
          </w:p>
        </w:tc>
      </w:tr>
      <w:tr>
        <w:trPr>
          <w:trHeight w:val="257"/>
        </w:trPr>
        <w:tc>
          <w:tcPr>
            <w:tcW w:w="86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D1D2D4"/>
          </w:tcPr>
          <w:p>
            <w:pPr>
              <w:spacing w:after="0"/>
              <w:rPr>
                <w:sz w:val="22"/>
                <w:szCs w:val="22"/>
                <w:color w:val="auto"/>
              </w:rPr>
            </w:pPr>
          </w:p>
        </w:tc>
        <w:tc>
          <w:tcPr>
            <w:tcW w:w="100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2.67 %</w:t>
            </w:r>
          </w:p>
        </w:tc>
      </w:tr>
      <w:tr>
        <w:trPr>
          <w:trHeight w:val="567"/>
        </w:trPr>
        <w:tc>
          <w:tcPr>
            <w:tcW w:w="8600" w:type="dxa"/>
            <w:vAlign w:val="bottom"/>
          </w:tcPr>
          <w:p>
            <w:pPr>
              <w:spacing w:after="0"/>
              <w:rPr>
                <w:sz w:val="20"/>
                <w:szCs w:val="20"/>
                <w:color w:val="auto"/>
              </w:rPr>
            </w:pPr>
            <w:r>
              <w:rPr>
                <w:rFonts w:ascii="Arial" w:cs="Arial" w:eastAsia="Arial" w:hAnsi="Arial"/>
                <w:sz w:val="18"/>
                <w:szCs w:val="18"/>
                <w:color w:val="auto"/>
              </w:rPr>
              <w:t>Maturities of lease liabilities existing as of May 28, 2020 were as follows: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8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Finance</w:t>
            </w:r>
          </w:p>
        </w:tc>
        <w:tc>
          <w:tcPr>
            <w:tcW w:w="28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Operating</w:t>
            </w: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220" w:type="dxa"/>
            <w:vAlign w:val="bottom"/>
            <w:tcBorders>
              <w:bottom w:val="single" w:sz="8" w:color="0090DA"/>
            </w:tcBorders>
          </w:tcPr>
          <w:p>
            <w:pPr>
              <w:spacing w:after="0"/>
              <w:rPr>
                <w:sz w:val="21"/>
                <w:szCs w:val="21"/>
                <w:color w:val="auto"/>
              </w:rPr>
            </w:pPr>
          </w:p>
        </w:tc>
        <w:tc>
          <w:tcPr>
            <w:tcW w:w="1000" w:type="dxa"/>
            <w:vAlign w:val="bottom"/>
            <w:tcBorders>
              <w:bottom w:val="single" w:sz="8" w:color="0090DA"/>
            </w:tcBorders>
          </w:tcPr>
          <w:p>
            <w:pPr>
              <w:jc w:val="right"/>
              <w:ind w:right="170"/>
              <w:spacing w:after="0"/>
              <w:rPr>
                <w:sz w:val="20"/>
                <w:szCs w:val="20"/>
                <w:color w:val="auto"/>
              </w:rPr>
            </w:pPr>
            <w:r>
              <w:rPr>
                <w:rFonts w:ascii="Arial" w:cs="Arial" w:eastAsia="Arial" w:hAnsi="Arial"/>
                <w:sz w:val="18"/>
                <w:szCs w:val="18"/>
                <w:b w:val="1"/>
                <w:bCs w:val="1"/>
                <w:color w:val="auto"/>
              </w:rPr>
              <w:t>Leases</w:t>
            </w:r>
          </w:p>
        </w:tc>
        <w:tc>
          <w:tcPr>
            <w:tcW w:w="28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Leases</w:t>
            </w:r>
          </w:p>
        </w:tc>
      </w:tr>
      <w:tr>
        <w:trPr>
          <w:trHeight w:val="40"/>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2020</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18</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69</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D1D2D4"/>
          </w:tcPr>
          <w:p>
            <w:pPr>
              <w:spacing w:after="0"/>
              <w:rPr>
                <w:sz w:val="22"/>
                <w:szCs w:val="22"/>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67</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63</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D1D2D4"/>
          </w:tcPr>
          <w:p>
            <w:pPr>
              <w:spacing w:after="0"/>
              <w:rPr>
                <w:sz w:val="22"/>
                <w:szCs w:val="22"/>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54</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2025 and thereafter</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c>
          <w:tcPr>
            <w:tcW w:w="2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445</w:t>
            </w: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shd w:val="clear" w:color="auto" w:fill="D1D2D4"/>
          </w:tcPr>
          <w:p>
            <w:pPr>
              <w:spacing w:after="0"/>
              <w:rPr>
                <w:sz w:val="22"/>
                <w:szCs w:val="22"/>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(122)</w:t>
            </w:r>
          </w:p>
        </w:tc>
      </w:tr>
      <w:tr>
        <w:trPr>
          <w:trHeight w:val="250"/>
        </w:trPr>
        <w:tc>
          <w:tcPr>
            <w:tcW w:w="86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594</w:t>
            </w:r>
          </w:p>
        </w:tc>
      </w:tr>
      <w:tr>
        <w:trPr>
          <w:trHeight w:val="27"/>
        </w:trPr>
        <w:tc>
          <w:tcPr>
            <w:tcW w:w="8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table above excludes any lease liabilities for leases that have been signed but have not yet commenced. As of May 28, 2020, we had such lease liabilities relating to 1) operating lease payment obligations of $150 million for the initial 10-year lease term for a building, which may, at our election, be terminated after 3 years or extended for an additional 10 years, and 2) finance lease obligations of $805 million over a weighted-average period of 15 years for gas supply arrangements deemed to be embedded leases. We will recognize right-of-use assets and associated lease liabilities at the time such assets become available for our use.</w:t>
      </w:r>
    </w:p>
    <w:p>
      <w:pPr>
        <w:spacing w:after="0" w:line="2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August 29, 2019, prior to our adoption of ASC 842, future minimum operating lease commitments with an initial term in excess of one year were $54 million for 2020, $64 million for 2021, $63 million for 2022, $59 million for 2023, $53 million for 2024, and $459 million in 2025 and thereafter.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Accounts Payable and Accrued Expenses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May 28,</w:t>
            </w:r>
          </w:p>
        </w:tc>
        <w:tc>
          <w:tcPr>
            <w:tcW w:w="2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0"/>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2,234</w:t>
            </w:r>
          </w:p>
        </w:tc>
        <w:tc>
          <w:tcPr>
            <w:tcW w:w="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1,677</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1,866</w:t>
            </w:r>
          </w:p>
        </w:tc>
        <w:tc>
          <w:tcPr>
            <w:tcW w:w="2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1,782</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220" w:type="dxa"/>
            <w:vAlign w:val="bottom"/>
            <w:shd w:val="clear" w:color="auto" w:fill="D1D2D4"/>
          </w:tcPr>
          <w:p>
            <w:pPr>
              <w:spacing w:after="0"/>
              <w:rPr>
                <w:sz w:val="22"/>
                <w:szCs w:val="22"/>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810</w:t>
            </w: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695</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309</w:t>
            </w: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163</w:t>
            </w:r>
          </w:p>
        </w:tc>
      </w:tr>
      <w:tr>
        <w:trPr>
          <w:trHeight w:val="250"/>
        </w:trPr>
        <w:tc>
          <w:tcPr>
            <w:tcW w:w="86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4,626</w:t>
            </w:r>
          </w:p>
        </w:tc>
      </w:tr>
      <w:tr>
        <w:trPr>
          <w:trHeight w:val="27"/>
        </w:trPr>
        <w:tc>
          <w:tcPr>
            <w:tcW w:w="8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6" w:name="page17"/>
    <w:bookmarkEnd w:id="16"/>
    <w:p>
      <w:pPr>
        <w:spacing w:after="0"/>
        <w:rPr>
          <w:sz w:val="20"/>
          <w:szCs w:val="20"/>
          <w:color w:val="auto"/>
        </w:rPr>
      </w:pPr>
      <w:r>
        <w:rPr>
          <w:rFonts w:ascii="Arial" w:cs="Arial" w:eastAsia="Arial" w:hAnsi="Arial"/>
          <w:sz w:val="40"/>
          <w:szCs w:val="40"/>
          <w:b w:val="1"/>
          <w:bCs w:val="1"/>
          <w:color w:val="auto"/>
        </w:rPr>
        <w:t>Debt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240" w:type="dxa"/>
            <w:vAlign w:val="bottom"/>
          </w:tcPr>
          <w:p>
            <w:pPr>
              <w:spacing w:after="0"/>
              <w:rPr>
                <w:sz w:val="21"/>
                <w:szCs w:val="21"/>
                <w:color w:val="auto"/>
              </w:rPr>
            </w:pPr>
          </w:p>
        </w:tc>
        <w:tc>
          <w:tcPr>
            <w:tcW w:w="1260" w:type="dxa"/>
            <w:vAlign w:val="bottom"/>
            <w:tcBorders>
              <w:bottom w:val="single" w:sz="8" w:color="0090DA"/>
            </w:tcBorders>
          </w:tcPr>
          <w:p>
            <w:pPr>
              <w:spacing w:after="0"/>
              <w:rPr>
                <w:sz w:val="21"/>
                <w:szCs w:val="21"/>
                <w:color w:val="auto"/>
              </w:rPr>
            </w:pPr>
          </w:p>
        </w:tc>
        <w:tc>
          <w:tcPr>
            <w:tcW w:w="2140" w:type="dxa"/>
            <w:vAlign w:val="bottom"/>
            <w:tcBorders>
              <w:bottom w:val="single" w:sz="8" w:color="0090DA"/>
            </w:tcBorders>
            <w:gridSpan w:val="3"/>
          </w:tcPr>
          <w:p>
            <w:pPr>
              <w:jc w:val="right"/>
              <w:spacing w:after="0"/>
              <w:rPr>
                <w:sz w:val="20"/>
                <w:szCs w:val="20"/>
                <w:color w:val="auto"/>
              </w:rPr>
            </w:pPr>
            <w:r>
              <w:rPr>
                <w:rFonts w:ascii="Arial" w:cs="Arial" w:eastAsia="Arial" w:hAnsi="Arial"/>
                <w:sz w:val="18"/>
                <w:szCs w:val="18"/>
                <w:b w:val="1"/>
                <w:bCs w:val="1"/>
                <w:color w:val="auto"/>
              </w:rPr>
              <w:t>May 28, 2020</w:t>
            </w:r>
          </w:p>
        </w:tc>
        <w:tc>
          <w:tcPr>
            <w:tcW w:w="320" w:type="dxa"/>
            <w:vAlign w:val="bottom"/>
            <w:tcBorders>
              <w:bottom w:val="single" w:sz="8" w:color="0090DA"/>
            </w:tcBorders>
          </w:tcPr>
          <w:p>
            <w:pPr>
              <w:spacing w:after="0"/>
              <w:rPr>
                <w:sz w:val="21"/>
                <w:szCs w:val="21"/>
                <w:color w:val="auto"/>
              </w:rPr>
            </w:pPr>
          </w:p>
        </w:tc>
        <w:tc>
          <w:tcPr>
            <w:tcW w:w="760" w:type="dxa"/>
            <w:vAlign w:val="bottom"/>
            <w:tcBorders>
              <w:bottom w:val="single" w:sz="8" w:color="0090DA"/>
            </w:tcBorders>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88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780" w:type="dxa"/>
            <w:vAlign w:val="bottom"/>
            <w:tcBorders>
              <w:bottom w:val="single" w:sz="8" w:color="0090DA"/>
            </w:tcBorders>
          </w:tcPr>
          <w:p>
            <w:pPr>
              <w:spacing w:after="0"/>
              <w:rPr>
                <w:sz w:val="21"/>
                <w:szCs w:val="21"/>
                <w:color w:val="auto"/>
              </w:rPr>
            </w:pPr>
          </w:p>
        </w:tc>
        <w:tc>
          <w:tcPr>
            <w:tcW w:w="1480" w:type="dxa"/>
            <w:vAlign w:val="bottom"/>
            <w:tcBorders>
              <w:bottom w:val="single" w:sz="8" w:color="0090DA"/>
            </w:tcBorders>
            <w:gridSpan w:val="3"/>
          </w:tcPr>
          <w:p>
            <w:pPr>
              <w:jc w:val="center"/>
              <w:spacing w:after="0"/>
              <w:rPr>
                <w:sz w:val="20"/>
                <w:szCs w:val="20"/>
                <w:color w:val="auto"/>
              </w:rPr>
            </w:pPr>
            <w:r>
              <w:rPr>
                <w:rFonts w:ascii="Arial" w:cs="Arial" w:eastAsia="Arial" w:hAnsi="Arial"/>
                <w:sz w:val="18"/>
                <w:szCs w:val="18"/>
                <w:b w:val="1"/>
                <w:bCs w:val="1"/>
                <w:color w:val="auto"/>
                <w:w w:val="99"/>
              </w:rPr>
              <w:t>August 29, 2019</w:t>
            </w:r>
          </w:p>
        </w:tc>
        <w:tc>
          <w:tcPr>
            <w:tcW w:w="860" w:type="dxa"/>
            <w:vAlign w:val="bottom"/>
            <w:tcBorders>
              <w:bottom w:val="single" w:sz="8" w:color="0090DA"/>
            </w:tcBorders>
          </w:tcPr>
          <w:p>
            <w:pPr>
              <w:spacing w:after="0"/>
              <w:rPr>
                <w:sz w:val="21"/>
                <w:szCs w:val="21"/>
                <w:color w:val="auto"/>
              </w:rPr>
            </w:pPr>
          </w:p>
        </w:tc>
      </w:tr>
      <w:tr>
        <w:trPr>
          <w:trHeight w:val="250"/>
        </w:trPr>
        <w:tc>
          <w:tcPr>
            <w:tcW w:w="2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20" w:type="dxa"/>
            <w:vAlign w:val="bottom"/>
            <w:gridSpan w:val="6"/>
          </w:tcPr>
          <w:p>
            <w:pPr>
              <w:ind w:left="560"/>
              <w:spacing w:after="0"/>
              <w:rPr>
                <w:sz w:val="20"/>
                <w:szCs w:val="20"/>
                <w:color w:val="auto"/>
              </w:rPr>
            </w:pPr>
            <w:r>
              <w:rPr>
                <w:rFonts w:ascii="Arial" w:cs="Arial" w:eastAsia="Arial" w:hAnsi="Arial"/>
                <w:sz w:val="18"/>
                <w:szCs w:val="18"/>
                <w:b w:val="1"/>
                <w:bCs w:val="1"/>
                <w:color w:val="auto"/>
              </w:rPr>
              <w:t>Net Carrying Amount</w:t>
            </w:r>
          </w:p>
        </w:tc>
        <w:tc>
          <w:tcPr>
            <w:tcW w:w="160" w:type="dxa"/>
            <w:vAlign w:val="bottom"/>
          </w:tcPr>
          <w:p>
            <w:pPr>
              <w:spacing w:after="0"/>
              <w:rPr>
                <w:sz w:val="21"/>
                <w:szCs w:val="21"/>
                <w:color w:val="auto"/>
              </w:rPr>
            </w:pPr>
          </w:p>
        </w:tc>
        <w:tc>
          <w:tcPr>
            <w:tcW w:w="312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9"/>
              </w:rPr>
              <w:t>Net Carrying Amount</w:t>
            </w:r>
          </w:p>
        </w:tc>
      </w:tr>
      <w:tr>
        <w:trPr>
          <w:trHeight w:val="193"/>
        </w:trPr>
        <w:tc>
          <w:tcPr>
            <w:tcW w:w="2240" w:type="dxa"/>
            <w:vAlign w:val="bottom"/>
          </w:tcPr>
          <w:p>
            <w:pPr>
              <w:spacing w:after="0"/>
              <w:rPr>
                <w:sz w:val="16"/>
                <w:szCs w:val="16"/>
                <w:color w:val="auto"/>
              </w:rPr>
            </w:pPr>
          </w:p>
        </w:tc>
        <w:tc>
          <w:tcPr>
            <w:tcW w:w="1260" w:type="dxa"/>
            <w:vAlign w:val="bottom"/>
          </w:tcPr>
          <w:p>
            <w:pPr>
              <w:jc w:val="right"/>
              <w:ind w:right="310"/>
              <w:spacing w:after="0" w:line="193" w:lineRule="exact"/>
              <w:rPr>
                <w:sz w:val="20"/>
                <w:szCs w:val="20"/>
                <w:color w:val="auto"/>
              </w:rPr>
            </w:pPr>
            <w:r>
              <w:rPr>
                <w:rFonts w:ascii="Arial" w:cs="Arial" w:eastAsia="Arial" w:hAnsi="Arial"/>
                <w:sz w:val="18"/>
                <w:szCs w:val="18"/>
                <w:b w:val="1"/>
                <w:bCs w:val="1"/>
                <w:color w:val="auto"/>
              </w:rPr>
              <w:t>Stated</w:t>
            </w:r>
          </w:p>
        </w:tc>
        <w:tc>
          <w:tcPr>
            <w:tcW w:w="1080" w:type="dxa"/>
            <w:vAlign w:val="bottom"/>
          </w:tcPr>
          <w:p>
            <w:pPr>
              <w:jc w:val="right"/>
              <w:ind w:right="130"/>
              <w:spacing w:after="0" w:line="193" w:lineRule="exact"/>
              <w:rPr>
                <w:sz w:val="20"/>
                <w:szCs w:val="20"/>
                <w:color w:val="auto"/>
              </w:rPr>
            </w:pPr>
            <w:r>
              <w:rPr>
                <w:rFonts w:ascii="Arial" w:cs="Arial" w:eastAsia="Arial" w:hAnsi="Arial"/>
                <w:sz w:val="18"/>
                <w:szCs w:val="18"/>
                <w:b w:val="1"/>
                <w:bCs w:val="1"/>
                <w:color w:val="auto"/>
              </w:rPr>
              <w:t>Effective</w:t>
            </w:r>
          </w:p>
        </w:tc>
        <w:tc>
          <w:tcPr>
            <w:tcW w:w="160" w:type="dxa"/>
            <w:vAlign w:val="bottom"/>
            <w:tcBorders>
              <w:top w:val="single" w:sz="8" w:color="0090DA"/>
            </w:tcBorders>
          </w:tcPr>
          <w:p>
            <w:pPr>
              <w:spacing w:after="0"/>
              <w:rPr>
                <w:sz w:val="16"/>
                <w:szCs w:val="16"/>
                <w:color w:val="auto"/>
              </w:rPr>
            </w:pPr>
          </w:p>
        </w:tc>
        <w:tc>
          <w:tcPr>
            <w:tcW w:w="900" w:type="dxa"/>
            <w:vAlign w:val="bottom"/>
            <w:tcBorders>
              <w:top w:val="single" w:sz="8" w:color="0090DA"/>
            </w:tcBorders>
          </w:tcPr>
          <w:p>
            <w:pPr>
              <w:spacing w:after="0"/>
              <w:rPr>
                <w:sz w:val="16"/>
                <w:szCs w:val="16"/>
                <w:color w:val="auto"/>
              </w:rPr>
            </w:pPr>
          </w:p>
        </w:tc>
        <w:tc>
          <w:tcPr>
            <w:tcW w:w="320" w:type="dxa"/>
            <w:vAlign w:val="bottom"/>
            <w:tcBorders>
              <w:top w:val="single" w:sz="8" w:color="0090DA"/>
            </w:tcBorders>
          </w:tcPr>
          <w:p>
            <w:pPr>
              <w:spacing w:after="0"/>
              <w:rPr>
                <w:sz w:val="16"/>
                <w:szCs w:val="16"/>
                <w:color w:val="auto"/>
              </w:rPr>
            </w:pPr>
          </w:p>
        </w:tc>
        <w:tc>
          <w:tcPr>
            <w:tcW w:w="760" w:type="dxa"/>
            <w:vAlign w:val="bottom"/>
            <w:tcBorders>
              <w:top w:val="single" w:sz="8" w:color="0090DA"/>
            </w:tcBorders>
          </w:tcPr>
          <w:p>
            <w:pPr>
              <w:spacing w:after="0"/>
              <w:rPr>
                <w:sz w:val="16"/>
                <w:szCs w:val="16"/>
                <w:color w:val="auto"/>
              </w:rPr>
            </w:pPr>
          </w:p>
        </w:tc>
        <w:tc>
          <w:tcPr>
            <w:tcW w:w="260" w:type="dxa"/>
            <w:vAlign w:val="bottom"/>
            <w:tcBorders>
              <w:top w:val="single" w:sz="8" w:color="0090DA"/>
            </w:tcBorders>
          </w:tcPr>
          <w:p>
            <w:pPr>
              <w:spacing w:after="0"/>
              <w:rPr>
                <w:sz w:val="16"/>
                <w:szCs w:val="16"/>
                <w:color w:val="auto"/>
              </w:rPr>
            </w:pPr>
          </w:p>
        </w:tc>
        <w:tc>
          <w:tcPr>
            <w:tcW w:w="880" w:type="dxa"/>
            <w:vAlign w:val="bottom"/>
            <w:tcBorders>
              <w:top w:val="single" w:sz="8" w:color="0090DA"/>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0090DA"/>
            </w:tcBorders>
          </w:tcPr>
          <w:p>
            <w:pPr>
              <w:spacing w:after="0"/>
              <w:rPr>
                <w:sz w:val="16"/>
                <w:szCs w:val="16"/>
                <w:color w:val="auto"/>
              </w:rPr>
            </w:pPr>
          </w:p>
        </w:tc>
        <w:tc>
          <w:tcPr>
            <w:tcW w:w="780" w:type="dxa"/>
            <w:vAlign w:val="bottom"/>
            <w:tcBorders>
              <w:top w:val="single" w:sz="8" w:color="0090DA"/>
            </w:tcBorders>
          </w:tcPr>
          <w:p>
            <w:pPr>
              <w:spacing w:after="0"/>
              <w:rPr>
                <w:sz w:val="16"/>
                <w:szCs w:val="16"/>
                <w:color w:val="auto"/>
              </w:rPr>
            </w:pPr>
          </w:p>
        </w:tc>
        <w:tc>
          <w:tcPr>
            <w:tcW w:w="460" w:type="dxa"/>
            <w:vAlign w:val="bottom"/>
            <w:tcBorders>
              <w:top w:val="single" w:sz="8" w:color="0090DA"/>
            </w:tcBorders>
          </w:tcPr>
          <w:p>
            <w:pPr>
              <w:spacing w:after="0"/>
              <w:rPr>
                <w:sz w:val="16"/>
                <w:szCs w:val="16"/>
                <w:color w:val="auto"/>
              </w:rPr>
            </w:pPr>
          </w:p>
        </w:tc>
        <w:tc>
          <w:tcPr>
            <w:tcW w:w="760" w:type="dxa"/>
            <w:vAlign w:val="bottom"/>
            <w:tcBorders>
              <w:top w:val="single" w:sz="8" w:color="0090DA"/>
            </w:tcBorders>
          </w:tcPr>
          <w:p>
            <w:pPr>
              <w:spacing w:after="0"/>
              <w:rPr>
                <w:sz w:val="16"/>
                <w:szCs w:val="16"/>
                <w:color w:val="auto"/>
              </w:rPr>
            </w:pPr>
          </w:p>
        </w:tc>
        <w:tc>
          <w:tcPr>
            <w:tcW w:w="260" w:type="dxa"/>
            <w:vAlign w:val="bottom"/>
            <w:tcBorders>
              <w:top w:val="single" w:sz="8" w:color="0090DA"/>
            </w:tcBorders>
          </w:tcPr>
          <w:p>
            <w:pPr>
              <w:spacing w:after="0"/>
              <w:rPr>
                <w:sz w:val="16"/>
                <w:szCs w:val="16"/>
                <w:color w:val="auto"/>
              </w:rPr>
            </w:pPr>
          </w:p>
        </w:tc>
        <w:tc>
          <w:tcPr>
            <w:tcW w:w="860" w:type="dxa"/>
            <w:vAlign w:val="bottom"/>
            <w:tcBorders>
              <w:top w:val="single" w:sz="8" w:color="0090DA"/>
            </w:tcBorders>
          </w:tcPr>
          <w:p>
            <w:pPr>
              <w:spacing w:after="0"/>
              <w:rPr>
                <w:sz w:val="16"/>
                <w:szCs w:val="16"/>
                <w:color w:val="auto"/>
              </w:rPr>
            </w:pPr>
          </w:p>
        </w:tc>
      </w:tr>
      <w:tr>
        <w:trPr>
          <w:trHeight w:val="246"/>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As of</w:t>
            </w: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Rate</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Rate</w:t>
            </w: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Current</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Long-Term</w:t>
            </w:r>
          </w:p>
        </w:tc>
        <w:tc>
          <w:tcPr>
            <w:tcW w:w="26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Current</w:t>
            </w:r>
          </w:p>
        </w:tc>
        <w:tc>
          <w:tcPr>
            <w:tcW w:w="12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7"/>
              </w:rPr>
              <w:t>Long-Term</w:t>
            </w:r>
          </w:p>
        </w:tc>
        <w:tc>
          <w:tcPr>
            <w:tcW w:w="260" w:type="dxa"/>
            <w:vAlign w:val="bottom"/>
          </w:tcPr>
          <w:p>
            <w:pPr>
              <w:spacing w:after="0"/>
              <w:rPr>
                <w:sz w:val="21"/>
                <w:szCs w:val="21"/>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40"/>
        </w:trPr>
        <w:tc>
          <w:tcPr>
            <w:tcW w:w="2240" w:type="dxa"/>
            <w:vAlign w:val="bottom"/>
            <w:tcBorders>
              <w:top w:val="single" w:sz="8" w:color="0090DA"/>
            </w:tcBorders>
          </w:tcPr>
          <w:p>
            <w:pPr>
              <w:spacing w:after="0"/>
              <w:rPr>
                <w:sz w:val="3"/>
                <w:szCs w:val="3"/>
                <w:color w:val="auto"/>
              </w:rPr>
            </w:pPr>
          </w:p>
        </w:tc>
        <w:tc>
          <w:tcPr>
            <w:tcW w:w="1260" w:type="dxa"/>
            <w:vAlign w:val="bottom"/>
            <w:tcBorders>
              <w:top w:val="single" w:sz="8" w:color="0090DA"/>
            </w:tcBorders>
          </w:tcPr>
          <w:p>
            <w:pPr>
              <w:spacing w:after="0"/>
              <w:rPr>
                <w:sz w:val="3"/>
                <w:szCs w:val="3"/>
                <w:color w:val="auto"/>
              </w:rPr>
            </w:pPr>
          </w:p>
        </w:tc>
        <w:tc>
          <w:tcPr>
            <w:tcW w:w="1080" w:type="dxa"/>
            <w:vAlign w:val="bottom"/>
            <w:tcBorders>
              <w:top w:val="single" w:sz="8" w:color="0090DA"/>
            </w:tcBorders>
          </w:tcPr>
          <w:p>
            <w:pPr>
              <w:spacing w:after="0"/>
              <w:rPr>
                <w:sz w:val="3"/>
                <w:szCs w:val="3"/>
                <w:color w:val="auto"/>
              </w:rPr>
            </w:pPr>
          </w:p>
        </w:tc>
        <w:tc>
          <w:tcPr>
            <w:tcW w:w="160" w:type="dxa"/>
            <w:vAlign w:val="bottom"/>
            <w:tcBorders>
              <w:top w:val="single" w:sz="8" w:color="0090DA"/>
            </w:tcBorders>
          </w:tcPr>
          <w:p>
            <w:pPr>
              <w:spacing w:after="0"/>
              <w:rPr>
                <w:sz w:val="3"/>
                <w:szCs w:val="3"/>
                <w:color w:val="auto"/>
              </w:rPr>
            </w:pPr>
          </w:p>
        </w:tc>
        <w:tc>
          <w:tcPr>
            <w:tcW w:w="900" w:type="dxa"/>
            <w:vAlign w:val="bottom"/>
            <w:tcBorders>
              <w:top w:val="single" w:sz="8" w:color="0090DA"/>
            </w:tcBorders>
          </w:tcPr>
          <w:p>
            <w:pPr>
              <w:spacing w:after="0"/>
              <w:rPr>
                <w:sz w:val="3"/>
                <w:szCs w:val="3"/>
                <w:color w:val="auto"/>
              </w:rPr>
            </w:pPr>
          </w:p>
        </w:tc>
        <w:tc>
          <w:tcPr>
            <w:tcW w:w="320" w:type="dxa"/>
            <w:vAlign w:val="bottom"/>
            <w:tcBorders>
              <w:top w:val="single" w:sz="8" w:color="0090DA"/>
            </w:tcBorders>
          </w:tcPr>
          <w:p>
            <w:pPr>
              <w:spacing w:after="0"/>
              <w:rPr>
                <w:sz w:val="3"/>
                <w:szCs w:val="3"/>
                <w:color w:val="auto"/>
              </w:rPr>
            </w:pPr>
          </w:p>
        </w:tc>
        <w:tc>
          <w:tcPr>
            <w:tcW w:w="760" w:type="dxa"/>
            <w:vAlign w:val="bottom"/>
            <w:tcBorders>
              <w:top w:val="single" w:sz="8" w:color="0090DA"/>
            </w:tcBorders>
          </w:tcPr>
          <w:p>
            <w:pPr>
              <w:spacing w:after="0"/>
              <w:rPr>
                <w:sz w:val="3"/>
                <w:szCs w:val="3"/>
                <w:color w:val="auto"/>
              </w:rPr>
            </w:pPr>
          </w:p>
        </w:tc>
        <w:tc>
          <w:tcPr>
            <w:tcW w:w="260" w:type="dxa"/>
            <w:vAlign w:val="bottom"/>
            <w:tcBorders>
              <w:top w:val="single" w:sz="8" w:color="0090DA"/>
            </w:tcBorders>
          </w:tcPr>
          <w:p>
            <w:pPr>
              <w:spacing w:after="0"/>
              <w:rPr>
                <w:sz w:val="3"/>
                <w:szCs w:val="3"/>
                <w:color w:val="auto"/>
              </w:rPr>
            </w:pPr>
          </w:p>
        </w:tc>
        <w:tc>
          <w:tcPr>
            <w:tcW w:w="880" w:type="dxa"/>
            <w:vAlign w:val="bottom"/>
            <w:tcBorders>
              <w:top w:val="single" w:sz="8" w:color="0090DA"/>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0090DA"/>
            </w:tcBorders>
          </w:tcPr>
          <w:p>
            <w:pPr>
              <w:spacing w:after="0"/>
              <w:rPr>
                <w:sz w:val="3"/>
                <w:szCs w:val="3"/>
                <w:color w:val="auto"/>
              </w:rPr>
            </w:pPr>
          </w:p>
        </w:tc>
        <w:tc>
          <w:tcPr>
            <w:tcW w:w="780" w:type="dxa"/>
            <w:vAlign w:val="bottom"/>
            <w:tcBorders>
              <w:top w:val="single" w:sz="8" w:color="0090DA"/>
            </w:tcBorders>
          </w:tcPr>
          <w:p>
            <w:pPr>
              <w:spacing w:after="0"/>
              <w:rPr>
                <w:sz w:val="3"/>
                <w:szCs w:val="3"/>
                <w:color w:val="auto"/>
              </w:rPr>
            </w:pPr>
          </w:p>
        </w:tc>
        <w:tc>
          <w:tcPr>
            <w:tcW w:w="460" w:type="dxa"/>
            <w:vAlign w:val="bottom"/>
            <w:tcBorders>
              <w:top w:val="single" w:sz="8" w:color="0090DA"/>
            </w:tcBorders>
          </w:tcPr>
          <w:p>
            <w:pPr>
              <w:spacing w:after="0"/>
              <w:rPr>
                <w:sz w:val="3"/>
                <w:szCs w:val="3"/>
                <w:color w:val="auto"/>
              </w:rPr>
            </w:pPr>
          </w:p>
        </w:tc>
        <w:tc>
          <w:tcPr>
            <w:tcW w:w="760" w:type="dxa"/>
            <w:vAlign w:val="bottom"/>
            <w:tcBorders>
              <w:top w:val="single" w:sz="8" w:color="0090DA"/>
            </w:tcBorders>
          </w:tcPr>
          <w:p>
            <w:pPr>
              <w:spacing w:after="0"/>
              <w:rPr>
                <w:sz w:val="3"/>
                <w:szCs w:val="3"/>
                <w:color w:val="auto"/>
              </w:rPr>
            </w:pPr>
          </w:p>
        </w:tc>
        <w:tc>
          <w:tcPr>
            <w:tcW w:w="260" w:type="dxa"/>
            <w:vAlign w:val="bottom"/>
            <w:tcBorders>
              <w:top w:val="single" w:sz="8" w:color="0090DA"/>
            </w:tcBorders>
          </w:tcPr>
          <w:p>
            <w:pPr>
              <w:spacing w:after="0"/>
              <w:rPr>
                <w:sz w:val="3"/>
                <w:szCs w:val="3"/>
                <w:color w:val="auto"/>
              </w:rPr>
            </w:pPr>
          </w:p>
        </w:tc>
        <w:tc>
          <w:tcPr>
            <w:tcW w:w="860" w:type="dxa"/>
            <w:vAlign w:val="bottom"/>
            <w:tcBorders>
              <w:top w:val="single" w:sz="8" w:color="0090DA"/>
            </w:tcBorders>
          </w:tcPr>
          <w:p>
            <w:pPr>
              <w:spacing w:after="0"/>
              <w:rPr>
                <w:sz w:val="3"/>
                <w:szCs w:val="3"/>
                <w:color w:val="auto"/>
              </w:rPr>
            </w:pPr>
          </w:p>
        </w:tc>
      </w:tr>
      <w:tr>
        <w:trPr>
          <w:trHeight w:val="257"/>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obligations</w:t>
            </w:r>
          </w:p>
        </w:tc>
        <w:tc>
          <w:tcPr>
            <w:tcW w:w="126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4.64 % $</w:t>
            </w:r>
          </w:p>
        </w:tc>
        <w:tc>
          <w:tcPr>
            <w:tcW w:w="9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D1D2D4"/>
          </w:tcPr>
          <w:p>
            <w:pPr>
              <w:spacing w:after="0"/>
              <w:rPr>
                <w:sz w:val="22"/>
                <w:szCs w:val="22"/>
                <w:color w:val="auto"/>
              </w:rPr>
            </w:pP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223</w:t>
            </w:r>
          </w:p>
        </w:tc>
        <w:tc>
          <w:tcPr>
            <w:tcW w:w="46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368</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591</w:t>
            </w:r>
          </w:p>
        </w:tc>
      </w:tr>
      <w:tr>
        <w:trPr>
          <w:trHeight w:val="250"/>
        </w:trPr>
        <w:tc>
          <w:tcPr>
            <w:tcW w:w="2240" w:type="dxa"/>
            <w:vAlign w:val="bottom"/>
          </w:tcPr>
          <w:p>
            <w:pPr>
              <w:ind w:left="20"/>
              <w:spacing w:after="0"/>
              <w:rPr>
                <w:sz w:val="20"/>
                <w:szCs w:val="20"/>
                <w:color w:val="auto"/>
              </w:rPr>
            </w:pPr>
            <w:r>
              <w:rPr>
                <w:rFonts w:ascii="Arial" w:cs="Arial" w:eastAsia="Arial" w:hAnsi="Arial"/>
                <w:sz w:val="18"/>
                <w:szCs w:val="18"/>
                <w:color w:val="auto"/>
              </w:rPr>
              <w:t>2023 Notes</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2.497 %</w:t>
            </w:r>
          </w:p>
        </w:tc>
        <w:tc>
          <w:tcPr>
            <w:tcW w:w="1080" w:type="dxa"/>
            <w:vAlign w:val="bottom"/>
          </w:tcPr>
          <w:p>
            <w:pPr>
              <w:jc w:val="right"/>
              <w:spacing w:after="0"/>
              <w:rPr>
                <w:sz w:val="20"/>
                <w:szCs w:val="20"/>
                <w:color w:val="auto"/>
              </w:rPr>
            </w:pPr>
            <w:r>
              <w:rPr>
                <w:rFonts w:ascii="Arial" w:cs="Arial" w:eastAsia="Arial" w:hAnsi="Arial"/>
                <w:sz w:val="18"/>
                <w:szCs w:val="18"/>
                <w:color w:val="auto"/>
              </w:rPr>
              <w:t>2.64 %</w:t>
            </w:r>
          </w:p>
        </w:tc>
        <w:tc>
          <w:tcPr>
            <w:tcW w:w="1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1,245</w:t>
            </w:r>
          </w:p>
        </w:tc>
        <w:tc>
          <w:tcPr>
            <w:tcW w:w="2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Notes</w:t>
            </w:r>
          </w:p>
        </w:tc>
        <w:tc>
          <w:tcPr>
            <w:tcW w:w="1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4.640 %</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4.76 %</w:t>
            </w:r>
          </w:p>
        </w:tc>
        <w:tc>
          <w:tcPr>
            <w:tcW w:w="160" w:type="dxa"/>
            <w:vAlign w:val="bottom"/>
            <w:shd w:val="clear" w:color="auto" w:fill="D1D2D4"/>
          </w:tcPr>
          <w:p>
            <w:pPr>
              <w:spacing w:after="0"/>
              <w:rPr>
                <w:sz w:val="22"/>
                <w:szCs w:val="22"/>
                <w:color w:val="auto"/>
              </w:rPr>
            </w:pPr>
          </w:p>
        </w:tc>
        <w:tc>
          <w:tcPr>
            <w:tcW w:w="9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22"/>
                <w:szCs w:val="22"/>
                <w:color w:val="auto"/>
              </w:rPr>
            </w:pPr>
          </w:p>
        </w:tc>
        <w:tc>
          <w:tcPr>
            <w:tcW w:w="7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597</w:t>
            </w:r>
          </w:p>
        </w:tc>
        <w:tc>
          <w:tcPr>
            <w:tcW w:w="260" w:type="dxa"/>
            <w:vAlign w:val="bottom"/>
            <w:shd w:val="clear" w:color="auto" w:fill="D1D2D4"/>
          </w:tcPr>
          <w:p>
            <w:pPr>
              <w:spacing w:after="0"/>
              <w:rPr>
                <w:sz w:val="22"/>
                <w:szCs w:val="22"/>
                <w:color w:val="auto"/>
              </w:rPr>
            </w:pPr>
          </w:p>
        </w:tc>
        <w:tc>
          <w:tcPr>
            <w:tcW w:w="8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spacing w:after="0"/>
              <w:rPr>
                <w:sz w:val="22"/>
                <w:szCs w:val="22"/>
                <w:color w:val="auto"/>
              </w:rPr>
            </w:pPr>
          </w:p>
        </w:tc>
        <w:tc>
          <w:tcPr>
            <w:tcW w:w="7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597</w:t>
            </w:r>
          </w:p>
        </w:tc>
        <w:tc>
          <w:tcPr>
            <w:tcW w:w="260" w:type="dxa"/>
            <w:vAlign w:val="bottom"/>
            <w:shd w:val="clear" w:color="auto" w:fill="D1D2D4"/>
          </w:tcPr>
          <w:p>
            <w:pPr>
              <w:spacing w:after="0"/>
              <w:rPr>
                <w:sz w:val="22"/>
                <w:szCs w:val="22"/>
                <w:color w:val="auto"/>
              </w:rPr>
            </w:pPr>
          </w:p>
        </w:tc>
        <w:tc>
          <w:tcPr>
            <w:tcW w:w="8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597</w:t>
            </w:r>
          </w:p>
        </w:tc>
      </w:tr>
      <w:tr>
        <w:trPr>
          <w:trHeight w:val="257"/>
        </w:trPr>
        <w:tc>
          <w:tcPr>
            <w:tcW w:w="2240" w:type="dxa"/>
            <w:vAlign w:val="bottom"/>
          </w:tcPr>
          <w:p>
            <w:pPr>
              <w:ind w:left="20"/>
              <w:spacing w:after="0"/>
              <w:rPr>
                <w:sz w:val="20"/>
                <w:szCs w:val="20"/>
                <w:color w:val="auto"/>
              </w:rPr>
            </w:pPr>
            <w:r>
              <w:rPr>
                <w:rFonts w:ascii="Arial" w:cs="Arial" w:eastAsia="Arial" w:hAnsi="Arial"/>
                <w:sz w:val="18"/>
                <w:szCs w:val="18"/>
                <w:color w:val="auto"/>
              </w:rPr>
              <w:t>2024 Term Loan A</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1.440 %</w:t>
            </w:r>
          </w:p>
        </w:tc>
        <w:tc>
          <w:tcPr>
            <w:tcW w:w="1080" w:type="dxa"/>
            <w:vAlign w:val="bottom"/>
          </w:tcPr>
          <w:p>
            <w:pPr>
              <w:jc w:val="right"/>
              <w:spacing w:after="0"/>
              <w:rPr>
                <w:sz w:val="20"/>
                <w:szCs w:val="20"/>
                <w:color w:val="auto"/>
              </w:rPr>
            </w:pPr>
            <w:r>
              <w:rPr>
                <w:rFonts w:ascii="Arial" w:cs="Arial" w:eastAsia="Arial" w:hAnsi="Arial"/>
                <w:sz w:val="18"/>
                <w:szCs w:val="18"/>
                <w:color w:val="auto"/>
              </w:rPr>
              <w:t>1.49 %</w:t>
            </w:r>
          </w:p>
        </w:tc>
        <w:tc>
          <w:tcPr>
            <w:tcW w:w="16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1,186</w:t>
            </w:r>
          </w:p>
        </w:tc>
        <w:tc>
          <w:tcPr>
            <w:tcW w:w="260" w:type="dxa"/>
            <w:vAlign w:val="bottom"/>
          </w:tcPr>
          <w:p>
            <w:pPr>
              <w:spacing w:after="0"/>
              <w:rPr>
                <w:sz w:val="22"/>
                <w:szCs w:val="22"/>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Notes</w:t>
            </w:r>
          </w:p>
        </w:tc>
        <w:tc>
          <w:tcPr>
            <w:tcW w:w="1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4.975 %</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5.07 %</w:t>
            </w:r>
          </w:p>
        </w:tc>
        <w:tc>
          <w:tcPr>
            <w:tcW w:w="160" w:type="dxa"/>
            <w:vAlign w:val="bottom"/>
            <w:shd w:val="clear" w:color="auto" w:fill="D1D2D4"/>
          </w:tcPr>
          <w:p>
            <w:pPr>
              <w:spacing w:after="0"/>
              <w:rPr>
                <w:sz w:val="22"/>
                <w:szCs w:val="22"/>
                <w:color w:val="auto"/>
              </w:rPr>
            </w:pPr>
          </w:p>
        </w:tc>
        <w:tc>
          <w:tcPr>
            <w:tcW w:w="9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22"/>
                <w:szCs w:val="22"/>
                <w:color w:val="auto"/>
              </w:rPr>
            </w:pPr>
          </w:p>
        </w:tc>
        <w:tc>
          <w:tcPr>
            <w:tcW w:w="7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498</w:t>
            </w:r>
          </w:p>
        </w:tc>
        <w:tc>
          <w:tcPr>
            <w:tcW w:w="260" w:type="dxa"/>
            <w:vAlign w:val="bottom"/>
            <w:shd w:val="clear" w:color="auto" w:fill="D1D2D4"/>
          </w:tcPr>
          <w:p>
            <w:pPr>
              <w:spacing w:after="0"/>
              <w:rPr>
                <w:sz w:val="22"/>
                <w:szCs w:val="22"/>
                <w:color w:val="auto"/>
              </w:rPr>
            </w:pPr>
          </w:p>
        </w:tc>
        <w:tc>
          <w:tcPr>
            <w:tcW w:w="8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spacing w:after="0"/>
              <w:rPr>
                <w:sz w:val="22"/>
                <w:szCs w:val="22"/>
                <w:color w:val="auto"/>
              </w:rPr>
            </w:pPr>
          </w:p>
        </w:tc>
        <w:tc>
          <w:tcPr>
            <w:tcW w:w="7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497</w:t>
            </w:r>
          </w:p>
        </w:tc>
        <w:tc>
          <w:tcPr>
            <w:tcW w:w="260" w:type="dxa"/>
            <w:vAlign w:val="bottom"/>
            <w:shd w:val="clear" w:color="auto" w:fill="D1D2D4"/>
          </w:tcPr>
          <w:p>
            <w:pPr>
              <w:spacing w:after="0"/>
              <w:rPr>
                <w:sz w:val="22"/>
                <w:szCs w:val="22"/>
                <w:color w:val="auto"/>
              </w:rPr>
            </w:pPr>
          </w:p>
        </w:tc>
        <w:tc>
          <w:tcPr>
            <w:tcW w:w="8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497</w:t>
            </w:r>
          </w:p>
        </w:tc>
      </w:tr>
      <w:tr>
        <w:trPr>
          <w:trHeight w:val="257"/>
        </w:trPr>
        <w:tc>
          <w:tcPr>
            <w:tcW w:w="2240" w:type="dxa"/>
            <w:vAlign w:val="bottom"/>
          </w:tcPr>
          <w:p>
            <w:pPr>
              <w:ind w:left="20"/>
              <w:spacing w:after="0"/>
              <w:rPr>
                <w:sz w:val="20"/>
                <w:szCs w:val="20"/>
                <w:color w:val="auto"/>
              </w:rPr>
            </w:pPr>
            <w:r>
              <w:rPr>
                <w:rFonts w:ascii="Arial" w:cs="Arial" w:eastAsia="Arial" w:hAnsi="Arial"/>
                <w:sz w:val="18"/>
                <w:szCs w:val="18"/>
                <w:color w:val="auto"/>
              </w:rPr>
              <w:t>2027 Notes</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4.185 %</w:t>
            </w:r>
          </w:p>
        </w:tc>
        <w:tc>
          <w:tcPr>
            <w:tcW w:w="1080" w:type="dxa"/>
            <w:vAlign w:val="bottom"/>
          </w:tcPr>
          <w:p>
            <w:pPr>
              <w:jc w:val="right"/>
              <w:spacing w:after="0"/>
              <w:rPr>
                <w:sz w:val="20"/>
                <w:szCs w:val="20"/>
                <w:color w:val="auto"/>
              </w:rPr>
            </w:pPr>
            <w:r>
              <w:rPr>
                <w:rFonts w:ascii="Arial" w:cs="Arial" w:eastAsia="Arial" w:hAnsi="Arial"/>
                <w:sz w:val="18"/>
                <w:szCs w:val="18"/>
                <w:color w:val="auto"/>
              </w:rPr>
              <w:t>4.27 %</w:t>
            </w:r>
          </w:p>
        </w:tc>
        <w:tc>
          <w:tcPr>
            <w:tcW w:w="16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895</w:t>
            </w:r>
          </w:p>
        </w:tc>
        <w:tc>
          <w:tcPr>
            <w:tcW w:w="260" w:type="dxa"/>
            <w:vAlign w:val="bottom"/>
          </w:tcPr>
          <w:p>
            <w:pPr>
              <w:spacing w:after="0"/>
              <w:rPr>
                <w:sz w:val="22"/>
                <w:szCs w:val="22"/>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895</w:t>
            </w:r>
          </w:p>
        </w:tc>
        <w:tc>
          <w:tcPr>
            <w:tcW w:w="260" w:type="dxa"/>
            <w:vAlign w:val="bottom"/>
          </w:tcPr>
          <w:p>
            <w:pPr>
              <w:spacing w:after="0"/>
              <w:rPr>
                <w:sz w:val="22"/>
                <w:szCs w:val="22"/>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895</w:t>
            </w:r>
          </w:p>
        </w:tc>
      </w:tr>
      <w:tr>
        <w:trPr>
          <w:trHeight w:val="257"/>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Notes</w:t>
            </w:r>
          </w:p>
        </w:tc>
        <w:tc>
          <w:tcPr>
            <w:tcW w:w="1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5.327 %</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5.40 %</w:t>
            </w:r>
          </w:p>
        </w:tc>
        <w:tc>
          <w:tcPr>
            <w:tcW w:w="160" w:type="dxa"/>
            <w:vAlign w:val="bottom"/>
            <w:shd w:val="clear" w:color="auto" w:fill="D1D2D4"/>
          </w:tcPr>
          <w:p>
            <w:pPr>
              <w:spacing w:after="0"/>
              <w:rPr>
                <w:sz w:val="22"/>
                <w:szCs w:val="22"/>
                <w:color w:val="auto"/>
              </w:rPr>
            </w:pPr>
          </w:p>
        </w:tc>
        <w:tc>
          <w:tcPr>
            <w:tcW w:w="9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22"/>
                <w:szCs w:val="22"/>
                <w:color w:val="auto"/>
              </w:rPr>
            </w:pPr>
          </w:p>
        </w:tc>
        <w:tc>
          <w:tcPr>
            <w:tcW w:w="7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696</w:t>
            </w:r>
          </w:p>
        </w:tc>
        <w:tc>
          <w:tcPr>
            <w:tcW w:w="260" w:type="dxa"/>
            <w:vAlign w:val="bottom"/>
            <w:shd w:val="clear" w:color="auto" w:fill="D1D2D4"/>
          </w:tcPr>
          <w:p>
            <w:pPr>
              <w:spacing w:after="0"/>
              <w:rPr>
                <w:sz w:val="22"/>
                <w:szCs w:val="22"/>
                <w:color w:val="auto"/>
              </w:rPr>
            </w:pPr>
          </w:p>
        </w:tc>
        <w:tc>
          <w:tcPr>
            <w:tcW w:w="8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spacing w:after="0"/>
              <w:rPr>
                <w:sz w:val="22"/>
                <w:szCs w:val="22"/>
                <w:color w:val="auto"/>
              </w:rPr>
            </w:pPr>
          </w:p>
        </w:tc>
        <w:tc>
          <w:tcPr>
            <w:tcW w:w="7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696</w:t>
            </w:r>
          </w:p>
        </w:tc>
        <w:tc>
          <w:tcPr>
            <w:tcW w:w="260" w:type="dxa"/>
            <w:vAlign w:val="bottom"/>
            <w:shd w:val="clear" w:color="auto" w:fill="D1D2D4"/>
          </w:tcPr>
          <w:p>
            <w:pPr>
              <w:spacing w:after="0"/>
              <w:rPr>
                <w:sz w:val="22"/>
                <w:szCs w:val="22"/>
                <w:color w:val="auto"/>
              </w:rPr>
            </w:pPr>
          </w:p>
        </w:tc>
        <w:tc>
          <w:tcPr>
            <w:tcW w:w="8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696</w:t>
            </w:r>
          </w:p>
        </w:tc>
      </w:tr>
      <w:tr>
        <w:trPr>
          <w:trHeight w:val="256"/>
        </w:trPr>
        <w:tc>
          <w:tcPr>
            <w:tcW w:w="2240" w:type="dxa"/>
            <w:vAlign w:val="bottom"/>
          </w:tcPr>
          <w:p>
            <w:pPr>
              <w:ind w:left="20"/>
              <w:spacing w:after="0"/>
              <w:rPr>
                <w:sz w:val="20"/>
                <w:szCs w:val="20"/>
                <w:color w:val="auto"/>
              </w:rPr>
            </w:pPr>
            <w:r>
              <w:rPr>
                <w:rFonts w:ascii="Arial" w:cs="Arial" w:eastAsia="Arial" w:hAnsi="Arial"/>
                <w:sz w:val="18"/>
                <w:szCs w:val="18"/>
                <w:color w:val="auto"/>
              </w:rPr>
              <w:t>2030 Notes</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4.663 %</w:t>
            </w:r>
          </w:p>
        </w:tc>
        <w:tc>
          <w:tcPr>
            <w:tcW w:w="1080" w:type="dxa"/>
            <w:vAlign w:val="bottom"/>
          </w:tcPr>
          <w:p>
            <w:pPr>
              <w:jc w:val="right"/>
              <w:spacing w:after="0"/>
              <w:rPr>
                <w:sz w:val="20"/>
                <w:szCs w:val="20"/>
                <w:color w:val="auto"/>
              </w:rPr>
            </w:pPr>
            <w:r>
              <w:rPr>
                <w:rFonts w:ascii="Arial" w:cs="Arial" w:eastAsia="Arial" w:hAnsi="Arial"/>
                <w:sz w:val="18"/>
                <w:szCs w:val="18"/>
                <w:color w:val="auto"/>
              </w:rPr>
              <w:t>4.73 %</w:t>
            </w:r>
          </w:p>
        </w:tc>
        <w:tc>
          <w:tcPr>
            <w:tcW w:w="16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845</w:t>
            </w:r>
          </w:p>
        </w:tc>
        <w:tc>
          <w:tcPr>
            <w:tcW w:w="260" w:type="dxa"/>
            <w:vAlign w:val="bottom"/>
          </w:tcPr>
          <w:p>
            <w:pPr>
              <w:spacing w:after="0"/>
              <w:rPr>
                <w:sz w:val="22"/>
                <w:szCs w:val="22"/>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845</w:t>
            </w:r>
          </w:p>
        </w:tc>
        <w:tc>
          <w:tcPr>
            <w:tcW w:w="260" w:type="dxa"/>
            <w:vAlign w:val="bottom"/>
          </w:tcPr>
          <w:p>
            <w:pPr>
              <w:spacing w:after="0"/>
              <w:rPr>
                <w:sz w:val="22"/>
                <w:szCs w:val="22"/>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845</w:t>
            </w:r>
          </w:p>
        </w:tc>
      </w:tr>
      <w:tr>
        <w:trPr>
          <w:trHeight w:val="257"/>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2032D Notes</w:t>
            </w:r>
          </w:p>
        </w:tc>
        <w:tc>
          <w:tcPr>
            <w:tcW w:w="1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3.125 %</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6.33 %</w:t>
            </w:r>
          </w:p>
        </w:tc>
        <w:tc>
          <w:tcPr>
            <w:tcW w:w="160" w:type="dxa"/>
            <w:vAlign w:val="bottom"/>
            <w:shd w:val="clear" w:color="auto" w:fill="D1D2D4"/>
          </w:tcPr>
          <w:p>
            <w:pPr>
              <w:spacing w:after="0"/>
              <w:rPr>
                <w:sz w:val="22"/>
                <w:szCs w:val="22"/>
                <w:color w:val="auto"/>
              </w:rPr>
            </w:pPr>
          </w:p>
        </w:tc>
        <w:tc>
          <w:tcPr>
            <w:tcW w:w="9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D1D2D4"/>
          </w:tcPr>
          <w:p>
            <w:pPr>
              <w:spacing w:after="0"/>
              <w:rPr>
                <w:sz w:val="22"/>
                <w:szCs w:val="22"/>
                <w:color w:val="auto"/>
              </w:rPr>
            </w:pPr>
          </w:p>
        </w:tc>
        <w:tc>
          <w:tcPr>
            <w:tcW w:w="7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2"/>
                <w:szCs w:val="22"/>
                <w:color w:val="auto"/>
              </w:rPr>
            </w:pPr>
          </w:p>
        </w:tc>
        <w:tc>
          <w:tcPr>
            <w:tcW w:w="8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spacing w:after="0"/>
              <w:rPr>
                <w:sz w:val="22"/>
                <w:szCs w:val="22"/>
                <w:color w:val="auto"/>
              </w:rPr>
            </w:pPr>
          </w:p>
        </w:tc>
        <w:tc>
          <w:tcPr>
            <w:tcW w:w="7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D1D2D4"/>
          </w:tcPr>
          <w:p>
            <w:pPr>
              <w:spacing w:after="0"/>
              <w:rPr>
                <w:sz w:val="22"/>
                <w:szCs w:val="22"/>
                <w:color w:val="auto"/>
              </w:rPr>
            </w:pPr>
          </w:p>
        </w:tc>
        <w:tc>
          <w:tcPr>
            <w:tcW w:w="8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127</w:t>
            </w:r>
          </w:p>
        </w:tc>
      </w:tr>
      <w:tr>
        <w:trPr>
          <w:trHeight w:val="250"/>
        </w:trPr>
        <w:tc>
          <w:tcPr>
            <w:tcW w:w="2240" w:type="dxa"/>
            <w:vAlign w:val="bottom"/>
          </w:tcPr>
          <w:p>
            <w:pPr>
              <w:ind w:left="20"/>
              <w:spacing w:after="0"/>
              <w:rPr>
                <w:sz w:val="20"/>
                <w:szCs w:val="20"/>
                <w:color w:val="auto"/>
              </w:rPr>
            </w:pPr>
            <w:r>
              <w:rPr>
                <w:rFonts w:ascii="Arial" w:cs="Arial" w:eastAsia="Arial" w:hAnsi="Arial"/>
                <w:sz w:val="18"/>
                <w:szCs w:val="18"/>
                <w:color w:val="auto"/>
              </w:rPr>
              <w:t>MMJ Creditor Payments</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w:t>
            </w:r>
          </w:p>
        </w:tc>
        <w:tc>
          <w:tcPr>
            <w:tcW w:w="46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198</w:t>
            </w:r>
          </w:p>
        </w:tc>
      </w:tr>
      <w:tr>
        <w:trPr>
          <w:trHeight w:val="263"/>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IMFT Member Debt</w:t>
            </w:r>
          </w:p>
        </w:tc>
        <w:tc>
          <w:tcPr>
            <w:tcW w:w="126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D1D2D4"/>
          </w:tcPr>
          <w:p>
            <w:pPr>
              <w:jc w:val="right"/>
              <w:ind w:right="42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22"/>
                <w:szCs w:val="22"/>
                <w:color w:val="auto"/>
              </w:rPr>
            </w:pPr>
          </w:p>
        </w:tc>
        <w:tc>
          <w:tcPr>
            <w:tcW w:w="7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2"/>
                <w:szCs w:val="22"/>
                <w:color w:val="auto"/>
              </w:rPr>
            </w:pPr>
          </w:p>
        </w:tc>
        <w:tc>
          <w:tcPr>
            <w:tcW w:w="980" w:type="dxa"/>
            <w:vAlign w:val="bottom"/>
            <w:gridSpan w:val="2"/>
            <w:shd w:val="clear" w:color="auto" w:fill="D1D2D4"/>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693</w:t>
            </w:r>
          </w:p>
        </w:tc>
        <w:tc>
          <w:tcPr>
            <w:tcW w:w="460" w:type="dxa"/>
            <w:vAlign w:val="bottom"/>
            <w:shd w:val="clear" w:color="auto" w:fill="D1D2D4"/>
          </w:tcPr>
          <w:p>
            <w:pPr>
              <w:spacing w:after="0"/>
              <w:rPr>
                <w:sz w:val="22"/>
                <w:szCs w:val="22"/>
                <w:color w:val="auto"/>
              </w:rPr>
            </w:pPr>
          </w:p>
        </w:tc>
        <w:tc>
          <w:tcPr>
            <w:tcW w:w="7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2"/>
                <w:szCs w:val="22"/>
                <w:color w:val="auto"/>
              </w:rPr>
            </w:pPr>
          </w:p>
        </w:tc>
        <w:tc>
          <w:tcPr>
            <w:tcW w:w="8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693</w:t>
            </w:r>
          </w:p>
        </w:tc>
      </w:tr>
      <w:tr>
        <w:trPr>
          <w:trHeight w:val="256"/>
        </w:trPr>
        <w:tc>
          <w:tcPr>
            <w:tcW w:w="2240" w:type="dxa"/>
            <w:vAlign w:val="bottom"/>
          </w:tcPr>
          <w:p>
            <w:pPr>
              <w:ind w:left="20"/>
              <w:spacing w:after="0"/>
              <w:rPr>
                <w:sz w:val="20"/>
                <w:szCs w:val="20"/>
                <w:color w:val="auto"/>
              </w:rPr>
            </w:pPr>
            <w:r>
              <w:rPr>
                <w:rFonts w:ascii="Arial" w:cs="Arial" w:eastAsia="Arial" w:hAnsi="Arial"/>
                <w:sz w:val="18"/>
                <w:szCs w:val="18"/>
                <w:color w:val="auto"/>
              </w:rPr>
              <w:t>2025 Notes</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5.500 %</w:t>
            </w:r>
          </w:p>
        </w:tc>
        <w:tc>
          <w:tcPr>
            <w:tcW w:w="1080" w:type="dxa"/>
            <w:vAlign w:val="bottom"/>
          </w:tcPr>
          <w:p>
            <w:pPr>
              <w:jc w:val="right"/>
              <w:spacing w:after="0"/>
              <w:rPr>
                <w:sz w:val="20"/>
                <w:szCs w:val="20"/>
                <w:color w:val="auto"/>
              </w:rPr>
            </w:pPr>
            <w:r>
              <w:rPr>
                <w:rFonts w:ascii="Arial" w:cs="Arial" w:eastAsia="Arial" w:hAnsi="Arial"/>
                <w:sz w:val="18"/>
                <w:szCs w:val="18"/>
                <w:color w:val="auto"/>
              </w:rPr>
              <w:t>5.56 %</w:t>
            </w:r>
          </w:p>
        </w:tc>
        <w:tc>
          <w:tcPr>
            <w:tcW w:w="16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516</w:t>
            </w:r>
          </w:p>
        </w:tc>
        <w:tc>
          <w:tcPr>
            <w:tcW w:w="260" w:type="dxa"/>
            <w:vAlign w:val="bottom"/>
          </w:tcPr>
          <w:p>
            <w:pPr>
              <w:spacing w:after="0"/>
              <w:rPr>
                <w:sz w:val="22"/>
                <w:szCs w:val="22"/>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516</w:t>
            </w:r>
          </w:p>
        </w:tc>
      </w:tr>
      <w:tr>
        <w:trPr>
          <w:trHeight w:val="250"/>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2033F Notes</w:t>
            </w:r>
          </w:p>
        </w:tc>
        <w:tc>
          <w:tcPr>
            <w:tcW w:w="1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2.125 %</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2.13 %</w:t>
            </w:r>
          </w:p>
        </w:tc>
        <w:tc>
          <w:tcPr>
            <w:tcW w:w="160" w:type="dxa"/>
            <w:vAlign w:val="bottom"/>
            <w:tcBorders>
              <w:bottom w:val="single" w:sz="8" w:color="auto"/>
            </w:tcBorders>
            <w:shd w:val="clear" w:color="auto" w:fill="D1D2D4"/>
          </w:tcPr>
          <w:p>
            <w:pPr>
              <w:spacing w:after="0"/>
              <w:rPr>
                <w:sz w:val="21"/>
                <w:szCs w:val="21"/>
                <w:color w:val="auto"/>
              </w:rPr>
            </w:pPr>
          </w:p>
        </w:tc>
        <w:tc>
          <w:tcPr>
            <w:tcW w:w="90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1D2D4"/>
          </w:tcPr>
          <w:p>
            <w:pPr>
              <w:spacing w:after="0"/>
              <w:rPr>
                <w:sz w:val="21"/>
                <w:szCs w:val="21"/>
                <w:color w:val="auto"/>
              </w:rPr>
            </w:pPr>
          </w:p>
        </w:tc>
        <w:tc>
          <w:tcPr>
            <w:tcW w:w="7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1D2D4"/>
          </w:tcPr>
          <w:p>
            <w:pPr>
              <w:spacing w:after="0"/>
              <w:rPr>
                <w:sz w:val="21"/>
                <w:szCs w:val="21"/>
                <w:color w:val="auto"/>
              </w:rPr>
            </w:pPr>
          </w:p>
        </w:tc>
        <w:tc>
          <w:tcPr>
            <w:tcW w:w="8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D1D2D4"/>
          </w:tcPr>
          <w:p>
            <w:pPr>
              <w:spacing w:after="0"/>
              <w:rPr>
                <w:sz w:val="21"/>
                <w:szCs w:val="21"/>
                <w:color w:val="auto"/>
              </w:rPr>
            </w:pPr>
          </w:p>
        </w:tc>
        <w:tc>
          <w:tcPr>
            <w:tcW w:w="160" w:type="dxa"/>
            <w:vAlign w:val="bottom"/>
            <w:tcBorders>
              <w:bottom w:val="single" w:sz="8" w:color="auto"/>
            </w:tcBorders>
            <w:shd w:val="clear" w:color="auto" w:fill="D1D2D4"/>
          </w:tcPr>
          <w:p>
            <w:pPr>
              <w:spacing w:after="0"/>
              <w:rPr>
                <w:sz w:val="21"/>
                <w:szCs w:val="21"/>
                <w:color w:val="auto"/>
              </w:rPr>
            </w:pP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196</w:t>
            </w:r>
          </w:p>
        </w:tc>
        <w:tc>
          <w:tcPr>
            <w:tcW w:w="460" w:type="dxa"/>
            <w:vAlign w:val="bottom"/>
            <w:tcBorders>
              <w:bottom w:val="single" w:sz="8" w:color="auto"/>
            </w:tcBorders>
            <w:shd w:val="clear" w:color="auto" w:fill="D1D2D4"/>
          </w:tcPr>
          <w:p>
            <w:pPr>
              <w:spacing w:after="0"/>
              <w:rPr>
                <w:sz w:val="21"/>
                <w:szCs w:val="21"/>
                <w:color w:val="auto"/>
              </w:rPr>
            </w:pPr>
          </w:p>
        </w:tc>
        <w:tc>
          <w:tcPr>
            <w:tcW w:w="7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1D2D4"/>
          </w:tcPr>
          <w:p>
            <w:pPr>
              <w:spacing w:after="0"/>
              <w:rPr>
                <w:sz w:val="21"/>
                <w:szCs w:val="21"/>
                <w:color w:val="auto"/>
              </w:rPr>
            </w:pPr>
          </w:p>
        </w:tc>
        <w:tc>
          <w:tcPr>
            <w:tcW w:w="8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196</w:t>
            </w:r>
          </w:p>
        </w:tc>
      </w:tr>
      <w:tr>
        <w:trPr>
          <w:trHeight w:val="250"/>
        </w:trPr>
        <w:tc>
          <w:tcPr>
            <w:tcW w:w="2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330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6,356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6,686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1,310</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4,541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5,851</w:t>
            </w:r>
          </w:p>
        </w:tc>
      </w:tr>
      <w:tr>
        <w:trPr>
          <w:trHeight w:val="27"/>
        </w:trPr>
        <w:tc>
          <w:tcPr>
            <w:tcW w:w="2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Senior Unsecured Notes</w:t>
      </w:r>
    </w:p>
    <w:p>
      <w:pPr>
        <w:spacing w:after="0" w:line="265" w:lineRule="exact"/>
        <w:rPr>
          <w:sz w:val="20"/>
          <w:szCs w:val="20"/>
          <w:color w:val="auto"/>
        </w:rPr>
      </w:pPr>
    </w:p>
    <w:p>
      <w:pPr>
        <w:jc w:val="both"/>
        <w:ind w:right="180"/>
        <w:spacing w:after="0" w:line="265" w:lineRule="auto"/>
        <w:rPr>
          <w:sz w:val="20"/>
          <w:szCs w:val="20"/>
          <w:color w:val="auto"/>
        </w:rPr>
      </w:pPr>
      <w:r>
        <w:rPr>
          <w:rFonts w:ascii="Arial" w:cs="Arial" w:eastAsia="Arial" w:hAnsi="Arial"/>
          <w:sz w:val="17"/>
          <w:szCs w:val="17"/>
          <w:color w:val="auto"/>
        </w:rPr>
        <w:t>On April 24, 2020, we issued $1.25 billion aggregate principal amount of our 2023 Notes in a public offering. Issuance costs for these notes were $5 million. We may redeem some or all of these notes at our option prior to their maturity at a redemption price equal to the greater of</w:t>
      </w:r>
    </w:p>
    <w:p>
      <w:pPr>
        <w:ind w:right="40" w:firstLine="8"/>
        <w:spacing w:after="0" w:line="261" w:lineRule="auto"/>
        <w:tabs>
          <w:tab w:leader="none" w:pos="2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 (ii) the present value of the remaining scheduled payments of principal and interest thereon.</w:t>
      </w:r>
    </w:p>
    <w:p>
      <w:pPr>
        <w:spacing w:after="0" w:line="22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2023 Notes contain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such notes) to (1) create or incur certain liens; (2) enter into certain sale and lease-back transactions; and</w:t>
      </w:r>
    </w:p>
    <w:p>
      <w:pPr>
        <w:ind w:right="40" w:firstLine="8"/>
        <w:spacing w:after="0" w:line="254" w:lineRule="auto"/>
        <w:tabs>
          <w:tab w:leader="none" w:pos="2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 with or merge with or into, or convey, transfer, or lease all or substantially all of our properties and assets, to another entity. These covenants are subject to a number of limitations and exceptions. Additionally, if a change of control triggering event occurs, as defined in the indenture governing such notes, we will be required to offer to purchase such notes at 101% of the outstanding aggregate principal amount plus accrued interest up to the purchase date.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Credit Facility</w:t>
      </w:r>
    </w:p>
    <w:p>
      <w:pPr>
        <w:spacing w:after="0" w:line="26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credit facility provides for our Revolving Credit Facility and our 2024 Term Loan A, which each generally bear interest at rates equal to LIBOR plus 1.25% to 2.00%, depending on our corporate credit rating and leverage ratio. Under the terms of the credit facility, we must maintain ratios, calculated as of the last day of each fiscal quarter, of total indebtedness to adjusted EBITDA and adjusted EBITDA to net interest expense.</w:t>
      </w:r>
    </w:p>
    <w:p>
      <w:pPr>
        <w:spacing w:after="0" w:line="209" w:lineRule="exact"/>
        <w:rPr>
          <w:sz w:val="20"/>
          <w:szCs w:val="20"/>
          <w:color w:val="auto"/>
        </w:rPr>
      </w:pPr>
    </w:p>
    <w:p>
      <w:pPr>
        <w:jc w:val="both"/>
        <w:ind w:right="80"/>
        <w:spacing w:after="0" w:line="291" w:lineRule="auto"/>
        <w:rPr>
          <w:sz w:val="20"/>
          <w:szCs w:val="20"/>
          <w:color w:val="auto"/>
        </w:rPr>
      </w:pPr>
      <w:r>
        <w:rPr>
          <w:rFonts w:ascii="Arial" w:cs="Arial" w:eastAsia="Arial" w:hAnsi="Arial"/>
          <w:sz w:val="17"/>
          <w:szCs w:val="17"/>
          <w:b w:val="1"/>
          <w:bCs w:val="1"/>
          <w:i w:val="1"/>
          <w:iCs w:val="1"/>
          <w:color w:val="auto"/>
        </w:rPr>
        <w:t>2024 Term Loan 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October 30, 2019, we drew the $ 1.25 billion available under our 2024 Term Loan A credit facility. Principal payments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due annually in an amount equal to 5.0% of the initial principal amount with the balance due at maturity in October 2024. The 2024 Term Loan A facility bears interest at a rate equal to LIBOR plus 1.25% based on our current corporate credit rating and leverage ratio.</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Revolving Credit Facility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13, 2020, we drew the $2.50 billion available under our Revolving Credit Facility and on April 24,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repaid the $2.50 billion. As of May 28, 2020, $ 2.50 billion was available to us under the Revolving Credit Facility. Borrowings under the Revolving Credit Facility are scheduled to mature in July</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10060"/>
        <w:spacing w:after="0"/>
        <w:rPr>
          <w:sz w:val="20"/>
          <w:szCs w:val="20"/>
          <w:color w:val="auto"/>
        </w:rPr>
      </w:pPr>
      <w:r>
        <w:rPr>
          <w:sz w:val="1"/>
          <w:szCs w:val="1"/>
          <w:color w:val="auto"/>
        </w:rPr>
        <w:drawing>
          <wp:inline distT="0" distB="0" distL="0" distR="0">
            <wp:extent cx="591820" cy="1543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3"/>
          <w:szCs w:val="13"/>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17" w:name="page18"/>
    <w:bookmarkEnd w:id="17"/>
    <w:p>
      <w:pPr>
        <w:ind w:right="280"/>
        <w:spacing w:after="0" w:line="246" w:lineRule="auto"/>
        <w:rPr>
          <w:sz w:val="20"/>
          <w:szCs w:val="20"/>
          <w:color w:val="auto"/>
        </w:rPr>
      </w:pPr>
      <w:r>
        <w:rPr>
          <w:rFonts w:ascii="Arial" w:cs="Arial" w:eastAsia="Arial" w:hAnsi="Arial"/>
          <w:sz w:val="18"/>
          <w:szCs w:val="18"/>
          <w:color w:val="auto"/>
        </w:rPr>
        <w:t>2023 and we may repay amounts borrowed any time without penalty. The Revolving Credit Facility bears interest at a rate equal to LIBOR plus 1.25% based on our current corporate credit rating and leverage ratio.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Convertible Senior Notes</w:t>
      </w:r>
    </w:p>
    <w:p>
      <w:pPr>
        <w:spacing w:after="0" w:line="26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March 27, 2020, we notified holders of our 2033F Notes that we would redeem all of the outstanding 2033F Notes on May 5, 2020. Holders could elect to convert these notes through May 4, 2020, at a conversion rate of 91.4808 shares of our common stock per $1,000 of principal amount. In connection with our notice, we made an irrevocable election to settle any conversions in cash. Holders converted all of the 2033F Notes and on May 5, 2020, we paid $64 million to settle the conversions. We recognized a loss of $3 million in the third quarter of 2020 in connection with the transaction.</w:t>
      </w:r>
    </w:p>
    <w:p>
      <w:pPr>
        <w:spacing w:after="0" w:line="23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closing price of our common stock exceeded 130% of the conversion price per share for at least 20 trading days in the 30 trading day period ended on June 30, 2020. As a result, the 2032D Notes are convertible by the holders at any time through September 30, 2020. As of May 28, 2020, the $46.47 trading price of our common stock was higher than the conversion price of our 2032D Notes and, as a result, the aggregate conversion value of $622 million exceeded the aggregate principal amount of $134 million by $488 million.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IMFT Member Debt</w:t>
      </w:r>
    </w:p>
    <w:p>
      <w:pPr>
        <w:spacing w:after="0" w:line="26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connection with our purchase of Intel’s noncontrolling interest in IMFT on October 31, 2019, we extinguished the remaining IMFT Member Debt as a component of the cash consideration paid to Intel for their interest in IMFT and recognized a non-operating gain of $72 million for the difference between the $505 million of cash consideration allocated to the extinguishment of IMFT Member Debt and its $577 million carrying value. (See “Equity – Noncontrolling Interest in Subsidiary” for the cash consideration allocated to the repurchase of noncontrolling interest.) Prior to our acquisition of Intel’s interests in IMFT, IMFT repaid Intel $116 million of IMFT Member Debt in the first quarter of fiscal 2020.</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Debt Activity</w:t>
      </w:r>
    </w:p>
    <w:p>
      <w:pPr>
        <w:spacing w:after="0" w:line="2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table below presents the effects of issuances, prepayments, and conversions of debt in the first nine months of 2020. When we receive a notice of conversion for any of our convertible notes and elect to settle in cash any amount of the conversion obligation in excess of the principal amount, the cash settlement obligations become derivative debt liabilities subject to mark-to-market accounting treatment based on the volume-weighted-average price of our common stock over a period of 20 consecutive trading days. Accordingly, at the date of our election to settle a conversion in cash, we reclassify the fair value of the equity component of the converted notes from additional capital to derivative debt liability within current debt in our consolidated balance sheet.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rPr>
              <w:t>Increase</w:t>
            </w:r>
          </w:p>
        </w:tc>
        <w:tc>
          <w:tcPr>
            <w:tcW w:w="18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rPr>
              <w:t>Increase</w:t>
            </w:r>
          </w:p>
        </w:tc>
        <w:tc>
          <w:tcPr>
            <w:tcW w:w="24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rPr>
              <w:t>Increase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4540" w:type="dxa"/>
            <w:vAlign w:val="bottom"/>
          </w:tcPr>
          <w:p>
            <w:pPr>
              <w:spacing w:after="0"/>
              <w:rPr>
                <w:sz w:val="17"/>
                <w:szCs w:val="17"/>
                <w:color w:val="auto"/>
              </w:rPr>
            </w:pPr>
          </w:p>
        </w:tc>
        <w:tc>
          <w:tcPr>
            <w:tcW w:w="12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(Decrease) in</w:t>
            </w:r>
          </w:p>
        </w:tc>
        <w:tc>
          <w:tcPr>
            <w:tcW w:w="180" w:type="dxa"/>
            <w:vAlign w:val="bottom"/>
          </w:tcPr>
          <w:p>
            <w:pPr>
              <w:spacing w:after="0"/>
              <w:rPr>
                <w:sz w:val="17"/>
                <w:szCs w:val="17"/>
                <w:color w:val="auto"/>
              </w:rPr>
            </w:pPr>
          </w:p>
        </w:tc>
        <w:tc>
          <w:tcPr>
            <w:tcW w:w="12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(Decrease) in</w:t>
            </w:r>
          </w:p>
        </w:tc>
        <w:tc>
          <w:tcPr>
            <w:tcW w:w="13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(Decrease) in</w:t>
            </w:r>
          </w:p>
        </w:tc>
        <w:tc>
          <w:tcPr>
            <w:tcW w:w="180" w:type="dxa"/>
            <w:vAlign w:val="bottom"/>
          </w:tcPr>
          <w:p>
            <w:pPr>
              <w:spacing w:after="0"/>
              <w:rPr>
                <w:sz w:val="17"/>
                <w:szCs w:val="17"/>
                <w:color w:val="auto"/>
              </w:rPr>
            </w:pPr>
          </w:p>
        </w:tc>
        <w:tc>
          <w:tcPr>
            <w:tcW w:w="11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8"/>
              </w:rPr>
              <w:t>Decrease in</w:t>
            </w:r>
          </w:p>
        </w:tc>
        <w:tc>
          <w:tcPr>
            <w:tcW w:w="240" w:type="dxa"/>
            <w:vAlign w:val="bottom"/>
          </w:tcPr>
          <w:p>
            <w:pPr>
              <w:spacing w:after="0"/>
              <w:rPr>
                <w:sz w:val="17"/>
                <w:szCs w:val="17"/>
                <w:color w:val="auto"/>
              </w:rPr>
            </w:pPr>
          </w:p>
        </w:tc>
        <w:tc>
          <w:tcPr>
            <w:tcW w:w="11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Gains</w:t>
            </w:r>
          </w:p>
        </w:tc>
      </w:tr>
      <w:tr>
        <w:trPr>
          <w:trHeight w:val="246"/>
        </w:trPr>
        <w:tc>
          <w:tcPr>
            <w:tcW w:w="45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Nine months ended May 28, 2020</w:t>
            </w:r>
          </w:p>
        </w:tc>
        <w:tc>
          <w:tcPr>
            <w:tcW w:w="20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w w:val="99"/>
              </w:rPr>
              <w:t>Principal</w:t>
            </w:r>
          </w:p>
        </w:tc>
        <w:tc>
          <w:tcPr>
            <w:tcW w:w="142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w w:val="99"/>
              </w:rPr>
              <w:t>Carrying Value</w:t>
            </w:r>
          </w:p>
        </w:tc>
        <w:tc>
          <w:tcPr>
            <w:tcW w:w="24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w w:val="99"/>
              </w:rPr>
              <w:t>Cash</w:t>
            </w:r>
          </w:p>
        </w:tc>
        <w:tc>
          <w:tcPr>
            <w:tcW w:w="18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rPr>
              <w:t>Equity</w:t>
            </w:r>
          </w:p>
        </w:tc>
        <w:tc>
          <w:tcPr>
            <w:tcW w:w="24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210"/>
              <w:spacing w:after="0"/>
              <w:rPr>
                <w:sz w:val="20"/>
                <w:szCs w:val="20"/>
                <w:color w:val="auto"/>
              </w:rPr>
            </w:pPr>
            <w:r>
              <w:rPr>
                <w:rFonts w:ascii="Arial" w:cs="Arial" w:eastAsia="Arial" w:hAnsi="Arial"/>
                <w:sz w:val="18"/>
                <w:szCs w:val="18"/>
                <w:b w:val="1"/>
                <w:bCs w:val="1"/>
                <w:color w:val="auto"/>
              </w:rPr>
              <w:t>(Losses)</w:t>
            </w:r>
          </w:p>
        </w:tc>
      </w:tr>
      <w:tr>
        <w:trPr>
          <w:trHeight w:val="40"/>
        </w:trPr>
        <w:tc>
          <w:tcPr>
            <w:tcW w:w="4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7"/>
        </w:trPr>
        <w:tc>
          <w:tcPr>
            <w:tcW w:w="4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Issuances</w:t>
            </w:r>
          </w:p>
        </w:tc>
        <w:tc>
          <w:tcPr>
            <w:tcW w:w="20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4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r>
      <w:tr>
        <w:trPr>
          <w:trHeight w:val="250"/>
        </w:trPr>
        <w:tc>
          <w:tcPr>
            <w:tcW w:w="4540" w:type="dxa"/>
            <w:vAlign w:val="bottom"/>
          </w:tcPr>
          <w:p>
            <w:pPr>
              <w:ind w:left="1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2,493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center"/>
              <w:ind w:left="630"/>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45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2023 Notes</w:t>
            </w:r>
          </w:p>
        </w:tc>
        <w:tc>
          <w:tcPr>
            <w:tcW w:w="200" w:type="dxa"/>
            <w:vAlign w:val="bottom"/>
            <w:shd w:val="clear" w:color="auto" w:fill="D1D2D4"/>
          </w:tcPr>
          <w:p>
            <w:pPr>
              <w:spacing w:after="0"/>
              <w:rPr>
                <w:sz w:val="22"/>
                <w:szCs w:val="22"/>
                <w:color w:val="auto"/>
              </w:rPr>
            </w:pPr>
          </w:p>
        </w:tc>
        <w:tc>
          <w:tcPr>
            <w:tcW w:w="10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1,250</w:t>
            </w:r>
          </w:p>
        </w:tc>
        <w:tc>
          <w:tcPr>
            <w:tcW w:w="180" w:type="dxa"/>
            <w:vAlign w:val="bottom"/>
            <w:shd w:val="clear" w:color="auto" w:fill="D1D2D4"/>
          </w:tcPr>
          <w:p>
            <w:pPr>
              <w:spacing w:after="0"/>
              <w:rPr>
                <w:sz w:val="22"/>
                <w:szCs w:val="22"/>
                <w:color w:val="auto"/>
              </w:rPr>
            </w:pPr>
          </w:p>
        </w:tc>
        <w:tc>
          <w:tcPr>
            <w:tcW w:w="1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1,245</w:t>
            </w: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jc w:val="center"/>
              <w:ind w:left="63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4540" w:type="dxa"/>
            <w:vAlign w:val="bottom"/>
          </w:tcPr>
          <w:p>
            <w:pPr>
              <w:ind w:left="120"/>
              <w:spacing w:after="0"/>
              <w:rPr>
                <w:sz w:val="20"/>
                <w:szCs w:val="20"/>
                <w:color w:val="auto"/>
              </w:rPr>
            </w:pPr>
            <w:r>
              <w:rPr>
                <w:rFonts w:ascii="Arial" w:cs="Arial" w:eastAsia="Arial" w:hAnsi="Arial"/>
                <w:sz w:val="18"/>
                <w:szCs w:val="18"/>
                <w:color w:val="auto"/>
              </w:rPr>
              <w:t>2024 Term Loan A</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1,248</w:t>
            </w: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1,248</w:t>
            </w:r>
          </w:p>
        </w:tc>
        <w:tc>
          <w:tcPr>
            <w:tcW w:w="180" w:type="dxa"/>
            <w:vAlign w:val="bottom"/>
          </w:tcPr>
          <w:p>
            <w:pPr>
              <w:spacing w:after="0"/>
              <w:rPr>
                <w:sz w:val="21"/>
                <w:szCs w:val="21"/>
                <w:color w:val="auto"/>
              </w:rPr>
            </w:pPr>
          </w:p>
        </w:tc>
        <w:tc>
          <w:tcPr>
            <w:tcW w:w="1140" w:type="dxa"/>
            <w:vAlign w:val="bottom"/>
          </w:tcPr>
          <w:p>
            <w:pPr>
              <w:jc w:val="center"/>
              <w:ind w:left="63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4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Prepayments</w:t>
            </w:r>
          </w:p>
        </w:tc>
        <w:tc>
          <w:tcPr>
            <w:tcW w:w="20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4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r>
      <w:tr>
        <w:trPr>
          <w:trHeight w:val="250"/>
        </w:trPr>
        <w:tc>
          <w:tcPr>
            <w:tcW w:w="4540" w:type="dxa"/>
            <w:vAlign w:val="bottom"/>
          </w:tcPr>
          <w:p>
            <w:pPr>
              <w:ind w:left="1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(2,493)</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21"/>
                <w:szCs w:val="21"/>
                <w:color w:val="auto"/>
              </w:rPr>
            </w:pPr>
          </w:p>
        </w:tc>
        <w:tc>
          <w:tcPr>
            <w:tcW w:w="1140" w:type="dxa"/>
            <w:vAlign w:val="bottom"/>
          </w:tcPr>
          <w:p>
            <w:pPr>
              <w:jc w:val="center"/>
              <w:ind w:left="63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45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2025 Notes</w:t>
            </w:r>
          </w:p>
        </w:tc>
        <w:tc>
          <w:tcPr>
            <w:tcW w:w="20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(519)</w:t>
            </w:r>
          </w:p>
        </w:tc>
        <w:tc>
          <w:tcPr>
            <w:tcW w:w="18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(516)</w:t>
            </w: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jc w:val="center"/>
              <w:ind w:left="63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(18)</w:t>
            </w:r>
          </w:p>
        </w:tc>
      </w:tr>
      <w:tr>
        <w:trPr>
          <w:trHeight w:val="250"/>
        </w:trPr>
        <w:tc>
          <w:tcPr>
            <w:tcW w:w="4540" w:type="dxa"/>
            <w:vAlign w:val="bottom"/>
          </w:tcPr>
          <w:p>
            <w:pPr>
              <w:ind w:left="120"/>
              <w:spacing w:after="0"/>
              <w:rPr>
                <w:sz w:val="20"/>
                <w:szCs w:val="20"/>
                <w:color w:val="auto"/>
              </w:rPr>
            </w:pPr>
            <w:r>
              <w:rPr>
                <w:rFonts w:ascii="Arial" w:cs="Arial" w:eastAsia="Arial" w:hAnsi="Arial"/>
                <w:sz w:val="18"/>
                <w:szCs w:val="18"/>
                <w:color w:val="auto"/>
              </w:rPr>
              <w:t>IMFT Member Debt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(693)</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21"/>
                <w:szCs w:val="21"/>
                <w:color w:val="auto"/>
              </w:rPr>
            </w:pPr>
          </w:p>
        </w:tc>
        <w:tc>
          <w:tcPr>
            <w:tcW w:w="1140" w:type="dxa"/>
            <w:vAlign w:val="bottom"/>
          </w:tcPr>
          <w:p>
            <w:pPr>
              <w:jc w:val="center"/>
              <w:ind w:left="63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72</w:t>
            </w:r>
          </w:p>
        </w:tc>
      </w:tr>
      <w:tr>
        <w:trPr>
          <w:trHeight w:val="263"/>
        </w:trPr>
        <w:tc>
          <w:tcPr>
            <w:tcW w:w="4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Settled conversions</w:t>
            </w:r>
          </w:p>
        </w:tc>
        <w:tc>
          <w:tcPr>
            <w:tcW w:w="20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4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r>
      <w:tr>
        <w:trPr>
          <w:trHeight w:val="257"/>
        </w:trPr>
        <w:tc>
          <w:tcPr>
            <w:tcW w:w="454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2033F Notes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9"/>
              </w:rPr>
              <w:t>(56)</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68"/>
        </w:trPr>
        <w:tc>
          <w:tcPr>
            <w:tcW w:w="4540" w:type="dxa"/>
            <w:vAlign w:val="bottom"/>
            <w:tcBorders>
              <w:bottom w:val="single" w:sz="8" w:color="D1D2D4"/>
            </w:tcBorders>
            <w:shd w:val="clear" w:color="auto" w:fill="D1D2D4"/>
          </w:tcPr>
          <w:p>
            <w:pPr>
              <w:spacing w:after="0"/>
              <w:rPr>
                <w:sz w:val="22"/>
                <w:szCs w:val="22"/>
                <w:color w:val="auto"/>
              </w:rPr>
            </w:pP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1,226</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1,088</w:t>
            </w:r>
          </w:p>
        </w:tc>
        <w:tc>
          <w:tcPr>
            <w:tcW w:w="2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1,072</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1D2D4"/>
          </w:tcPr>
          <w:p>
            <w:pPr>
              <w:jc w:val="center"/>
              <w:ind w:left="570"/>
              <w:spacing w:after="0"/>
              <w:rPr>
                <w:sz w:val="20"/>
                <w:szCs w:val="20"/>
                <w:color w:val="auto"/>
              </w:rPr>
            </w:pPr>
            <w:r>
              <w:rPr>
                <w:rFonts w:ascii="Arial" w:cs="Arial" w:eastAsia="Arial" w:hAnsi="Arial"/>
                <w:sz w:val="18"/>
                <w:szCs w:val="18"/>
                <w:color w:val="auto"/>
                <w:w w:val="99"/>
              </w:rPr>
              <w:t>(56)</w:t>
            </w:r>
          </w:p>
        </w:tc>
        <w:tc>
          <w:tcPr>
            <w:tcW w:w="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40</w:t>
            </w:r>
          </w:p>
        </w:tc>
      </w:tr>
      <w:tr>
        <w:trPr>
          <w:trHeight w:val="20"/>
        </w:trPr>
        <w:tc>
          <w:tcPr>
            <w:tcW w:w="454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16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40"/>
          <w:szCs w:val="40"/>
          <w:b w:val="1"/>
          <w:bCs w:val="1"/>
          <w:color w:val="auto"/>
        </w:rPr>
        <w:t>Contingencies</w:t>
      </w:r>
    </w:p>
    <w:p>
      <w:pPr>
        <w:spacing w:after="0" w:line="285"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We have accrued a liability and charged operations for the estimated costs of adjudication or settlement of various asserted and unasserted claims existing as of the balance sheet date, including those described below. We are currently a party to other legal actions arising from the normal course of business, none of which are expected to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Patent Matters</w:t>
      </w:r>
    </w:p>
    <w:p>
      <w:pPr>
        <w:spacing w:after="0" w:line="26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August 12, 2014, MLC Intellectual Property, LLC filed a patent infringement action against Micron in the United States District Court for the Northern District of California. The complaint alleges that Micron infringes a single U.S. patent and seeks damages, attorneys’ fees, and costs.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November 21, 2014, Elm 3DS Innovations, LLC (“Elm”) filed a patent infringement action against Micron; Micron Semiconductor Products, Inc.; and Micron Consumer Products Group, Inc. in the U.S. District Court for the District of Delaware. On March 27, 2015, Elm filed an amended complaint against the same entities. The amended complaint alleges that unspecified semiconductor products of ours that incorporate multiple stacked die infringe 13 U.S. patents and seeks damages, attorneys’ fees, and costs.</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December 15, 2014, Innovative Memory Solutions, Inc. (“IMS”) filed a patent infringement action against Micron in the U.S. District Court for the District of Delaware. The complaint alleges that a variety of our NAND products infringe eight U.S. patents and seeks damages, attorneys’ fees, and costs. On August 31, 2018, Micron was served with a complaint filed by IMS in Shenzhen Intermediate People’s Court in Guangdong Province, China. On November 12, 2019, IMS filed an amended complaint in the same court. The amended complaint alleges that certain of our NAND flash products infringe a Chinese patent. The complaint seeks an order requiring Micron to stop manufacturing, using, selling, and offering for sale the accused products in China, and to pay damages and costs of 21 million Chinese yuan.</w:t>
      </w:r>
    </w:p>
    <w:p>
      <w:pPr>
        <w:spacing w:after="0" w:line="2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April 3, 2018, MSS was served with another patent infringement complaint filed by Jinhua and two additional complaints filed by UMC in the Fuzhou Court. The three additional complaints allege that MSS infringes three Chinese patents by manufacturing and selling certain Crucial MX300 SSDs and certain GDDR5 memory chips. The two complaints filed by UMC each seek an order requiring MSS to destroy inventory of the accused products and equipment for manufacturing the accused products in China; to stop manufacturing, using, selling, and offering for sale the accused products in China; and to pay damages for each complaint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9" w:name="page20"/>
    <w:bookmarkEnd w:id="19"/>
    <w:p>
      <w:pPr>
        <w:ind w:right="60"/>
        <w:spacing w:after="0" w:line="261" w:lineRule="auto"/>
        <w:rPr>
          <w:sz w:val="20"/>
          <w:szCs w:val="20"/>
          <w:color w:val="auto"/>
        </w:rPr>
      </w:pPr>
      <w:r>
        <w:rPr>
          <w:rFonts w:ascii="Arial" w:cs="Arial" w:eastAsia="Arial" w:hAnsi="Arial"/>
          <w:sz w:val="18"/>
          <w:szCs w:val="18"/>
          <w:color w:val="auto"/>
        </w:rPr>
        <w:t>incurred. On October 9, 2018, UMC withdrew its complaint that alleged MSS infringed a Chinese patent by manufacturing and selling certain GDDR5 memory chips.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The affected products make up slightly more than 1% of our annualized revenue. We are complying with the ruling and have requested the Fuzhou Court to reconsider or stay its decision.</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4, 2020, Flash-Control, LLC (“Flash-Control”) filed a patent infringement action against Micron in the United States District Court for the Western District of Texas. The complaint alleges that four U.S. patents are infringed by unspecified DDR4 SDRAM, NVRDIMM, NVDIMM, 3D XPoint, and/or SSD products that incorporate memory controllers and flash memory. The complaint seeks damages, attorneys’ fees, and costs.</w:t>
      </w:r>
    </w:p>
    <w:p>
      <w:pPr>
        <w:spacing w:after="0" w:line="231"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a significant portion of our revenue.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Qimonda</w:t>
      </w:r>
    </w:p>
    <w:p>
      <w:pPr>
        <w:spacing w:after="0" w:line="26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32"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ind w:right="60" w:firstLine="8"/>
        <w:spacing w:after="0" w:line="251"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has been able to continue to operate with full control of the Inotera Shares subject to further developments in the case. On April 17, 2014, Micron and Micron B.V. filed a notice of appeal with the German Appeals Court challenging the District Court’s decision. After opening briefs, the Appeals Court held a hearing on the matter on July 9, 2015, and thereafter appointed an independent expert to perform an evaluation of Dr. Jaffé’s claims that the amount Micron paid for Qimonda was less than fair market value. On January 25, 2018, the court-appointed expert issued a report concluding that the amount paid by Micron was within an acceptable fair-value range. The Appeals Court held a subsequent hearing on April 30, 2019, and on May 28, 2019, the Appeals Court remanded the case to the expert for supplemental expert opinion. On March 31, 2020, the expert presented a revised opinion to the Appeals Court which reaffirmed the earlier view that the amount paid by Micron was still within an acceptable range of fair value.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Antitrust Matters</w:t>
      </w:r>
    </w:p>
    <w:p>
      <w:pPr>
        <w:spacing w:after="0" w:line="26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plaintiffs the opportunity to file a consolidated, amended complaint. On October 28, 2019, the plaintiffs filed a consolidated amended complaint that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20" w:name="page21"/>
    <w:bookmarkEnd w:id="20"/>
    <w:p>
      <w:pPr>
        <w:ind w:right="320"/>
        <w:spacing w:after="0" w:line="256" w:lineRule="auto"/>
        <w:rPr>
          <w:sz w:val="20"/>
          <w:szCs w:val="20"/>
          <w:color w:val="auto"/>
        </w:rPr>
      </w:pPr>
      <w:r>
        <w:rPr>
          <w:rFonts w:ascii="Arial" w:cs="Arial" w:eastAsia="Arial" w:hAnsi="Arial"/>
          <w:sz w:val="18"/>
          <w:szCs w:val="18"/>
          <w:color w:val="auto"/>
        </w:rPr>
        <w:t>purports to be on behalf of a nationwide class of indirect purchasers of DRAM products. The amended complaint asserts claims based on alleged price-fixing of DRAM products under federal and state law during the period from June 1, 2016 to at least February 1, 2018, and seeks treble monetary damages, costs, interest, attorneys’ fees, and other injunctive and equitable relief.</w:t>
      </w:r>
    </w:p>
    <w:p>
      <w:pPr>
        <w:spacing w:after="0" w:line="22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purports to be on behalf of a nationwide class of direct purchasers of DRAM products. The consolidated complaint asserts claims based on alleged price-fixing of DRAM products under federal and state law during the period from June 1, 2016 through at least February 1, 2018, and seeks treble monetary damages, costs, interest, attorneys’ fees, and other injunctive and equitable relief.</w:t>
      </w:r>
    </w:p>
    <w:p>
      <w:pPr>
        <w:spacing w:after="0" w:line="2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22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Securities Matters</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January 23, 2019, a complaint was filed against Micron and two of our officers, Sanjay Mehrotra and David Zinsner, in the U.S. District Court for the Southern District of New York. The lawsuit purported to be brought on behalf of a class of purchasers of our stock during the period from June 22, 2018 through November 19, 2018. Subsequently two substantially similar cases were filed in the same court adding one of our former officers, Ernie Maddock, as a defendant and alleging a class action period from September 26, 2017 through November 19, 2018. The separate cases were joined, and a consolidated amended complaint was filed on June 15, 2019. The consolidated amended complaint alleged that defendants committed securities fraud through misrepresentations and omissions about purported anticompetitive behavior in the DRAM industry and sought compensatory and punitive damages, fees, interest, costs, and other appropriate relief. On October 2, 2019, the parties submitted a joint stipulation to dismiss the complaint. The Court approved the stipulation and dismissed the complaint on October 3, 2019. On March 5, 2019, a derivative complaint was filed by a shareholder in the U.S. District Court for the District of Delaware, based on similar allegations to the securities fraud cases, allegedly on behalf of and for the benefit of Micron, against certain current and former officers and directors of Micron for alleged breaches of their fiduciary duties and other violations of law. The complaint seeks damages, fees, interest, costs, and other appropriate relief. Similar shareholder derivative complaints were subsequently filed in the U.S. District Court for the District of Delaware and the U.S. District Court for the District of Idaho. On November 20, 2019, the plaintiff in the second action filed in the U.S. District Court for the District of Delaware voluntarily dismissed his complaint. On November 21, 2019, the plaintiff voluntarily dismissed his complaint that was filed in the U.S. District Court for the District of Idaho.</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Other</w:t>
      </w:r>
    </w:p>
    <w:p>
      <w:pPr>
        <w:spacing w:after="0" w:line="26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December 5, 2017, Micron filed a complaint against UMC and Jinhua in the U.S. District Court for the Northern District of California. The complaint alleges that UMC and Jinhua violated the Defend Trade Secrets Act, the civil provisions of the Racketeer Influenced and Corrupt Organizations Act, and California’s Uniform Trade Secrets Act by misappropriating Micron’s trade secrets and other misconduct. Micron’s complaint seeks damages, restitution, disgorgement of profits, injunctive relief, and other appropriate relief.</w:t>
      </w:r>
    </w:p>
    <w:p>
      <w:pPr>
        <w:spacing w:after="0" w:line="2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June 13, 2019, current Micron employee Chris Manning filed a putative class action lawsuit on behalf of Micron employees subject to the Idaho Wage Claim Act who earned a performance-based bonus after the conclusion of fiscal year 2018 whose performance rating was calculated based upon a mandatory percentage distribution range of performance ratings. On July 12, 2019, Manning and three other Company employees filed an amended complaint as putative class action representatives. On behalf of themselves and the putative class, Manning and the</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1" w:name="page22"/>
    <w:bookmarkEnd w:id="21"/>
    <w:p>
      <w:pPr>
        <w:ind w:right="100"/>
        <w:spacing w:after="0" w:line="261" w:lineRule="auto"/>
        <w:rPr>
          <w:sz w:val="20"/>
          <w:szCs w:val="20"/>
          <w:color w:val="auto"/>
        </w:rPr>
      </w:pPr>
      <w:r>
        <w:rPr>
          <w:rFonts w:ascii="Arial" w:cs="Arial" w:eastAsia="Arial" w:hAnsi="Arial"/>
          <w:sz w:val="18"/>
          <w:szCs w:val="18"/>
          <w:color w:val="auto"/>
        </w:rPr>
        <w:t>three other plaintiffs assert claims for violation of the Idaho Wage Claim Act, breach of contract, breach of the covenant of good faith and fair dealing, and fraud.</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the 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1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unable to predict the outcome of the patent matters, the Qimonda matter, antitrust matters, securities matters, and other matters noted above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Micron Shareholders’ Equity</w:t>
      </w:r>
    </w:p>
    <w:p>
      <w:pPr>
        <w:spacing w:after="0" w:line="2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In the third quarter and first nine months of 2020, we repurchased 0.9 million shares of our common stock for $40 million, and 2.8 million shares of our common stock for $134 million, respectively. In the third quarter and first nine months of 2019, we repurchased 3.8 million shares of our common stock for $157 million, and 66.4 million shares of our common stock for $2.66 billion, respectively. Through May 28, 2020, we had repurchased an aggregate of $2.8 billion under the authorization. The shares were recorded as treasury stock.</w:t>
      </w:r>
    </w:p>
    <w:p>
      <w:pPr>
        <w:spacing w:after="0" w:line="21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Capped calls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second quarter of 2020, we share-settled our remaining capped calls upon their expiration and received an aggregate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1.7 million shares of our common stock, equal to a value of $98 million.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Noncontrolling Interest in Subsidiary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60" w:type="dxa"/>
            <w:vAlign w:val="bottom"/>
          </w:tcPr>
          <w:p>
            <w:pPr>
              <w:spacing w:after="0"/>
              <w:rPr>
                <w:sz w:val="21"/>
                <w:szCs w:val="21"/>
                <w:color w:val="auto"/>
              </w:rPr>
            </w:pPr>
          </w:p>
        </w:tc>
        <w:tc>
          <w:tcPr>
            <w:tcW w:w="280" w:type="dxa"/>
            <w:vAlign w:val="bottom"/>
            <w:tcBorders>
              <w:bottom w:val="single" w:sz="8" w:color="0090DA"/>
            </w:tcBorders>
          </w:tcPr>
          <w:p>
            <w:pPr>
              <w:spacing w:after="0"/>
              <w:rPr>
                <w:sz w:val="21"/>
                <w:szCs w:val="21"/>
                <w:color w:val="auto"/>
              </w:rPr>
            </w:pPr>
          </w:p>
        </w:tc>
        <w:tc>
          <w:tcPr>
            <w:tcW w:w="2900" w:type="dxa"/>
            <w:vAlign w:val="bottom"/>
            <w:tcBorders>
              <w:bottom w:val="single" w:sz="8" w:color="0090DA"/>
            </w:tcBorders>
            <w:gridSpan w:val="2"/>
          </w:tcPr>
          <w:p>
            <w:pPr>
              <w:ind w:left="760"/>
              <w:spacing w:after="0"/>
              <w:rPr>
                <w:sz w:val="20"/>
                <w:szCs w:val="20"/>
                <w:color w:val="auto"/>
              </w:rPr>
            </w:pPr>
            <w:r>
              <w:rPr>
                <w:rFonts w:ascii="Arial" w:cs="Arial" w:eastAsia="Arial" w:hAnsi="Arial"/>
                <w:sz w:val="18"/>
                <w:szCs w:val="18"/>
                <w:b w:val="1"/>
                <w:bCs w:val="1"/>
                <w:color w:val="auto"/>
              </w:rPr>
              <w:t>May 28, 2020</w:t>
            </w:r>
          </w:p>
        </w:tc>
        <w:tc>
          <w:tcPr>
            <w:tcW w:w="120" w:type="dxa"/>
            <w:vAlign w:val="bottom"/>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2920" w:type="dxa"/>
            <w:vAlign w:val="bottom"/>
            <w:tcBorders>
              <w:bottom w:val="single" w:sz="8" w:color="0090DA"/>
            </w:tcBorders>
            <w:gridSpan w:val="2"/>
          </w:tcPr>
          <w:p>
            <w:pPr>
              <w:jc w:val="right"/>
              <w:ind w:right="810"/>
              <w:spacing w:after="0"/>
              <w:rPr>
                <w:sz w:val="20"/>
                <w:szCs w:val="20"/>
                <w:color w:val="auto"/>
              </w:rPr>
            </w:pPr>
            <w:r>
              <w:rPr>
                <w:rFonts w:ascii="Arial" w:cs="Arial" w:eastAsia="Arial" w:hAnsi="Arial"/>
                <w:sz w:val="18"/>
                <w:szCs w:val="18"/>
                <w:b w:val="1"/>
                <w:bCs w:val="1"/>
                <w:color w:val="auto"/>
              </w:rPr>
              <w:t>August 29, 2019</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1"/>
                <w:szCs w:val="21"/>
                <w:color w:val="auto"/>
              </w:rPr>
            </w:pP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Balance</w:t>
            </w:r>
          </w:p>
        </w:tc>
        <w:tc>
          <w:tcPr>
            <w:tcW w:w="1920" w:type="dxa"/>
            <w:vAlign w:val="bottom"/>
            <w:gridSpan w:val="3"/>
          </w:tcPr>
          <w:p>
            <w:pPr>
              <w:ind w:left="240"/>
              <w:spacing w:after="0"/>
              <w:rPr>
                <w:sz w:val="20"/>
                <w:szCs w:val="20"/>
                <w:color w:val="auto"/>
              </w:rPr>
            </w:pPr>
            <w:r>
              <w:rPr>
                <w:rFonts w:ascii="Arial" w:cs="Arial" w:eastAsia="Arial" w:hAnsi="Arial"/>
                <w:sz w:val="18"/>
                <w:szCs w:val="18"/>
                <w:b w:val="1"/>
                <w:bCs w:val="1"/>
                <w:color w:val="auto"/>
              </w:rPr>
              <w:t>Percentage</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Balance</w:t>
            </w: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Percentage</w:t>
            </w:r>
          </w:p>
        </w:tc>
      </w:tr>
      <w:tr>
        <w:trPr>
          <w:trHeight w:val="41"/>
        </w:trPr>
        <w:tc>
          <w:tcPr>
            <w:tcW w:w="4760" w:type="dxa"/>
            <w:vAlign w:val="bottom"/>
            <w:tcBorders>
              <w:top w:val="single" w:sz="8" w:color="0090DA"/>
            </w:tcBorders>
          </w:tcPr>
          <w:p>
            <w:pPr>
              <w:spacing w:after="0"/>
              <w:rPr>
                <w:sz w:val="3"/>
                <w:szCs w:val="3"/>
                <w:color w:val="auto"/>
              </w:rPr>
            </w:pPr>
          </w:p>
        </w:tc>
        <w:tc>
          <w:tcPr>
            <w:tcW w:w="280" w:type="dxa"/>
            <w:vAlign w:val="bottom"/>
            <w:tcBorders>
              <w:top w:val="single" w:sz="8" w:color="0090DA"/>
            </w:tcBorders>
          </w:tcPr>
          <w:p>
            <w:pPr>
              <w:spacing w:after="0"/>
              <w:rPr>
                <w:sz w:val="3"/>
                <w:szCs w:val="3"/>
                <w:color w:val="auto"/>
              </w:rPr>
            </w:pPr>
          </w:p>
        </w:tc>
        <w:tc>
          <w:tcPr>
            <w:tcW w:w="1360" w:type="dxa"/>
            <w:vAlign w:val="bottom"/>
            <w:tcBorders>
              <w:top w:val="single" w:sz="8" w:color="0090DA"/>
            </w:tcBorders>
          </w:tcPr>
          <w:p>
            <w:pPr>
              <w:spacing w:after="0"/>
              <w:rPr>
                <w:sz w:val="3"/>
                <w:szCs w:val="3"/>
                <w:color w:val="auto"/>
              </w:rPr>
            </w:pPr>
          </w:p>
        </w:tc>
        <w:tc>
          <w:tcPr>
            <w:tcW w:w="1540" w:type="dxa"/>
            <w:vAlign w:val="bottom"/>
            <w:tcBorders>
              <w:top w:val="single" w:sz="8" w:color="0090DA"/>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0090DA"/>
            </w:tcBorders>
          </w:tcPr>
          <w:p>
            <w:pPr>
              <w:spacing w:after="0"/>
              <w:rPr>
                <w:sz w:val="3"/>
                <w:szCs w:val="3"/>
                <w:color w:val="auto"/>
              </w:rPr>
            </w:pPr>
          </w:p>
        </w:tc>
        <w:tc>
          <w:tcPr>
            <w:tcW w:w="1380" w:type="dxa"/>
            <w:vAlign w:val="bottom"/>
            <w:tcBorders>
              <w:top w:val="single" w:sz="8" w:color="0090DA"/>
            </w:tcBorders>
          </w:tcPr>
          <w:p>
            <w:pPr>
              <w:spacing w:after="0"/>
              <w:rPr>
                <w:sz w:val="3"/>
                <w:szCs w:val="3"/>
                <w:color w:val="auto"/>
              </w:rPr>
            </w:pPr>
          </w:p>
        </w:tc>
        <w:tc>
          <w:tcPr>
            <w:tcW w:w="1540" w:type="dxa"/>
            <w:vAlign w:val="bottom"/>
            <w:tcBorders>
              <w:top w:val="single" w:sz="8" w:color="0090DA"/>
            </w:tcBorders>
          </w:tcPr>
          <w:p>
            <w:pPr>
              <w:spacing w:after="0"/>
              <w:rPr>
                <w:sz w:val="3"/>
                <w:szCs w:val="3"/>
                <w:color w:val="auto"/>
              </w:rPr>
            </w:pPr>
          </w:p>
        </w:tc>
      </w:tr>
      <w:tr>
        <w:trPr>
          <w:trHeight w:val="256"/>
        </w:trPr>
        <w:tc>
          <w:tcPr>
            <w:tcW w:w="4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IMFT</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ind w:left="94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D1D2D4"/>
          </w:tcPr>
          <w:p>
            <w:pPr>
              <w:ind w:left="1120"/>
              <w:spacing w:after="0"/>
              <w:rPr>
                <w:sz w:val="20"/>
                <w:szCs w:val="20"/>
                <w:color w:val="auto"/>
              </w:rPr>
            </w:pPr>
            <w:r>
              <w:rPr>
                <w:rFonts w:ascii="Arial" w:cs="Arial" w:eastAsia="Arial" w:hAnsi="Arial"/>
                <w:sz w:val="18"/>
                <w:szCs w:val="18"/>
                <w:color w:val="auto"/>
              </w:rPr>
              <w:t>— %  $</w:t>
            </w:r>
          </w:p>
        </w:tc>
        <w:tc>
          <w:tcPr>
            <w:tcW w:w="138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889</w:t>
            </w:r>
          </w:p>
        </w:tc>
        <w:tc>
          <w:tcPr>
            <w:tcW w:w="1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49 %</w:t>
            </w:r>
          </w:p>
        </w:tc>
      </w:tr>
    </w:tbl>
    <w:p>
      <w:pPr>
        <w:spacing w:after="0" w:line="35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October 31, 2019, we purchased Intel’s noncontrolling interest in IMFT, now known as MTU, and IMFT Member Debt for $1.25 billion. In connection therewith, we recognized a $160 million adjustment to equity for the difference between the $744 million of cash consideration allocated to Intel’s noncontrolling interest and its $904 million carrying value. (See “Debt” for the cash consideration allocated to, and extinguishment of, IMFT Member Debt.)</w:t>
      </w:r>
    </w:p>
    <w:p>
      <w:pPr>
        <w:spacing w:after="0" w:line="231"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Pursuant to the terms of the IMFT wafer supply agreement, Intel received supply from MTU from November 2019 through March 6, 2020, at a volume equal to approximately 50% of their volume from IMFT in the six-month period prior to closing. On March 9, 2020, we agreed with Intel to terminate such agreement and entered into a new 3D XPoint wafer supply agreement. IMFT sales to Intel in the first quarter of 2020 through the date of our acquisition of Intel’s noncontrolling interest in IMFT were $158 million. IMFT sales to Intel in the third quarter and first nine months of 2019 were $184 million and $531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2" w:name="page23"/>
    <w:bookmarkEnd w:id="22"/>
    <w:p>
      <w:pPr>
        <w:spacing w:after="0"/>
        <w:rPr>
          <w:sz w:val="20"/>
          <w:szCs w:val="20"/>
          <w:color w:val="auto"/>
        </w:rPr>
      </w:pPr>
      <w:r>
        <w:rPr>
          <w:rFonts w:ascii="Arial" w:cs="Arial" w:eastAsia="Arial" w:hAnsi="Arial"/>
          <w:sz w:val="40"/>
          <w:szCs w:val="40"/>
          <w:b w:val="1"/>
          <w:bCs w:val="1"/>
          <w:color w:val="auto"/>
        </w:rPr>
        <w:t>Fair Value Measurements</w:t>
      </w:r>
    </w:p>
    <w:p>
      <w:pPr>
        <w:spacing w:after="0" w:line="28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estimated fair values and carrying values of our outstanding debt instruments (excluding the carrying value of equity components of our convertible notes),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80" w:type="dxa"/>
            <w:vAlign w:val="bottom"/>
            <w:gridSpan w:val="4"/>
          </w:tcPr>
          <w:p>
            <w:pPr>
              <w:ind w:left="500"/>
              <w:spacing w:after="0"/>
              <w:rPr>
                <w:sz w:val="20"/>
                <w:szCs w:val="20"/>
                <w:color w:val="auto"/>
              </w:rPr>
            </w:pPr>
            <w:r>
              <w:rPr>
                <w:rFonts w:ascii="Arial" w:cs="Arial" w:eastAsia="Arial" w:hAnsi="Arial"/>
                <w:sz w:val="18"/>
                <w:szCs w:val="18"/>
                <w:b w:val="1"/>
                <w:bCs w:val="1"/>
                <w:color w:val="auto"/>
              </w:rPr>
              <w:t>May 28, 2020</w:t>
            </w:r>
          </w:p>
        </w:tc>
        <w:tc>
          <w:tcPr>
            <w:tcW w:w="260" w:type="dxa"/>
            <w:vAlign w:val="bottom"/>
          </w:tcPr>
          <w:p>
            <w:pPr>
              <w:spacing w:after="0"/>
              <w:rPr>
                <w:sz w:val="21"/>
                <w:szCs w:val="21"/>
                <w:color w:val="auto"/>
              </w:rPr>
            </w:pPr>
          </w:p>
        </w:tc>
        <w:tc>
          <w:tcPr>
            <w:tcW w:w="238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August 29, 2019</w:t>
            </w:r>
          </w:p>
        </w:tc>
        <w:tc>
          <w:tcPr>
            <w:tcW w:w="0" w:type="dxa"/>
            <w:vAlign w:val="bottom"/>
          </w:tcPr>
          <w:p>
            <w:pPr>
              <w:spacing w:after="0"/>
              <w:rPr>
                <w:sz w:val="1"/>
                <w:szCs w:val="1"/>
                <w:color w:val="auto"/>
              </w:rPr>
            </w:pPr>
          </w:p>
        </w:tc>
      </w:tr>
      <w:tr>
        <w:trPr>
          <w:trHeight w:val="176"/>
        </w:trPr>
        <w:tc>
          <w:tcPr>
            <w:tcW w:w="5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Borders>
              <w:top w:val="single" w:sz="8" w:color="0090DA"/>
            </w:tcBorders>
          </w:tcPr>
          <w:p>
            <w:pPr>
              <w:spacing w:after="0"/>
              <w:rPr>
                <w:sz w:val="15"/>
                <w:szCs w:val="15"/>
                <w:color w:val="auto"/>
              </w:rPr>
            </w:pPr>
          </w:p>
        </w:tc>
        <w:tc>
          <w:tcPr>
            <w:tcW w:w="980" w:type="dxa"/>
            <w:vAlign w:val="bottom"/>
            <w:tcBorders>
              <w:top w:val="single" w:sz="8" w:color="0090DA"/>
            </w:tcBorders>
          </w:tcPr>
          <w:p>
            <w:pPr>
              <w:jc w:val="right"/>
              <w:ind w:right="350"/>
              <w:spacing w:after="0" w:line="176" w:lineRule="exact"/>
              <w:rPr>
                <w:sz w:val="20"/>
                <w:szCs w:val="20"/>
                <w:color w:val="auto"/>
              </w:rPr>
            </w:pPr>
            <w:r>
              <w:rPr>
                <w:rFonts w:ascii="Arial" w:cs="Arial" w:eastAsia="Arial" w:hAnsi="Arial"/>
                <w:sz w:val="18"/>
                <w:szCs w:val="18"/>
                <w:b w:val="1"/>
                <w:bCs w:val="1"/>
                <w:color w:val="auto"/>
              </w:rPr>
              <w:t>Fair</w:t>
            </w:r>
          </w:p>
        </w:tc>
        <w:tc>
          <w:tcPr>
            <w:tcW w:w="260" w:type="dxa"/>
            <w:vAlign w:val="bottom"/>
            <w:tcBorders>
              <w:top w:val="single" w:sz="8" w:color="0090DA"/>
            </w:tcBorders>
          </w:tcPr>
          <w:p>
            <w:pPr>
              <w:spacing w:after="0"/>
              <w:rPr>
                <w:sz w:val="15"/>
                <w:szCs w:val="15"/>
                <w:color w:val="auto"/>
              </w:rPr>
            </w:pPr>
          </w:p>
        </w:tc>
        <w:tc>
          <w:tcPr>
            <w:tcW w:w="1120" w:type="dxa"/>
            <w:vAlign w:val="bottom"/>
            <w:tcBorders>
              <w:top w:val="single" w:sz="8" w:color="0090DA"/>
            </w:tcBorders>
          </w:tcPr>
          <w:p>
            <w:pPr>
              <w:jc w:val="center"/>
              <w:ind w:right="90"/>
              <w:spacing w:after="0" w:line="176"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5"/>
                <w:szCs w:val="15"/>
                <w:color w:val="auto"/>
              </w:rPr>
            </w:pPr>
          </w:p>
        </w:tc>
        <w:tc>
          <w:tcPr>
            <w:tcW w:w="260" w:type="dxa"/>
            <w:vAlign w:val="bottom"/>
            <w:tcBorders>
              <w:top w:val="single" w:sz="8" w:color="0090DA"/>
            </w:tcBorders>
          </w:tcPr>
          <w:p>
            <w:pPr>
              <w:spacing w:after="0"/>
              <w:rPr>
                <w:sz w:val="15"/>
                <w:szCs w:val="15"/>
                <w:color w:val="auto"/>
              </w:rPr>
            </w:pPr>
          </w:p>
        </w:tc>
        <w:tc>
          <w:tcPr>
            <w:tcW w:w="980" w:type="dxa"/>
            <w:vAlign w:val="bottom"/>
            <w:tcBorders>
              <w:top w:val="single" w:sz="8" w:color="0090DA"/>
            </w:tcBorders>
          </w:tcPr>
          <w:p>
            <w:pPr>
              <w:jc w:val="right"/>
              <w:ind w:right="330"/>
              <w:spacing w:after="0" w:line="176" w:lineRule="exact"/>
              <w:rPr>
                <w:sz w:val="20"/>
                <w:szCs w:val="20"/>
                <w:color w:val="auto"/>
              </w:rPr>
            </w:pPr>
            <w:r>
              <w:rPr>
                <w:rFonts w:ascii="Arial" w:cs="Arial" w:eastAsia="Arial" w:hAnsi="Arial"/>
                <w:sz w:val="18"/>
                <w:szCs w:val="18"/>
                <w:b w:val="1"/>
                <w:bCs w:val="1"/>
                <w:color w:val="auto"/>
              </w:rPr>
              <w:t>Fair</w:t>
            </w:r>
          </w:p>
        </w:tc>
        <w:tc>
          <w:tcPr>
            <w:tcW w:w="280" w:type="dxa"/>
            <w:vAlign w:val="bottom"/>
            <w:tcBorders>
              <w:top w:val="single" w:sz="8" w:color="0090DA"/>
            </w:tcBorders>
          </w:tcPr>
          <w:p>
            <w:pPr>
              <w:spacing w:after="0"/>
              <w:rPr>
                <w:sz w:val="15"/>
                <w:szCs w:val="15"/>
                <w:color w:val="auto"/>
              </w:rPr>
            </w:pPr>
          </w:p>
        </w:tc>
        <w:tc>
          <w:tcPr>
            <w:tcW w:w="1120" w:type="dxa"/>
            <w:vAlign w:val="bottom"/>
            <w:tcBorders>
              <w:top w:val="single" w:sz="8" w:color="0090DA"/>
            </w:tcBorders>
          </w:tcPr>
          <w:p>
            <w:pPr>
              <w:jc w:val="right"/>
              <w:ind w:right="210"/>
              <w:spacing w:after="0" w:line="176" w:lineRule="exact"/>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29"/>
        </w:trPr>
        <w:tc>
          <w:tcPr>
            <w:tcW w:w="5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26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Value</w:t>
            </w:r>
          </w:p>
        </w:tc>
        <w:tc>
          <w:tcPr>
            <w:tcW w:w="260" w:type="dxa"/>
            <w:vAlign w:val="bottom"/>
          </w:tcPr>
          <w:p>
            <w:pPr>
              <w:spacing w:after="0"/>
              <w:rPr>
                <w:sz w:val="19"/>
                <w:szCs w:val="19"/>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584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 and MMJ Creditor Payments</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6,532</w:t>
            </w:r>
          </w:p>
        </w:tc>
        <w:tc>
          <w:tcPr>
            <w:tcW w:w="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6,027</w:t>
            </w:r>
          </w:p>
        </w:tc>
        <w:tc>
          <w:tcPr>
            <w:tcW w:w="120" w:type="dxa"/>
            <w:vAlign w:val="bottom"/>
            <w:shd w:val="clear" w:color="auto" w:fill="D1D2D4"/>
          </w:tcPr>
          <w:p>
            <w:pPr>
              <w:spacing w:after="0"/>
              <w:rPr>
                <w:sz w:val="22"/>
                <w:szCs w:val="22"/>
                <w:color w:val="auto"/>
              </w:rPr>
            </w:pP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5,194</w:t>
            </w: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663</w:t>
            </w:r>
          </w:p>
        </w:tc>
        <w:tc>
          <w:tcPr>
            <w:tcW w:w="2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852</w:t>
            </w: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fair values of our convertible notes in the table above were determined based on Level 2 inputs, including the trading price of our convertible notes when available, our stock price, and interest rates based on similar debt issued by parties with credit ratings similar to ours. The fair values of our other debt instruments were estimated based on Level 2 inputs, including discounted cash flows, the trading price of our notes when available, and interest rates based on similar debt issued by parties with credit ratings similar to ours.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Derivative Instruments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Fair Value of</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5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Notional</w:t>
            </w:r>
          </w:p>
        </w:tc>
        <w:tc>
          <w:tcPr>
            <w:tcW w:w="160" w:type="dxa"/>
            <w:vAlign w:val="bottom"/>
            <w:tcBorders>
              <w:bottom w:val="single" w:sz="8" w:color="0090DA"/>
            </w:tcBorders>
          </w:tcPr>
          <w:p>
            <w:pPr>
              <w:spacing w:after="0"/>
              <w:rPr>
                <w:sz w:val="3"/>
                <w:szCs w:val="3"/>
                <w:color w:val="auto"/>
              </w:rPr>
            </w:pPr>
          </w:p>
        </w:tc>
        <w:tc>
          <w:tcPr>
            <w:tcW w:w="940" w:type="dxa"/>
            <w:vAlign w:val="bottom"/>
            <w:tcBorders>
              <w:bottom w:val="single" w:sz="8" w:color="0090DA"/>
            </w:tcBorders>
          </w:tcPr>
          <w:p>
            <w:pPr>
              <w:spacing w:after="0"/>
              <w:rPr>
                <w:sz w:val="3"/>
                <w:szCs w:val="3"/>
                <w:color w:val="auto"/>
              </w:rPr>
            </w:pPr>
          </w:p>
        </w:tc>
        <w:tc>
          <w:tcPr>
            <w:tcW w:w="260" w:type="dxa"/>
            <w:vAlign w:val="bottom"/>
            <w:tcBorders>
              <w:bottom w:val="single" w:sz="8" w:color="0090DA"/>
            </w:tcBorders>
          </w:tcPr>
          <w:p>
            <w:pPr>
              <w:spacing w:after="0"/>
              <w:rPr>
                <w:sz w:val="3"/>
                <w:szCs w:val="3"/>
                <w:color w:val="auto"/>
              </w:rPr>
            </w:pPr>
          </w:p>
        </w:tc>
        <w:tc>
          <w:tcPr>
            <w:tcW w:w="960" w:type="dxa"/>
            <w:vAlign w:val="bottom"/>
            <w:tcBorders>
              <w:bottom w:val="single" w:sz="8" w:color="0090DA"/>
            </w:tcBorders>
          </w:tcPr>
          <w:p>
            <w:pPr>
              <w:spacing w:after="0"/>
              <w:rPr>
                <w:sz w:val="3"/>
                <w:szCs w:val="3"/>
                <w:color w:val="auto"/>
              </w:rPr>
            </w:pPr>
          </w:p>
        </w:tc>
        <w:tc>
          <w:tcPr>
            <w:tcW w:w="1200" w:type="dxa"/>
            <w:vAlign w:val="bottom"/>
            <w:tcBorders>
              <w:bottom w:val="single" w:sz="8" w:color="0090DA"/>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rPr>
              <w:t>Current</w:t>
            </w:r>
          </w:p>
        </w:tc>
        <w:tc>
          <w:tcPr>
            <w:tcW w:w="260" w:type="dxa"/>
            <w:vAlign w:val="bottom"/>
          </w:tcPr>
          <w:p>
            <w:pPr>
              <w:spacing w:after="0"/>
              <w:rPr>
                <w:sz w:val="14"/>
                <w:szCs w:val="14"/>
                <w:color w:val="auto"/>
              </w:rPr>
            </w:pPr>
          </w:p>
        </w:tc>
        <w:tc>
          <w:tcPr>
            <w:tcW w:w="9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8"/>
              </w:rPr>
              <w:t>Current</w:t>
            </w:r>
          </w:p>
        </w:tc>
        <w:tc>
          <w:tcPr>
            <w:tcW w:w="1200" w:type="dxa"/>
            <w:vAlign w:val="bottom"/>
            <w:gridSpan w:val="2"/>
          </w:tcPr>
          <w:p>
            <w:pPr>
              <w:ind w:left="120"/>
              <w:spacing w:after="0" w:line="169" w:lineRule="exact"/>
              <w:rPr>
                <w:sz w:val="20"/>
                <w:szCs w:val="20"/>
                <w:color w:val="auto"/>
              </w:rPr>
            </w:pPr>
            <w:r>
              <w:rPr>
                <w:rFonts w:ascii="Arial" w:cs="Arial" w:eastAsia="Arial" w:hAnsi="Arial"/>
                <w:sz w:val="18"/>
                <w:szCs w:val="18"/>
                <w:b w:val="1"/>
                <w:bCs w:val="1"/>
                <w:color w:val="auto"/>
              </w:rPr>
              <w:t>Noncurrent</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0090DA"/>
            </w:tcBorders>
          </w:tcPr>
          <w:p>
            <w:pPr>
              <w:spacing w:after="0"/>
              <w:rPr>
                <w:sz w:val="19"/>
                <w:szCs w:val="19"/>
                <w:color w:val="auto"/>
              </w:rPr>
            </w:pPr>
          </w:p>
        </w:tc>
        <w:tc>
          <w:tcPr>
            <w:tcW w:w="1000" w:type="dxa"/>
            <w:vAlign w:val="bottom"/>
            <w:tcBorders>
              <w:bottom w:val="single" w:sz="8" w:color="0090DA"/>
            </w:tcBorders>
          </w:tcPr>
          <w:p>
            <w:pPr>
              <w:spacing w:after="0"/>
              <w:rPr>
                <w:sz w:val="19"/>
                <w:szCs w:val="19"/>
                <w:color w:val="auto"/>
              </w:rPr>
            </w:pPr>
          </w:p>
        </w:tc>
        <w:tc>
          <w:tcPr>
            <w:tcW w:w="100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0090DA"/>
            </w:tcBorders>
          </w:tcPr>
          <w:p>
            <w:pPr>
              <w:spacing w:after="0"/>
              <w:rPr>
                <w:sz w:val="19"/>
                <w:szCs w:val="19"/>
                <w:color w:val="auto"/>
              </w:rPr>
            </w:pPr>
          </w:p>
        </w:tc>
        <w:tc>
          <w:tcPr>
            <w:tcW w:w="940" w:type="dxa"/>
            <w:vAlign w:val="bottom"/>
            <w:tcBorders>
              <w:bottom w:val="single" w:sz="8" w:color="0090DA"/>
            </w:tcBorders>
          </w:tcPr>
          <w:p>
            <w:pPr>
              <w:jc w:val="right"/>
              <w:ind w:right="50"/>
              <w:spacing w:after="0" w:line="230"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(1)</w:t>
            </w:r>
          </w:p>
        </w:tc>
        <w:tc>
          <w:tcPr>
            <w:tcW w:w="1220" w:type="dxa"/>
            <w:vAlign w:val="bottom"/>
            <w:tcBorders>
              <w:bottom w:val="single" w:sz="8" w:color="0090DA"/>
            </w:tcBorders>
            <w:gridSpan w:val="2"/>
          </w:tcPr>
          <w:p>
            <w:pPr>
              <w:jc w:val="center"/>
              <w:ind w:left="10"/>
              <w:spacing w:after="0" w:line="230" w:lineRule="exact"/>
              <w:rPr>
                <w:sz w:val="20"/>
                <w:szCs w:val="20"/>
                <w:color w:val="auto"/>
              </w:rPr>
            </w:pPr>
            <w:r>
              <w:rPr>
                <w:rFonts w:ascii="Arial" w:cs="Arial" w:eastAsia="Arial" w:hAnsi="Arial"/>
                <w:sz w:val="18"/>
                <w:szCs w:val="18"/>
                <w:b w:val="1"/>
                <w:bCs w:val="1"/>
                <w:color w:val="auto"/>
                <w:w w:val="94"/>
              </w:rPr>
              <w:t>Liabilities</w:t>
            </w:r>
            <w:r>
              <w:rPr>
                <w:rFonts w:ascii="Arial" w:cs="Arial" w:eastAsia="Arial" w:hAnsi="Arial"/>
                <w:sz w:val="23"/>
                <w:szCs w:val="23"/>
                <w:b w:val="1"/>
                <w:bCs w:val="1"/>
                <w:color w:val="auto"/>
                <w:w w:val="94"/>
                <w:vertAlign w:val="superscript"/>
              </w:rPr>
              <w:t>(2)</w:t>
            </w:r>
          </w:p>
        </w:tc>
        <w:tc>
          <w:tcPr>
            <w:tcW w:w="1200" w:type="dxa"/>
            <w:vAlign w:val="bottom"/>
            <w:tcBorders>
              <w:bottom w:val="single" w:sz="8" w:color="0090DA"/>
            </w:tcBorders>
            <w:gridSpan w:val="2"/>
          </w:tcPr>
          <w:p>
            <w:pPr>
              <w:ind w:left="120"/>
              <w:spacing w:after="0" w:line="230" w:lineRule="exact"/>
              <w:rPr>
                <w:sz w:val="20"/>
                <w:szCs w:val="20"/>
                <w:color w:val="auto"/>
              </w:rPr>
            </w:pPr>
            <w:r>
              <w:rPr>
                <w:rFonts w:ascii="Arial" w:cs="Arial" w:eastAsia="Arial" w:hAnsi="Arial"/>
                <w:sz w:val="18"/>
                <w:szCs w:val="18"/>
                <w:b w:val="1"/>
                <w:bCs w:val="1"/>
                <w:color w:val="auto"/>
              </w:rPr>
              <w:t>Liabilities</w:t>
            </w:r>
            <w:r>
              <w:rPr>
                <w:rFonts w:ascii="Arial" w:cs="Arial" w:eastAsia="Arial" w:hAnsi="Arial"/>
                <w:sz w:val="23"/>
                <w:szCs w:val="23"/>
                <w:b w:val="1"/>
                <w:bCs w:val="1"/>
                <w:color w:val="auto"/>
                <w:vertAlign w:val="superscript"/>
              </w:rPr>
              <w:t>(3)</w:t>
            </w:r>
          </w:p>
        </w:tc>
        <w:tc>
          <w:tcPr>
            <w:tcW w:w="0" w:type="dxa"/>
            <w:vAlign w:val="bottom"/>
          </w:tcPr>
          <w:p>
            <w:pPr>
              <w:spacing w:after="0"/>
              <w:rPr>
                <w:sz w:val="1"/>
                <w:szCs w:val="1"/>
                <w:color w:val="auto"/>
              </w:rPr>
            </w:pPr>
          </w:p>
        </w:tc>
      </w:tr>
      <w:tr>
        <w:trPr>
          <w:trHeight w:val="34"/>
        </w:trPr>
        <w:tc>
          <w:tcPr>
            <w:tcW w:w="5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7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May 28, 2020</w:t>
            </w:r>
          </w:p>
        </w:tc>
        <w:tc>
          <w:tcPr>
            <w:tcW w:w="1000" w:type="dxa"/>
            <w:vAlign w:val="bottom"/>
            <w:shd w:val="clear" w:color="auto" w:fill="D1D2D4"/>
          </w:tcPr>
          <w:p>
            <w:pPr>
              <w:spacing w:after="0"/>
              <w:rPr>
                <w:sz w:val="22"/>
                <w:szCs w:val="22"/>
                <w:color w:val="auto"/>
              </w:rPr>
            </w:pPr>
          </w:p>
        </w:tc>
        <w:tc>
          <w:tcPr>
            <w:tcW w:w="10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94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960" w:type="dxa"/>
            <w:vAlign w:val="bottom"/>
            <w:shd w:val="clear" w:color="auto" w:fill="D1D2D4"/>
          </w:tcPr>
          <w:p>
            <w:pPr>
              <w:spacing w:after="0"/>
              <w:rPr>
                <w:sz w:val="22"/>
                <w:szCs w:val="22"/>
                <w:color w:val="auto"/>
              </w:rPr>
            </w:pPr>
          </w:p>
        </w:tc>
        <w:tc>
          <w:tcPr>
            <w:tcW w:w="500" w:type="dxa"/>
            <w:vAlign w:val="bottom"/>
            <w:shd w:val="clear" w:color="auto" w:fill="D1D2D4"/>
          </w:tcPr>
          <w:p>
            <w:pPr>
              <w:spacing w:after="0"/>
              <w:rPr>
                <w:sz w:val="22"/>
                <w:szCs w:val="22"/>
                <w:color w:val="auto"/>
              </w:rPr>
            </w:pPr>
          </w:p>
        </w:tc>
        <w:tc>
          <w:tcPr>
            <w:tcW w:w="7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1,884</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D1D2D4"/>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ind w:left="3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6"/>
        </w:trPr>
        <w:tc>
          <w:tcPr>
            <w:tcW w:w="5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00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500" w:type="dxa"/>
            <w:vAlign w:val="bottom"/>
            <w:shd w:val="clear" w:color="auto" w:fill="D1D2D4"/>
          </w:tcPr>
          <w:p>
            <w:pPr>
              <w:spacing w:after="0"/>
              <w:rPr>
                <w:sz w:val="19"/>
                <w:szCs w:val="19"/>
                <w:color w:val="auto"/>
              </w:rPr>
            </w:pPr>
          </w:p>
        </w:tc>
        <w:tc>
          <w:tcPr>
            <w:tcW w:w="7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000" w:type="dxa"/>
            <w:vAlign w:val="bottom"/>
            <w:tcBorders>
              <w:bottom w:val="single" w:sz="8" w:color="D1D2D4"/>
            </w:tcBorders>
          </w:tcPr>
          <w:p>
            <w:pPr>
              <w:spacing w:after="0"/>
              <w:rPr>
                <w:sz w:val="22"/>
                <w:szCs w:val="22"/>
                <w:color w:val="auto"/>
              </w:rPr>
            </w:pPr>
          </w:p>
        </w:tc>
        <w:tc>
          <w:tcPr>
            <w:tcW w:w="1000" w:type="dxa"/>
            <w:vAlign w:val="bottom"/>
            <w:tcBorders>
              <w:bottom w:val="single" w:sz="8" w:color="D1D2D4"/>
            </w:tcBorders>
          </w:tcPr>
          <w:p>
            <w:pPr>
              <w:jc w:val="right"/>
              <w:ind w:right="70"/>
              <w:spacing w:after="0"/>
              <w:rPr>
                <w:sz w:val="20"/>
                <w:szCs w:val="20"/>
                <w:color w:val="auto"/>
              </w:rPr>
            </w:pPr>
            <w:r>
              <w:rPr>
                <w:rFonts w:ascii="Arial" w:cs="Arial" w:eastAsia="Arial" w:hAnsi="Arial"/>
                <w:sz w:val="18"/>
                <w:szCs w:val="18"/>
                <w:color w:val="auto"/>
              </w:rPr>
              <w:t>1,155</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5720" w:type="dxa"/>
            <w:vAlign w:val="bottom"/>
            <w:tcBorders>
              <w:bottom w:val="single" w:sz="8" w:color="D1D2D4"/>
            </w:tcBorders>
            <w:shd w:val="clear" w:color="auto" w:fill="D1D2D4"/>
          </w:tcPr>
          <w:p>
            <w:pPr>
              <w:spacing w:after="0"/>
              <w:rPr>
                <w:sz w:val="22"/>
                <w:szCs w:val="22"/>
                <w:color w:val="auto"/>
              </w:rPr>
            </w:pPr>
          </w:p>
        </w:tc>
        <w:tc>
          <w:tcPr>
            <w:tcW w:w="1000" w:type="dxa"/>
            <w:vAlign w:val="bottom"/>
            <w:tcBorders>
              <w:bottom w:val="single" w:sz="8" w:color="D1D2D4"/>
            </w:tcBorders>
            <w:shd w:val="clear" w:color="auto" w:fill="D1D2D4"/>
          </w:tcPr>
          <w:p>
            <w:pPr>
              <w:spacing w:after="0"/>
              <w:rPr>
                <w:sz w:val="22"/>
                <w:szCs w:val="22"/>
                <w:color w:val="auto"/>
              </w:rPr>
            </w:pPr>
          </w:p>
        </w:tc>
        <w:tc>
          <w:tcPr>
            <w:tcW w:w="1000" w:type="dxa"/>
            <w:vAlign w:val="bottom"/>
            <w:tcBorders>
              <w:bottom w:val="single" w:sz="8" w:color="D1D2D4"/>
            </w:tcBorders>
            <w:shd w:val="clear" w:color="auto" w:fill="D1D2D4"/>
          </w:tcPr>
          <w:p>
            <w:pPr>
              <w:spacing w:after="0"/>
              <w:rPr>
                <w:sz w:val="22"/>
                <w:szCs w:val="22"/>
                <w:color w:val="auto"/>
              </w:rPr>
            </w:pP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500" w:type="dxa"/>
            <w:vAlign w:val="bottom"/>
            <w:tcBorders>
              <w:bottom w:val="single" w:sz="8" w:color="auto"/>
            </w:tcBorders>
            <w:shd w:val="clear" w:color="auto" w:fill="D1D2D4"/>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D1D2D4"/>
          </w:tcPr>
          <w:p>
            <w:pPr>
              <w:ind w:left="3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20" w:type="dxa"/>
            <w:vAlign w:val="bottom"/>
            <w:tcBorders>
              <w:top w:val="single" w:sz="8" w:color="D1D2D4"/>
            </w:tcBorders>
          </w:tcPr>
          <w:p>
            <w:pPr>
              <w:spacing w:after="0" w:line="20" w:lineRule="exact"/>
              <w:rPr>
                <w:sz w:val="1"/>
                <w:szCs w:val="1"/>
                <w:color w:val="auto"/>
              </w:rPr>
            </w:pPr>
          </w:p>
        </w:tc>
        <w:tc>
          <w:tcPr>
            <w:tcW w:w="1000" w:type="dxa"/>
            <w:vAlign w:val="bottom"/>
            <w:tcBorders>
              <w:top w:val="single" w:sz="8" w:color="D1D2D4"/>
            </w:tcBorders>
          </w:tcPr>
          <w:p>
            <w:pPr>
              <w:spacing w:after="0" w:line="20" w:lineRule="exact"/>
              <w:rPr>
                <w:sz w:val="1"/>
                <w:szCs w:val="1"/>
                <w:color w:val="auto"/>
              </w:rPr>
            </w:pPr>
          </w:p>
        </w:tc>
        <w:tc>
          <w:tcPr>
            <w:tcW w:w="100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94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960" w:type="dxa"/>
            <w:vAlign w:val="bottom"/>
            <w:tcBorders>
              <w:top w:val="single" w:sz="8" w:color="D1D2D4"/>
              <w:bottom w:val="single" w:sz="8" w:color="auto"/>
            </w:tcBorders>
          </w:tcPr>
          <w:p>
            <w:pPr>
              <w:spacing w:after="0" w:line="20" w:lineRule="exact"/>
              <w:rPr>
                <w:sz w:val="1"/>
                <w:szCs w:val="1"/>
                <w:color w:val="auto"/>
              </w:rPr>
            </w:pPr>
          </w:p>
        </w:tc>
        <w:tc>
          <w:tcPr>
            <w:tcW w:w="50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August 29, 2019</w:t>
            </w:r>
          </w:p>
        </w:tc>
        <w:tc>
          <w:tcPr>
            <w:tcW w:w="1000" w:type="dxa"/>
            <w:vAlign w:val="bottom"/>
            <w:shd w:val="clear" w:color="auto" w:fill="D1D2D4"/>
          </w:tcPr>
          <w:p>
            <w:pPr>
              <w:spacing w:after="0"/>
              <w:rPr>
                <w:sz w:val="22"/>
                <w:szCs w:val="22"/>
                <w:color w:val="auto"/>
              </w:rPr>
            </w:pPr>
          </w:p>
        </w:tc>
        <w:tc>
          <w:tcPr>
            <w:tcW w:w="10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94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960" w:type="dxa"/>
            <w:vAlign w:val="bottom"/>
            <w:shd w:val="clear" w:color="auto" w:fill="D1D2D4"/>
          </w:tcPr>
          <w:p>
            <w:pPr>
              <w:spacing w:after="0"/>
              <w:rPr>
                <w:sz w:val="22"/>
                <w:szCs w:val="22"/>
                <w:color w:val="auto"/>
              </w:rPr>
            </w:pPr>
          </w:p>
        </w:tc>
        <w:tc>
          <w:tcPr>
            <w:tcW w:w="500" w:type="dxa"/>
            <w:vAlign w:val="bottom"/>
            <w:shd w:val="clear" w:color="auto" w:fill="D1D2D4"/>
          </w:tcPr>
          <w:p>
            <w:pPr>
              <w:spacing w:after="0"/>
              <w:rPr>
                <w:sz w:val="22"/>
                <w:szCs w:val="22"/>
                <w:color w:val="auto"/>
              </w:rPr>
            </w:pPr>
          </w:p>
        </w:tc>
        <w:tc>
          <w:tcPr>
            <w:tcW w:w="7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D1D2D4"/>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00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500" w:type="dxa"/>
            <w:vAlign w:val="bottom"/>
            <w:shd w:val="clear" w:color="auto" w:fill="D1D2D4"/>
          </w:tcPr>
          <w:p>
            <w:pPr>
              <w:spacing w:after="0"/>
              <w:rPr>
                <w:sz w:val="19"/>
                <w:szCs w:val="19"/>
                <w:color w:val="auto"/>
              </w:rPr>
            </w:pPr>
          </w:p>
        </w:tc>
        <w:tc>
          <w:tcPr>
            <w:tcW w:w="7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20" w:type="dxa"/>
            <w:vAlign w:val="bottom"/>
          </w:tcPr>
          <w:p>
            <w:pPr>
              <w:ind w:left="180"/>
              <w:spacing w:after="0"/>
              <w:rPr>
                <w:sz w:val="20"/>
                <w:szCs w:val="20"/>
                <w:color w:val="auto"/>
              </w:rPr>
            </w:pPr>
            <w:r>
              <w:rPr>
                <w:rFonts w:ascii="Arial" w:cs="Arial" w:eastAsia="Arial" w:hAnsi="Arial"/>
                <w:sz w:val="18"/>
                <w:szCs w:val="18"/>
                <w:color w:val="auto"/>
              </w:rPr>
              <w:t>Non-designated currency hedges</w:t>
            </w:r>
          </w:p>
        </w:tc>
        <w:tc>
          <w:tcPr>
            <w:tcW w:w="1000" w:type="dxa"/>
            <w:vAlign w:val="bottom"/>
          </w:tcPr>
          <w:p>
            <w:pPr>
              <w:spacing w:after="0"/>
              <w:rPr>
                <w:sz w:val="22"/>
                <w:szCs w:val="22"/>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1,871</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2"/>
                <w:szCs w:val="22"/>
                <w:color w:val="auto"/>
              </w:rPr>
            </w:pPr>
          </w:p>
        </w:tc>
        <w:tc>
          <w:tcPr>
            <w:tcW w:w="70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720" w:type="dxa"/>
            <w:vAlign w:val="bottom"/>
            <w:shd w:val="clear" w:color="auto" w:fill="D1D2D4"/>
          </w:tcPr>
          <w:p>
            <w:pPr>
              <w:ind w:left="20"/>
              <w:spacing w:after="0" w:line="256" w:lineRule="exact"/>
              <w:rPr>
                <w:sz w:val="20"/>
                <w:szCs w:val="20"/>
                <w:color w:val="auto"/>
              </w:rPr>
            </w:pPr>
            <w:r>
              <w:rPr>
                <w:rFonts w:ascii="Arial" w:cs="Arial" w:eastAsia="Arial" w:hAnsi="Arial"/>
                <w:sz w:val="18"/>
                <w:szCs w:val="18"/>
                <w:color w:val="auto"/>
              </w:rPr>
              <w:t>Convertible notes settlement obligation</w:t>
            </w:r>
            <w:r>
              <w:rPr>
                <w:rFonts w:ascii="Arial" w:cs="Arial" w:eastAsia="Arial" w:hAnsi="Arial"/>
                <w:sz w:val="23"/>
                <w:szCs w:val="23"/>
                <w:color w:val="auto"/>
                <w:vertAlign w:val="superscript"/>
              </w:rPr>
              <w:t>(4)</w:t>
            </w:r>
          </w:p>
        </w:tc>
        <w:tc>
          <w:tcPr>
            <w:tcW w:w="1000" w:type="dxa"/>
            <w:vAlign w:val="bottom"/>
            <w:shd w:val="clear" w:color="auto" w:fill="D1D2D4"/>
          </w:tcPr>
          <w:p>
            <w:pPr>
              <w:spacing w:after="0"/>
              <w:rPr>
                <w:sz w:val="22"/>
                <w:szCs w:val="22"/>
                <w:color w:val="auto"/>
              </w:rPr>
            </w:pPr>
          </w:p>
        </w:tc>
        <w:tc>
          <w:tcPr>
            <w:tcW w:w="1000" w:type="dxa"/>
            <w:vAlign w:val="bottom"/>
            <w:shd w:val="clear" w:color="auto" w:fill="D1D2D4"/>
          </w:tcPr>
          <w:p>
            <w:pPr>
              <w:spacing w:after="0"/>
              <w:rPr>
                <w:sz w:val="22"/>
                <w:szCs w:val="22"/>
                <w:color w:val="auto"/>
              </w:rPr>
            </w:pPr>
          </w:p>
        </w:tc>
        <w:tc>
          <w:tcPr>
            <w:tcW w:w="160" w:type="dxa"/>
            <w:vAlign w:val="bottom"/>
            <w:tcBorders>
              <w:bottom w:val="single" w:sz="8" w:color="auto"/>
            </w:tcBorders>
            <w:shd w:val="clear" w:color="auto" w:fill="D1D2D4"/>
          </w:tcPr>
          <w:p>
            <w:pPr>
              <w:spacing w:after="0"/>
              <w:rPr>
                <w:sz w:val="22"/>
                <w:szCs w:val="22"/>
                <w:color w:val="auto"/>
              </w:rPr>
            </w:pP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1D2D4"/>
          </w:tcPr>
          <w:p>
            <w:pPr>
              <w:spacing w:after="0"/>
              <w:rPr>
                <w:sz w:val="22"/>
                <w:szCs w:val="22"/>
                <w:color w:val="auto"/>
              </w:rPr>
            </w:pP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(179)</w:t>
            </w:r>
          </w:p>
        </w:tc>
        <w:tc>
          <w:tcPr>
            <w:tcW w:w="500" w:type="dxa"/>
            <w:vAlign w:val="bottom"/>
            <w:tcBorders>
              <w:bottom w:val="single" w:sz="8" w:color="auto"/>
            </w:tcBorders>
            <w:shd w:val="clear" w:color="auto" w:fill="D1D2D4"/>
          </w:tcPr>
          <w:p>
            <w:pPr>
              <w:spacing w:after="0"/>
              <w:rPr>
                <w:sz w:val="22"/>
                <w:szCs w:val="22"/>
                <w:color w:val="auto"/>
              </w:rPr>
            </w:pPr>
          </w:p>
        </w:tc>
        <w:tc>
          <w:tcPr>
            <w:tcW w:w="700" w:type="dxa"/>
            <w:vAlign w:val="bottom"/>
            <w:tcBorders>
              <w:bottom w:val="single" w:sz="8" w:color="auto"/>
            </w:tcBorders>
            <w:shd w:val="clear" w:color="auto" w:fill="D1D2D4"/>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Borders>
              <w:bottom w:val="single" w:sz="8" w:color="D1D2D4"/>
            </w:tcBorders>
          </w:tcPr>
          <w:p>
            <w:pPr>
              <w:spacing w:after="0"/>
              <w:rPr>
                <w:sz w:val="21"/>
                <w:szCs w:val="21"/>
                <w:color w:val="auto"/>
              </w:rPr>
            </w:pPr>
          </w:p>
        </w:tc>
        <w:tc>
          <w:tcPr>
            <w:tcW w:w="1000" w:type="dxa"/>
            <w:vAlign w:val="bottom"/>
            <w:tcBorders>
              <w:bottom w:val="single" w:sz="8" w:color="D1D2D4"/>
            </w:tcBorders>
          </w:tcPr>
          <w:p>
            <w:pPr>
              <w:spacing w:after="0"/>
              <w:rPr>
                <w:sz w:val="21"/>
                <w:szCs w:val="21"/>
                <w:color w:val="auto"/>
              </w:rPr>
            </w:pPr>
          </w:p>
        </w:tc>
        <w:tc>
          <w:tcPr>
            <w:tcW w:w="1000" w:type="dxa"/>
            <w:vAlign w:val="bottom"/>
            <w:tcBorders>
              <w:bottom w:val="single" w:sz="8" w:color="D1D2D4"/>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5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shd w:val="clear" w:color="auto" w:fill="D1D2D4"/>
          </w:tcPr>
          <w:p>
            <w:pPr>
              <w:spacing w:after="0"/>
              <w:rPr>
                <w:sz w:val="21"/>
                <w:szCs w:val="21"/>
                <w:color w:val="auto"/>
              </w:rPr>
            </w:pPr>
          </w:p>
        </w:tc>
        <w:tc>
          <w:tcPr>
            <w:tcW w:w="1000" w:type="dxa"/>
            <w:vAlign w:val="bottom"/>
            <w:shd w:val="clear" w:color="auto" w:fill="D1D2D4"/>
          </w:tcPr>
          <w:p>
            <w:pPr>
              <w:spacing w:after="0"/>
              <w:rPr>
                <w:sz w:val="21"/>
                <w:szCs w:val="21"/>
                <w:color w:val="auto"/>
              </w:rPr>
            </w:pPr>
          </w:p>
        </w:tc>
        <w:tc>
          <w:tcPr>
            <w:tcW w:w="1000" w:type="dxa"/>
            <w:vAlign w:val="bottom"/>
            <w:shd w:val="clear" w:color="auto" w:fill="D1D2D4"/>
          </w:tcPr>
          <w:p>
            <w:pPr>
              <w:spacing w:after="0"/>
              <w:rPr>
                <w:sz w:val="21"/>
                <w:szCs w:val="21"/>
                <w:color w:val="auto"/>
              </w:rPr>
            </w:pPr>
          </w:p>
        </w:tc>
        <w:tc>
          <w:tcPr>
            <w:tcW w:w="160" w:type="dxa"/>
            <w:vAlign w:val="bottom"/>
            <w:tcBorders>
              <w:bottom w:val="single" w:sz="8" w:color="auto"/>
            </w:tcBorders>
            <w:shd w:val="clear" w:color="auto" w:fill="D1D2D4"/>
          </w:tcPr>
          <w:p>
            <w:pPr>
              <w:spacing w:after="0"/>
              <w:rPr>
                <w:sz w:val="21"/>
                <w:szCs w:val="21"/>
                <w:color w:val="auto"/>
              </w:rPr>
            </w:pPr>
          </w:p>
        </w:tc>
        <w:tc>
          <w:tcPr>
            <w:tcW w:w="940" w:type="dxa"/>
            <w:vAlign w:val="bottom"/>
            <w:tcBorders>
              <w:bottom w:val="single" w:sz="8" w:color="auto"/>
            </w:tcBorders>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spacing w:after="0"/>
              <w:rPr>
                <w:sz w:val="21"/>
                <w:szCs w:val="21"/>
                <w:color w:val="auto"/>
              </w:rPr>
            </w:pPr>
          </w:p>
        </w:tc>
        <w:tc>
          <w:tcPr>
            <w:tcW w:w="960" w:type="dxa"/>
            <w:vAlign w:val="bottom"/>
            <w:tcBorders>
              <w:bottom w:val="single" w:sz="8" w:color="auto"/>
            </w:tcBorders>
            <w:shd w:val="clear" w:color="auto" w:fill="D1D2D4"/>
          </w:tcPr>
          <w:p>
            <w:pPr>
              <w:spacing w:after="0"/>
              <w:rPr>
                <w:sz w:val="21"/>
                <w:szCs w:val="21"/>
                <w:color w:val="auto"/>
              </w:rPr>
            </w:pPr>
          </w:p>
        </w:tc>
        <w:tc>
          <w:tcPr>
            <w:tcW w:w="500" w:type="dxa"/>
            <w:vAlign w:val="bottom"/>
            <w:tcBorders>
              <w:bottom w:val="single" w:sz="8" w:color="auto"/>
            </w:tcBorders>
            <w:shd w:val="clear" w:color="auto" w:fill="D1D2D4"/>
          </w:tcPr>
          <w:p>
            <w:pPr>
              <w:spacing w:after="0"/>
              <w:rPr>
                <w:sz w:val="21"/>
                <w:szCs w:val="21"/>
                <w:color w:val="auto"/>
              </w:rPr>
            </w:pPr>
          </w:p>
        </w:tc>
        <w:tc>
          <w:tcPr>
            <w:tcW w:w="700" w:type="dxa"/>
            <w:vAlign w:val="bottom"/>
            <w:tcBorders>
              <w:bottom w:val="single" w:sz="8" w:color="auto"/>
            </w:tcBorders>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 other.</w:t>
      </w:r>
    </w:p>
    <w:p>
      <w:pPr>
        <w:ind w:left="340" w:right="340" w:hanging="332"/>
        <w:spacing w:after="0" w:line="219" w:lineRule="auto"/>
        <w:tabs>
          <w:tab w:leader="none" w:pos="334" w:val="left"/>
        </w:tabs>
        <w:numPr>
          <w:ilvl w:val="0"/>
          <w:numId w:val="1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 other for forward contracts and in current debt for convertible notes settlement obligations.</w:t>
      </w:r>
    </w:p>
    <w:p>
      <w:pPr>
        <w:spacing w:after="0" w:line="1" w:lineRule="exact"/>
        <w:rPr>
          <w:rFonts w:ascii="Arial" w:cs="Arial" w:eastAsia="Arial" w:hAnsi="Arial"/>
          <w:sz w:val="23"/>
          <w:szCs w:val="23"/>
          <w:i w:val="1"/>
          <w:iCs w:val="1"/>
          <w:color w:val="auto"/>
          <w:vertAlign w:val="superscript"/>
        </w:rPr>
      </w:pPr>
    </w:p>
    <w:p>
      <w:pPr>
        <w:ind w:left="320" w:hanging="312"/>
        <w:spacing w:after="0" w:line="196" w:lineRule="auto"/>
        <w:tabs>
          <w:tab w:leader="none" w:pos="320" w:val="left"/>
        </w:tabs>
        <w:numPr>
          <w:ilvl w:val="0"/>
          <w:numId w:val="1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other noncurrent liabilities.</w:t>
      </w:r>
    </w:p>
    <w:p>
      <w:pPr>
        <w:ind w:left="340" w:right="340" w:hanging="332"/>
        <w:spacing w:after="0" w:line="220" w:lineRule="auto"/>
        <w:tabs>
          <w:tab w:leader="none" w:pos="334" w:val="left"/>
        </w:tabs>
        <w:numPr>
          <w:ilvl w:val="0"/>
          <w:numId w:val="1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As of August 29, 2019, the notional amount of our settlement obligation for notes that had been converted was 4 million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0090DA"/>
        </w:rPr>
        <w:t>Derivative Instruments with Hedge Accounting Designation</w:t>
      </w:r>
    </w:p>
    <w:p>
      <w:pPr>
        <w:spacing w:after="0" w:line="26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utilize currency forward contracts that generally mature within two years to hedge our exposure to changes in currency exchange rates. Currency forward contracts are measured at fair value based on market-based observable inputs including currency exchange spot and forward rates, interest rates, and credit-risk spreads (Level 2). We do not use derivative instruments for speculative purposes.</w:t>
      </w:r>
    </w:p>
    <w:p>
      <w:pPr>
        <w:spacing w:after="0" w:line="2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cash flow hedges for our exposure from changes in currency exchange rates for certain capital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manufacturing costs. We recognized losses of $6 million and $20 million in the third quarter and first nine months of 2020, respectively, in accumulated other comprehensive income from the effective portion of cash flow hedges. The amounts for the third quarter and first nine months of 2019 were not significant. We recognized losses of $8 million and $10 million in the third quarter and first nine months of 2020, respectively, in cost of goods sold from the amounts excluded from hedge effectiveness. The amounts for the third quarter and first nine months of 2019 were not significant. The reclassifications from accumulated other comprehensive income to earnings were not significant in the third quarters or first nine months of 2020 or 2019. As of May 28, 2020, we expect to reclassify $18 million of losses related to cash flow hedges from accumulated other comprehensive income into earnings in the next 12 months.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without Hedge Accounting Designation</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For derivative instruments without hedge accounting designation, we recognized losses of $6 million in the third quarter of 2020, and losses of $23 million in the third quarter and first nine months of 2019. The amounts recognized in the first nine months of 2020 were not significant.</w:t>
      </w:r>
    </w:p>
    <w:p>
      <w:pPr>
        <w:spacing w:after="0" w:line="20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Convertible Notes Settlement Obligations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settlement obligations associated with our convertible notes subject to mark-to-market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treatment, the fair values of the underlying derivative settlement obligations were initially determined using the Black-Scholes option valuation model (Level 2), which requires inputs of stock price, expected stock-price volatility, estimated option life, risk-free interest rate, and dividend rate. The subsequent measurement amounts were based on the volume-weighted-average trading price of our common stock (Level 2). (See “Debt.”) We recognized losses of $ 14 million in the first nine months of 2020 and gains of $11 million and losses of $55 million in the third quarter and first nine months of 2019, respectively, in other non-operating income (expense), net for the changes in fair value of the derivative settlement obligations. The amounts recognized in the third quarter of 2020 were not significant.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Plans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As of May 28, 2020, 92 million shares of our common stock were available for future awards under our equity plans.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Restricted Stock and Restricted Stock Units (“Restricted Stock Awards”)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20"/>
                <w:szCs w:val="20"/>
                <w:color w:val="auto"/>
              </w:rPr>
            </w:pPr>
            <w:r>
              <w:rPr>
                <w:rFonts w:ascii="Arial" w:cs="Arial" w:eastAsia="Arial" w:hAnsi="Arial"/>
                <w:sz w:val="18"/>
                <w:szCs w:val="18"/>
                <w:color w:val="auto"/>
              </w:rPr>
              <w:t>Restricted Stock Award activity is summarized as follows: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7"/>
        </w:trPr>
        <w:tc>
          <w:tcPr>
            <w:tcW w:w="5360" w:type="dxa"/>
            <w:vAlign w:val="bottom"/>
          </w:tcPr>
          <w:p>
            <w:pPr>
              <w:spacing w:after="0"/>
              <w:rPr>
                <w:sz w:val="24"/>
                <w:szCs w:val="24"/>
                <w:color w:val="auto"/>
              </w:rPr>
            </w:pPr>
          </w:p>
        </w:tc>
        <w:tc>
          <w:tcPr>
            <w:tcW w:w="260" w:type="dxa"/>
            <w:vAlign w:val="bottom"/>
            <w:tcBorders>
              <w:bottom w:val="single" w:sz="8" w:color="0090DA"/>
            </w:tcBorders>
          </w:tcPr>
          <w:p>
            <w:pPr>
              <w:spacing w:after="0"/>
              <w:rPr>
                <w:sz w:val="24"/>
                <w:szCs w:val="24"/>
                <w:color w:val="auto"/>
              </w:rPr>
            </w:pPr>
          </w:p>
        </w:tc>
        <w:tc>
          <w:tcPr>
            <w:tcW w:w="2500" w:type="dxa"/>
            <w:vAlign w:val="bottom"/>
            <w:tcBorders>
              <w:bottom w:val="single" w:sz="8" w:color="0090DA"/>
            </w:tcBorders>
            <w:gridSpan w:val="3"/>
          </w:tcPr>
          <w:p>
            <w:pPr>
              <w:ind w:left="58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Borders>
              <w:bottom w:val="single" w:sz="8" w:color="0090DA"/>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0090DA"/>
            </w:tcBorders>
          </w:tcPr>
          <w:p>
            <w:pPr>
              <w:spacing w:after="0"/>
              <w:rPr>
                <w:sz w:val="24"/>
                <w:szCs w:val="24"/>
                <w:color w:val="auto"/>
              </w:rPr>
            </w:pPr>
          </w:p>
        </w:tc>
        <w:tc>
          <w:tcPr>
            <w:tcW w:w="264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rPr>
              <w:t>May 28,</w:t>
            </w:r>
          </w:p>
        </w:tc>
        <w:tc>
          <w:tcPr>
            <w:tcW w:w="240" w:type="dxa"/>
            <w:vAlign w:val="bottom"/>
          </w:tcPr>
          <w:p>
            <w:pPr>
              <w:spacing w:after="0"/>
              <w:rPr>
                <w:sz w:val="17"/>
                <w:szCs w:val="17"/>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rPr>
              <w:t>May 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rPr>
              <w:t>May 28,</w:t>
            </w:r>
          </w:p>
        </w:tc>
        <w:tc>
          <w:tcPr>
            <w:tcW w:w="400" w:type="dxa"/>
            <w:vAlign w:val="bottom"/>
          </w:tcPr>
          <w:p>
            <w:pPr>
              <w:spacing w:after="0"/>
              <w:rPr>
                <w:sz w:val="17"/>
                <w:szCs w:val="17"/>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May 30,</w:t>
            </w:r>
          </w:p>
        </w:tc>
      </w:tr>
      <w:tr>
        <w:trPr>
          <w:trHeight w:val="246"/>
        </w:trPr>
        <w:tc>
          <w:tcPr>
            <w:tcW w:w="5360" w:type="dxa"/>
            <w:vAlign w:val="bottom"/>
            <w:tcBorders>
              <w:bottom w:val="single" w:sz="8" w:color="0090DA"/>
            </w:tcBorders>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0"/>
        </w:trPr>
        <w:tc>
          <w:tcPr>
            <w:tcW w:w="5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6"/>
        </w:trPr>
        <w:tc>
          <w:tcPr>
            <w:tcW w:w="53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Restricted stock award shares granted</w:t>
            </w:r>
          </w:p>
        </w:tc>
        <w:tc>
          <w:tcPr>
            <w:tcW w:w="260" w:type="dxa"/>
            <w:vAlign w:val="bottom"/>
            <w:shd w:val="clear" w:color="auto" w:fill="DDDDDD"/>
          </w:tcPr>
          <w:p>
            <w:pPr>
              <w:spacing w:after="0"/>
              <w:rPr>
                <w:sz w:val="22"/>
                <w:szCs w:val="22"/>
                <w:color w:val="auto"/>
              </w:rPr>
            </w:pPr>
          </w:p>
        </w:tc>
        <w:tc>
          <w:tcPr>
            <w:tcW w:w="1200" w:type="dxa"/>
            <w:vAlign w:val="bottom"/>
            <w:shd w:val="clear" w:color="auto" w:fill="DDDDDD"/>
          </w:tcPr>
          <w:p>
            <w:pPr>
              <w:ind w:left="10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DDDDDD"/>
          </w:tcPr>
          <w:p>
            <w:pPr>
              <w:spacing w:after="0"/>
              <w:rPr>
                <w:sz w:val="22"/>
                <w:szCs w:val="22"/>
                <w:color w:val="auto"/>
              </w:rPr>
            </w:pPr>
          </w:p>
        </w:tc>
        <w:tc>
          <w:tcPr>
            <w:tcW w:w="1060" w:type="dxa"/>
            <w:vAlign w:val="bottom"/>
            <w:shd w:val="clear" w:color="auto" w:fill="DDDDDD"/>
          </w:tcPr>
          <w:p>
            <w:pPr>
              <w:spacing w:after="0"/>
              <w:rPr>
                <w:sz w:val="22"/>
                <w:szCs w:val="22"/>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060" w:type="dxa"/>
            <w:vAlign w:val="bottom"/>
            <w:shd w:val="clear" w:color="auto" w:fill="DDDDDD"/>
          </w:tcPr>
          <w:p>
            <w:pPr>
              <w:spacing w:after="0"/>
              <w:rPr>
                <w:sz w:val="22"/>
                <w:szCs w:val="22"/>
                <w:color w:val="auto"/>
              </w:rPr>
            </w:pPr>
          </w:p>
        </w:tc>
        <w:tc>
          <w:tcPr>
            <w:tcW w:w="40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w w:val="99"/>
              </w:rPr>
              <w:t>8</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580"/>
              <w:spacing w:after="0"/>
              <w:rPr>
                <w:sz w:val="20"/>
                <w:szCs w:val="20"/>
                <w:color w:val="auto"/>
              </w:rPr>
            </w:pPr>
            <w:r>
              <w:rPr>
                <w:rFonts w:ascii="Arial" w:cs="Arial" w:eastAsia="Arial" w:hAnsi="Arial"/>
                <w:sz w:val="18"/>
                <w:szCs w:val="18"/>
                <w:color w:val="auto"/>
              </w:rPr>
              <w:t>45.78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40.00</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46.37</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39.83</w:t>
            </w:r>
          </w:p>
        </w:tc>
      </w:tr>
      <w:tr>
        <w:trPr>
          <w:trHeight w:val="941"/>
        </w:trPr>
        <w:tc>
          <w:tcPr>
            <w:tcW w:w="5360" w:type="dxa"/>
            <w:vAlign w:val="bottom"/>
          </w:tcPr>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5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0090DA"/>
        </w:rPr>
        <w:t>Employee Stock Purchase Plan (“ESPP”)</w:t>
      </w:r>
    </w:p>
    <w:p>
      <w:pPr>
        <w:spacing w:after="0" w:line="26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the six-month ESPP periods ended January 2020 and January 2019, we issued 2 million and 1 million shares, respectively, at a per share price of $38.16 and $32.50, respectively. Grant-date fair value and assumptions used in the Black-Scholes option valuation model for ESPP grants for the periods below were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May 28,</w:t>
            </w:r>
          </w:p>
        </w:tc>
        <w:tc>
          <w:tcPr>
            <w:tcW w:w="500" w:type="dxa"/>
            <w:vAlign w:val="bottom"/>
          </w:tcPr>
          <w:p>
            <w:pPr>
              <w:spacing w:after="0"/>
              <w:rPr>
                <w:sz w:val="17"/>
                <w:szCs w:val="17"/>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May 30,</w:t>
            </w:r>
          </w:p>
        </w:tc>
        <w:tc>
          <w:tcPr>
            <w:tcW w:w="220" w:type="dxa"/>
            <w:vAlign w:val="bottom"/>
          </w:tcPr>
          <w:p>
            <w:pPr>
              <w:spacing w:after="0"/>
              <w:rPr>
                <w:sz w:val="17"/>
                <w:szCs w:val="17"/>
                <w:color w:val="auto"/>
              </w:rPr>
            </w:pPr>
          </w:p>
        </w:tc>
      </w:tr>
      <w:tr>
        <w:trPr>
          <w:trHeight w:val="246"/>
        </w:trPr>
        <w:tc>
          <w:tcPr>
            <w:tcW w:w="60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Nine months ended</w:t>
            </w:r>
          </w:p>
        </w:tc>
        <w:tc>
          <w:tcPr>
            <w:tcW w:w="238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0090DA"/>
            </w:tcBorders>
          </w:tcPr>
          <w:p>
            <w:pPr>
              <w:spacing w:after="0"/>
              <w:rPr>
                <w:sz w:val="21"/>
                <w:szCs w:val="21"/>
                <w:color w:val="auto"/>
              </w:rPr>
            </w:pPr>
          </w:p>
        </w:tc>
      </w:tr>
      <w:tr>
        <w:trPr>
          <w:trHeight w:val="40"/>
        </w:trPr>
        <w:tc>
          <w:tcPr>
            <w:tcW w:w="60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7"/>
        </w:trPr>
        <w:tc>
          <w:tcPr>
            <w:tcW w:w="6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3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14.43</w:t>
            </w:r>
          </w:p>
        </w:tc>
        <w:tc>
          <w:tcPr>
            <w:tcW w:w="5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10.92</w:t>
            </w:r>
          </w:p>
        </w:tc>
        <w:tc>
          <w:tcPr>
            <w:tcW w:w="220" w:type="dxa"/>
            <w:vAlign w:val="bottom"/>
            <w:shd w:val="clear" w:color="auto" w:fill="D1D2D4"/>
          </w:tcPr>
          <w:p>
            <w:pPr>
              <w:spacing w:after="0"/>
              <w:rPr>
                <w:sz w:val="22"/>
                <w:szCs w:val="22"/>
                <w:color w:val="auto"/>
              </w:rPr>
            </w:pPr>
          </w:p>
        </w:tc>
      </w:tr>
      <w:tr>
        <w:trPr>
          <w:trHeight w:val="250"/>
        </w:trPr>
        <w:tc>
          <w:tcPr>
            <w:tcW w:w="6080" w:type="dxa"/>
            <w:vAlign w:val="bottom"/>
          </w:tcPr>
          <w:p>
            <w:pPr>
              <w:ind w:left="20"/>
              <w:spacing w:after="0"/>
              <w:rPr>
                <w:sz w:val="20"/>
                <w:szCs w:val="20"/>
                <w:color w:val="auto"/>
              </w:rPr>
            </w:pPr>
            <w:r>
              <w:rPr>
                <w:rFonts w:ascii="Arial" w:cs="Arial" w:eastAsia="Arial" w:hAnsi="Arial"/>
                <w:sz w:val="18"/>
                <w:szCs w:val="18"/>
                <w:color w:val="auto"/>
              </w:rPr>
              <w:t>Average expected life in years</w:t>
            </w:r>
          </w:p>
        </w:tc>
        <w:tc>
          <w:tcPr>
            <w:tcW w:w="2380" w:type="dxa"/>
            <w:vAlign w:val="bottom"/>
          </w:tcPr>
          <w:p>
            <w:pPr>
              <w:spacing w:after="0"/>
              <w:rPr>
                <w:sz w:val="21"/>
                <w:szCs w:val="21"/>
                <w:color w:val="auto"/>
              </w:rPr>
            </w:pPr>
          </w:p>
        </w:tc>
        <w:tc>
          <w:tcPr>
            <w:tcW w:w="1540" w:type="dxa"/>
            <w:vAlign w:val="bottom"/>
            <w:gridSpan w:val="2"/>
          </w:tcPr>
          <w:p>
            <w:pPr>
              <w:jc w:val="right"/>
              <w:ind w:right="310"/>
              <w:spacing w:after="0"/>
              <w:rPr>
                <w:sz w:val="20"/>
                <w:szCs w:val="20"/>
                <w:color w:val="auto"/>
              </w:rPr>
            </w:pPr>
            <w:r>
              <w:rPr>
                <w:rFonts w:ascii="Arial" w:cs="Arial" w:eastAsia="Arial" w:hAnsi="Arial"/>
                <w:sz w:val="18"/>
                <w:szCs w:val="18"/>
                <w:color w:val="auto"/>
              </w:rPr>
              <w:t>0.5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63"/>
        </w:trPr>
        <w:tc>
          <w:tcPr>
            <w:tcW w:w="6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expected volatility</w:t>
            </w:r>
          </w:p>
        </w:tc>
        <w:tc>
          <w:tcPr>
            <w:tcW w:w="238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50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080" w:type="dxa"/>
            <w:vAlign w:val="bottom"/>
          </w:tcPr>
          <w:p>
            <w:pPr>
              <w:ind w:left="20"/>
              <w:spacing w:after="0"/>
              <w:rPr>
                <w:sz w:val="20"/>
                <w:szCs w:val="20"/>
                <w:color w:val="auto"/>
              </w:rPr>
            </w:pPr>
            <w:r>
              <w:rPr>
                <w:rFonts w:ascii="Arial" w:cs="Arial" w:eastAsia="Arial" w:hAnsi="Arial"/>
                <w:sz w:val="18"/>
                <w:szCs w:val="18"/>
                <w:color w:val="auto"/>
              </w:rPr>
              <w:t>Weighted-average risk-free interest rate</w:t>
            </w:r>
          </w:p>
        </w:tc>
        <w:tc>
          <w:tcPr>
            <w:tcW w:w="2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Expected dividend yield</w:t>
            </w:r>
          </w:p>
        </w:tc>
        <w:tc>
          <w:tcPr>
            <w:tcW w:w="238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Stock-based Compensation Expense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80" w:type="dxa"/>
            <w:vAlign w:val="bottom"/>
          </w:tcPr>
          <w:p>
            <w:pPr>
              <w:spacing w:after="0"/>
              <w:rPr>
                <w:sz w:val="21"/>
                <w:szCs w:val="21"/>
                <w:color w:val="auto"/>
              </w:rPr>
            </w:pPr>
          </w:p>
        </w:tc>
        <w:tc>
          <w:tcPr>
            <w:tcW w:w="2500" w:type="dxa"/>
            <w:vAlign w:val="bottom"/>
            <w:tcBorders>
              <w:bottom w:val="single" w:sz="8" w:color="0090DA"/>
            </w:tcBorders>
            <w:gridSpan w:val="3"/>
          </w:tcPr>
          <w:p>
            <w:pPr>
              <w:jc w:val="right"/>
              <w:ind w:right="350"/>
              <w:spacing w:after="0"/>
              <w:rPr>
                <w:sz w:val="20"/>
                <w:szCs w:val="20"/>
                <w:color w:val="auto"/>
              </w:rPr>
            </w:pPr>
            <w:r>
              <w:rPr>
                <w:rFonts w:ascii="Arial" w:cs="Arial" w:eastAsia="Arial" w:hAnsi="Arial"/>
                <w:sz w:val="18"/>
                <w:szCs w:val="18"/>
                <w:b w:val="1"/>
                <w:bCs w:val="1"/>
                <w:color w:val="auto"/>
              </w:rPr>
              <w:t>Quarter ended</w:t>
            </w:r>
          </w:p>
        </w:tc>
        <w:tc>
          <w:tcPr>
            <w:tcW w:w="38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264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5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May 30,</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May 28,</w:t>
            </w:r>
          </w:p>
        </w:tc>
        <w:tc>
          <w:tcPr>
            <w:tcW w:w="340" w:type="dxa"/>
            <w:vAlign w:val="bottom"/>
          </w:tcPr>
          <w:p>
            <w:pPr>
              <w:spacing w:after="0"/>
              <w:rPr>
                <w:sz w:val="17"/>
                <w:szCs w:val="17"/>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30,</w:t>
            </w:r>
          </w:p>
        </w:tc>
      </w:tr>
      <w:tr>
        <w:trPr>
          <w:trHeight w:val="246"/>
        </w:trPr>
        <w:tc>
          <w:tcPr>
            <w:tcW w:w="538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1"/>
        </w:trPr>
        <w:tc>
          <w:tcPr>
            <w:tcW w:w="5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6"/>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106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38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34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50"/>
        </w:trPr>
        <w:tc>
          <w:tcPr>
            <w:tcW w:w="5380" w:type="dxa"/>
            <w:vAlign w:val="bottom"/>
          </w:tcPr>
          <w:p>
            <w:pPr>
              <w:ind w:left="120"/>
              <w:spacing w:after="0"/>
              <w:rPr>
                <w:sz w:val="20"/>
                <w:szCs w:val="20"/>
                <w:color w:val="auto"/>
              </w:rPr>
            </w:pPr>
            <w:r>
              <w:rPr>
                <w:rFonts w:ascii="Arial" w:cs="Arial" w:eastAsia="Arial" w:hAnsi="Arial"/>
                <w:sz w:val="18"/>
                <w:szCs w:val="18"/>
                <w:color w:val="auto"/>
              </w:rPr>
              <w:t>Cost of goods sold</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34</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9"/>
              </w:rPr>
              <w:t>24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73</w:t>
            </w:r>
          </w:p>
        </w:tc>
      </w:tr>
      <w:tr>
        <w:trPr>
          <w:trHeight w:val="263"/>
        </w:trPr>
        <w:tc>
          <w:tcPr>
            <w:tcW w:w="53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D1D2D4"/>
          </w:tcPr>
          <w:p>
            <w:pPr>
              <w:spacing w:after="0"/>
              <w:rPr>
                <w:sz w:val="22"/>
                <w:szCs w:val="22"/>
                <w:color w:val="auto"/>
              </w:rPr>
            </w:pPr>
          </w:p>
        </w:tc>
        <w:tc>
          <w:tcPr>
            <w:tcW w:w="3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26</w:t>
            </w:r>
          </w:p>
        </w:tc>
        <w:tc>
          <w:tcPr>
            <w:tcW w:w="1140" w:type="dxa"/>
            <w:vAlign w:val="bottom"/>
            <w:shd w:val="clear" w:color="auto" w:fill="D1D2D4"/>
          </w:tcPr>
          <w:p>
            <w:pPr>
              <w:spacing w:after="0"/>
              <w:rPr>
                <w:sz w:val="22"/>
                <w:szCs w:val="22"/>
                <w:color w:val="auto"/>
              </w:rPr>
            </w:pPr>
          </w:p>
        </w:tc>
        <w:tc>
          <w:tcPr>
            <w:tcW w:w="3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18</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w:t>
            </w:r>
          </w:p>
        </w:tc>
        <w:tc>
          <w:tcPr>
            <w:tcW w:w="34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55</w:t>
            </w:r>
          </w:p>
        </w:tc>
      </w:tr>
      <w:tr>
        <w:trPr>
          <w:trHeight w:val="250"/>
        </w:trPr>
        <w:tc>
          <w:tcPr>
            <w:tcW w:w="538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Research and development</w:t>
            </w:r>
          </w:p>
        </w:tc>
        <w:tc>
          <w:tcPr>
            <w:tcW w:w="10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w:t>
            </w:r>
          </w:p>
        </w:tc>
        <w:tc>
          <w:tcPr>
            <w:tcW w:w="1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16</w:t>
            </w:r>
          </w:p>
        </w:tc>
        <w:tc>
          <w:tcPr>
            <w:tcW w:w="100" w:type="dxa"/>
            <w:vAlign w:val="bottom"/>
            <w:tcBorders>
              <w:bottom w:val="single" w:sz="8" w:color="D1D2D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w:t>
            </w:r>
          </w:p>
        </w:tc>
      </w:tr>
      <w:tr>
        <w:trPr>
          <w:trHeight w:val="275"/>
        </w:trPr>
        <w:tc>
          <w:tcPr>
            <w:tcW w:w="5380" w:type="dxa"/>
            <w:vAlign w:val="bottom"/>
            <w:tcBorders>
              <w:bottom w:val="single" w:sz="8" w:color="D1D2D4"/>
            </w:tcBorders>
            <w:shd w:val="clear" w:color="auto" w:fill="D1D2D4"/>
          </w:tcPr>
          <w:p>
            <w:pPr>
              <w:spacing w:after="0"/>
              <w:rPr>
                <w:sz w:val="23"/>
                <w:szCs w:val="23"/>
                <w:color w:val="auto"/>
              </w:rPr>
            </w:pPr>
          </w:p>
        </w:tc>
        <w:tc>
          <w:tcPr>
            <w:tcW w:w="1060" w:type="dxa"/>
            <w:vAlign w:val="bottom"/>
            <w:tcBorders>
              <w:bottom w:val="single" w:sz="8" w:color="auto"/>
            </w:tcBorders>
            <w:shd w:val="clear" w:color="auto" w:fill="D1D2D4"/>
          </w:tcPr>
          <w:p>
            <w:pPr>
              <w:jc w:val="right"/>
              <w:ind w:right="8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82</w:t>
            </w:r>
          </w:p>
        </w:tc>
        <w:tc>
          <w:tcPr>
            <w:tcW w:w="1140" w:type="dxa"/>
            <w:vAlign w:val="bottom"/>
            <w:tcBorders>
              <w:bottom w:val="single" w:sz="8" w:color="auto"/>
            </w:tcBorders>
            <w:shd w:val="clear" w:color="auto" w:fill="D1D2D4"/>
          </w:tcPr>
          <w:p>
            <w:pPr>
              <w:jc w:val="right"/>
              <w:ind w:right="8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58</w:t>
            </w:r>
          </w:p>
        </w:tc>
        <w:tc>
          <w:tcPr>
            <w:tcW w:w="100" w:type="dxa"/>
            <w:vAlign w:val="bottom"/>
            <w:tcBorders>
              <w:bottom w:val="single" w:sz="8" w:color="D1D2D4"/>
            </w:tcBorders>
            <w:shd w:val="clear" w:color="auto" w:fill="D1D2D4"/>
          </w:tcPr>
          <w:p>
            <w:pPr>
              <w:spacing w:after="0"/>
              <w:rPr>
                <w:sz w:val="23"/>
                <w:szCs w:val="23"/>
                <w:color w:val="auto"/>
              </w:rPr>
            </w:pPr>
          </w:p>
        </w:tc>
        <w:tc>
          <w:tcPr>
            <w:tcW w:w="2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239</w:t>
            </w:r>
          </w:p>
        </w:tc>
        <w:tc>
          <w:tcPr>
            <w:tcW w:w="3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176</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r>
        <w:trPr>
          <w:trHeight w:val="210"/>
        </w:trPr>
        <w:tc>
          <w:tcPr>
            <w:tcW w:w="5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6"/>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106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38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34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50"/>
        </w:trPr>
        <w:tc>
          <w:tcPr>
            <w:tcW w:w="5380" w:type="dxa"/>
            <w:vAlign w:val="bottom"/>
          </w:tcPr>
          <w:p>
            <w:pPr>
              <w:ind w:left="120"/>
              <w:spacing w:after="0"/>
              <w:rPr>
                <w:sz w:val="20"/>
                <w:szCs w:val="20"/>
                <w:color w:val="auto"/>
              </w:rPr>
            </w:pPr>
            <w:r>
              <w:rPr>
                <w:rFonts w:ascii="Arial" w:cs="Arial" w:eastAsia="Arial" w:hAnsi="Arial"/>
                <w:sz w:val="18"/>
                <w:szCs w:val="18"/>
                <w:color w:val="auto"/>
              </w:rPr>
              <w:t>Restricted stock awards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70</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9"/>
              </w:rPr>
              <w:t>44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127</w:t>
            </w:r>
          </w:p>
        </w:tc>
      </w:tr>
      <w:tr>
        <w:trPr>
          <w:trHeight w:val="263"/>
        </w:trPr>
        <w:tc>
          <w:tcPr>
            <w:tcW w:w="53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ESPP</w:t>
            </w:r>
          </w:p>
        </w:tc>
        <w:tc>
          <w:tcPr>
            <w:tcW w:w="1060" w:type="dxa"/>
            <w:vAlign w:val="bottom"/>
            <w:shd w:val="clear" w:color="auto" w:fill="D1D2D4"/>
          </w:tcPr>
          <w:p>
            <w:pPr>
              <w:spacing w:after="0"/>
              <w:rPr>
                <w:sz w:val="22"/>
                <w:szCs w:val="22"/>
                <w:color w:val="auto"/>
              </w:rPr>
            </w:pPr>
          </w:p>
        </w:tc>
        <w:tc>
          <w:tcPr>
            <w:tcW w:w="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140" w:type="dxa"/>
            <w:vAlign w:val="bottom"/>
            <w:shd w:val="clear" w:color="auto" w:fill="D1D2D4"/>
          </w:tcPr>
          <w:p>
            <w:pPr>
              <w:spacing w:after="0"/>
              <w:rPr>
                <w:sz w:val="22"/>
                <w:szCs w:val="22"/>
                <w:color w:val="auto"/>
              </w:rPr>
            </w:pPr>
          </w:p>
        </w:tc>
        <w:tc>
          <w:tcPr>
            <w:tcW w:w="3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24</w:t>
            </w:r>
          </w:p>
        </w:tc>
      </w:tr>
      <w:tr>
        <w:trPr>
          <w:trHeight w:val="250"/>
        </w:trPr>
        <w:tc>
          <w:tcPr>
            <w:tcW w:w="538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Stock options</w:t>
            </w:r>
          </w:p>
        </w:tc>
        <w:tc>
          <w:tcPr>
            <w:tcW w:w="10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1D2D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w:t>
            </w:r>
          </w:p>
        </w:tc>
      </w:tr>
      <w:tr>
        <w:trPr>
          <w:trHeight w:val="275"/>
        </w:trPr>
        <w:tc>
          <w:tcPr>
            <w:tcW w:w="5380" w:type="dxa"/>
            <w:vAlign w:val="bottom"/>
            <w:tcBorders>
              <w:bottom w:val="single" w:sz="8" w:color="D1D2D4"/>
            </w:tcBorders>
            <w:shd w:val="clear" w:color="auto" w:fill="D1D2D4"/>
          </w:tcPr>
          <w:p>
            <w:pPr>
              <w:spacing w:after="0"/>
              <w:rPr>
                <w:sz w:val="23"/>
                <w:szCs w:val="23"/>
                <w:color w:val="auto"/>
              </w:rPr>
            </w:pPr>
          </w:p>
        </w:tc>
        <w:tc>
          <w:tcPr>
            <w:tcW w:w="1060" w:type="dxa"/>
            <w:vAlign w:val="bottom"/>
            <w:tcBorders>
              <w:bottom w:val="single" w:sz="8" w:color="auto"/>
            </w:tcBorders>
            <w:shd w:val="clear" w:color="auto" w:fill="D1D2D4"/>
          </w:tcPr>
          <w:p>
            <w:pPr>
              <w:jc w:val="right"/>
              <w:ind w:right="8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82</w:t>
            </w:r>
          </w:p>
        </w:tc>
        <w:tc>
          <w:tcPr>
            <w:tcW w:w="1140" w:type="dxa"/>
            <w:vAlign w:val="bottom"/>
            <w:tcBorders>
              <w:bottom w:val="single" w:sz="8" w:color="auto"/>
            </w:tcBorders>
            <w:shd w:val="clear" w:color="auto" w:fill="D1D2D4"/>
          </w:tcPr>
          <w:p>
            <w:pPr>
              <w:jc w:val="right"/>
              <w:ind w:right="8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58</w:t>
            </w:r>
          </w:p>
        </w:tc>
        <w:tc>
          <w:tcPr>
            <w:tcW w:w="100" w:type="dxa"/>
            <w:vAlign w:val="bottom"/>
            <w:tcBorders>
              <w:bottom w:val="single" w:sz="8" w:color="D1D2D4"/>
            </w:tcBorders>
            <w:shd w:val="clear" w:color="auto" w:fill="D1D2D4"/>
          </w:tcPr>
          <w:p>
            <w:pPr>
              <w:spacing w:after="0"/>
              <w:rPr>
                <w:sz w:val="23"/>
                <w:szCs w:val="23"/>
                <w:color w:val="auto"/>
              </w:rPr>
            </w:pPr>
          </w:p>
        </w:tc>
        <w:tc>
          <w:tcPr>
            <w:tcW w:w="2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239</w:t>
            </w:r>
          </w:p>
        </w:tc>
        <w:tc>
          <w:tcPr>
            <w:tcW w:w="3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176</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Income tax benefits related to the tax deductions for share -based awards are recognized only upon the settlement of the related share-based awards. Income tax benefits for share-based awards were not significant for the third quarters of 2020 or 2019 and were $62 million and $57 million for the first nine months of 2020 and 2019, respectively. As of May 28, 2020, $572 million of total unrecognized compensation costs for unvested awards, before the effect of any future forfeitures, was expected to be recognized through the third quarter of 2024, resulting in a weighted-average period of 1.3 years.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 and Contract Liabilities</w:t>
      </w:r>
    </w:p>
    <w:p>
      <w:pPr>
        <w:spacing w:after="0" w:line="28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Revenue by technology is presented in the table below. (See “Segment and Other Information” for disclosure of disaggregated revenue by market segments.)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860" w:type="dxa"/>
            <w:vAlign w:val="bottom"/>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2420" w:type="dxa"/>
            <w:vAlign w:val="bottom"/>
            <w:tcBorders>
              <w:bottom w:val="single" w:sz="8" w:color="0090DA"/>
            </w:tcBorders>
            <w:gridSpan w:val="3"/>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2420" w:type="dxa"/>
            <w:vAlign w:val="bottom"/>
            <w:tcBorders>
              <w:bottom w:val="single" w:sz="8" w:color="0090DA"/>
            </w:tcBorders>
            <w:gridSpan w:val="3"/>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30,</w:t>
            </w:r>
          </w:p>
        </w:tc>
        <w:tc>
          <w:tcPr>
            <w:tcW w:w="220" w:type="dxa"/>
            <w:vAlign w:val="bottom"/>
          </w:tcPr>
          <w:p>
            <w:pPr>
              <w:spacing w:after="0"/>
              <w:rPr>
                <w:sz w:val="17"/>
                <w:szCs w:val="17"/>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30,</w:t>
            </w:r>
          </w:p>
        </w:tc>
      </w:tr>
      <w:tr>
        <w:trPr>
          <w:trHeight w:val="246"/>
        </w:trPr>
        <w:tc>
          <w:tcPr>
            <w:tcW w:w="586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1"/>
        </w:trPr>
        <w:tc>
          <w:tcPr>
            <w:tcW w:w="5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3,587</w:t>
            </w:r>
          </w:p>
        </w:tc>
        <w:tc>
          <w:tcPr>
            <w:tcW w:w="3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3,398</w:t>
            </w:r>
          </w:p>
        </w:tc>
        <w:tc>
          <w:tcPr>
            <w:tcW w:w="100" w:type="dxa"/>
            <w:vAlign w:val="bottom"/>
            <w:shd w:val="clear" w:color="auto" w:fill="D1D2D4"/>
          </w:tcPr>
          <w:p>
            <w:pPr>
              <w:spacing w:after="0"/>
              <w:rPr>
                <w:sz w:val="22"/>
                <w:szCs w:val="22"/>
                <w:color w:val="auto"/>
              </w:rPr>
            </w:pP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10,139</w:t>
            </w:r>
          </w:p>
        </w:tc>
        <w:tc>
          <w:tcPr>
            <w:tcW w:w="3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13,442</w:t>
            </w: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color w:val="auto"/>
              </w:rPr>
              <w:t>NAND</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1,665</w:t>
            </w: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4,601</w:t>
            </w: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4,151</w:t>
            </w:r>
          </w:p>
        </w:tc>
      </w:tr>
      <w:tr>
        <w:trPr>
          <w:trHeight w:val="257"/>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3D XPoint memory and NOR)</w:t>
            </w:r>
          </w:p>
        </w:tc>
        <w:tc>
          <w:tcPr>
            <w:tcW w:w="22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D1D2D4"/>
          </w:tcPr>
          <w:p>
            <w:pPr>
              <w:spacing w:after="0"/>
              <w:rPr>
                <w:sz w:val="22"/>
                <w:szCs w:val="22"/>
                <w:color w:val="auto"/>
              </w:rPr>
            </w:pPr>
          </w:p>
        </w:tc>
        <w:tc>
          <w:tcPr>
            <w:tcW w:w="22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639</w:t>
            </w:r>
          </w:p>
        </w:tc>
        <w:tc>
          <w:tcPr>
            <w:tcW w:w="30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943</w:t>
            </w:r>
          </w:p>
        </w:tc>
      </w:tr>
      <w:tr>
        <w:trPr>
          <w:trHeight w:val="250"/>
        </w:trPr>
        <w:tc>
          <w:tcPr>
            <w:tcW w:w="586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15,379</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18,536</w:t>
            </w:r>
          </w:p>
        </w:tc>
      </w:tr>
      <w:tr>
        <w:trPr>
          <w:trHeight w:val="27"/>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10060"/>
        <w:spacing w:after="0"/>
        <w:rPr>
          <w:sz w:val="20"/>
          <w:szCs w:val="20"/>
          <w:color w:val="auto"/>
        </w:rPr>
      </w:pPr>
      <w:r>
        <w:rPr>
          <w:sz w:val="1"/>
          <w:szCs w:val="1"/>
          <w:color w:val="auto"/>
        </w:rPr>
        <w:drawing>
          <wp:inline distT="0" distB="0" distL="0" distR="0">
            <wp:extent cx="591820" cy="1543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3"/>
          <w:szCs w:val="13"/>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25" w:name="page26"/>
    <w:bookmarkEnd w:id="25"/>
    <w:p>
      <w:pPr>
        <w:ind w:right="40"/>
        <w:spacing w:after="0" w:line="266" w:lineRule="auto"/>
        <w:rPr>
          <w:sz w:val="20"/>
          <w:szCs w:val="20"/>
          <w:color w:val="auto"/>
        </w:rPr>
      </w:pPr>
      <w:r>
        <w:rPr>
          <w:rFonts w:ascii="Arial" w:cs="Arial" w:eastAsia="Arial" w:hAnsi="Arial"/>
          <w:sz w:val="18"/>
          <w:szCs w:val="18"/>
          <w:i w:val="1"/>
          <w:iCs w:val="1"/>
          <w:color w:val="auto"/>
        </w:rPr>
        <w:t>Beginning in 2020, revenues for MCPs and SSDs, which contain both DRAM and NAND, are disaggregated into DRAM and NAND based on the relative values of each component. The three and nine months ended May 30, 2019 in the table above have been conformed to current period presentation.</w:t>
      </w:r>
    </w:p>
    <w:p>
      <w:pPr>
        <w:spacing w:after="0" w:line="2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contract liabilities from customer advances are for advance payments received from customers to secure product in future periods. Other contract liabilities consist of amounts received in advance of satisfying performance obligations. These balances are reported within other current liabilities and other noncurrent liabilities. Revenue and interest expense associated with contract liabilities for the time value of advance payments was not significant in any period presented. Contract liabilities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May 28,</w:t>
            </w:r>
          </w:p>
        </w:tc>
        <w:tc>
          <w:tcPr>
            <w:tcW w:w="24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1"/>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6"/>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Contract liabilities from customer advances</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61</w:t>
            </w:r>
          </w:p>
        </w:tc>
      </w:tr>
      <w:tr>
        <w:trPr>
          <w:trHeight w:val="250"/>
        </w:trPr>
        <w:tc>
          <w:tcPr>
            <w:tcW w:w="8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contract liabilities</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w:t>
            </w:r>
          </w:p>
        </w:tc>
      </w:tr>
      <w:tr>
        <w:trPr>
          <w:trHeight w:val="275"/>
        </w:trPr>
        <w:tc>
          <w:tcPr>
            <w:tcW w:w="8600" w:type="dxa"/>
            <w:vAlign w:val="bottom"/>
            <w:tcBorders>
              <w:bottom w:val="single" w:sz="8" w:color="D1D2D4"/>
            </w:tcBorders>
            <w:shd w:val="clear" w:color="auto" w:fill="D1D2D4"/>
          </w:tcPr>
          <w:p>
            <w:pPr>
              <w:spacing w:after="0"/>
              <w:rPr>
                <w:sz w:val="23"/>
                <w:szCs w:val="23"/>
                <w:color w:val="auto"/>
              </w:rPr>
            </w:pP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130</w:t>
            </w:r>
          </w:p>
        </w:tc>
      </w:tr>
      <w:tr>
        <w:trPr>
          <w:trHeight w:val="20"/>
        </w:trPr>
        <w:tc>
          <w:tcPr>
            <w:tcW w:w="86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Revenue recognized during the first nine months of 2020 from the beginning balance as of August 29, 2019 included $79 million from meeting performance obligations of other contract liabilities and shipments against customer advances. Contract liabilities from customer advances also decreased $22 million due to the return of an unutilized customer advance upon expiration of a contract.</w:t>
      </w:r>
    </w:p>
    <w:p>
      <w:pPr>
        <w:spacing w:after="0" w:line="22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in some cases, beyond one year. As of May 28, 2020, we expect future revenue related to these longer-term contracts of approximately $600 million, of which approximately 60% relates to performance obligations and product shipments we expect to satisfy within the next 12 months and 40% beyond 12 months.</w:t>
      </w:r>
    </w:p>
    <w:p>
      <w:pPr>
        <w:spacing w:after="0" w:line="2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of May 28, 2020, other current liabilities included $407 million for estimates of consideration payable to customers, including estimates for pricing adjustments and returns.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Operating (Income) Expense, Net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80" w:type="dxa"/>
            <w:vAlign w:val="bottom"/>
          </w:tcPr>
          <w:p>
            <w:pPr>
              <w:spacing w:after="0"/>
              <w:rPr>
                <w:sz w:val="21"/>
                <w:szCs w:val="21"/>
                <w:color w:val="auto"/>
              </w:rPr>
            </w:pPr>
          </w:p>
        </w:tc>
        <w:tc>
          <w:tcPr>
            <w:tcW w:w="2520" w:type="dxa"/>
            <w:vAlign w:val="bottom"/>
            <w:tcBorders>
              <w:bottom w:val="single" w:sz="8" w:color="0090DA"/>
            </w:tcBorders>
            <w:gridSpan w:val="3"/>
          </w:tcPr>
          <w:p>
            <w:pPr>
              <w:jc w:val="right"/>
              <w:ind w:right="370"/>
              <w:spacing w:after="0"/>
              <w:rPr>
                <w:sz w:val="20"/>
                <w:szCs w:val="20"/>
                <w:color w:val="auto"/>
              </w:rPr>
            </w:pPr>
            <w:r>
              <w:rPr>
                <w:rFonts w:ascii="Arial" w:cs="Arial" w:eastAsia="Arial" w:hAnsi="Arial"/>
                <w:sz w:val="18"/>
                <w:szCs w:val="18"/>
                <w:b w:val="1"/>
                <w:bCs w:val="1"/>
                <w:color w:val="auto"/>
              </w:rPr>
              <w:t>Quarter ended</w:t>
            </w:r>
          </w:p>
        </w:tc>
        <w:tc>
          <w:tcPr>
            <w:tcW w:w="36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tcBorders>
              <w:bottom w:val="single" w:sz="8" w:color="0090DA"/>
            </w:tcBorders>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5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May 30,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30,</w:t>
            </w:r>
          </w:p>
        </w:tc>
      </w:tr>
      <w:tr>
        <w:trPr>
          <w:trHeight w:val="246"/>
        </w:trPr>
        <w:tc>
          <w:tcPr>
            <w:tcW w:w="538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34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0"/>
        </w:trPr>
        <w:tc>
          <w:tcPr>
            <w:tcW w:w="5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7"/>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060" w:type="dxa"/>
            <w:vAlign w:val="bottom"/>
            <w:shd w:val="clear" w:color="auto" w:fill="D1D2D4"/>
          </w:tcPr>
          <w:p>
            <w:pPr>
              <w:jc w:val="right"/>
              <w:ind w:right="8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160" w:type="dxa"/>
            <w:vAlign w:val="bottom"/>
            <w:shd w:val="clear" w:color="auto" w:fill="D1D2D4"/>
          </w:tcPr>
          <w:p>
            <w:pPr>
              <w:jc w:val="right"/>
              <w:ind w:right="870"/>
              <w:spacing w:after="0"/>
              <w:rPr>
                <w:sz w:val="20"/>
                <w:szCs w:val="20"/>
                <w:color w:val="auto"/>
              </w:rPr>
            </w:pPr>
            <w:r>
              <w:rPr>
                <w:rFonts w:ascii="Arial" w:cs="Arial" w:eastAsia="Arial" w:hAnsi="Arial"/>
                <w:sz w:val="18"/>
                <w:szCs w:val="18"/>
                <w:color w:val="auto"/>
              </w:rPr>
              <w:t>$</w:t>
            </w:r>
          </w:p>
        </w:tc>
        <w:tc>
          <w:tcPr>
            <w:tcW w:w="36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87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10</w:t>
            </w:r>
          </w:p>
        </w:tc>
        <w:tc>
          <w:tcPr>
            <w:tcW w:w="3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93</w:t>
            </w:r>
          </w:p>
        </w:tc>
      </w:tr>
      <w:tr>
        <w:trPr>
          <w:trHeight w:val="250"/>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D1D2D4"/>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w:t>
            </w:r>
          </w:p>
        </w:tc>
      </w:tr>
      <w:tr>
        <w:trPr>
          <w:trHeight w:val="275"/>
        </w:trPr>
        <w:tc>
          <w:tcPr>
            <w:tcW w:w="5380" w:type="dxa"/>
            <w:vAlign w:val="bottom"/>
            <w:tcBorders>
              <w:bottom w:val="single" w:sz="8" w:color="D1D2D4"/>
            </w:tcBorders>
            <w:shd w:val="clear" w:color="auto" w:fill="D1D2D4"/>
          </w:tcPr>
          <w:p>
            <w:pPr>
              <w:spacing w:after="0"/>
              <w:rPr>
                <w:sz w:val="23"/>
                <w:szCs w:val="23"/>
                <w:color w:val="auto"/>
              </w:rPr>
            </w:pPr>
          </w:p>
        </w:tc>
        <w:tc>
          <w:tcPr>
            <w:tcW w:w="1060" w:type="dxa"/>
            <w:vAlign w:val="bottom"/>
            <w:tcBorders>
              <w:bottom w:val="single" w:sz="8" w:color="auto"/>
            </w:tcBorders>
            <w:shd w:val="clear" w:color="auto" w:fill="D1D2D4"/>
          </w:tcPr>
          <w:p>
            <w:pPr>
              <w:jc w:val="right"/>
              <w:ind w:right="8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10</w:t>
            </w:r>
          </w:p>
        </w:tc>
        <w:tc>
          <w:tcPr>
            <w:tcW w:w="1160" w:type="dxa"/>
            <w:vAlign w:val="bottom"/>
            <w:tcBorders>
              <w:bottom w:val="single" w:sz="8" w:color="auto"/>
            </w:tcBorders>
            <w:shd w:val="clear" w:color="auto" w:fill="D1D2D4"/>
          </w:tcPr>
          <w:p>
            <w:pPr>
              <w:jc w:val="right"/>
              <w:ind w:right="8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1D2D4"/>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Borders>
              <w:bottom w:val="single" w:sz="8" w:color="D1D2D4"/>
            </w:tcBorders>
            <w:shd w:val="clear" w:color="auto" w:fill="D1D2D4"/>
          </w:tcPr>
          <w:p>
            <w:pPr>
              <w:spacing w:after="0"/>
              <w:rPr>
                <w:sz w:val="23"/>
                <w:szCs w:val="23"/>
                <w:color w:val="auto"/>
              </w:rPr>
            </w:pPr>
          </w:p>
        </w:tc>
        <w:tc>
          <w:tcPr>
            <w:tcW w:w="1060" w:type="dxa"/>
            <w:vAlign w:val="bottom"/>
            <w:tcBorders>
              <w:bottom w:val="single" w:sz="8" w:color="auto"/>
            </w:tcBorders>
            <w:shd w:val="clear" w:color="auto" w:fill="D1D2D4"/>
          </w:tcPr>
          <w:p>
            <w:pPr>
              <w:jc w:val="right"/>
              <w:ind w:right="8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18</w:t>
            </w:r>
          </w:p>
        </w:tc>
        <w:tc>
          <w:tcPr>
            <w:tcW w:w="3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139</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Non-Operating Income (Expense), Net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20" w:type="dxa"/>
            <w:vAlign w:val="bottom"/>
          </w:tcPr>
          <w:p>
            <w:pPr>
              <w:spacing w:after="0"/>
              <w:rPr>
                <w:sz w:val="21"/>
                <w:szCs w:val="21"/>
                <w:color w:val="auto"/>
              </w:rPr>
            </w:pPr>
          </w:p>
        </w:tc>
        <w:tc>
          <w:tcPr>
            <w:tcW w:w="2820" w:type="dxa"/>
            <w:vAlign w:val="bottom"/>
            <w:tcBorders>
              <w:bottom w:val="single" w:sz="8" w:color="0090DA"/>
            </w:tcBorders>
            <w:gridSpan w:val="4"/>
          </w:tcPr>
          <w:p>
            <w:pPr>
              <w:jc w:val="right"/>
              <w:ind w:right="71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2560" w:type="dxa"/>
            <w:vAlign w:val="bottom"/>
            <w:tcBorders>
              <w:bottom w:val="single" w:sz="8" w:color="0090DA"/>
            </w:tcBorders>
            <w:gridSpan w:val="3"/>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5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May 28,</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40" w:type="dxa"/>
            <w:vAlign w:val="bottom"/>
          </w:tcPr>
          <w:p>
            <w:pPr>
              <w:spacing w:after="0"/>
              <w:rPr>
                <w:sz w:val="17"/>
                <w:szCs w:val="17"/>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28,</w:t>
            </w:r>
          </w:p>
        </w:tc>
        <w:tc>
          <w:tcPr>
            <w:tcW w:w="280" w:type="dxa"/>
            <w:vAlign w:val="bottom"/>
          </w:tcPr>
          <w:p>
            <w:pPr>
              <w:spacing w:after="0"/>
              <w:rPr>
                <w:sz w:val="17"/>
                <w:szCs w:val="17"/>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May 30,</w:t>
            </w:r>
          </w:p>
        </w:tc>
      </w:tr>
      <w:tr>
        <w:trPr>
          <w:trHeight w:val="246"/>
        </w:trPr>
        <w:tc>
          <w:tcPr>
            <w:tcW w:w="552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0090DA"/>
            </w:tcBorders>
          </w:tcPr>
          <w:p>
            <w:pPr>
              <w:spacing w:after="0"/>
              <w:rPr>
                <w:sz w:val="21"/>
                <w:szCs w:val="21"/>
                <w:color w:val="auto"/>
              </w:rPr>
            </w:pPr>
          </w:p>
        </w:tc>
        <w:tc>
          <w:tcPr>
            <w:tcW w:w="30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41"/>
        </w:trPr>
        <w:tc>
          <w:tcPr>
            <w:tcW w:w="5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6"/>
        </w:trPr>
        <w:tc>
          <w:tcPr>
            <w:tcW w:w="5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Gains (losses) on debt prepayments and conversions</w:t>
            </w:r>
          </w:p>
        </w:tc>
        <w:tc>
          <w:tcPr>
            <w:tcW w:w="1040" w:type="dxa"/>
            <w:vAlign w:val="bottom"/>
            <w:shd w:val="clear" w:color="auto" w:fill="D1D2D4"/>
          </w:tcPr>
          <w:p>
            <w:pPr>
              <w:jc w:val="right"/>
              <w:ind w:right="83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(386)</w:t>
            </w:r>
          </w:p>
        </w:tc>
      </w:tr>
      <w:tr>
        <w:trPr>
          <w:trHeight w:val="250"/>
        </w:trPr>
        <w:tc>
          <w:tcPr>
            <w:tcW w:w="5520" w:type="dxa"/>
            <w:vAlign w:val="bottom"/>
          </w:tcPr>
          <w:p>
            <w:pPr>
              <w:ind w:left="20"/>
              <w:spacing w:after="0"/>
              <w:rPr>
                <w:sz w:val="20"/>
                <w:szCs w:val="20"/>
                <w:color w:val="auto"/>
              </w:rPr>
            </w:pPr>
            <w:r>
              <w:rPr>
                <w:rFonts w:ascii="Arial" w:cs="Arial" w:eastAsia="Arial" w:hAnsi="Arial"/>
                <w:sz w:val="18"/>
                <w:szCs w:val="18"/>
                <w:color w:val="auto"/>
              </w:rPr>
              <w:t>Losses from changes in currency exchange rates</w:t>
            </w:r>
          </w:p>
        </w:tc>
        <w:tc>
          <w:tcPr>
            <w:tcW w:w="10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57"/>
        </w:trPr>
        <w:tc>
          <w:tcPr>
            <w:tcW w:w="5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D1D2D4"/>
          </w:tcPr>
          <w:p>
            <w:pPr>
              <w:spacing w:after="0"/>
              <w:rPr>
                <w:sz w:val="22"/>
                <w:szCs w:val="22"/>
                <w:color w:val="auto"/>
              </w:rPr>
            </w:pPr>
          </w:p>
        </w:tc>
        <w:tc>
          <w:tcPr>
            <w:tcW w:w="3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15</w:t>
            </w:r>
          </w:p>
        </w:tc>
        <w:tc>
          <w:tcPr>
            <w:tcW w:w="3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1D2D4"/>
          </w:tcPr>
          <w:p>
            <w:pPr>
              <w:spacing w:after="0"/>
              <w:rPr>
                <w:sz w:val="22"/>
                <w:szCs w:val="22"/>
                <w:color w:val="auto"/>
              </w:rPr>
            </w:pPr>
          </w:p>
        </w:tc>
        <w:tc>
          <w:tcPr>
            <w:tcW w:w="24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3</w:t>
            </w:r>
          </w:p>
        </w:tc>
      </w:tr>
      <w:tr>
        <w:trPr>
          <w:trHeight w:val="250"/>
        </w:trPr>
        <w:tc>
          <w:tcPr>
            <w:tcW w:w="5520" w:type="dxa"/>
            <w:vAlign w:val="bottom"/>
          </w:tcPr>
          <w:p>
            <w:pPr>
              <w:spacing w:after="0"/>
              <w:rPr>
                <w:sz w:val="21"/>
                <w:szCs w:val="21"/>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w:t>
            </w:r>
          </w:p>
        </w:tc>
      </w:tr>
      <w:tr>
        <w:trPr>
          <w:trHeight w:val="27"/>
        </w:trPr>
        <w:tc>
          <w:tcPr>
            <w:tcW w:w="5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40"/>
          <w:szCs w:val="40"/>
          <w:b w:val="1"/>
          <w:bCs w:val="1"/>
          <w:color w:val="auto"/>
        </w:rPr>
        <w:t>Income Taxes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380" w:type="dxa"/>
            <w:vAlign w:val="bottom"/>
          </w:tcPr>
          <w:p>
            <w:pPr>
              <w:spacing w:after="0"/>
              <w:rPr>
                <w:sz w:val="24"/>
                <w:szCs w:val="24"/>
                <w:color w:val="auto"/>
              </w:rPr>
            </w:pPr>
          </w:p>
        </w:tc>
        <w:tc>
          <w:tcPr>
            <w:tcW w:w="260" w:type="dxa"/>
            <w:vAlign w:val="bottom"/>
            <w:tcBorders>
              <w:bottom w:val="single" w:sz="8" w:color="0090DA"/>
            </w:tcBorders>
          </w:tcPr>
          <w:p>
            <w:pPr>
              <w:spacing w:after="0"/>
              <w:rPr>
                <w:sz w:val="24"/>
                <w:szCs w:val="24"/>
                <w:color w:val="auto"/>
              </w:rPr>
            </w:pPr>
          </w:p>
        </w:tc>
        <w:tc>
          <w:tcPr>
            <w:tcW w:w="2620" w:type="dxa"/>
            <w:vAlign w:val="bottom"/>
            <w:tcBorders>
              <w:bottom w:val="single" w:sz="8" w:color="0090DA"/>
            </w:tcBorders>
            <w:gridSpan w:val="3"/>
          </w:tcPr>
          <w:p>
            <w:pPr>
              <w:jc w:val="right"/>
              <w:ind w:right="73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4"/>
                <w:szCs w:val="24"/>
                <w:color w:val="auto"/>
              </w:rPr>
            </w:pPr>
          </w:p>
        </w:tc>
        <w:tc>
          <w:tcPr>
            <w:tcW w:w="240" w:type="dxa"/>
            <w:vAlign w:val="bottom"/>
            <w:tcBorders>
              <w:bottom w:val="single" w:sz="8" w:color="0090DA"/>
            </w:tcBorders>
          </w:tcPr>
          <w:p>
            <w:pPr>
              <w:spacing w:after="0"/>
              <w:rPr>
                <w:sz w:val="24"/>
                <w:szCs w:val="24"/>
                <w:color w:val="auto"/>
              </w:rPr>
            </w:pPr>
          </w:p>
        </w:tc>
        <w:tc>
          <w:tcPr>
            <w:tcW w:w="264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7"/>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May 28,</w:t>
            </w:r>
          </w:p>
        </w:tc>
        <w:tc>
          <w:tcPr>
            <w:tcW w:w="30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40" w:type="dxa"/>
            <w:vAlign w:val="bottom"/>
          </w:tcPr>
          <w:p>
            <w:pPr>
              <w:spacing w:after="0"/>
              <w:rPr>
                <w:sz w:val="17"/>
                <w:szCs w:val="17"/>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30,</w:t>
            </w:r>
          </w:p>
        </w:tc>
        <w:tc>
          <w:tcPr>
            <w:tcW w:w="0" w:type="dxa"/>
            <w:vAlign w:val="bottom"/>
          </w:tcPr>
          <w:p>
            <w:pPr>
              <w:spacing w:after="0"/>
              <w:rPr>
                <w:sz w:val="1"/>
                <w:szCs w:val="1"/>
                <w:color w:val="auto"/>
              </w:rPr>
            </w:pPr>
          </w:p>
        </w:tc>
      </w:tr>
      <w:tr>
        <w:trPr>
          <w:trHeight w:val="246"/>
        </w:trPr>
        <w:tc>
          <w:tcPr>
            <w:tcW w:w="5380" w:type="dxa"/>
            <w:vAlign w:val="bottom"/>
            <w:tcBorders>
              <w:bottom w:val="single" w:sz="8" w:color="0090DA"/>
            </w:tcBorders>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 excluding items below</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center"/>
              <w:ind w:left="590"/>
              <w:spacing w:after="0"/>
              <w:rPr>
                <w:sz w:val="20"/>
                <w:szCs w:val="20"/>
                <w:color w:val="auto"/>
              </w:rPr>
            </w:pPr>
            <w:r>
              <w:rPr>
                <w:rFonts w:ascii="Arial" w:cs="Arial" w:eastAsia="Arial" w:hAnsi="Arial"/>
                <w:sz w:val="18"/>
                <w:szCs w:val="18"/>
                <w:color w:val="auto"/>
                <w:w w:val="99"/>
              </w:rPr>
              <w:t>(30)</w:t>
            </w:r>
          </w:p>
        </w:tc>
        <w:tc>
          <w:tcPr>
            <w:tcW w:w="3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188"/>
        </w:trPr>
        <w:tc>
          <w:tcPr>
            <w:tcW w:w="5380" w:type="dxa"/>
            <w:vAlign w:val="bottom"/>
          </w:tcPr>
          <w:p>
            <w:pPr>
              <w:ind w:left="20"/>
              <w:spacing w:after="0" w:line="189" w:lineRule="exact"/>
              <w:rPr>
                <w:sz w:val="20"/>
                <w:szCs w:val="20"/>
                <w:color w:val="auto"/>
              </w:rPr>
            </w:pPr>
            <w:r>
              <w:rPr>
                <w:rFonts w:ascii="Arial" w:cs="Arial" w:eastAsia="Arial" w:hAnsi="Arial"/>
                <w:sz w:val="18"/>
                <w:szCs w:val="18"/>
                <w:color w:val="auto"/>
              </w:rPr>
              <w:t>Utilization of and other changes in net deferred tax assets of MMJ,</w:t>
            </w:r>
          </w:p>
        </w:tc>
        <w:tc>
          <w:tcPr>
            <w:tcW w:w="260" w:type="dxa"/>
            <w:vAlign w:val="bottom"/>
          </w:tcPr>
          <w:p>
            <w:pPr>
              <w:spacing w:after="0"/>
              <w:rPr>
                <w:sz w:val="16"/>
                <w:szCs w:val="16"/>
                <w:color w:val="auto"/>
              </w:rPr>
            </w:pPr>
          </w:p>
        </w:tc>
        <w:tc>
          <w:tcPr>
            <w:tcW w:w="1120" w:type="dxa"/>
            <w:vAlign w:val="bottom"/>
            <w:vMerge w:val="restart"/>
          </w:tcPr>
          <w:p>
            <w:pPr>
              <w:jc w:val="center"/>
              <w:ind w:left="590"/>
              <w:spacing w:after="0"/>
              <w:rPr>
                <w:sz w:val="20"/>
                <w:szCs w:val="20"/>
                <w:color w:val="auto"/>
              </w:rPr>
            </w:pPr>
            <w:r>
              <w:rPr>
                <w:rFonts w:ascii="Arial" w:cs="Arial" w:eastAsia="Arial" w:hAnsi="Arial"/>
                <w:sz w:val="18"/>
                <w:szCs w:val="18"/>
                <w:color w:val="auto"/>
                <w:w w:val="99"/>
              </w:rPr>
              <w:t>(38)</w:t>
            </w:r>
          </w:p>
        </w:tc>
        <w:tc>
          <w:tcPr>
            <w:tcW w:w="300" w:type="dxa"/>
            <w:vAlign w:val="bottom"/>
          </w:tcPr>
          <w:p>
            <w:pPr>
              <w:spacing w:after="0"/>
              <w:rPr>
                <w:sz w:val="16"/>
                <w:szCs w:val="16"/>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6"/>
                <w:szCs w:val="16"/>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7"/>
        </w:trPr>
        <w:tc>
          <w:tcPr>
            <w:tcW w:w="5380" w:type="dxa"/>
            <w:vAlign w:val="bottom"/>
          </w:tcPr>
          <w:p>
            <w:pPr>
              <w:ind w:left="180"/>
              <w:spacing w:after="0"/>
              <w:rPr>
                <w:sz w:val="20"/>
                <w:szCs w:val="20"/>
                <w:color w:val="auto"/>
              </w:rPr>
            </w:pPr>
            <w:r>
              <w:rPr>
                <w:rFonts w:ascii="Arial" w:cs="Arial" w:eastAsia="Arial" w:hAnsi="Arial"/>
                <w:sz w:val="18"/>
                <w:szCs w:val="18"/>
                <w:color w:val="auto"/>
              </w:rPr>
              <w:t>MMT, and MTTW</w:t>
            </w:r>
          </w:p>
        </w:tc>
        <w:tc>
          <w:tcPr>
            <w:tcW w:w="2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3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Repatriation tax, net of adjustments related to uncertain tax</w:t>
            </w:r>
          </w:p>
        </w:tc>
        <w:tc>
          <w:tcPr>
            <w:tcW w:w="260" w:type="dxa"/>
            <w:vAlign w:val="bottom"/>
            <w:shd w:val="clear" w:color="auto" w:fill="D1D2D4"/>
          </w:tcPr>
          <w:p>
            <w:pPr>
              <w:spacing w:after="0"/>
              <w:rPr>
                <w:sz w:val="16"/>
                <w:szCs w:val="16"/>
                <w:color w:val="auto"/>
              </w:rPr>
            </w:pPr>
          </w:p>
        </w:tc>
        <w:tc>
          <w:tcPr>
            <w:tcW w:w="1120" w:type="dxa"/>
            <w:vAlign w:val="bottom"/>
            <w:vMerge w:val="restart"/>
            <w:shd w:val="clear" w:color="auto" w:fill="D1D2D4"/>
          </w:tcPr>
          <w:p>
            <w:pPr>
              <w:jc w:val="center"/>
              <w:ind w:left="6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D1D2D4"/>
          </w:tcPr>
          <w:p>
            <w:pPr>
              <w:spacing w:after="0"/>
              <w:rPr>
                <w:sz w:val="16"/>
                <w:szCs w:val="16"/>
                <w:color w:val="auto"/>
              </w:rPr>
            </w:pPr>
          </w:p>
        </w:tc>
        <w:tc>
          <w:tcPr>
            <w:tcW w:w="120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D1D2D4"/>
          </w:tcPr>
          <w:p>
            <w:pPr>
              <w:spacing w:after="0"/>
              <w:rPr>
                <w:sz w:val="16"/>
                <w:szCs w:val="16"/>
                <w:color w:val="auto"/>
              </w:rPr>
            </w:pPr>
          </w:p>
        </w:tc>
        <w:tc>
          <w:tcPr>
            <w:tcW w:w="240" w:type="dxa"/>
            <w:vAlign w:val="bottom"/>
            <w:shd w:val="clear" w:color="auto" w:fill="D1D2D4"/>
          </w:tcPr>
          <w:p>
            <w:pPr>
              <w:spacing w:after="0"/>
              <w:rPr>
                <w:sz w:val="16"/>
                <w:szCs w:val="16"/>
                <w:color w:val="auto"/>
              </w:rPr>
            </w:pPr>
          </w:p>
        </w:tc>
        <w:tc>
          <w:tcPr>
            <w:tcW w:w="1160" w:type="dxa"/>
            <w:vAlign w:val="bottom"/>
            <w:vMerge w:val="restart"/>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16"/>
                <w:szCs w:val="16"/>
                <w:color w:val="auto"/>
              </w:rPr>
            </w:pPr>
          </w:p>
        </w:tc>
        <w:tc>
          <w:tcPr>
            <w:tcW w:w="118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53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positions</w:t>
            </w:r>
          </w:p>
        </w:tc>
        <w:tc>
          <w:tcPr>
            <w:tcW w:w="260" w:type="dxa"/>
            <w:vAlign w:val="bottom"/>
            <w:tcBorders>
              <w:bottom w:val="single" w:sz="8" w:color="auto"/>
            </w:tcBorders>
            <w:shd w:val="clear" w:color="auto" w:fill="D1D2D4"/>
          </w:tcPr>
          <w:p>
            <w:pPr>
              <w:spacing w:after="0"/>
              <w:rPr>
                <w:sz w:val="18"/>
                <w:szCs w:val="18"/>
                <w:color w:val="auto"/>
              </w:rPr>
            </w:pPr>
          </w:p>
        </w:tc>
        <w:tc>
          <w:tcPr>
            <w:tcW w:w="1120" w:type="dxa"/>
            <w:vAlign w:val="bottom"/>
            <w:tcBorders>
              <w:bottom w:val="single" w:sz="8" w:color="auto"/>
            </w:tcBorders>
            <w:vMerge w:val="continue"/>
            <w:shd w:val="clear" w:color="auto" w:fill="D1D2D4"/>
          </w:tcPr>
          <w:p>
            <w:pPr>
              <w:spacing w:after="0"/>
              <w:rPr>
                <w:sz w:val="18"/>
                <w:szCs w:val="18"/>
                <w:color w:val="auto"/>
              </w:rPr>
            </w:pPr>
          </w:p>
        </w:tc>
        <w:tc>
          <w:tcPr>
            <w:tcW w:w="300" w:type="dxa"/>
            <w:vAlign w:val="bottom"/>
            <w:tcBorders>
              <w:bottom w:val="single" w:sz="8" w:color="auto"/>
            </w:tcBorders>
            <w:shd w:val="clear" w:color="auto" w:fill="D1D2D4"/>
          </w:tcPr>
          <w:p>
            <w:pPr>
              <w:spacing w:after="0"/>
              <w:rPr>
                <w:sz w:val="18"/>
                <w:szCs w:val="18"/>
                <w:color w:val="auto"/>
              </w:rPr>
            </w:pPr>
          </w:p>
        </w:tc>
        <w:tc>
          <w:tcPr>
            <w:tcW w:w="1200" w:type="dxa"/>
            <w:vAlign w:val="bottom"/>
            <w:tcBorders>
              <w:bottom w:val="single" w:sz="8" w:color="auto"/>
            </w:tcBorders>
            <w:vMerge w:val="continue"/>
            <w:shd w:val="clear" w:color="auto" w:fill="D1D2D4"/>
          </w:tcPr>
          <w:p>
            <w:pPr>
              <w:spacing w:after="0"/>
              <w:rPr>
                <w:sz w:val="18"/>
                <w:szCs w:val="18"/>
                <w:color w:val="auto"/>
              </w:rPr>
            </w:pPr>
          </w:p>
        </w:tc>
        <w:tc>
          <w:tcPr>
            <w:tcW w:w="100" w:type="dxa"/>
            <w:vAlign w:val="bottom"/>
            <w:shd w:val="clear" w:color="auto" w:fill="D1D2D4"/>
          </w:tcPr>
          <w:p>
            <w:pPr>
              <w:spacing w:after="0"/>
              <w:rPr>
                <w:sz w:val="18"/>
                <w:szCs w:val="18"/>
                <w:color w:val="auto"/>
              </w:rPr>
            </w:pPr>
          </w:p>
        </w:tc>
        <w:tc>
          <w:tcPr>
            <w:tcW w:w="240" w:type="dxa"/>
            <w:vAlign w:val="bottom"/>
            <w:tcBorders>
              <w:bottom w:val="single" w:sz="8" w:color="auto"/>
            </w:tcBorders>
            <w:shd w:val="clear" w:color="auto" w:fill="D1D2D4"/>
          </w:tcPr>
          <w:p>
            <w:pPr>
              <w:spacing w:after="0"/>
              <w:rPr>
                <w:sz w:val="18"/>
                <w:szCs w:val="18"/>
                <w:color w:val="auto"/>
              </w:rPr>
            </w:pPr>
          </w:p>
        </w:tc>
        <w:tc>
          <w:tcPr>
            <w:tcW w:w="1160" w:type="dxa"/>
            <w:vAlign w:val="bottom"/>
            <w:tcBorders>
              <w:bottom w:val="single" w:sz="8" w:color="auto"/>
            </w:tcBorders>
            <w:vMerge w:val="continue"/>
            <w:shd w:val="clear" w:color="auto" w:fill="D1D2D4"/>
          </w:tcPr>
          <w:p>
            <w:pPr>
              <w:spacing w:after="0"/>
              <w:rPr>
                <w:sz w:val="18"/>
                <w:szCs w:val="18"/>
                <w:color w:val="auto"/>
              </w:rPr>
            </w:pPr>
          </w:p>
        </w:tc>
        <w:tc>
          <w:tcPr>
            <w:tcW w:w="300" w:type="dxa"/>
            <w:vAlign w:val="bottom"/>
            <w:tcBorders>
              <w:bottom w:val="single" w:sz="8" w:color="auto"/>
            </w:tcBorders>
            <w:shd w:val="clear" w:color="auto" w:fill="D1D2D4"/>
          </w:tcPr>
          <w:p>
            <w:pPr>
              <w:spacing w:after="0"/>
              <w:rPr>
                <w:sz w:val="18"/>
                <w:szCs w:val="18"/>
                <w:color w:val="auto"/>
              </w:rPr>
            </w:pPr>
          </w:p>
        </w:tc>
        <w:tc>
          <w:tcPr>
            <w:tcW w:w="1180" w:type="dxa"/>
            <w:vAlign w:val="bottom"/>
            <w:tcBorders>
              <w:bottom w:val="single" w:sz="8" w:color="auto"/>
            </w:tcBorders>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9"/>
              </w:rPr>
              <w:t>(68)</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Income tax provision in the third quarter of 2020 increased as compared to the third quarter of 2019 primarily due to tax benefits in the third quarter of 2019 resulting from tax law changes. Our provision for income tax decreased in the first nine months of 2020 as compared to the first nine months of 2019 primarily as a result of reductions in our profit before tax and the foreign minimum tax.</w:t>
      </w:r>
    </w:p>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May 28, 2020, gross unrecognized tax benefits related to uncertain tax positions were $396 million, substantially all of which would affect our effective tax rate in the future, if recognized. Amounts accrued for interest and penalties related to uncertain tax positions were not significant for any period presented.</w:t>
      </w:r>
    </w:p>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arrangements expire in whole or in part at various dates through 2034 and are conditional, in part, upon meeting certain business operations and employment thresholds. The effect of tax incentive arrangements reduced our tax provision by $70 million (benefiting our diluted earnings per share by $0.06) and $78 million ($0.07 per diluted share) for the third quarter and first nine months of 2020, respectively, and by $71 million ($0.06 per diluted share) and $742 million ($0.65 per diluted share) for the third quarter and first nine months of 2019, respectively.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Earnings Per Share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60" w:type="dxa"/>
            <w:vAlign w:val="bottom"/>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2640" w:type="dxa"/>
            <w:vAlign w:val="bottom"/>
            <w:tcBorders>
              <w:bottom w:val="single" w:sz="8" w:color="0090DA"/>
            </w:tcBorders>
            <w:gridSpan w:val="3"/>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264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May 28,</w:t>
            </w:r>
          </w:p>
        </w:tc>
        <w:tc>
          <w:tcPr>
            <w:tcW w:w="32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40" w:type="dxa"/>
            <w:vAlign w:val="bottom"/>
          </w:tcPr>
          <w:p>
            <w:pPr>
              <w:spacing w:after="0"/>
              <w:rPr>
                <w:sz w:val="17"/>
                <w:szCs w:val="17"/>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30,</w:t>
            </w:r>
          </w:p>
        </w:tc>
      </w:tr>
      <w:tr>
        <w:trPr>
          <w:trHeight w:val="246"/>
        </w:trPr>
        <w:tc>
          <w:tcPr>
            <w:tcW w:w="5360" w:type="dxa"/>
            <w:vAlign w:val="bottom"/>
            <w:tcBorders>
              <w:bottom w:val="single" w:sz="8" w:color="0090DA"/>
            </w:tcBorders>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0"/>
        </w:trPr>
        <w:tc>
          <w:tcPr>
            <w:tcW w:w="5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6"/>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Basic</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3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1,699</w:t>
            </w:r>
          </w:p>
        </w:tc>
        <w:tc>
          <w:tcPr>
            <w:tcW w:w="3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5,752</w:t>
            </w:r>
          </w:p>
        </w:tc>
      </w:tr>
      <w:tr>
        <w:trPr>
          <w:trHeight w:val="250"/>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Assumed conversion of debt</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D1D2D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82"/>
        </w:trPr>
        <w:tc>
          <w:tcPr>
            <w:tcW w:w="5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Diluted</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3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D1D2D4"/>
            </w:tcBorders>
            <w:shd w:val="clear" w:color="auto" w:fill="D1D2D4"/>
          </w:tcPr>
          <w:p>
            <w:pPr>
              <w:spacing w:after="0"/>
              <w:rPr>
                <w:sz w:val="24"/>
                <w:szCs w:val="24"/>
                <w:color w:val="auto"/>
              </w:rPr>
            </w:pPr>
          </w:p>
        </w:tc>
        <w:tc>
          <w:tcPr>
            <w:tcW w:w="2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1,695</w:t>
            </w:r>
          </w:p>
        </w:tc>
        <w:tc>
          <w:tcPr>
            <w:tcW w:w="30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5,746</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6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1,111</w:t>
            </w:r>
          </w:p>
        </w:tc>
        <w:tc>
          <w:tcPr>
            <w:tcW w:w="32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1,110</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1,117</w:t>
            </w:r>
          </w:p>
        </w:tc>
      </w:tr>
      <w:tr>
        <w:trPr>
          <w:trHeight w:val="256"/>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plans and convertible notes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D1D2D4"/>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w:t>
            </w:r>
          </w:p>
        </w:tc>
      </w:tr>
      <w:tr>
        <w:trPr>
          <w:trHeight w:val="275"/>
        </w:trPr>
        <w:tc>
          <w:tcPr>
            <w:tcW w:w="5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60" w:type="dxa"/>
            <w:vAlign w:val="bottom"/>
            <w:tcBorders>
              <w:bottom w:val="single" w:sz="8" w:color="auto"/>
            </w:tcBorders>
            <w:shd w:val="clear" w:color="auto" w:fill="D1D2D4"/>
          </w:tcPr>
          <w:p>
            <w:pPr>
              <w:spacing w:after="0"/>
              <w:rPr>
                <w:sz w:val="23"/>
                <w:szCs w:val="23"/>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1,129</w:t>
            </w:r>
          </w:p>
        </w:tc>
        <w:tc>
          <w:tcPr>
            <w:tcW w:w="320" w:type="dxa"/>
            <w:vAlign w:val="bottom"/>
            <w:tcBorders>
              <w:bottom w:val="single" w:sz="8" w:color="auto"/>
            </w:tcBorders>
            <w:shd w:val="clear" w:color="auto" w:fill="D1D2D4"/>
          </w:tcPr>
          <w:p>
            <w:pPr>
              <w:spacing w:after="0"/>
              <w:rPr>
                <w:sz w:val="23"/>
                <w:szCs w:val="23"/>
                <w:color w:val="auto"/>
              </w:rPr>
            </w:pP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D1D2D4"/>
            </w:tcBorders>
            <w:shd w:val="clear" w:color="auto" w:fill="D1D2D4"/>
          </w:tcPr>
          <w:p>
            <w:pPr>
              <w:spacing w:after="0"/>
              <w:rPr>
                <w:sz w:val="23"/>
                <w:szCs w:val="23"/>
                <w:color w:val="auto"/>
              </w:rPr>
            </w:pPr>
          </w:p>
        </w:tc>
        <w:tc>
          <w:tcPr>
            <w:tcW w:w="240" w:type="dxa"/>
            <w:vAlign w:val="bottom"/>
            <w:tcBorders>
              <w:bottom w:val="single" w:sz="8" w:color="auto"/>
            </w:tcBorders>
            <w:shd w:val="clear" w:color="auto" w:fill="D1D2D4"/>
          </w:tcPr>
          <w:p>
            <w:pPr>
              <w:spacing w:after="0"/>
              <w:rPr>
                <w:sz w:val="23"/>
                <w:szCs w:val="23"/>
                <w:color w:val="auto"/>
              </w:rPr>
            </w:pP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1,131</w:t>
            </w:r>
          </w:p>
        </w:tc>
        <w:tc>
          <w:tcPr>
            <w:tcW w:w="300" w:type="dxa"/>
            <w:vAlign w:val="bottom"/>
            <w:tcBorders>
              <w:bottom w:val="single" w:sz="8" w:color="auto"/>
            </w:tcBorders>
            <w:shd w:val="clear" w:color="auto" w:fill="D1D2D4"/>
          </w:tcPr>
          <w:p>
            <w:pPr>
              <w:spacing w:after="0"/>
              <w:rPr>
                <w:sz w:val="23"/>
                <w:szCs w:val="23"/>
                <w:color w:val="auto"/>
              </w:rPr>
            </w:pPr>
          </w:p>
        </w:tc>
        <w:tc>
          <w:tcPr>
            <w:tcW w:w="11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1,148</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r>
        <w:trPr>
          <w:trHeight w:val="204"/>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26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32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50"/>
        </w:trPr>
        <w:tc>
          <w:tcPr>
            <w:tcW w:w="5360" w:type="dxa"/>
            <w:vAlign w:val="bottom"/>
          </w:tcPr>
          <w:p>
            <w:pPr>
              <w:ind w:left="3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5.15</w:t>
            </w:r>
          </w:p>
        </w:tc>
      </w:tr>
      <w:tr>
        <w:trPr>
          <w:trHeight w:val="263"/>
        </w:trPr>
        <w:tc>
          <w:tcPr>
            <w:tcW w:w="536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0.71</w:t>
            </w:r>
          </w:p>
        </w:tc>
        <w:tc>
          <w:tcPr>
            <w:tcW w:w="32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5.01</w:t>
            </w:r>
          </w:p>
        </w:tc>
      </w:tr>
    </w:tbl>
    <w:p>
      <w:pPr>
        <w:spacing w:after="0" w:line="350"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Antidilutive potential common stock shares that could dilute basic earnings per share in the future were 9 million and 5 million for the third quarter and first nine months of 2020, respectively, and 6 million and 7 million for the third quarter and first nine months of 2019, respectively.</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060"/>
        <w:spacing w:after="0"/>
        <w:rPr>
          <w:sz w:val="20"/>
          <w:szCs w:val="20"/>
          <w:color w:val="auto"/>
        </w:rPr>
      </w:pPr>
      <w:r>
        <w:rPr>
          <w:sz w:val="1"/>
          <w:szCs w:val="1"/>
          <w:color w:val="auto"/>
        </w:rPr>
        <w:drawing>
          <wp:inline distT="0" distB="0" distL="0" distR="0">
            <wp:extent cx="591820" cy="1543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3"/>
          <w:szCs w:val="13"/>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8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203" w:lineRule="exact"/>
        <w:rPr>
          <w:sz w:val="20"/>
          <w:szCs w:val="20"/>
          <w:color w:val="auto"/>
        </w:rPr>
      </w:pPr>
    </w:p>
    <w:p>
      <w:pPr>
        <w:ind w:left="180" w:right="380" w:hanging="161"/>
        <w:spacing w:after="0" w:line="263"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client, cloud server, enterprise,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 and sales of certain 3D XPoint products.</w:t>
      </w: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smartphone and other mobile-device markets.</w:t>
      </w:r>
    </w:p>
    <w:p>
      <w:pPr>
        <w:spacing w:after="0" w:line="9" w:lineRule="exact"/>
        <w:rPr>
          <w:sz w:val="20"/>
          <w:szCs w:val="20"/>
          <w:color w:val="auto"/>
        </w:rPr>
      </w:pPr>
    </w:p>
    <w:p>
      <w:pPr>
        <w:ind w:left="180" w:hanging="161"/>
        <w:spacing w:after="0" w:line="250"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other discrete storage products sold in component and wafer form to the removable storage market, and sales of certain 3D XPoint products.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60" w:type="dxa"/>
            <w:vAlign w:val="bottom"/>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2640" w:type="dxa"/>
            <w:vAlign w:val="bottom"/>
            <w:tcBorders>
              <w:bottom w:val="single" w:sz="8" w:color="0090DA"/>
            </w:tcBorders>
            <w:gridSpan w:val="3"/>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264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40" w:type="dxa"/>
            <w:vAlign w:val="bottom"/>
          </w:tcPr>
          <w:p>
            <w:pPr>
              <w:spacing w:after="0"/>
              <w:rPr>
                <w:sz w:val="17"/>
                <w:szCs w:val="17"/>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7"/>
                <w:szCs w:val="17"/>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30,</w:t>
            </w:r>
          </w:p>
        </w:tc>
      </w:tr>
      <w:tr>
        <w:trPr>
          <w:trHeight w:val="246"/>
        </w:trPr>
        <w:tc>
          <w:tcPr>
            <w:tcW w:w="5360" w:type="dxa"/>
            <w:vAlign w:val="bottom"/>
            <w:tcBorders>
              <w:bottom w:val="single" w:sz="8" w:color="0090DA"/>
            </w:tcBorders>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1"/>
        </w:trPr>
        <w:tc>
          <w:tcPr>
            <w:tcW w:w="5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CNBU</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2,218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6,164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8,065</w:t>
            </w:r>
          </w:p>
        </w:tc>
      </w:tr>
      <w:tr>
        <w:trPr>
          <w:trHeight w:val="263"/>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MBU</w:t>
            </w: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1,525</w:t>
            </w: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4,240</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4,997</w:t>
            </w: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SBU</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3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2,852</w:t>
            </w:r>
          </w:p>
        </w:tc>
        <w:tc>
          <w:tcPr>
            <w:tcW w:w="3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2,978</w:t>
            </w:r>
          </w:p>
        </w:tc>
      </w:tr>
      <w:tr>
        <w:trPr>
          <w:trHeight w:val="263"/>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EBU</w:t>
            </w: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675</w:t>
            </w: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2,105</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2,432</w:t>
            </w:r>
          </w:p>
        </w:tc>
      </w:tr>
      <w:tr>
        <w:trPr>
          <w:trHeight w:val="250"/>
        </w:trPr>
        <w:tc>
          <w:tcPr>
            <w:tcW w:w="53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D1D2D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w:t>
            </w:r>
          </w:p>
        </w:tc>
      </w:tr>
      <w:tr>
        <w:trPr>
          <w:trHeight w:val="275"/>
        </w:trPr>
        <w:tc>
          <w:tcPr>
            <w:tcW w:w="5360" w:type="dxa"/>
            <w:vAlign w:val="bottom"/>
            <w:tcBorders>
              <w:bottom w:val="single" w:sz="8" w:color="D1D2D4"/>
            </w:tcBorders>
            <w:shd w:val="clear" w:color="auto" w:fill="D1D2D4"/>
          </w:tcPr>
          <w:p>
            <w:pPr>
              <w:spacing w:after="0"/>
              <w:rPr>
                <w:sz w:val="23"/>
                <w:szCs w:val="23"/>
                <w:color w:val="auto"/>
              </w:rPr>
            </w:pP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5,438</w:t>
            </w:r>
          </w:p>
        </w:tc>
        <w:tc>
          <w:tcPr>
            <w:tcW w:w="30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4,788</w:t>
            </w:r>
          </w:p>
        </w:tc>
        <w:tc>
          <w:tcPr>
            <w:tcW w:w="100" w:type="dxa"/>
            <w:vAlign w:val="bottom"/>
            <w:tcBorders>
              <w:bottom w:val="single" w:sz="8" w:color="D1D2D4"/>
            </w:tcBorders>
            <w:shd w:val="clear" w:color="auto" w:fill="D1D2D4"/>
          </w:tcPr>
          <w:p>
            <w:pPr>
              <w:spacing w:after="0"/>
              <w:rPr>
                <w:sz w:val="23"/>
                <w:szCs w:val="23"/>
                <w:color w:val="auto"/>
              </w:rPr>
            </w:pPr>
          </w:p>
        </w:tc>
        <w:tc>
          <w:tcPr>
            <w:tcW w:w="2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15,379</w:t>
            </w:r>
          </w:p>
        </w:tc>
        <w:tc>
          <w:tcPr>
            <w:tcW w:w="30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18,536</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r>
        <w:trPr>
          <w:trHeight w:val="210"/>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CNBU</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4,171</w:t>
            </w:r>
          </w:p>
        </w:tc>
      </w:tr>
      <w:tr>
        <w:trPr>
          <w:trHeight w:val="263"/>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MBU</w:t>
            </w: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295</w:t>
            </w: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773</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2,241</w:t>
            </w: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SBU</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63"/>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EBU</w:t>
            </w: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256</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822</w:t>
            </w:r>
          </w:p>
        </w:tc>
      </w:tr>
      <w:tr>
        <w:trPr>
          <w:trHeight w:val="250"/>
        </w:trPr>
        <w:tc>
          <w:tcPr>
            <w:tcW w:w="53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D1D2D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w:t>
            </w:r>
          </w:p>
        </w:tc>
      </w:tr>
      <w:tr>
        <w:trPr>
          <w:trHeight w:val="250"/>
        </w:trPr>
        <w:tc>
          <w:tcPr>
            <w:tcW w:w="5360" w:type="dxa"/>
            <w:vAlign w:val="bottom"/>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981</w:t>
            </w:r>
          </w:p>
        </w:tc>
        <w:tc>
          <w:tcPr>
            <w:tcW w:w="300" w:type="dxa"/>
            <w:vAlign w:val="bottom"/>
            <w:tcBorders>
              <w:bottom w:val="single" w:sz="8" w:color="auto"/>
            </w:tcBorders>
            <w:shd w:val="clear" w:color="auto" w:fill="D1D2D4"/>
          </w:tcPr>
          <w:p>
            <w:pPr>
              <w:spacing w:after="0"/>
              <w:rPr>
                <w:sz w:val="21"/>
                <w:szCs w:val="21"/>
                <w:color w:val="auto"/>
              </w:rPr>
            </w:pP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2,117</w:t>
            </w:r>
          </w:p>
        </w:tc>
        <w:tc>
          <w:tcPr>
            <w:tcW w:w="30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7,107</w:t>
            </w:r>
          </w:p>
        </w:tc>
      </w:tr>
      <w:tr>
        <w:trPr>
          <w:trHeight w:val="243"/>
        </w:trPr>
        <w:tc>
          <w:tcPr>
            <w:tcW w:w="5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63"/>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Restructure and asset impairments</w:t>
            </w: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(90)</w:t>
            </w: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Employee severance</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63"/>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Start-up and preproduction costs</w:t>
            </w:r>
          </w:p>
        </w:tc>
        <w:tc>
          <w:tcPr>
            <w:tcW w:w="2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(46)</w:t>
            </w:r>
          </w:p>
        </w:tc>
      </w:tr>
      <w:tr>
        <w:trPr>
          <w:trHeight w:val="250"/>
        </w:trPr>
        <w:tc>
          <w:tcPr>
            <w:tcW w:w="53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D1D2D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250"/>
        </w:trPr>
        <w:tc>
          <w:tcPr>
            <w:tcW w:w="5360" w:type="dxa"/>
            <w:vAlign w:val="bottom"/>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300" w:type="dxa"/>
            <w:vAlign w:val="bottom"/>
            <w:tcBorders>
              <w:bottom w:val="single" w:sz="8" w:color="auto"/>
            </w:tcBorders>
            <w:shd w:val="clear" w:color="auto" w:fill="D1D2D4"/>
          </w:tcPr>
          <w:p>
            <w:pPr>
              <w:spacing w:after="0"/>
              <w:rPr>
                <w:sz w:val="21"/>
                <w:szCs w:val="21"/>
                <w:color w:val="auto"/>
              </w:rPr>
            </w:pPr>
          </w:p>
        </w:tc>
        <w:tc>
          <w:tcPr>
            <w:tcW w:w="120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(271)</w:t>
            </w:r>
          </w:p>
        </w:tc>
        <w:tc>
          <w:tcPr>
            <w:tcW w:w="30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(381)</w:t>
            </w:r>
          </w:p>
        </w:tc>
      </w:tr>
      <w:tr>
        <w:trPr>
          <w:trHeight w:val="243"/>
        </w:trPr>
        <w:tc>
          <w:tcPr>
            <w:tcW w:w="5360" w:type="dxa"/>
            <w:vAlign w:val="bottom"/>
            <w:tcBorders>
              <w:bottom w:val="single" w:sz="8" w:color="D1D2D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D1D2D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275"/>
        </w:trPr>
        <w:tc>
          <w:tcPr>
            <w:tcW w:w="5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888</w:t>
            </w:r>
          </w:p>
        </w:tc>
        <w:tc>
          <w:tcPr>
            <w:tcW w:w="30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D1D2D4"/>
            </w:tcBorders>
            <w:shd w:val="clear" w:color="auto" w:fill="D1D2D4"/>
          </w:tcPr>
          <w:p>
            <w:pPr>
              <w:spacing w:after="0"/>
              <w:rPr>
                <w:sz w:val="23"/>
                <w:szCs w:val="23"/>
                <w:color w:val="auto"/>
              </w:rPr>
            </w:pPr>
          </w:p>
        </w:tc>
        <w:tc>
          <w:tcPr>
            <w:tcW w:w="2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1,846</w:t>
            </w:r>
          </w:p>
        </w:tc>
        <w:tc>
          <w:tcPr>
            <w:tcW w:w="30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6,726</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8" w:name="page29"/>
    <w:bookmarkEnd w:id="28"/>
    <w:p>
      <w:pPr>
        <w:ind w:right="700"/>
        <w:spacing w:after="0" w:line="28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5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included in our Annual Report on Form 10-K for the year ended August 29, 2019. All period references are to our fiscal periods unless otherwise indicated. Our fiscal year is the 52 or 53-week period ending on the Thursday closest to August 31. Fiscal year 2020 contains 53 weeks and the fourth quarter of 2020 will contain 14 weeks. All tabular dollar amounts are in millions, except per share amounts.</w:t>
      </w:r>
    </w:p>
    <w:p>
      <w:pPr>
        <w:spacing w:after="0" w:line="19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8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Crucial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24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manufacture our products at our wholly-owned facilities and also utilize subcontractors to perform certain manufacturing processes. In recent years, we have increased our manufacturing scale and product diversity through strategic acquisitions, expansion, and various partnering arrangements. On October 31, 2019, we purchased Intel’s noncontrolling interest in IMFT and IMFT Member Debt for $1.25 billion, at which time IMFT, now known as MTU, became a wholly-owned subsidiary.</w:t>
      </w:r>
    </w:p>
    <w:p>
      <w:pPr>
        <w:spacing w:after="0" w:line="23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make significant investments to develop proprietary product and process technology, which are implemented in our manufacturing facilities. We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advanced packaging solutions to meet industry standards, lower power consumption, improved read/write reliability, and increased memory density. Our managed NAND and SSD storage products, which incorporate NAND, a controller, and firmware, constitute a significant portion of our revenue. We have developed proprietary firmware and controllers, which are included in certain of our SSDs. Development of advanced technologies enables us to diversify our product portfolio toward a richer mix of differentiated, high-value solutions and to target high-growth markets.</w:t>
      </w:r>
    </w:p>
    <w:p>
      <w:pPr>
        <w:spacing w:after="0" w:line="2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market our products through our internal sales force, independent sales representatives, and distributors primarily to original equipment manufacturers and retailers located around the world. We face intense competition in the semiconductor memory and storage markets and, to remain competitive, we must continuously develop and implement new products and technologies and decrease manufacturing costs.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return-driven capital spending.</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Impact of COVID-19 to our Business</w:t>
      </w:r>
    </w:p>
    <w:p>
      <w:pPr>
        <w:spacing w:after="0" w:line="26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Events surrounding the ongoing COVID-19 outbreak have resulted in a reduction in economic activity across the globe. The severity and duration of these economic repercussions remain largely unknown and ultimately will depend on many factors, including the speed and effectiveness of the containment efforts throughout the world. While we have observed demand increases in some areas of our business that support the stay-at-home economy, such as products used in data center infrastructure, notebook computers, and similar applications, we have also observed demand decreases in other categories such as smartphones, consumer electronics, and automotive. The extent to which COVID-19 will impact demand for our products depends on future developments, which are highly uncertain and very difficult to predict, including new information that may emerge concerning the severity of the coronavirus and actions to contain and treat its impacts. While all our global sites are currently operational, our</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facilities could be required to temporarily curtail production levels or temporarily cease operations based on government mandates.</w:t>
      </w:r>
    </w:p>
    <w:p>
      <w:pPr>
        <w:spacing w:after="0" w:line="25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From the start of the COVID-19 outbreak, we proactively implemented preventative protocols intended to safeguard our team members, contractors, suppliers, customers, distributors, and communities, and ensure business continuity in the event government restrictions or severe outbreaks impact our operations at certain sites. We remain committed to the health and safety of our team members, contractors, suppliers, customers, distributors, and communities, and are following government policies and recommendations designed to slow the spread of COVID-19.</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efforts to respond to the COVID-19 outbreak include the following:</w:t>
      </w:r>
    </w:p>
    <w:p>
      <w:pPr>
        <w:spacing w:after="0" w:line="252" w:lineRule="exact"/>
        <w:rPr>
          <w:sz w:val="20"/>
          <w:szCs w:val="20"/>
          <w:color w:val="auto"/>
        </w:rPr>
      </w:pPr>
    </w:p>
    <w:p>
      <w:pPr>
        <w:ind w:left="660" w:hanging="328"/>
        <w:spacing w:after="0" w:line="25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put health screenings in place, required social distancing, and have established team separation protocols at our facilities. We are also prohibiting visitors, have suspended business travel, and require team members to work from home to the extent possible. Where work from home is not possible, all on-site team members must pass through thermal scanning equipment to ensure they do not have an elevated body temperature and must wear a mask at all times.</w:t>
      </w:r>
    </w:p>
    <w:p>
      <w:pPr>
        <w:spacing w:after="0" w:line="16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respond to changing market conditions, we have shifted some supply from markets which have experienced declines in demand, such as smartphones, to markets that have experienced demand increases, such as data center markets.</w:t>
      </w:r>
    </w:p>
    <w:p>
      <w:pPr>
        <w:spacing w:after="0" w:line="170"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evaluated our supply chain and communicated with our suppliers to identify supply gaps and taken steps to ensure continuity. In some cases, we have added alternative suppliers and increased our on-hand inventory of raw materials needed in our operations.</w:t>
      </w:r>
    </w:p>
    <w:p>
      <w:pPr>
        <w:spacing w:after="0" w:line="161" w:lineRule="exact"/>
        <w:rPr>
          <w:rFonts w:ascii="Arial" w:cs="Arial" w:eastAsia="Arial" w:hAnsi="Arial"/>
          <w:sz w:val="18"/>
          <w:szCs w:val="18"/>
          <w:color w:val="auto"/>
        </w:rPr>
      </w:pPr>
    </w:p>
    <w:p>
      <w:pPr>
        <w:ind w:left="660" w:right="60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added assembly and test capacity to provide redundant manufacturing capability through our network of captive and external partners.</w:t>
      </w:r>
    </w:p>
    <w:p>
      <w:pPr>
        <w:spacing w:after="0" w:line="157"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evaluating all our construction projects across our global manufacturing operations and enacting protocols to enhance the safety of our team members, suppliers, and contractors.</w:t>
      </w:r>
    </w:p>
    <w:p>
      <w:pPr>
        <w:spacing w:after="0" w:line="170"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developed strategies and are implementing measures to respond to a variety of potential economic scenarios, such as limitations on new hiring, suspension of business travel, and reductions in discretionary spending.</w:t>
      </w:r>
    </w:p>
    <w:p>
      <w:pPr>
        <w:spacing w:after="0" w:line="157" w:lineRule="exact"/>
        <w:rPr>
          <w:rFonts w:ascii="Arial" w:cs="Arial" w:eastAsia="Arial" w:hAnsi="Arial"/>
          <w:sz w:val="18"/>
          <w:szCs w:val="18"/>
          <w:color w:val="auto"/>
        </w:rPr>
      </w:pPr>
    </w:p>
    <w:p>
      <w:pPr>
        <w:ind w:left="660" w:right="24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working with government authorities in the jurisdictions where we operate, and continuing to monitor our operations in an effort to ensure we follow government requirements, relevant regulations, industry standards, and best practices to help safeguard our team members, while safely continuing operations to the extent possible at our sites across the globe.</w:t>
      </w:r>
    </w:p>
    <w:p>
      <w:pPr>
        <w:spacing w:after="0" w:line="16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believe these actions are appropriate and prudent to safeguard our team members, contractors, suppliers, customers, and communities, while allowing us to safely continue operations, but we cannot predict how the steps we, our team members, government entities, suppliers, or customers take in response to the COVID-19 outbreak will impact our business, outlook, or results of operations.</w:t>
      </w:r>
    </w:p>
    <w:p>
      <w:pPr>
        <w:spacing w:after="0" w:line="229"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We will continue to actively monitor the situation and may take further actions altering our business operations that we determine are in the best interests of our employees, customers, partners, suppliers, and stakeholders, or as required by federal, state, or local authorities. It is not clear what the potential effects any such alterations or modifications may have on our business, including the effects on our customers, employees, and prospects, or on our financial results.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Products</w:t>
      </w:r>
    </w:p>
    <w:p>
      <w:pPr>
        <w:spacing w:after="0" w:line="26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DRAM, NAND, 3D XPoint memory, NOR, and other technologies. We sell our products into various markets through our business units in various forms, including wafers, components, modules, SSDs, managed NAND, and MCP products. MCP products combine DRAM, NAND, and/or NOR and in some cases also include a controller and firmware.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0" w:name="page31"/>
    <w:bookmarkEnd w:id="30"/>
    <w:p>
      <w:pPr>
        <w:ind w:right="60"/>
        <w:spacing w:after="0" w:line="259" w:lineRule="auto"/>
        <w:rPr>
          <w:sz w:val="20"/>
          <w:szCs w:val="20"/>
          <w:color w:val="auto"/>
        </w:rPr>
      </w:pPr>
      <w:r>
        <w:rPr>
          <w:rFonts w:ascii="Arial" w:cs="Arial" w:eastAsia="Arial" w:hAnsi="Arial"/>
          <w:sz w:val="18"/>
          <w:szCs w:val="18"/>
          <w:b w:val="1"/>
          <w:bCs w:val="1"/>
          <w:i w:val="1"/>
          <w:iCs w:val="1"/>
          <w:color w:val="auto"/>
        </w:rPr>
        <w:t>DRAM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client, cloud server, enterprise, networking, industrial, and automotive markets. Low-power DRAM products, which are engineered to meet standards for performance and power consumption, are sold into smartphone and other mobile-device markets, as well as into the automotive, industrial, and consumer markets.</w:t>
      </w:r>
    </w:p>
    <w:p>
      <w:pPr>
        <w:spacing w:after="0" w:line="206"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b w:val="1"/>
          <w:bCs w:val="1"/>
          <w:i w:val="1"/>
          <w:iCs w:val="1"/>
          <w:color w:val="auto"/>
        </w:rPr>
        <w:t>NAND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NAND products are non-volatile, re-writeable semiconductor storage devices that provide high-capacity, low-cost storage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performance characteristics. NAND is used in SSDs for the enterprise and cloud, client, and consumer markets and in removable storage markets. Managed NAND is used in smartphones and other mobile-devices, consumer, automotive, and embedded markets. Low-density NAND is ideal for applications like automotive, surveillance, machine-to-machine, automation, printers, and home networking.</w:t>
      </w:r>
    </w:p>
    <w:p>
      <w:pPr>
        <w:spacing w:after="0" w:line="18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3D XPoint Technology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3D XPoint is a new class of non-volatile technology between DRAM and NAND in the memory and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hierarchy, offering higher capacity and non-volatility over DRAM along with lower latency and higher endurance as compared to NAND. 3D XPoint technology is ideal for data center and other markets requiring high-bandwidth storage and low-latency performance.</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reliable code storage (i.e., boot, application, operating system, and execute-in-place code in an embedded system) and for frequently-changing small data storage and is ideal for automotive, industrial, and consumer applications.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Results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7"/>
              </w:rPr>
              <w:t>Third</w:t>
            </w: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8"/>
              </w:rPr>
              <w:t>Second</w:t>
            </w: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Third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8"/>
              </w:rPr>
              <w:t>Quarter</w:t>
            </w: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8"/>
              </w:rPr>
              <w:t>Quarter</w:t>
            </w: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Quarter</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w w:val="99"/>
              </w:rPr>
              <w:t>Nine Months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0090DA"/>
            </w:tcBorders>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gridSpan w:val="2"/>
          </w:tcPr>
          <w:p>
            <w:pPr>
              <w:jc w:val="center"/>
              <w:ind w:right="5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gridSpan w:val="2"/>
          </w:tcPr>
          <w:p>
            <w:pPr>
              <w:jc w:val="center"/>
              <w:ind w:right="5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gridSpan w:val="2"/>
          </w:tcPr>
          <w:p>
            <w:pPr>
              <w:jc w:val="center"/>
              <w:ind w:right="5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Borders>
              <w:top w:val="single" w:sz="8" w:color="0090DA"/>
              <w:bottom w:val="single" w:sz="8" w:color="0090DA"/>
            </w:tcBorders>
          </w:tcPr>
          <w:p>
            <w:pPr>
              <w:spacing w:after="0"/>
              <w:rPr>
                <w:sz w:val="21"/>
                <w:szCs w:val="21"/>
                <w:color w:val="auto"/>
              </w:rPr>
            </w:pPr>
          </w:p>
        </w:tc>
        <w:tc>
          <w:tcPr>
            <w:tcW w:w="840" w:type="dxa"/>
            <w:vAlign w:val="bottom"/>
            <w:tcBorders>
              <w:top w:val="single" w:sz="8" w:color="0090DA"/>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0090DA"/>
              <w:bottom w:val="single" w:sz="8" w:color="0090DA"/>
            </w:tcBorders>
          </w:tcPr>
          <w:p>
            <w:pPr>
              <w:spacing w:after="0"/>
              <w:rPr>
                <w:sz w:val="21"/>
                <w:szCs w:val="21"/>
                <w:color w:val="auto"/>
              </w:rPr>
            </w:pPr>
          </w:p>
        </w:tc>
        <w:tc>
          <w:tcPr>
            <w:tcW w:w="140" w:type="dxa"/>
            <w:vAlign w:val="bottom"/>
            <w:tcBorders>
              <w:top w:val="single" w:sz="8" w:color="0090DA"/>
              <w:bottom w:val="single" w:sz="8" w:color="0090DA"/>
            </w:tcBorders>
          </w:tcPr>
          <w:p>
            <w:pPr>
              <w:spacing w:after="0"/>
              <w:rPr>
                <w:sz w:val="21"/>
                <w:szCs w:val="21"/>
                <w:color w:val="auto"/>
              </w:rPr>
            </w:pPr>
          </w:p>
        </w:tc>
        <w:tc>
          <w:tcPr>
            <w:tcW w:w="840" w:type="dxa"/>
            <w:vAlign w:val="bottom"/>
            <w:tcBorders>
              <w:top w:val="single" w:sz="8" w:color="0090DA"/>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top w:val="single" w:sz="8" w:color="0090DA"/>
              <w:bottom w:val="single" w:sz="8" w:color="0090DA"/>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5,438</w:t>
            </w:r>
          </w:p>
        </w:tc>
        <w:tc>
          <w:tcPr>
            <w:tcW w:w="820" w:type="dxa"/>
            <w:vAlign w:val="bottom"/>
            <w:gridSpan w:val="2"/>
            <w:shd w:val="clear" w:color="auto" w:fill="D1D2D4"/>
          </w:tcPr>
          <w:p>
            <w:pPr>
              <w:jc w:val="right"/>
              <w:ind w:right="40"/>
              <w:spacing w:after="0"/>
              <w:rPr>
                <w:sz w:val="20"/>
                <w:szCs w:val="20"/>
                <w:color w:val="auto"/>
              </w:rPr>
            </w:pPr>
            <w:r>
              <w:rPr>
                <w:rFonts w:ascii="Arial" w:cs="Arial" w:eastAsia="Arial" w:hAnsi="Arial"/>
                <w:sz w:val="18"/>
                <w:szCs w:val="18"/>
                <w:color w:val="auto"/>
              </w:rPr>
              <w:t>100 %$</w:t>
            </w:r>
          </w:p>
        </w:tc>
        <w:tc>
          <w:tcPr>
            <w:tcW w:w="6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4,797</w:t>
            </w:r>
          </w:p>
        </w:tc>
        <w:tc>
          <w:tcPr>
            <w:tcW w:w="840" w:type="dxa"/>
            <w:vAlign w:val="bottom"/>
            <w:gridSpan w:val="2"/>
            <w:shd w:val="clear" w:color="auto" w:fill="D1D2D4"/>
          </w:tcPr>
          <w:p>
            <w:pPr>
              <w:jc w:val="right"/>
              <w:ind w:right="40"/>
              <w:spacing w:after="0"/>
              <w:rPr>
                <w:sz w:val="20"/>
                <w:szCs w:val="20"/>
                <w:color w:val="auto"/>
              </w:rPr>
            </w:pPr>
            <w:r>
              <w:rPr>
                <w:rFonts w:ascii="Arial" w:cs="Arial" w:eastAsia="Arial" w:hAnsi="Arial"/>
                <w:sz w:val="18"/>
                <w:szCs w:val="18"/>
                <w:color w:val="auto"/>
              </w:rPr>
              <w:t>100 %$</w:t>
            </w:r>
          </w:p>
        </w:tc>
        <w:tc>
          <w:tcPr>
            <w:tcW w:w="6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7"/>
              </w:rPr>
              <w:t>4,788</w:t>
            </w:r>
          </w:p>
        </w:tc>
        <w:tc>
          <w:tcPr>
            <w:tcW w:w="82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100 %$</w:t>
            </w: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8"/>
              </w:rPr>
              <w:t>15,379</w:t>
            </w:r>
          </w:p>
        </w:tc>
        <w:tc>
          <w:tcPr>
            <w:tcW w:w="120" w:type="dxa"/>
            <w:vAlign w:val="bottom"/>
            <w:shd w:val="clear" w:color="auto" w:fill="D1D2D4"/>
          </w:tcPr>
          <w:p>
            <w:pPr>
              <w:spacing w:after="0"/>
              <w:rPr>
                <w:sz w:val="22"/>
                <w:szCs w:val="22"/>
                <w:color w:val="auto"/>
              </w:rPr>
            </w:pPr>
          </w:p>
        </w:tc>
        <w:tc>
          <w:tcPr>
            <w:tcW w:w="7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100 %$</w:t>
            </w: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8"/>
              </w:rPr>
              <w:t>18,536</w:t>
            </w: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3,675</w:t>
            </w:r>
          </w:p>
        </w:tc>
        <w:tc>
          <w:tcPr>
            <w:tcW w:w="6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68 %</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3,442</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72 %</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2,960</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62 %</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10,895</w:t>
            </w:r>
          </w:p>
        </w:tc>
        <w:tc>
          <w:tcPr>
            <w:tcW w:w="120" w:type="dxa"/>
            <w:vAlign w:val="bottom"/>
            <w:tcBorders>
              <w:bottom w:val="single" w:sz="8" w:color="D1D2D4"/>
            </w:tcBorders>
          </w:tcPr>
          <w:p>
            <w:pPr>
              <w:spacing w:after="0"/>
              <w:rPr>
                <w:sz w:val="21"/>
                <w:szCs w:val="21"/>
                <w:color w:val="auto"/>
              </w:rPr>
            </w:pPr>
          </w:p>
        </w:tc>
        <w:tc>
          <w:tcPr>
            <w:tcW w:w="5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71 %</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9,229</w:t>
            </w:r>
          </w:p>
        </w:tc>
        <w:tc>
          <w:tcPr>
            <w:tcW w:w="120" w:type="dxa"/>
            <w:vAlign w:val="bottom"/>
            <w:tcBorders>
              <w:bottom w:val="single" w:sz="8" w:color="D1D2D4"/>
            </w:tcBorders>
          </w:tcPr>
          <w:p>
            <w:pPr>
              <w:spacing w:after="0"/>
              <w:rPr>
                <w:sz w:val="21"/>
                <w:szCs w:val="21"/>
                <w:color w:val="auto"/>
              </w:rPr>
            </w:pPr>
          </w:p>
        </w:tc>
        <w:tc>
          <w:tcPr>
            <w:tcW w:w="5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57"/>
        </w:trPr>
        <w:tc>
          <w:tcPr>
            <w:tcW w:w="378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1,763</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32 %</w:t>
            </w:r>
          </w:p>
        </w:tc>
        <w:tc>
          <w:tcPr>
            <w:tcW w:w="160" w:type="dxa"/>
            <w:vAlign w:val="bottom"/>
            <w:shd w:val="clear" w:color="auto" w:fill="D1D2D4"/>
          </w:tcPr>
          <w:p>
            <w:pPr>
              <w:spacing w:after="0"/>
              <w:rPr>
                <w:sz w:val="22"/>
                <w:szCs w:val="22"/>
                <w:color w:val="auto"/>
              </w:rPr>
            </w:pPr>
          </w:p>
        </w:tc>
        <w:tc>
          <w:tcPr>
            <w:tcW w:w="6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1,355</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28 %</w:t>
            </w:r>
          </w:p>
        </w:tc>
        <w:tc>
          <w:tcPr>
            <w:tcW w:w="160" w:type="dxa"/>
            <w:vAlign w:val="bottom"/>
            <w:shd w:val="clear" w:color="auto" w:fill="D1D2D4"/>
          </w:tcPr>
          <w:p>
            <w:pPr>
              <w:spacing w:after="0"/>
              <w:rPr>
                <w:sz w:val="22"/>
                <w:szCs w:val="22"/>
                <w:color w:val="auto"/>
              </w:rPr>
            </w:pPr>
          </w:p>
        </w:tc>
        <w:tc>
          <w:tcPr>
            <w:tcW w:w="6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7"/>
              </w:rPr>
              <w:t>1,828</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38 %</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4,484</w:t>
            </w: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29 %</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9,307</w:t>
            </w: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216</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4 %</w:t>
            </w:r>
          </w:p>
        </w:tc>
        <w:tc>
          <w:tcPr>
            <w:tcW w:w="160" w:type="dxa"/>
            <w:vAlign w:val="bottom"/>
            <w:shd w:val="clear" w:color="auto" w:fill="D1D2D4"/>
          </w:tcPr>
          <w:p>
            <w:pPr>
              <w:spacing w:after="0"/>
              <w:rPr>
                <w:sz w:val="22"/>
                <w:szCs w:val="22"/>
                <w:color w:val="auto"/>
              </w:rPr>
            </w:pPr>
          </w:p>
        </w:tc>
        <w:tc>
          <w:tcPr>
            <w:tcW w:w="6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223</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5 %</w:t>
            </w:r>
          </w:p>
        </w:tc>
        <w:tc>
          <w:tcPr>
            <w:tcW w:w="160" w:type="dxa"/>
            <w:vAlign w:val="bottom"/>
            <w:shd w:val="clear" w:color="auto" w:fill="D1D2D4"/>
          </w:tcPr>
          <w:p>
            <w:pPr>
              <w:spacing w:after="0"/>
              <w:rPr>
                <w:sz w:val="22"/>
                <w:szCs w:val="22"/>
                <w:color w:val="auto"/>
              </w:rPr>
            </w:pPr>
          </w:p>
        </w:tc>
        <w:tc>
          <w:tcPr>
            <w:tcW w:w="6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206</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4 %</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4 %</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649</w:t>
            </w:r>
          </w:p>
        </w:tc>
        <w:tc>
          <w:tcPr>
            <w:tcW w:w="660" w:type="dxa"/>
            <w:vAlign w:val="bottom"/>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681</w:t>
            </w:r>
          </w:p>
        </w:tc>
        <w:tc>
          <w:tcPr>
            <w:tcW w:w="680" w:type="dxa"/>
            <w:vAlign w:val="bottom"/>
          </w:tcPr>
          <w:p>
            <w:pPr>
              <w:jc w:val="right"/>
              <w:spacing w:after="0"/>
              <w:rPr>
                <w:sz w:val="20"/>
                <w:szCs w:val="20"/>
                <w:color w:val="auto"/>
              </w:rPr>
            </w:pPr>
            <w:r>
              <w:rPr>
                <w:rFonts w:ascii="Arial" w:cs="Arial" w:eastAsia="Arial" w:hAnsi="Arial"/>
                <w:sz w:val="18"/>
                <w:szCs w:val="18"/>
                <w:color w:val="auto"/>
              </w:rPr>
              <w:t>14 %</w:t>
            </w:r>
          </w:p>
        </w:tc>
        <w:tc>
          <w:tcPr>
            <w:tcW w:w="16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606</w:t>
            </w:r>
          </w:p>
        </w:tc>
        <w:tc>
          <w:tcPr>
            <w:tcW w:w="680" w:type="dxa"/>
            <w:vAlign w:val="bottom"/>
          </w:tcPr>
          <w:p>
            <w:pPr>
              <w:jc w:val="right"/>
              <w:spacing w:after="0"/>
              <w:rPr>
                <w:sz w:val="20"/>
                <w:szCs w:val="20"/>
                <w:color w:val="auto"/>
              </w:rPr>
            </w:pPr>
            <w:r>
              <w:rPr>
                <w:rFonts w:ascii="Arial" w:cs="Arial" w:eastAsia="Arial" w:hAnsi="Arial"/>
                <w:sz w:val="18"/>
                <w:szCs w:val="18"/>
                <w:color w:val="auto"/>
              </w:rPr>
              <w:t>13 %</w:t>
            </w:r>
          </w:p>
        </w:tc>
        <w:tc>
          <w:tcPr>
            <w:tcW w:w="1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13 %</w:t>
            </w:r>
          </w:p>
        </w:tc>
        <w:tc>
          <w:tcPr>
            <w:tcW w:w="1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63"/>
        </w:trPr>
        <w:tc>
          <w:tcPr>
            <w:tcW w:w="3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10</w:t>
            </w:r>
          </w:p>
        </w:tc>
        <w:tc>
          <w:tcPr>
            <w:tcW w:w="82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 %</w:t>
            </w:r>
          </w:p>
        </w:tc>
        <w:tc>
          <w:tcPr>
            <w:tcW w:w="6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11</w:t>
            </w:r>
          </w:p>
        </w:tc>
        <w:tc>
          <w:tcPr>
            <w:tcW w:w="84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 %</w:t>
            </w:r>
          </w:p>
        </w:tc>
        <w:tc>
          <w:tcPr>
            <w:tcW w:w="6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w:t>
            </w:r>
          </w:p>
        </w:tc>
        <w:tc>
          <w:tcPr>
            <w:tcW w:w="820" w:type="dxa"/>
            <w:vAlign w:val="bottom"/>
            <w:gridSpan w:val="2"/>
            <w:shd w:val="clear" w:color="auto" w:fill="D1D2D4"/>
          </w:tcPr>
          <w:p>
            <w:pPr>
              <w:jc w:val="right"/>
              <w:ind w:right="160"/>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1D2D4"/>
          </w:tcPr>
          <w:p>
            <w:pPr>
              <w:spacing w:after="0"/>
              <w:rPr>
                <w:sz w:val="22"/>
                <w:szCs w:val="22"/>
                <w:color w:val="auto"/>
              </w:rPr>
            </w:pPr>
          </w:p>
        </w:tc>
        <w:tc>
          <w:tcPr>
            <w:tcW w:w="700" w:type="dxa"/>
            <w:vAlign w:val="bottom"/>
            <w:gridSpan w:val="2"/>
            <w:shd w:val="clear" w:color="auto" w:fill="D1D2D4"/>
          </w:tcPr>
          <w:p>
            <w:pPr>
              <w:jc w:val="right"/>
              <w:ind w:right="160"/>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0"/>
        </w:trPr>
        <w:tc>
          <w:tcPr>
            <w:tcW w:w="378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888</w:t>
            </w:r>
          </w:p>
        </w:tc>
        <w:tc>
          <w:tcPr>
            <w:tcW w:w="660" w:type="dxa"/>
            <w:vAlign w:val="bottom"/>
          </w:tcPr>
          <w:p>
            <w:pPr>
              <w:jc w:val="right"/>
              <w:spacing w:after="0"/>
              <w:rPr>
                <w:sz w:val="20"/>
                <w:szCs w:val="20"/>
                <w:color w:val="auto"/>
              </w:rPr>
            </w:pPr>
            <w:r>
              <w:rPr>
                <w:rFonts w:ascii="Arial" w:cs="Arial" w:eastAsia="Arial" w:hAnsi="Arial"/>
                <w:sz w:val="18"/>
                <w:szCs w:val="18"/>
                <w:color w:val="auto"/>
              </w:rPr>
              <w:t>16 %</w:t>
            </w: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440</w:t>
            </w:r>
          </w:p>
        </w:tc>
        <w:tc>
          <w:tcPr>
            <w:tcW w:w="680" w:type="dxa"/>
            <w:vAlign w:val="bottom"/>
          </w:tcPr>
          <w:p>
            <w:pPr>
              <w:jc w:val="right"/>
              <w:spacing w:after="0"/>
              <w:rPr>
                <w:sz w:val="20"/>
                <w:szCs w:val="20"/>
                <w:color w:val="auto"/>
              </w:rPr>
            </w:pPr>
            <w:r>
              <w:rPr>
                <w:rFonts w:ascii="Arial" w:cs="Arial" w:eastAsia="Arial" w:hAnsi="Arial"/>
                <w:sz w:val="18"/>
                <w:szCs w:val="18"/>
                <w:color w:val="auto"/>
              </w:rPr>
              <w:t>9 %</w:t>
            </w: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7"/>
              </w:rPr>
              <w:t>1,010</w:t>
            </w:r>
          </w:p>
        </w:tc>
        <w:tc>
          <w:tcPr>
            <w:tcW w:w="680" w:type="dxa"/>
            <w:vAlign w:val="bottom"/>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6,726</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57"/>
        </w:trPr>
        <w:tc>
          <w:tcPr>
            <w:tcW w:w="378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640" w:type="dxa"/>
            <w:vAlign w:val="bottom"/>
            <w:shd w:val="clear" w:color="auto" w:fill="D1D2D4"/>
          </w:tcPr>
          <w:p>
            <w:pPr>
              <w:spacing w:after="0"/>
              <w:rPr>
                <w:sz w:val="22"/>
                <w:szCs w:val="22"/>
                <w:color w:val="auto"/>
              </w:rPr>
            </w:pPr>
          </w:p>
        </w:tc>
        <w:tc>
          <w:tcPr>
            <w:tcW w:w="6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620" w:type="dxa"/>
            <w:vAlign w:val="bottom"/>
            <w:shd w:val="clear" w:color="auto" w:fill="D1D2D4"/>
          </w:tcPr>
          <w:p>
            <w:pPr>
              <w:spacing w:after="0"/>
              <w:rPr>
                <w:sz w:val="22"/>
                <w:szCs w:val="22"/>
                <w:color w:val="auto"/>
              </w:rPr>
            </w:pPr>
          </w:p>
        </w:tc>
        <w:tc>
          <w:tcPr>
            <w:tcW w:w="68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620" w:type="dxa"/>
            <w:vAlign w:val="bottom"/>
            <w:shd w:val="clear" w:color="auto" w:fill="D1D2D4"/>
          </w:tcPr>
          <w:p>
            <w:pPr>
              <w:spacing w:after="0"/>
              <w:rPr>
                <w:sz w:val="22"/>
                <w:szCs w:val="22"/>
                <w:color w:val="auto"/>
              </w:rPr>
            </w:pPr>
          </w:p>
        </w:tc>
        <w:tc>
          <w:tcPr>
            <w:tcW w:w="68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3"/>
        </w:trPr>
        <w:tc>
          <w:tcPr>
            <w:tcW w:w="3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10</w:t>
            </w:r>
          </w:p>
        </w:tc>
        <w:tc>
          <w:tcPr>
            <w:tcW w:w="82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 %</w:t>
            </w:r>
          </w:p>
        </w:tc>
        <w:tc>
          <w:tcPr>
            <w:tcW w:w="6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 %</w:t>
            </w:r>
          </w:p>
        </w:tc>
        <w:tc>
          <w:tcPr>
            <w:tcW w:w="6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(317)</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D1D2D4"/>
          </w:tcPr>
          <w:p>
            <w:pPr>
              <w:spacing w:after="0"/>
              <w:rPr>
                <w:sz w:val="22"/>
                <w:szCs w:val="22"/>
                <w:color w:val="auto"/>
              </w:rPr>
            </w:pPr>
          </w:p>
        </w:tc>
        <w:tc>
          <w:tcPr>
            <w:tcW w:w="700" w:type="dxa"/>
            <w:vAlign w:val="bottom"/>
            <w:gridSpan w:val="2"/>
            <w:shd w:val="clear" w:color="auto" w:fill="D1D2D4"/>
          </w:tcPr>
          <w:p>
            <w:pPr>
              <w:jc w:val="right"/>
              <w:ind w:right="160"/>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6"/>
        </w:trPr>
        <w:tc>
          <w:tcPr>
            <w:tcW w:w="37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135</w:t>
            </w:r>
          </w:p>
        </w:tc>
        <w:tc>
          <w:tcPr>
            <w:tcW w:w="680" w:type="dxa"/>
            <w:vAlign w:val="bottom"/>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8"/>
        </w:trPr>
        <w:tc>
          <w:tcPr>
            <w:tcW w:w="37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Equity in net income (loss) of equity method</w:t>
            </w:r>
          </w:p>
        </w:tc>
        <w:tc>
          <w:tcPr>
            <w:tcW w:w="160" w:type="dxa"/>
            <w:vAlign w:val="bottom"/>
            <w:shd w:val="clear" w:color="auto" w:fill="D1D2D4"/>
          </w:tcPr>
          <w:p>
            <w:pPr>
              <w:spacing w:after="0"/>
              <w:rPr>
                <w:sz w:val="16"/>
                <w:szCs w:val="16"/>
                <w:color w:val="auto"/>
              </w:rPr>
            </w:pPr>
          </w:p>
        </w:tc>
        <w:tc>
          <w:tcPr>
            <w:tcW w:w="64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3</w:t>
            </w:r>
          </w:p>
        </w:tc>
        <w:tc>
          <w:tcPr>
            <w:tcW w:w="820" w:type="dxa"/>
            <w:vAlign w:val="bottom"/>
            <w:gridSpan w:val="2"/>
            <w:vMerge w:val="restart"/>
            <w:shd w:val="clear" w:color="auto" w:fill="D1D2D4"/>
          </w:tcPr>
          <w:p>
            <w:pPr>
              <w:jc w:val="right"/>
              <w:ind w:right="180"/>
              <w:spacing w:after="0"/>
              <w:rPr>
                <w:sz w:val="20"/>
                <w:szCs w:val="20"/>
                <w:color w:val="auto"/>
              </w:rPr>
            </w:pPr>
            <w:r>
              <w:rPr>
                <w:rFonts w:ascii="Arial" w:cs="Arial" w:eastAsia="Arial" w:hAnsi="Arial"/>
                <w:sz w:val="18"/>
                <w:szCs w:val="18"/>
                <w:color w:val="auto"/>
              </w:rPr>
              <w:t>— %</w:t>
            </w:r>
          </w:p>
        </w:tc>
        <w:tc>
          <w:tcPr>
            <w:tcW w:w="620" w:type="dxa"/>
            <w:vAlign w:val="bottom"/>
            <w:vMerge w:val="restart"/>
            <w:shd w:val="clear" w:color="auto" w:fill="D1D2D4"/>
          </w:tcPr>
          <w:p>
            <w:pPr>
              <w:jc w:val="right"/>
              <w:ind w:right="50"/>
              <w:spacing w:after="0"/>
              <w:rPr>
                <w:sz w:val="20"/>
                <w:szCs w:val="20"/>
                <w:color w:val="auto"/>
              </w:rPr>
            </w:pPr>
            <w:r>
              <w:rPr>
                <w:rFonts w:ascii="Arial" w:cs="Arial" w:eastAsia="Arial" w:hAnsi="Arial"/>
                <w:sz w:val="18"/>
                <w:szCs w:val="18"/>
                <w:color w:val="auto"/>
              </w:rPr>
              <w:t>1</w:t>
            </w:r>
          </w:p>
        </w:tc>
        <w:tc>
          <w:tcPr>
            <w:tcW w:w="840" w:type="dxa"/>
            <w:vAlign w:val="bottom"/>
            <w:gridSpan w:val="2"/>
            <w:vMerge w:val="restart"/>
            <w:shd w:val="clear" w:color="auto" w:fill="D1D2D4"/>
          </w:tcPr>
          <w:p>
            <w:pPr>
              <w:jc w:val="right"/>
              <w:ind w:right="180"/>
              <w:spacing w:after="0"/>
              <w:rPr>
                <w:sz w:val="20"/>
                <w:szCs w:val="20"/>
                <w:color w:val="auto"/>
              </w:rPr>
            </w:pPr>
            <w:r>
              <w:rPr>
                <w:rFonts w:ascii="Arial" w:cs="Arial" w:eastAsia="Arial" w:hAnsi="Arial"/>
                <w:sz w:val="18"/>
                <w:szCs w:val="18"/>
                <w:color w:val="auto"/>
              </w:rPr>
              <w:t>— %</w:t>
            </w:r>
          </w:p>
        </w:tc>
        <w:tc>
          <w:tcPr>
            <w:tcW w:w="62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D1D2D4"/>
          </w:tcPr>
          <w:p>
            <w:pPr>
              <w:jc w:val="right"/>
              <w:ind w:right="160"/>
              <w:spacing w:after="0"/>
              <w:rPr>
                <w:sz w:val="20"/>
                <w:szCs w:val="20"/>
                <w:color w:val="auto"/>
              </w:rPr>
            </w:pPr>
            <w:r>
              <w:rPr>
                <w:rFonts w:ascii="Arial" w:cs="Arial" w:eastAsia="Arial" w:hAnsi="Arial"/>
                <w:sz w:val="18"/>
                <w:szCs w:val="18"/>
                <w:color w:val="auto"/>
              </w:rPr>
              <w:t>— %</w:t>
            </w:r>
          </w:p>
        </w:tc>
        <w:tc>
          <w:tcPr>
            <w:tcW w:w="72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shd w:val="clear" w:color="auto" w:fill="D1D2D4"/>
          </w:tcPr>
          <w:p>
            <w:pPr>
              <w:spacing w:after="0"/>
              <w:rPr>
                <w:sz w:val="16"/>
                <w:szCs w:val="16"/>
                <w:color w:val="auto"/>
              </w:rPr>
            </w:pPr>
          </w:p>
        </w:tc>
        <w:tc>
          <w:tcPr>
            <w:tcW w:w="700" w:type="dxa"/>
            <w:vAlign w:val="bottom"/>
            <w:gridSpan w:val="2"/>
            <w:vMerge w:val="restart"/>
            <w:shd w:val="clear" w:color="auto" w:fill="D1D2D4"/>
          </w:tcPr>
          <w:p>
            <w:pPr>
              <w:jc w:val="right"/>
              <w:ind w:right="160"/>
              <w:spacing w:after="0"/>
              <w:rPr>
                <w:sz w:val="20"/>
                <w:szCs w:val="20"/>
                <w:color w:val="auto"/>
              </w:rPr>
            </w:pPr>
            <w:r>
              <w:rPr>
                <w:rFonts w:ascii="Arial" w:cs="Arial" w:eastAsia="Arial" w:hAnsi="Arial"/>
                <w:sz w:val="18"/>
                <w:szCs w:val="18"/>
                <w:color w:val="auto"/>
              </w:rPr>
              <w:t>— %</w:t>
            </w:r>
          </w:p>
        </w:tc>
        <w:tc>
          <w:tcPr>
            <w:tcW w:w="72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shd w:val="clear" w:color="auto" w:fill="D1D2D4"/>
          </w:tcPr>
          <w:p>
            <w:pPr>
              <w:spacing w:after="0"/>
              <w:rPr>
                <w:sz w:val="16"/>
                <w:szCs w:val="16"/>
                <w:color w:val="auto"/>
              </w:rPr>
            </w:pPr>
          </w:p>
        </w:tc>
        <w:tc>
          <w:tcPr>
            <w:tcW w:w="5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37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investees</w:t>
            </w:r>
          </w:p>
        </w:tc>
        <w:tc>
          <w:tcPr>
            <w:tcW w:w="160" w:type="dxa"/>
            <w:vAlign w:val="bottom"/>
            <w:shd w:val="clear" w:color="auto" w:fill="D1D2D4"/>
          </w:tcPr>
          <w:p>
            <w:pPr>
              <w:spacing w:after="0"/>
              <w:rPr>
                <w:sz w:val="18"/>
                <w:szCs w:val="18"/>
                <w:color w:val="auto"/>
              </w:rPr>
            </w:pPr>
          </w:p>
        </w:tc>
        <w:tc>
          <w:tcPr>
            <w:tcW w:w="640" w:type="dxa"/>
            <w:vAlign w:val="bottom"/>
            <w:vMerge w:val="continue"/>
            <w:shd w:val="clear" w:color="auto" w:fill="D1D2D4"/>
          </w:tcPr>
          <w:p>
            <w:pPr>
              <w:spacing w:after="0"/>
              <w:rPr>
                <w:sz w:val="18"/>
                <w:szCs w:val="18"/>
                <w:color w:val="auto"/>
              </w:rPr>
            </w:pPr>
          </w:p>
        </w:tc>
        <w:tc>
          <w:tcPr>
            <w:tcW w:w="820" w:type="dxa"/>
            <w:vAlign w:val="bottom"/>
            <w:gridSpan w:val="2"/>
            <w:vMerge w:val="continue"/>
            <w:shd w:val="clear" w:color="auto" w:fill="D1D2D4"/>
          </w:tcPr>
          <w:p>
            <w:pPr>
              <w:spacing w:after="0"/>
              <w:rPr>
                <w:sz w:val="18"/>
                <w:szCs w:val="18"/>
                <w:color w:val="auto"/>
              </w:rPr>
            </w:pPr>
          </w:p>
        </w:tc>
        <w:tc>
          <w:tcPr>
            <w:tcW w:w="620" w:type="dxa"/>
            <w:vAlign w:val="bottom"/>
            <w:vMerge w:val="continue"/>
            <w:shd w:val="clear" w:color="auto" w:fill="D1D2D4"/>
          </w:tcPr>
          <w:p>
            <w:pPr>
              <w:spacing w:after="0"/>
              <w:rPr>
                <w:sz w:val="18"/>
                <w:szCs w:val="18"/>
                <w:color w:val="auto"/>
              </w:rPr>
            </w:pPr>
          </w:p>
        </w:tc>
        <w:tc>
          <w:tcPr>
            <w:tcW w:w="840" w:type="dxa"/>
            <w:vAlign w:val="bottom"/>
            <w:gridSpan w:val="2"/>
            <w:vMerge w:val="continue"/>
            <w:shd w:val="clear" w:color="auto" w:fill="D1D2D4"/>
          </w:tcPr>
          <w:p>
            <w:pPr>
              <w:spacing w:after="0"/>
              <w:rPr>
                <w:sz w:val="18"/>
                <w:szCs w:val="18"/>
                <w:color w:val="auto"/>
              </w:rPr>
            </w:pPr>
          </w:p>
        </w:tc>
        <w:tc>
          <w:tcPr>
            <w:tcW w:w="620" w:type="dxa"/>
            <w:vAlign w:val="bottom"/>
            <w:vMerge w:val="continue"/>
            <w:shd w:val="clear" w:color="auto" w:fill="D1D2D4"/>
          </w:tcPr>
          <w:p>
            <w:pPr>
              <w:spacing w:after="0"/>
              <w:rPr>
                <w:sz w:val="18"/>
                <w:szCs w:val="18"/>
                <w:color w:val="auto"/>
              </w:rPr>
            </w:pPr>
          </w:p>
        </w:tc>
        <w:tc>
          <w:tcPr>
            <w:tcW w:w="820" w:type="dxa"/>
            <w:vAlign w:val="bottom"/>
            <w:gridSpan w:val="2"/>
            <w:vMerge w:val="continue"/>
            <w:shd w:val="clear" w:color="auto" w:fill="D1D2D4"/>
          </w:tcPr>
          <w:p>
            <w:pPr>
              <w:spacing w:after="0"/>
              <w:rPr>
                <w:sz w:val="18"/>
                <w:szCs w:val="18"/>
                <w:color w:val="auto"/>
              </w:rPr>
            </w:pPr>
          </w:p>
        </w:tc>
        <w:tc>
          <w:tcPr>
            <w:tcW w:w="72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700" w:type="dxa"/>
            <w:vAlign w:val="bottom"/>
            <w:gridSpan w:val="2"/>
            <w:vMerge w:val="continue"/>
            <w:shd w:val="clear" w:color="auto" w:fill="D1D2D4"/>
          </w:tcPr>
          <w:p>
            <w:pPr>
              <w:spacing w:after="0"/>
              <w:rPr>
                <w:sz w:val="18"/>
                <w:szCs w:val="18"/>
                <w:color w:val="auto"/>
              </w:rPr>
            </w:pPr>
          </w:p>
        </w:tc>
        <w:tc>
          <w:tcPr>
            <w:tcW w:w="72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56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line="189" w:lineRule="exact"/>
              <w:rPr>
                <w:sz w:val="20"/>
                <w:szCs w:val="20"/>
                <w:color w:val="auto"/>
              </w:rPr>
            </w:pPr>
            <w:r>
              <w:rPr>
                <w:rFonts w:ascii="Arial" w:cs="Arial" w:eastAsia="Arial" w:hAnsi="Arial"/>
                <w:sz w:val="18"/>
                <w:szCs w:val="18"/>
                <w:color w:val="auto"/>
              </w:rPr>
              <w:t>Net income attributable to noncontrolling</w:t>
            </w:r>
          </w:p>
        </w:tc>
        <w:tc>
          <w:tcPr>
            <w:tcW w:w="160" w:type="dxa"/>
            <w:vAlign w:val="bottom"/>
          </w:tcPr>
          <w:p>
            <w:pPr>
              <w:spacing w:after="0"/>
              <w:rPr>
                <w:sz w:val="16"/>
                <w:szCs w:val="16"/>
                <w:color w:val="auto"/>
              </w:rPr>
            </w:pPr>
          </w:p>
        </w:tc>
        <w:tc>
          <w:tcPr>
            <w:tcW w:w="64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spacing w:after="0"/>
              <w:rPr>
                <w:sz w:val="16"/>
                <w:szCs w:val="16"/>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(2)</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spacing w:after="0"/>
              <w:rPr>
                <w:sz w:val="16"/>
                <w:szCs w:val="16"/>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(11)</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spacing w:after="0"/>
              <w:rPr>
                <w:sz w:val="16"/>
                <w:szCs w:val="16"/>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spacing w:after="0"/>
              <w:rPr>
                <w:sz w:val="16"/>
                <w:szCs w:val="16"/>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378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interests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D1D2D4"/>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D1D2D4"/>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D1D2D4"/>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560" w:type="dxa"/>
            <w:vAlign w:val="bottom"/>
            <w:tcBorders>
              <w:bottom w:val="single" w:sz="8" w:color="D1D2D4"/>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560" w:type="dxa"/>
            <w:vAlign w:val="bottom"/>
            <w:tcBorders>
              <w:bottom w:val="single" w:sz="8" w:color="D1D2D4"/>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D1D2D4"/>
          </w:tcPr>
          <w:p>
            <w:pPr>
              <w:ind w:left="360"/>
              <w:spacing w:after="0"/>
              <w:rPr>
                <w:sz w:val="20"/>
                <w:szCs w:val="20"/>
                <w:color w:val="auto"/>
              </w:rPr>
            </w:pPr>
            <w:r>
              <w:rPr>
                <w:rFonts w:ascii="Arial" w:cs="Arial" w:eastAsia="Arial" w:hAnsi="Arial"/>
                <w:sz w:val="18"/>
                <w:szCs w:val="18"/>
                <w:color w:val="auto"/>
              </w:rPr>
              <w:t>Net income attributable to Micron</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803</w:t>
            </w:r>
          </w:p>
        </w:tc>
        <w:tc>
          <w:tcPr>
            <w:tcW w:w="820" w:type="dxa"/>
            <w:vAlign w:val="bottom"/>
            <w:gridSpan w:val="2"/>
            <w:shd w:val="clear" w:color="auto" w:fill="D1D2D4"/>
          </w:tcPr>
          <w:p>
            <w:pPr>
              <w:jc w:val="right"/>
              <w:ind w:right="40"/>
              <w:spacing w:after="0"/>
              <w:rPr>
                <w:sz w:val="20"/>
                <w:szCs w:val="20"/>
                <w:color w:val="auto"/>
              </w:rPr>
            </w:pPr>
            <w:r>
              <w:rPr>
                <w:rFonts w:ascii="Arial" w:cs="Arial" w:eastAsia="Arial" w:hAnsi="Arial"/>
                <w:sz w:val="18"/>
                <w:szCs w:val="18"/>
                <w:color w:val="auto"/>
              </w:rPr>
              <w:t>15 %$</w:t>
            </w:r>
          </w:p>
        </w:tc>
        <w:tc>
          <w:tcPr>
            <w:tcW w:w="6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405</w:t>
            </w:r>
          </w:p>
        </w:tc>
        <w:tc>
          <w:tcPr>
            <w:tcW w:w="840" w:type="dxa"/>
            <w:vAlign w:val="bottom"/>
            <w:gridSpan w:val="2"/>
            <w:shd w:val="clear" w:color="auto" w:fill="D1D2D4"/>
          </w:tcPr>
          <w:p>
            <w:pPr>
              <w:jc w:val="right"/>
              <w:ind w:right="40"/>
              <w:spacing w:after="0"/>
              <w:rPr>
                <w:sz w:val="20"/>
                <w:szCs w:val="20"/>
                <w:color w:val="auto"/>
              </w:rPr>
            </w:pPr>
            <w:r>
              <w:rPr>
                <w:rFonts w:ascii="Arial" w:cs="Arial" w:eastAsia="Arial" w:hAnsi="Arial"/>
                <w:sz w:val="18"/>
                <w:szCs w:val="18"/>
                <w:color w:val="auto"/>
              </w:rPr>
              <w:t>8 % $</w:t>
            </w:r>
          </w:p>
        </w:tc>
        <w:tc>
          <w:tcPr>
            <w:tcW w:w="6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840</w:t>
            </w:r>
          </w:p>
        </w:tc>
        <w:tc>
          <w:tcPr>
            <w:tcW w:w="82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18 %$</w:t>
            </w: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1,699</w:t>
            </w:r>
          </w:p>
        </w:tc>
        <w:tc>
          <w:tcPr>
            <w:tcW w:w="120" w:type="dxa"/>
            <w:vAlign w:val="bottom"/>
            <w:shd w:val="clear" w:color="auto" w:fill="D1D2D4"/>
          </w:tcPr>
          <w:p>
            <w:pPr>
              <w:spacing w:after="0"/>
              <w:rPr>
                <w:sz w:val="23"/>
                <w:szCs w:val="23"/>
                <w:color w:val="auto"/>
              </w:rPr>
            </w:pPr>
          </w:p>
        </w:tc>
        <w:tc>
          <w:tcPr>
            <w:tcW w:w="7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11 %$</w:t>
            </w: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5,752</w:t>
            </w:r>
          </w:p>
        </w:tc>
        <w:tc>
          <w:tcPr>
            <w:tcW w:w="120" w:type="dxa"/>
            <w:vAlign w:val="bottom"/>
            <w:shd w:val="clear" w:color="auto" w:fill="D1D2D4"/>
          </w:tcPr>
          <w:p>
            <w:pPr>
              <w:spacing w:after="0"/>
              <w:rPr>
                <w:sz w:val="23"/>
                <w:szCs w:val="2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
        </w:trPr>
        <w:tc>
          <w:tcPr>
            <w:tcW w:w="378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5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560" w:type="dxa"/>
            <w:vAlign w:val="bottom"/>
            <w:tcBorders>
              <w:top w:val="single" w:sz="8" w:color="D1D2D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Total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for the third quarter of 2020 increased 13% as compared to the second quarter of 2020 primarily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in sales of DRAM products and NAND products. Sales of DRAM products for the third quarter of 2020 increased 16% from the second quarter of 2020 primarily due to an approximate 10% increase in bit shipment volumes and mid-single-digit increase in average selling prices due to strong demand from</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10060"/>
        <w:spacing w:after="0"/>
        <w:rPr>
          <w:sz w:val="20"/>
          <w:szCs w:val="20"/>
          <w:color w:val="auto"/>
        </w:rPr>
      </w:pPr>
      <w:r>
        <w:rPr>
          <w:sz w:val="1"/>
          <w:szCs w:val="1"/>
          <w:color w:val="auto"/>
        </w:rPr>
        <w:drawing>
          <wp:inline distT="0" distB="0" distL="0" distR="0">
            <wp:extent cx="591820" cy="15430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3"/>
          <w:szCs w:val="13"/>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31" w:name="page32"/>
    <w:bookmarkEnd w:id="31"/>
    <w:p>
      <w:pPr>
        <w:jc w:val="both"/>
        <w:spacing w:after="0" w:line="256" w:lineRule="auto"/>
        <w:rPr>
          <w:sz w:val="20"/>
          <w:szCs w:val="20"/>
          <w:color w:val="auto"/>
        </w:rPr>
      </w:pPr>
      <w:r>
        <w:rPr>
          <w:rFonts w:ascii="Arial" w:cs="Arial" w:eastAsia="Arial" w:hAnsi="Arial"/>
          <w:sz w:val="18"/>
          <w:szCs w:val="18"/>
          <w:color w:val="auto"/>
        </w:rPr>
        <w:t>data center and networking customers. Sales of NAND products for the third quarter of 2020 increased 10% from the second quarter of 2020 primarily due to increases in SSD sales to data center customers and an upper-single-digit increase in average selling prices driven by strong demand.</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Total revenue for the third quarter of 2020 increased 14% as compared to the third quarter of 2019 primarily due to increases in sales of both NAND and DRAM products. Sales of DRAM products for the third quarter of 2020 increased 6% as compared to the third quarter of 2019 primarily due to growth in bit shipments in the upper-30-percent range, partially offset by declines in average selling prices in the low-20-percent range. Sales of NAND products for the third quarter of 2020 increased 51% as compared to the third quarter of 2019 primarily due to increases in bit shipments in the low-30-percent range and increases in average selling prices in the mid-teen-percent range.</w:t>
      </w:r>
    </w:p>
    <w:p>
      <w:pPr>
        <w:spacing w:after="0" w:line="232"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Total revenue for the first nine months of 2020 decreased 17% as compared to the first nine months of 2019 primarily due to price declines resulting from imbalances between supply and market demand over the last several quarters. Sales of DRAM products for the first nine months of 2020 decreased 25% as compared to the first nine months of 2019 primarily due to declines in average selling prices in the low-</w:t>
      </w:r>
    </w:p>
    <w:p>
      <w:pPr>
        <w:ind w:right="40"/>
        <w:spacing w:after="0" w:line="256" w:lineRule="auto"/>
        <w:rPr>
          <w:sz w:val="20"/>
          <w:szCs w:val="20"/>
          <w:color w:val="auto"/>
        </w:rPr>
      </w:pPr>
      <w:r>
        <w:rPr>
          <w:rFonts w:ascii="Arial" w:cs="Arial" w:eastAsia="Arial" w:hAnsi="Arial"/>
          <w:sz w:val="18"/>
          <w:szCs w:val="18"/>
          <w:color w:val="auto"/>
        </w:rPr>
        <w:t>40-percent range, partially offset by growth in bit shipments in the high-20-percent range. Sales of NAND products for the first nine months of 2020 increased 11% as compared to the first nine months of 2019 primarily due to increases in bit shipments in the low-30-percent range, partially offset by declines in average selling prices in the mid-teen-percent range.</w:t>
      </w:r>
    </w:p>
    <w:p>
      <w:pPr>
        <w:spacing w:after="0" w:line="20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Overall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overall gross margin percentage increased to 32% for the third quarter of 2020 from 28% for the second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2020 primarily due to higher average selling prices and improvements in product mix. Our gross margins included the impact of underutilization costs at MTU of approximately $155 million for the third quarter of 2020, $142 million for the second quarter of 2020, and $125 million for the first quarter of 2020.</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overall gross margin percentage decreased to 32% for the third quarter of 2020 from 38% for the third quarter of 2019 and decreased to 29% for the first nine months of 2020 from 50% for the first nine months of 2019, primarily due to declines in DRAM average selling prices, partially offset by the effect of decreases in non-cash depreciation expense from the revision in estimated useful lives of equipment in our NAND wafer fabrication facilities described below, cost reductions resulting from strong execution in delivering products featuring advanced technologies, and continuous improvement initiatives to reduce production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periodically assess the estimated useful lives of our property, plant, and equipment. Based on our assessment of planned technology node transitions, capital spending, and re -use rates, we revised the estimated useful lives of the existing equipment in our NAND wafer fabrication facilities and our research and development facilities from five years to seven years as of the beginning of the first quarter of 2020.</w:t>
      </w:r>
    </w:p>
    <w:p>
      <w:pPr>
        <w:spacing w:after="0" w:line="23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revision in estimated useful lives reduced NAND manufacturing depreciation expense by approximately $425 million in the first nine months of 2020, of which approximately $150 million remained capitalized in inventory as of the end of the third quarter of 2020. Adjusting for the effect of the reduced amount of depreciation expense remaining in inventory, the revision in estimated useful lives benefited cost of goods sold by approximately $275 million for the first nine months of 2020 ($140 million for the third quarter of 2020, $95 million for the second quarter of 2020, and $40 million for the first quarter of 2020).</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Business Unit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98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97"/>
              </w:rPr>
              <w:t>Third</w:t>
            </w:r>
          </w:p>
        </w:tc>
        <w:tc>
          <w:tcPr>
            <w:tcW w:w="48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Second</w:t>
            </w:r>
          </w:p>
        </w:tc>
        <w:tc>
          <w:tcPr>
            <w:tcW w:w="98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rPr>
              <w:t>Third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46"/>
        </w:trPr>
        <w:tc>
          <w:tcPr>
            <w:tcW w:w="3780" w:type="dxa"/>
            <w:vAlign w:val="bottom"/>
          </w:tcPr>
          <w:p>
            <w:pPr>
              <w:spacing w:after="0"/>
              <w:rPr>
                <w:sz w:val="21"/>
                <w:szCs w:val="21"/>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Quarter</w:t>
            </w: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Quarter</w:t>
            </w:r>
          </w:p>
        </w:tc>
        <w:tc>
          <w:tcPr>
            <w:tcW w:w="16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rPr>
              <w:t>Quarter</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9"/>
              </w:rPr>
              <w:t>Nine Months</w:t>
            </w:r>
          </w:p>
        </w:tc>
        <w:tc>
          <w:tcPr>
            <w:tcW w:w="520" w:type="dxa"/>
            <w:vAlign w:val="bottom"/>
          </w:tcPr>
          <w:p>
            <w:pPr>
              <w:spacing w:after="0"/>
              <w:rPr>
                <w:sz w:val="21"/>
                <w:szCs w:val="21"/>
                <w:color w:val="auto"/>
              </w:rPr>
            </w:pPr>
          </w:p>
        </w:tc>
      </w:tr>
      <w:tr>
        <w:trPr>
          <w:trHeight w:val="250"/>
        </w:trPr>
        <w:tc>
          <w:tcPr>
            <w:tcW w:w="378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gridSpan w:val="2"/>
          </w:tcPr>
          <w:p>
            <w:pPr>
              <w:jc w:val="center"/>
              <w:ind w:left="410"/>
              <w:spacing w:after="0"/>
              <w:rPr>
                <w:sz w:val="20"/>
                <w:szCs w:val="20"/>
                <w:color w:val="auto"/>
              </w:rPr>
            </w:pPr>
            <w:r>
              <w:rPr>
                <w:rFonts w:ascii="Arial" w:cs="Arial" w:eastAsia="Arial" w:hAnsi="Arial"/>
                <w:sz w:val="18"/>
                <w:szCs w:val="18"/>
                <w:b w:val="1"/>
                <w:bCs w:val="1"/>
                <w:color w:val="auto"/>
                <w:w w:val="99"/>
              </w:rPr>
              <w:t>2020</w:t>
            </w:r>
          </w:p>
        </w:tc>
        <w:tc>
          <w:tcPr>
            <w:tcW w:w="48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gridSpan w:val="2"/>
          </w:tcPr>
          <w:p>
            <w:pPr>
              <w:jc w:val="center"/>
              <w:ind w:left="410"/>
              <w:spacing w:after="0"/>
              <w:rPr>
                <w:sz w:val="20"/>
                <w:szCs w:val="20"/>
                <w:color w:val="auto"/>
              </w:rPr>
            </w:pPr>
            <w:r>
              <w:rPr>
                <w:rFonts w:ascii="Arial" w:cs="Arial" w:eastAsia="Arial" w:hAnsi="Arial"/>
                <w:sz w:val="18"/>
                <w:szCs w:val="18"/>
                <w:b w:val="1"/>
                <w:bCs w:val="1"/>
                <w:color w:val="auto"/>
                <w:w w:val="99"/>
              </w:rPr>
              <w:t>2020</w:t>
            </w:r>
          </w:p>
        </w:tc>
        <w:tc>
          <w:tcPr>
            <w:tcW w:w="48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gridSpan w:val="2"/>
          </w:tcPr>
          <w:p>
            <w:pPr>
              <w:jc w:val="center"/>
              <w:ind w:left="410"/>
              <w:spacing w:after="0"/>
              <w:rPr>
                <w:sz w:val="20"/>
                <w:szCs w:val="20"/>
                <w:color w:val="auto"/>
              </w:rPr>
            </w:pPr>
            <w:r>
              <w:rPr>
                <w:rFonts w:ascii="Arial" w:cs="Arial" w:eastAsia="Arial" w:hAnsi="Arial"/>
                <w:sz w:val="18"/>
                <w:szCs w:val="18"/>
                <w:b w:val="1"/>
                <w:bCs w:val="1"/>
                <w:color w:val="auto"/>
                <w:w w:val="99"/>
              </w:rPr>
              <w:t>2019</w:t>
            </w:r>
          </w:p>
        </w:tc>
        <w:tc>
          <w:tcPr>
            <w:tcW w:w="480" w:type="dxa"/>
            <w:vAlign w:val="bottom"/>
            <w:tcBorders>
              <w:bottom w:val="single" w:sz="8" w:color="0090DA"/>
            </w:tcBorders>
          </w:tcPr>
          <w:p>
            <w:pPr>
              <w:spacing w:after="0"/>
              <w:rPr>
                <w:sz w:val="21"/>
                <w:szCs w:val="21"/>
                <w:color w:val="auto"/>
              </w:rPr>
            </w:pPr>
          </w:p>
        </w:tc>
        <w:tc>
          <w:tcPr>
            <w:tcW w:w="140" w:type="dxa"/>
            <w:vAlign w:val="bottom"/>
            <w:tcBorders>
              <w:top w:val="single" w:sz="8" w:color="0090DA"/>
              <w:bottom w:val="single" w:sz="8" w:color="0090DA"/>
            </w:tcBorders>
          </w:tcPr>
          <w:p>
            <w:pPr>
              <w:spacing w:after="0"/>
              <w:rPr>
                <w:sz w:val="21"/>
                <w:szCs w:val="21"/>
                <w:color w:val="auto"/>
              </w:rPr>
            </w:pPr>
          </w:p>
        </w:tc>
        <w:tc>
          <w:tcPr>
            <w:tcW w:w="840" w:type="dxa"/>
            <w:vAlign w:val="bottom"/>
            <w:tcBorders>
              <w:top w:val="single" w:sz="8" w:color="0090DA"/>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0090DA"/>
              <w:bottom w:val="single" w:sz="8" w:color="0090DA"/>
            </w:tcBorders>
          </w:tcPr>
          <w:p>
            <w:pPr>
              <w:spacing w:after="0"/>
              <w:rPr>
                <w:sz w:val="21"/>
                <w:szCs w:val="21"/>
                <w:color w:val="auto"/>
              </w:rPr>
            </w:pPr>
          </w:p>
        </w:tc>
        <w:tc>
          <w:tcPr>
            <w:tcW w:w="140" w:type="dxa"/>
            <w:vAlign w:val="bottom"/>
            <w:tcBorders>
              <w:top w:val="single" w:sz="8" w:color="0090DA"/>
              <w:bottom w:val="single" w:sz="8" w:color="0090DA"/>
            </w:tcBorders>
          </w:tcPr>
          <w:p>
            <w:pPr>
              <w:spacing w:after="0"/>
              <w:rPr>
                <w:sz w:val="21"/>
                <w:szCs w:val="21"/>
                <w:color w:val="auto"/>
              </w:rPr>
            </w:pPr>
          </w:p>
        </w:tc>
        <w:tc>
          <w:tcPr>
            <w:tcW w:w="880" w:type="dxa"/>
            <w:vAlign w:val="bottom"/>
            <w:tcBorders>
              <w:top w:val="single" w:sz="8" w:color="0090DA"/>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top w:val="single" w:sz="8" w:color="0090DA"/>
              <w:bottom w:val="single" w:sz="8" w:color="0090DA"/>
            </w:tcBorders>
          </w:tcPr>
          <w:p>
            <w:pPr>
              <w:spacing w:after="0"/>
              <w:rPr>
                <w:sz w:val="21"/>
                <w:szCs w:val="21"/>
                <w:color w:val="auto"/>
              </w:rPr>
            </w:pPr>
          </w:p>
        </w:tc>
      </w:tr>
      <w:tr>
        <w:trPr>
          <w:trHeight w:val="40"/>
        </w:trPr>
        <w:tc>
          <w:tcPr>
            <w:tcW w:w="3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57"/>
        </w:trPr>
        <w:tc>
          <w:tcPr>
            <w:tcW w:w="3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8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$ 2,218</w:t>
            </w:r>
          </w:p>
        </w:tc>
        <w:tc>
          <w:tcPr>
            <w:tcW w:w="180" w:type="dxa"/>
            <w:vAlign w:val="bottom"/>
            <w:shd w:val="clear" w:color="auto" w:fill="D1D2D4"/>
          </w:tcPr>
          <w:p>
            <w:pPr>
              <w:spacing w:after="0"/>
              <w:rPr>
                <w:sz w:val="22"/>
                <w:szCs w:val="22"/>
                <w:color w:val="auto"/>
              </w:rPr>
            </w:pPr>
          </w:p>
        </w:tc>
        <w:tc>
          <w:tcPr>
            <w:tcW w:w="1260" w:type="dxa"/>
            <w:vAlign w:val="bottom"/>
            <w:gridSpan w:val="2"/>
            <w:shd w:val="clear" w:color="auto" w:fill="D1D2D4"/>
          </w:tcPr>
          <w:p>
            <w:pPr>
              <w:jc w:val="right"/>
              <w:ind w:right="50"/>
              <w:spacing w:after="0"/>
              <w:rPr>
                <w:sz w:val="20"/>
                <w:szCs w:val="20"/>
                <w:color w:val="auto"/>
              </w:rPr>
            </w:pPr>
            <w:r>
              <w:rPr>
                <w:rFonts w:ascii="Arial" w:cs="Arial" w:eastAsia="Arial" w:hAnsi="Arial"/>
                <w:sz w:val="18"/>
                <w:szCs w:val="18"/>
                <w:color w:val="auto"/>
              </w:rPr>
              <w:t>41 % $ 1,967</w:t>
            </w:r>
          </w:p>
        </w:tc>
        <w:tc>
          <w:tcPr>
            <w:tcW w:w="200" w:type="dxa"/>
            <w:vAlign w:val="bottom"/>
            <w:shd w:val="clear" w:color="auto" w:fill="D1D2D4"/>
          </w:tcPr>
          <w:p>
            <w:pPr>
              <w:spacing w:after="0"/>
              <w:rPr>
                <w:sz w:val="22"/>
                <w:szCs w:val="22"/>
                <w:color w:val="auto"/>
              </w:rPr>
            </w:pPr>
          </w:p>
        </w:tc>
        <w:tc>
          <w:tcPr>
            <w:tcW w:w="126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41 % $ 2,079</w:t>
            </w:r>
          </w:p>
        </w:tc>
        <w:tc>
          <w:tcPr>
            <w:tcW w:w="200" w:type="dxa"/>
            <w:vAlign w:val="bottom"/>
            <w:shd w:val="clear" w:color="auto" w:fill="D1D2D4"/>
          </w:tcPr>
          <w:p>
            <w:pPr>
              <w:spacing w:after="0"/>
              <w:rPr>
                <w:sz w:val="22"/>
                <w:szCs w:val="22"/>
                <w:color w:val="auto"/>
              </w:rPr>
            </w:pPr>
          </w:p>
        </w:tc>
        <w:tc>
          <w:tcPr>
            <w:tcW w:w="62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43 %$</w:t>
            </w: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6,164</w:t>
            </w:r>
          </w:p>
        </w:tc>
        <w:tc>
          <w:tcPr>
            <w:tcW w:w="120" w:type="dxa"/>
            <w:vAlign w:val="bottom"/>
            <w:shd w:val="clear" w:color="auto" w:fill="D1D2D4"/>
          </w:tcPr>
          <w:p>
            <w:pPr>
              <w:spacing w:after="0"/>
              <w:rPr>
                <w:sz w:val="22"/>
                <w:szCs w:val="22"/>
                <w:color w:val="auto"/>
              </w:rPr>
            </w:pPr>
          </w:p>
        </w:tc>
        <w:tc>
          <w:tcPr>
            <w:tcW w:w="7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40 %$</w:t>
            </w: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8,065</w:t>
            </w:r>
          </w:p>
        </w:tc>
        <w:tc>
          <w:tcPr>
            <w:tcW w:w="160" w:type="dxa"/>
            <w:vAlign w:val="bottom"/>
            <w:shd w:val="clear" w:color="auto" w:fill="D1D2D4"/>
          </w:tcPr>
          <w:p>
            <w:pPr>
              <w:spacing w:after="0"/>
              <w:rPr>
                <w:sz w:val="22"/>
                <w:szCs w:val="22"/>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44 %</w:t>
            </w: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MBU</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1,525</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28 %</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1,258</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26 %</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1,174</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25 %</w:t>
            </w:r>
          </w:p>
        </w:tc>
        <w:tc>
          <w:tcPr>
            <w:tcW w:w="1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4,240</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28 %</w:t>
            </w:r>
          </w:p>
        </w:tc>
        <w:tc>
          <w:tcPr>
            <w:tcW w:w="1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4,997</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63"/>
        </w:trPr>
        <w:tc>
          <w:tcPr>
            <w:tcW w:w="3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8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1,014</w:t>
            </w:r>
          </w:p>
        </w:tc>
        <w:tc>
          <w:tcPr>
            <w:tcW w:w="180" w:type="dxa"/>
            <w:vAlign w:val="bottom"/>
            <w:shd w:val="clear" w:color="auto" w:fill="D1D2D4"/>
          </w:tcPr>
          <w:p>
            <w:pPr>
              <w:spacing w:after="0"/>
              <w:rPr>
                <w:sz w:val="22"/>
                <w:szCs w:val="22"/>
                <w:color w:val="auto"/>
              </w:rPr>
            </w:pPr>
          </w:p>
        </w:tc>
        <w:tc>
          <w:tcPr>
            <w:tcW w:w="4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19 %</w:t>
            </w:r>
          </w:p>
        </w:tc>
        <w:tc>
          <w:tcPr>
            <w:tcW w:w="7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870</w:t>
            </w:r>
          </w:p>
        </w:tc>
        <w:tc>
          <w:tcPr>
            <w:tcW w:w="200" w:type="dxa"/>
            <w:vAlign w:val="bottom"/>
            <w:shd w:val="clear" w:color="auto" w:fill="D1D2D4"/>
          </w:tcPr>
          <w:p>
            <w:pPr>
              <w:spacing w:after="0"/>
              <w:rPr>
                <w:sz w:val="22"/>
                <w:szCs w:val="22"/>
                <w:color w:val="auto"/>
              </w:rPr>
            </w:pPr>
          </w:p>
        </w:tc>
        <w:tc>
          <w:tcPr>
            <w:tcW w:w="4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18 %</w:t>
            </w:r>
          </w:p>
        </w:tc>
        <w:tc>
          <w:tcPr>
            <w:tcW w:w="7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D1D2D4"/>
          </w:tcPr>
          <w:p>
            <w:pPr>
              <w:spacing w:after="0"/>
              <w:rPr>
                <w:sz w:val="22"/>
                <w:szCs w:val="22"/>
                <w:color w:val="auto"/>
              </w:rPr>
            </w:pPr>
          </w:p>
        </w:tc>
        <w:tc>
          <w:tcPr>
            <w:tcW w:w="4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17 %</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2,852</w:t>
            </w: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19 %</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2,978</w:t>
            </w:r>
          </w:p>
        </w:tc>
        <w:tc>
          <w:tcPr>
            <w:tcW w:w="160" w:type="dxa"/>
            <w:vAlign w:val="bottom"/>
            <w:shd w:val="clear" w:color="auto" w:fill="D1D2D4"/>
          </w:tcPr>
          <w:p>
            <w:pPr>
              <w:spacing w:after="0"/>
              <w:rPr>
                <w:sz w:val="22"/>
                <w:szCs w:val="22"/>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16 %</w:t>
            </w: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EBU</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12 %</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15 %</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2,105</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14 %</w:t>
            </w:r>
          </w:p>
        </w:tc>
        <w:tc>
          <w:tcPr>
            <w:tcW w:w="1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2,432</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57"/>
        </w:trPr>
        <w:tc>
          <w:tcPr>
            <w:tcW w:w="3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8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6</w:t>
            </w:r>
          </w:p>
        </w:tc>
        <w:tc>
          <w:tcPr>
            <w:tcW w:w="180" w:type="dxa"/>
            <w:vAlign w:val="bottom"/>
            <w:shd w:val="clear" w:color="auto" w:fill="D1D2D4"/>
          </w:tcPr>
          <w:p>
            <w:pPr>
              <w:spacing w:after="0"/>
              <w:rPr>
                <w:sz w:val="22"/>
                <w:szCs w:val="22"/>
                <w:color w:val="auto"/>
              </w:rPr>
            </w:pPr>
          </w:p>
        </w:tc>
        <w:tc>
          <w:tcPr>
            <w:tcW w:w="4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6</w:t>
            </w:r>
          </w:p>
        </w:tc>
        <w:tc>
          <w:tcPr>
            <w:tcW w:w="200" w:type="dxa"/>
            <w:vAlign w:val="bottom"/>
            <w:shd w:val="clear" w:color="auto" w:fill="D1D2D4"/>
          </w:tcPr>
          <w:p>
            <w:pPr>
              <w:spacing w:after="0"/>
              <w:rPr>
                <w:sz w:val="22"/>
                <w:szCs w:val="22"/>
                <w:color w:val="auto"/>
              </w:rPr>
            </w:pPr>
          </w:p>
        </w:tc>
        <w:tc>
          <w:tcPr>
            <w:tcW w:w="4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D1D2D4"/>
          </w:tcPr>
          <w:p>
            <w:pPr>
              <w:spacing w:after="0"/>
              <w:rPr>
                <w:sz w:val="22"/>
                <w:szCs w:val="22"/>
                <w:color w:val="auto"/>
              </w:rPr>
            </w:pPr>
          </w:p>
        </w:tc>
        <w:tc>
          <w:tcPr>
            <w:tcW w:w="4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auto"/>
            </w:tcBorders>
            <w:shd w:val="clear" w:color="auto" w:fill="D1D2D4"/>
          </w:tcPr>
          <w:p>
            <w:pPr>
              <w:spacing w:after="0"/>
              <w:rPr>
                <w:sz w:val="22"/>
                <w:szCs w:val="22"/>
                <w:color w:val="auto"/>
              </w:rPr>
            </w:pPr>
          </w:p>
        </w:tc>
        <w:tc>
          <w:tcPr>
            <w:tcW w:w="72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auto"/>
            </w:tcBorders>
            <w:shd w:val="clear" w:color="auto" w:fill="D1D2D4"/>
          </w:tcPr>
          <w:p>
            <w:pPr>
              <w:spacing w:after="0"/>
              <w:rPr>
                <w:sz w:val="22"/>
                <w:szCs w:val="22"/>
                <w:color w:val="auto"/>
              </w:rPr>
            </w:pPr>
          </w:p>
        </w:tc>
        <w:tc>
          <w:tcPr>
            <w:tcW w:w="72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D1D2D4"/>
          </w:tcPr>
          <w:p>
            <w:pPr>
              <w:spacing w:after="0"/>
              <w:rPr>
                <w:sz w:val="22"/>
                <w:szCs w:val="22"/>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378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$ 5,438</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$ 4,797</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w w:val="99"/>
              </w:rPr>
              <w:t>$ 4,788</w:t>
            </w:r>
          </w:p>
        </w:tc>
        <w:tc>
          <w:tcPr>
            <w:tcW w:w="20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15,379</w:t>
            </w:r>
          </w:p>
        </w:tc>
        <w:tc>
          <w:tcPr>
            <w:tcW w:w="1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18,536</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Changes in revenue for each business unit for the third quarter of 2020 as compared to the second quarter of 2020 were as follows:</w:t>
      </w:r>
    </w:p>
    <w:p>
      <w:pPr>
        <w:spacing w:after="0" w:line="252" w:lineRule="exact"/>
        <w:rPr>
          <w:sz w:val="20"/>
          <w:szCs w:val="20"/>
          <w:color w:val="auto"/>
        </w:rPr>
      </w:pPr>
    </w:p>
    <w:p>
      <w:pPr>
        <w:ind w:left="660" w:right="4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CNBU revenue increased 13% due to increases in average selling prices and bit sales volume for DRAM driven by strong demand in data center markets.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MBU revenue increased 21% primarily due to increases in bit sales volumes of low-power DRAM.</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SBU revenue increased 17% primarily due to improved NAND pricing and significant growth in SSD shipment volumes driven by strong demand in data center and OEM client markets.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EBU revenue decreased 3% primarily due to a reduction in automotive demand.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third quarter of 2020 as compared to the third quarter of 2019 were as follows:</w:t>
      </w:r>
    </w:p>
    <w:p>
      <w:pPr>
        <w:spacing w:after="0" w:line="239" w:lineRule="exact"/>
        <w:rPr>
          <w:sz w:val="20"/>
          <w:szCs w:val="20"/>
          <w:color w:val="auto"/>
        </w:rPr>
      </w:pPr>
    </w:p>
    <w:p>
      <w:pPr>
        <w:ind w:left="660" w:right="8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CNBU revenue increased 7% primarily due to increases in bit sales growth for DRAM products partially offset by price declines. Consistent with our view that our technology and product roadmap are more closely aligned with our CNBU business unit, beginning in the second quarter of 2020, we have included all activities for 3D XPoint within CNBU.</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MBU revenue increased 30% primarily due to bit sales growth for high-value mobile MCP products, partially offset by price declines.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SBU revenue increased 25% primarily due to improved NAND pricing and significant growth in SSD shipment volumes driven by strong demand in data center and OEM client markets, partially offset by the decline in 3D XPoint revenue attributable to SBU after the first quarter of 2020.</w:t>
      </w:r>
    </w:p>
    <w:p>
      <w:pPr>
        <w:spacing w:after="0" w:line="1"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EBU revenue decreased 4% primarily due reduction in automotive demand and declines in DRAM selling prices, partially offset by increased sales to industrial multimarkets.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first nine months of 2020 as compared to the first nine months of 2019 were as follows:</w:t>
      </w:r>
    </w:p>
    <w:p>
      <w:pPr>
        <w:spacing w:after="0" w:line="252" w:lineRule="exact"/>
        <w:rPr>
          <w:sz w:val="20"/>
          <w:szCs w:val="20"/>
          <w:color w:val="auto"/>
        </w:rPr>
      </w:pPr>
    </w:p>
    <w:p>
      <w:pPr>
        <w:ind w:left="660" w:right="8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CNBU revenue decreased 24% primarily due to DRAM price declines driven by imbalances in supply and demand, partially offset by bit sales growth across key markets.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MBU revenue decreased 15% primarily due to price declines, partially offset by bit sales growth for high-value mobile MCP products.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SBU revenue decreased 4% primarily due to the decline in 3D XPoint revenue in SBU after the first quarter of 2020 and NAND selling price declines, partially offset by bit sales growth for SSDs.</w:t>
      </w:r>
    </w:p>
    <w:p>
      <w:pPr>
        <w:ind w:left="660" w:right="72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EBU revenue decreased 13% primarily due to price declines partially offset by bit sales growth in industrial multimarkets and automotive markets.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Income (Loss) by Business Unit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18"/>
                <w:szCs w:val="18"/>
                <w:color w:val="auto"/>
              </w:rPr>
            </w:pPr>
          </w:p>
        </w:tc>
        <w:tc>
          <w:tcPr>
            <w:tcW w:w="12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rPr>
              <w:t>Second</w:t>
            </w:r>
          </w:p>
        </w:tc>
        <w:tc>
          <w:tcPr>
            <w:tcW w:w="140" w:type="dxa"/>
            <w:vAlign w:val="bottom"/>
          </w:tcPr>
          <w:p>
            <w:pPr>
              <w:spacing w:after="0"/>
              <w:rPr>
                <w:sz w:val="18"/>
                <w:szCs w:val="18"/>
                <w:color w:val="auto"/>
              </w:rPr>
            </w:pPr>
          </w:p>
        </w:tc>
        <w:tc>
          <w:tcPr>
            <w:tcW w:w="134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rPr>
              <w:t>Third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46"/>
        </w:trPr>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1"/>
                <w:szCs w:val="21"/>
                <w:color w:val="auto"/>
              </w:rPr>
            </w:pPr>
          </w:p>
        </w:tc>
        <w:tc>
          <w:tcPr>
            <w:tcW w:w="12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1"/>
                <w:szCs w:val="21"/>
                <w:color w:val="auto"/>
              </w:rPr>
            </w:pPr>
          </w:p>
        </w:tc>
        <w:tc>
          <w:tcPr>
            <w:tcW w:w="134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rPr>
              <w:t>Quarter</w:t>
            </w:r>
          </w:p>
        </w:tc>
        <w:tc>
          <w:tcPr>
            <w:tcW w:w="780" w:type="dxa"/>
            <w:vAlign w:val="bottom"/>
            <w:tcBorders>
              <w:bottom w:val="single" w:sz="8" w:color="0090DA"/>
            </w:tcBorders>
          </w:tcPr>
          <w:p>
            <w:pPr>
              <w:spacing w:after="0"/>
              <w:rPr>
                <w:sz w:val="21"/>
                <w:szCs w:val="21"/>
                <w:color w:val="auto"/>
              </w:rPr>
            </w:pPr>
          </w:p>
        </w:tc>
        <w:tc>
          <w:tcPr>
            <w:tcW w:w="1640" w:type="dxa"/>
            <w:vAlign w:val="bottom"/>
            <w:tcBorders>
              <w:bottom w:val="single" w:sz="8" w:color="0090DA"/>
            </w:tcBorders>
            <w:gridSpan w:val="4"/>
          </w:tcPr>
          <w:p>
            <w:pPr>
              <w:jc w:val="right"/>
              <w:ind w:right="420"/>
              <w:spacing w:after="0"/>
              <w:rPr>
                <w:sz w:val="20"/>
                <w:szCs w:val="20"/>
                <w:color w:val="auto"/>
              </w:rPr>
            </w:pPr>
            <w:r>
              <w:rPr>
                <w:rFonts w:ascii="Arial" w:cs="Arial" w:eastAsia="Arial" w:hAnsi="Arial"/>
                <w:sz w:val="18"/>
                <w:szCs w:val="18"/>
                <w:b w:val="1"/>
                <w:bCs w:val="1"/>
                <w:color w:val="auto"/>
              </w:rPr>
              <w:t>Nine Months</w:t>
            </w:r>
          </w:p>
        </w:tc>
        <w:tc>
          <w:tcPr>
            <w:tcW w:w="500" w:type="dxa"/>
            <w:vAlign w:val="bottom"/>
            <w:tcBorders>
              <w:bottom w:val="single" w:sz="8" w:color="0090DA"/>
            </w:tcBorders>
          </w:tcPr>
          <w:p>
            <w:pPr>
              <w:spacing w:after="0"/>
              <w:rPr>
                <w:sz w:val="21"/>
                <w:szCs w:val="21"/>
                <w:color w:val="auto"/>
              </w:rPr>
            </w:pPr>
          </w:p>
        </w:tc>
      </w:tr>
      <w:tr>
        <w:trPr>
          <w:trHeight w:val="250"/>
        </w:trPr>
        <w:tc>
          <w:tcPr>
            <w:tcW w:w="392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720" w:type="dxa"/>
            <w:vAlign w:val="bottom"/>
            <w:tcBorders>
              <w:bottom w:val="single" w:sz="8" w:color="0090DA"/>
            </w:tcBorders>
            <w:gridSpan w:val="2"/>
          </w:tcPr>
          <w:p>
            <w:pPr>
              <w:jc w:val="center"/>
              <w:ind w:left="230"/>
              <w:spacing w:after="0"/>
              <w:rPr>
                <w:sz w:val="20"/>
                <w:szCs w:val="20"/>
                <w:color w:val="auto"/>
              </w:rPr>
            </w:pPr>
            <w:r>
              <w:rPr>
                <w:rFonts w:ascii="Arial" w:cs="Arial" w:eastAsia="Arial" w:hAnsi="Arial"/>
                <w:sz w:val="18"/>
                <w:szCs w:val="18"/>
                <w:b w:val="1"/>
                <w:bCs w:val="1"/>
                <w:color w:val="auto"/>
                <w:w w:val="99"/>
              </w:rPr>
              <w:t>2020</w:t>
            </w:r>
          </w:p>
        </w:tc>
        <w:tc>
          <w:tcPr>
            <w:tcW w:w="52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720" w:type="dxa"/>
            <w:vAlign w:val="bottom"/>
            <w:tcBorders>
              <w:bottom w:val="single" w:sz="8" w:color="0090DA"/>
            </w:tcBorders>
            <w:gridSpan w:val="2"/>
          </w:tcPr>
          <w:p>
            <w:pPr>
              <w:jc w:val="center"/>
              <w:ind w:left="21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0090DA"/>
            </w:tcBorders>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800" w:type="dxa"/>
            <w:vAlign w:val="bottom"/>
            <w:tcBorders>
              <w:bottom w:val="single" w:sz="8" w:color="0090DA"/>
            </w:tcBorders>
            <w:gridSpan w:val="2"/>
          </w:tcPr>
          <w:p>
            <w:pPr>
              <w:jc w:val="center"/>
              <w:ind w:left="310"/>
              <w:spacing w:after="0"/>
              <w:rPr>
                <w:sz w:val="20"/>
                <w:szCs w:val="20"/>
                <w:color w:val="auto"/>
              </w:rPr>
            </w:pPr>
            <w:r>
              <w:rPr>
                <w:rFonts w:ascii="Arial" w:cs="Arial" w:eastAsia="Arial" w:hAnsi="Arial"/>
                <w:sz w:val="18"/>
                <w:szCs w:val="18"/>
                <w:b w:val="1"/>
                <w:bCs w:val="1"/>
                <w:color w:val="auto"/>
                <w:w w:val="99"/>
              </w:rPr>
              <w:t>2019</w:t>
            </w:r>
          </w:p>
        </w:tc>
        <w:tc>
          <w:tcPr>
            <w:tcW w:w="540" w:type="dxa"/>
            <w:vAlign w:val="bottom"/>
            <w:tcBorders>
              <w:bottom w:val="single" w:sz="8" w:color="0090DA"/>
            </w:tcBorders>
          </w:tcPr>
          <w:p>
            <w:pPr>
              <w:spacing w:after="0"/>
              <w:rPr>
                <w:sz w:val="21"/>
                <w:szCs w:val="21"/>
                <w:color w:val="auto"/>
              </w:rPr>
            </w:pPr>
          </w:p>
        </w:tc>
        <w:tc>
          <w:tcPr>
            <w:tcW w:w="94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0090DA"/>
            </w:tcBorders>
          </w:tcPr>
          <w:p>
            <w:pPr>
              <w:spacing w:after="0"/>
              <w:rPr>
                <w:sz w:val="21"/>
                <w:szCs w:val="21"/>
                <w:color w:val="auto"/>
              </w:rPr>
            </w:pPr>
          </w:p>
        </w:tc>
        <w:tc>
          <w:tcPr>
            <w:tcW w:w="96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0090DA"/>
            </w:tcBorders>
          </w:tcPr>
          <w:p>
            <w:pPr>
              <w:spacing w:after="0"/>
              <w:rPr>
                <w:sz w:val="21"/>
                <w:szCs w:val="21"/>
                <w:color w:val="auto"/>
              </w:rPr>
            </w:pPr>
          </w:p>
        </w:tc>
      </w:tr>
      <w:tr>
        <w:trPr>
          <w:trHeight w:val="40"/>
        </w:trPr>
        <w:tc>
          <w:tcPr>
            <w:tcW w:w="3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56"/>
        </w:trPr>
        <w:tc>
          <w:tcPr>
            <w:tcW w:w="3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448</w:t>
            </w:r>
          </w:p>
        </w:tc>
        <w:tc>
          <w:tcPr>
            <w:tcW w:w="160" w:type="dxa"/>
            <w:vAlign w:val="bottom"/>
            <w:shd w:val="clear" w:color="auto" w:fill="D1D2D4"/>
          </w:tcPr>
          <w:p>
            <w:pPr>
              <w:spacing w:after="0"/>
              <w:rPr>
                <w:sz w:val="22"/>
                <w:szCs w:val="22"/>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20 %</w:t>
            </w:r>
          </w:p>
        </w:tc>
        <w:tc>
          <w:tcPr>
            <w:tcW w:w="220" w:type="dxa"/>
            <w:vAlign w:val="bottom"/>
            <w:shd w:val="clear" w:color="auto" w:fill="D1D2D4"/>
          </w:tcPr>
          <w:p>
            <w:pPr>
              <w:spacing w:after="0"/>
              <w:rPr>
                <w:sz w:val="22"/>
                <w:szCs w:val="22"/>
                <w:color w:val="auto"/>
              </w:rPr>
            </w:pPr>
          </w:p>
        </w:tc>
        <w:tc>
          <w:tcPr>
            <w:tcW w:w="5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D1D2D4"/>
          </w:tcPr>
          <w:p>
            <w:pPr>
              <w:spacing w:after="0"/>
              <w:rPr>
                <w:sz w:val="22"/>
                <w:szCs w:val="22"/>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14 %</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D1D2D4"/>
          </w:tcPr>
          <w:p>
            <w:pPr>
              <w:spacing w:after="0"/>
              <w:rPr>
                <w:sz w:val="22"/>
                <w:szCs w:val="22"/>
                <w:color w:val="auto"/>
              </w:rPr>
            </w:pPr>
          </w:p>
        </w:tc>
        <w:tc>
          <w:tcPr>
            <w:tcW w:w="132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38 % $ 1,132</w:t>
            </w:r>
          </w:p>
        </w:tc>
        <w:tc>
          <w:tcPr>
            <w:tcW w:w="160" w:type="dxa"/>
            <w:vAlign w:val="bottom"/>
            <w:shd w:val="clear" w:color="auto" w:fill="D1D2D4"/>
          </w:tcPr>
          <w:p>
            <w:pPr>
              <w:spacing w:after="0"/>
              <w:rPr>
                <w:sz w:val="22"/>
                <w:szCs w:val="22"/>
                <w:color w:val="auto"/>
              </w:rPr>
            </w:pPr>
          </w:p>
        </w:tc>
        <w:tc>
          <w:tcPr>
            <w:tcW w:w="130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18 % $ 4,171</w:t>
            </w:r>
          </w:p>
        </w:tc>
        <w:tc>
          <w:tcPr>
            <w:tcW w:w="180" w:type="dxa"/>
            <w:vAlign w:val="bottom"/>
            <w:shd w:val="clear" w:color="auto" w:fill="D1D2D4"/>
          </w:tcPr>
          <w:p>
            <w:pPr>
              <w:spacing w:after="0"/>
              <w:rPr>
                <w:sz w:val="22"/>
                <w:szCs w:val="22"/>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52 %</w:t>
            </w: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MBU</w:t>
            </w:r>
          </w:p>
        </w:tc>
        <w:tc>
          <w:tcPr>
            <w:tcW w:w="22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28 %</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18 %</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2,241</w:t>
            </w: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63"/>
        </w:trPr>
        <w:tc>
          <w:tcPr>
            <w:tcW w:w="3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20" w:type="dxa"/>
            <w:vAlign w:val="bottom"/>
            <w:shd w:val="clear" w:color="auto" w:fill="D1D2D4"/>
          </w:tcPr>
          <w:p>
            <w:pPr>
              <w:spacing w:after="0"/>
              <w:rPr>
                <w:sz w:val="22"/>
                <w:szCs w:val="22"/>
                <w:color w:val="auto"/>
              </w:rPr>
            </w:pPr>
          </w:p>
        </w:tc>
        <w:tc>
          <w:tcPr>
            <w:tcW w:w="5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D1D2D4"/>
          </w:tcPr>
          <w:p>
            <w:pPr>
              <w:spacing w:after="0"/>
              <w:rPr>
                <w:sz w:val="22"/>
                <w:szCs w:val="22"/>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17 %</w:t>
            </w:r>
          </w:p>
        </w:tc>
        <w:tc>
          <w:tcPr>
            <w:tcW w:w="220" w:type="dxa"/>
            <w:vAlign w:val="bottom"/>
            <w:shd w:val="clear" w:color="auto" w:fill="D1D2D4"/>
          </w:tcPr>
          <w:p>
            <w:pPr>
              <w:spacing w:after="0"/>
              <w:rPr>
                <w:sz w:val="22"/>
                <w:szCs w:val="22"/>
                <w:color w:val="auto"/>
              </w:rPr>
            </w:pPr>
          </w:p>
        </w:tc>
        <w:tc>
          <w:tcPr>
            <w:tcW w:w="5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D1D2D4"/>
          </w:tcPr>
          <w:p>
            <w:pPr>
              <w:spacing w:after="0"/>
              <w:rPr>
                <w:sz w:val="22"/>
                <w:szCs w:val="22"/>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D1D2D4"/>
          </w:tcPr>
          <w:p>
            <w:pPr>
              <w:spacing w:after="0"/>
              <w:rPr>
                <w:sz w:val="22"/>
                <w:szCs w:val="22"/>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7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D1D2D4"/>
          </w:tcPr>
          <w:p>
            <w:pPr>
              <w:spacing w:after="0"/>
              <w:rPr>
                <w:sz w:val="22"/>
                <w:szCs w:val="22"/>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7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D1D2D4"/>
          </w:tcPr>
          <w:p>
            <w:pPr>
              <w:spacing w:after="0"/>
              <w:rPr>
                <w:sz w:val="22"/>
                <w:szCs w:val="22"/>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EBU</w:t>
            </w:r>
          </w:p>
        </w:tc>
        <w:tc>
          <w:tcPr>
            <w:tcW w:w="22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9 %</w:t>
            </w:r>
          </w:p>
        </w:tc>
        <w:tc>
          <w:tcPr>
            <w:tcW w:w="22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25 %</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822</w:t>
            </w: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57"/>
        </w:trPr>
        <w:tc>
          <w:tcPr>
            <w:tcW w:w="3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shd w:val="clear" w:color="auto" w:fill="D1D2D4"/>
          </w:tcPr>
          <w:p>
            <w:pPr>
              <w:spacing w:after="0"/>
              <w:rPr>
                <w:sz w:val="22"/>
                <w:szCs w:val="22"/>
                <w:color w:val="auto"/>
              </w:rPr>
            </w:pPr>
          </w:p>
        </w:tc>
        <w:tc>
          <w:tcPr>
            <w:tcW w:w="5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D1D2D4"/>
          </w:tcPr>
          <w:p>
            <w:pPr>
              <w:spacing w:after="0"/>
              <w:rPr>
                <w:sz w:val="22"/>
                <w:szCs w:val="22"/>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(50)%</w:t>
            </w:r>
          </w:p>
        </w:tc>
        <w:tc>
          <w:tcPr>
            <w:tcW w:w="220" w:type="dxa"/>
            <w:vAlign w:val="bottom"/>
            <w:tcBorders>
              <w:bottom w:val="single" w:sz="8" w:color="auto"/>
            </w:tcBorders>
            <w:shd w:val="clear" w:color="auto" w:fill="D1D2D4"/>
          </w:tcPr>
          <w:p>
            <w:pPr>
              <w:spacing w:after="0"/>
              <w:rPr>
                <w:sz w:val="22"/>
                <w:szCs w:val="22"/>
                <w:color w:val="auto"/>
              </w:rPr>
            </w:pPr>
          </w:p>
        </w:tc>
        <w:tc>
          <w:tcPr>
            <w:tcW w:w="5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22"/>
                <w:szCs w:val="22"/>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(17)%</w:t>
            </w:r>
          </w:p>
        </w:tc>
        <w:tc>
          <w:tcPr>
            <w:tcW w:w="140" w:type="dxa"/>
            <w:vAlign w:val="bottom"/>
            <w:tcBorders>
              <w:bottom w:val="single" w:sz="8" w:color="auto"/>
            </w:tcBorders>
            <w:shd w:val="clear" w:color="auto" w:fill="D1D2D4"/>
          </w:tcPr>
          <w:p>
            <w:pPr>
              <w:spacing w:after="0"/>
              <w:rPr>
                <w:sz w:val="22"/>
                <w:szCs w:val="22"/>
                <w:color w:val="auto"/>
              </w:rPr>
            </w:pPr>
          </w:p>
        </w:tc>
        <w:tc>
          <w:tcPr>
            <w:tcW w:w="6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w:t>
            </w:r>
          </w:p>
        </w:tc>
        <w:tc>
          <w:tcPr>
            <w:tcW w:w="160" w:type="dxa"/>
            <w:vAlign w:val="bottom"/>
            <w:shd w:val="clear" w:color="auto" w:fill="D1D2D4"/>
          </w:tcPr>
          <w:p>
            <w:pPr>
              <w:spacing w:after="0"/>
              <w:rPr>
                <w:sz w:val="22"/>
                <w:szCs w:val="22"/>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18 %</w:t>
            </w:r>
          </w:p>
        </w:tc>
        <w:tc>
          <w:tcPr>
            <w:tcW w:w="78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D1D2D4"/>
          </w:tcPr>
          <w:p>
            <w:pPr>
              <w:spacing w:after="0"/>
              <w:rPr>
                <w:sz w:val="22"/>
                <w:szCs w:val="22"/>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(11)%</w:t>
            </w:r>
          </w:p>
        </w:tc>
        <w:tc>
          <w:tcPr>
            <w:tcW w:w="7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D1D2D4"/>
          </w:tcPr>
          <w:p>
            <w:pPr>
              <w:spacing w:after="0"/>
              <w:rPr>
                <w:sz w:val="22"/>
                <w:szCs w:val="22"/>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17 %</w:t>
            </w:r>
          </w:p>
        </w:tc>
      </w:tr>
      <w:tr>
        <w:trPr>
          <w:trHeight w:val="250"/>
        </w:trPr>
        <w:tc>
          <w:tcPr>
            <w:tcW w:w="39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1,110</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$ 2,117</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$ 7,107</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3" w:name="page34"/>
    <w:bookmarkEnd w:id="33"/>
    <w:p>
      <w:pPr>
        <w:ind w:right="100"/>
        <w:spacing w:after="0" w:line="261" w:lineRule="auto"/>
        <w:rPr>
          <w:sz w:val="20"/>
          <w:szCs w:val="20"/>
          <w:color w:val="auto"/>
        </w:rPr>
      </w:pPr>
      <w:r>
        <w:rPr>
          <w:rFonts w:ascii="Arial" w:cs="Arial" w:eastAsia="Arial" w:hAnsi="Arial"/>
          <w:sz w:val="18"/>
          <w:szCs w:val="18"/>
          <w:color w:val="auto"/>
        </w:rPr>
        <w:t>Changes in operating income or loss for each business unit for the third quarter of 2020 as compared to the second quarter of 2020 were as follows:</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CNBU operating income increased primarily due to improved DRAM selling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MBU operating income increased primarily due to increases in sales volumes and lower R&amp;D expenses.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SBU operating margin improved primarily due to increases in NAND pricing, higher SSD sales volumes, stronger data center SSD mix, manufacturing cost reductions, and lower R&amp;D expenses.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EBU operating income decreased primarily due to a lower mix of automotive sales.</w:t>
      </w:r>
    </w:p>
    <w:p>
      <w:pPr>
        <w:spacing w:after="0" w:line="252"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Changes in operating income or loss for each business unit for the third quarter and first nine months of 2020 as compared to the corresponding periods of 2019 were as follows:</w:t>
      </w:r>
    </w:p>
    <w:p>
      <w:pPr>
        <w:spacing w:after="0" w:line="225" w:lineRule="exact"/>
        <w:rPr>
          <w:sz w:val="20"/>
          <w:szCs w:val="20"/>
          <w:color w:val="auto"/>
        </w:rPr>
      </w:pPr>
    </w:p>
    <w:p>
      <w:pPr>
        <w:ind w:left="660" w:right="1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CNBU operating income decreased primarily due to declines in DRAM pricing and MTU underutilization costs in 2020 related to 3D XPoint.</w:t>
      </w:r>
    </w:p>
    <w:p>
      <w:pPr>
        <w:ind w:left="660" w:right="30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MBU operating income decreased primarily due to declines in low-power DRAM and NAND pricing, partially offset by increases in sales of high-value MCP products and manufacturing cost reductions.</w:t>
      </w: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SBU operating margin improved primarily due to lower 3D XPoint underutilization costs, manufacturing cost reductions, increases in sales volumes, and improved product mix. SBU operating margins for the third quarter of 2020 benefited from higher selling prices as compared to the third quarter of 2019. SBU operating margins for the first nine months of 2020 were adversely impacted by lower selling prices as compared to the first nine months of 2019.</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EBU operating income decreased as a result of declines in pricing, partially offset by increases in sales volumes.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Expenses and Other</w:t>
      </w:r>
    </w:p>
    <w:p>
      <w:pPr>
        <w:spacing w:after="0" w:line="2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expenses for the third quarter of 2020 were relatively unchanged as compared to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2020. SG&amp;A expenses for the third quarter and first nine months of 2020 were 5% and 4% higher as compared to the corresponding periods of 2019 primarily due to increases in employee compensation, partially offset by decreases in consulting fees.</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R&amp;D expenses vary primarily with the number of development and pre-qualification wafers processed,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reimbursed under R&amp;D cost-sharing agreements, the 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reviews and tests for performance and reliability. R&amp;D expenses can vary significantly depending on the timing of product qualification.</w:t>
      </w:r>
    </w:p>
    <w:p>
      <w:pPr>
        <w:spacing w:after="0" w:line="22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R&amp;D expenses for the third quarter of 2020 were 5% lower as compared to the second quarter of 2020 primarily due to decreases in volumes of development and pre-qualification wafers. R&amp;D expenses for the third quarter and first nine months of 2020 were 7% and 8% higher, respectively, as compared to the corresponding periods of 2019, primarily due to increases in employee compensation, increases in volumes of development and pre-qualification wafers, and a reduction of R&amp;D reimbursements from our partners, partially offset by lower depreciation expense from the revision of the estimated useful lives of equipment. R&amp;D expenses were reduced by $23 million and $85 million in the third quarter and first nine months of 2020, respectively, due to the revision of the estimated useful lives of equipment. R&amp;D expenses were reduced by $6 million and $59 million in the third quarter and first nine months of 2019, respectively, due to reimbursements, primarily from our joint development activities with Intel for 3D NAND and 3D XPoint technologies, which were substantially completed in the third quarter of 2019 and first quarter of 2020, respectively.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income tax (provision) benefit consisted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rPr>
              <w:t>Second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rPr>
              <w:t>Third</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rPr>
              <w:t>Quarter</w:t>
            </w:r>
          </w:p>
        </w:tc>
        <w:tc>
          <w:tcPr>
            <w:tcW w:w="280" w:type="dxa"/>
            <w:vAlign w:val="bottom"/>
            <w:tcBorders>
              <w:bottom w:val="single" w:sz="8" w:color="0090DA"/>
            </w:tcBorders>
          </w:tcPr>
          <w:p>
            <w:pPr>
              <w:spacing w:after="0"/>
              <w:rPr>
                <w:sz w:val="21"/>
                <w:szCs w:val="21"/>
                <w:color w:val="auto"/>
              </w:rPr>
            </w:pPr>
          </w:p>
        </w:tc>
        <w:tc>
          <w:tcPr>
            <w:tcW w:w="2260" w:type="dxa"/>
            <w:vAlign w:val="bottom"/>
            <w:tcBorders>
              <w:bottom w:val="single" w:sz="8" w:color="0090DA"/>
            </w:tcBorders>
            <w:gridSpan w:val="3"/>
          </w:tcPr>
          <w:p>
            <w:pPr>
              <w:jc w:val="right"/>
              <w:ind w:right="63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Borders>
              <w:bottom w:val="single" w:sz="8" w:color="0090DA"/>
            </w:tcBorders>
          </w:tcPr>
          <w:p>
            <w:pPr>
              <w:spacing w:after="0"/>
              <w:rPr>
                <w:sz w:val="21"/>
                <w:szCs w:val="21"/>
                <w:color w:val="auto"/>
              </w:rPr>
            </w:pPr>
          </w:p>
        </w:tc>
        <w:tc>
          <w:tcPr>
            <w:tcW w:w="86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Borders>
              <w:bottom w:val="single" w:sz="8" w:color="0090DA"/>
            </w:tcBorders>
          </w:tcPr>
          <w:p>
            <w:pPr>
              <w:spacing w:after="0"/>
              <w:rPr>
                <w:sz w:val="21"/>
                <w:szCs w:val="21"/>
                <w:color w:val="auto"/>
              </w:rPr>
            </w:pPr>
          </w:p>
        </w:tc>
        <w:tc>
          <w:tcPr>
            <w:tcW w:w="20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2019</w:t>
            </w:r>
          </w:p>
        </w:tc>
        <w:tc>
          <w:tcPr>
            <w:tcW w:w="280" w:type="dxa"/>
            <w:vAlign w:val="bottom"/>
            <w:tcBorders>
              <w:bottom w:val="single" w:sz="8" w:color="0090DA"/>
            </w:tcBorders>
          </w:tcPr>
          <w:p>
            <w:pPr>
              <w:spacing w:after="0"/>
              <w:rPr>
                <w:sz w:val="21"/>
                <w:szCs w:val="21"/>
                <w:color w:val="auto"/>
              </w:rPr>
            </w:pPr>
          </w:p>
        </w:tc>
        <w:tc>
          <w:tcPr>
            <w:tcW w:w="100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0090DA"/>
            </w:tcBorders>
          </w:tcPr>
          <w:p>
            <w:pPr>
              <w:spacing w:after="0"/>
              <w:rPr>
                <w:sz w:val="21"/>
                <w:szCs w:val="21"/>
                <w:color w:val="auto"/>
              </w:rPr>
            </w:pPr>
          </w:p>
        </w:tc>
        <w:tc>
          <w:tcPr>
            <w:tcW w:w="100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0"/>
        </w:trPr>
        <w:tc>
          <w:tcPr>
            <w:tcW w:w="4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 excluding items below</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D1D2D4"/>
          </w:tcPr>
          <w:p>
            <w:pPr>
              <w:spacing w:after="0"/>
              <w:rPr>
                <w:sz w:val="22"/>
                <w:szCs w:val="22"/>
                <w:color w:val="auto"/>
              </w:rPr>
            </w:pP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188"/>
        </w:trPr>
        <w:tc>
          <w:tcPr>
            <w:tcW w:w="4860" w:type="dxa"/>
            <w:vAlign w:val="bottom"/>
          </w:tcPr>
          <w:p>
            <w:pPr>
              <w:ind w:left="20"/>
              <w:spacing w:after="0" w:line="189" w:lineRule="exact"/>
              <w:rPr>
                <w:sz w:val="20"/>
                <w:szCs w:val="20"/>
                <w:color w:val="auto"/>
              </w:rPr>
            </w:pPr>
            <w:r>
              <w:rPr>
                <w:rFonts w:ascii="Arial" w:cs="Arial" w:eastAsia="Arial" w:hAnsi="Arial"/>
                <w:sz w:val="18"/>
                <w:szCs w:val="18"/>
                <w:color w:val="auto"/>
              </w:rPr>
              <w:t>Utilization of and other changes in net deferred tax assets of</w:t>
            </w:r>
          </w:p>
        </w:tc>
        <w:tc>
          <w:tcPr>
            <w:tcW w:w="220" w:type="dxa"/>
            <w:vAlign w:val="bottom"/>
          </w:tcPr>
          <w:p>
            <w:pPr>
              <w:spacing w:after="0"/>
              <w:rPr>
                <w:sz w:val="16"/>
                <w:szCs w:val="16"/>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6"/>
                <w:szCs w:val="16"/>
                <w:color w:val="auto"/>
              </w:rPr>
            </w:pPr>
          </w:p>
        </w:tc>
        <w:tc>
          <w:tcPr>
            <w:tcW w:w="10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6"/>
                <w:szCs w:val="16"/>
                <w:color w:val="auto"/>
              </w:rPr>
            </w:pP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6"/>
                <w:szCs w:val="16"/>
                <w:color w:val="auto"/>
              </w:rPr>
            </w:pP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6"/>
                <w:szCs w:val="16"/>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7"/>
        </w:trPr>
        <w:tc>
          <w:tcPr>
            <w:tcW w:w="4860" w:type="dxa"/>
            <w:vAlign w:val="bottom"/>
          </w:tcPr>
          <w:p>
            <w:pPr>
              <w:ind w:left="180"/>
              <w:spacing w:after="0"/>
              <w:rPr>
                <w:sz w:val="20"/>
                <w:szCs w:val="20"/>
                <w:color w:val="auto"/>
              </w:rPr>
            </w:pPr>
            <w:r>
              <w:rPr>
                <w:rFonts w:ascii="Arial" w:cs="Arial" w:eastAsia="Arial" w:hAnsi="Arial"/>
                <w:sz w:val="18"/>
                <w:szCs w:val="18"/>
                <w:color w:val="auto"/>
              </w:rPr>
              <w:t>MMJ, MMT, and MTTW</w:t>
            </w: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Repatriation tax, net of adjustments related to uncertain tax</w:t>
            </w:r>
          </w:p>
        </w:tc>
        <w:tc>
          <w:tcPr>
            <w:tcW w:w="220" w:type="dxa"/>
            <w:vAlign w:val="bottom"/>
            <w:shd w:val="clear" w:color="auto" w:fill="D1D2D4"/>
          </w:tcPr>
          <w:p>
            <w:pPr>
              <w:spacing w:after="0"/>
              <w:rPr>
                <w:sz w:val="16"/>
                <w:szCs w:val="16"/>
                <w:color w:val="auto"/>
              </w:rPr>
            </w:pPr>
          </w:p>
        </w:tc>
        <w:tc>
          <w:tcPr>
            <w:tcW w:w="1080" w:type="dxa"/>
            <w:vAlign w:val="bottom"/>
            <w:vMerge w:val="restart"/>
            <w:shd w:val="clear" w:color="auto" w:fill="D1D2D4"/>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6"/>
                <w:szCs w:val="16"/>
                <w:color w:val="auto"/>
              </w:rPr>
            </w:pPr>
          </w:p>
        </w:tc>
        <w:tc>
          <w:tcPr>
            <w:tcW w:w="8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1060" w:type="dxa"/>
            <w:vAlign w:val="bottom"/>
            <w:vMerge w:val="restart"/>
            <w:shd w:val="clear" w:color="auto" w:fill="D1D2D4"/>
          </w:tcPr>
          <w:p>
            <w:pPr>
              <w:jc w:val="right"/>
              <w:ind w:right="17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D1D2D4"/>
          </w:tcPr>
          <w:p>
            <w:pPr>
              <w:spacing w:after="0"/>
              <w:rPr>
                <w:sz w:val="16"/>
                <w:szCs w:val="16"/>
                <w:color w:val="auto"/>
              </w:rPr>
            </w:pPr>
          </w:p>
        </w:tc>
        <w:tc>
          <w:tcPr>
            <w:tcW w:w="1000" w:type="dxa"/>
            <w:vAlign w:val="bottom"/>
            <w:vMerge w:val="restart"/>
            <w:shd w:val="clear" w:color="auto" w:fill="D1D2D4"/>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6"/>
                <w:szCs w:val="16"/>
                <w:color w:val="auto"/>
              </w:rPr>
            </w:pPr>
          </w:p>
        </w:tc>
        <w:tc>
          <w:tcPr>
            <w:tcW w:w="1000" w:type="dxa"/>
            <w:vAlign w:val="bottom"/>
            <w:vMerge w:val="restart"/>
            <w:shd w:val="clear" w:color="auto" w:fill="D1D2D4"/>
          </w:tcPr>
          <w:p>
            <w:pPr>
              <w:jc w:val="right"/>
              <w:ind w:right="1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48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positions</w:t>
            </w:r>
          </w:p>
        </w:tc>
        <w:tc>
          <w:tcPr>
            <w:tcW w:w="220" w:type="dxa"/>
            <w:vAlign w:val="bottom"/>
            <w:tcBorders>
              <w:bottom w:val="single" w:sz="8" w:color="auto"/>
            </w:tcBorders>
            <w:shd w:val="clear" w:color="auto" w:fill="D1D2D4"/>
          </w:tcPr>
          <w:p>
            <w:pPr>
              <w:spacing w:after="0"/>
              <w:rPr>
                <w:sz w:val="18"/>
                <w:szCs w:val="18"/>
                <w:color w:val="auto"/>
              </w:rPr>
            </w:pPr>
          </w:p>
        </w:tc>
        <w:tc>
          <w:tcPr>
            <w:tcW w:w="1080" w:type="dxa"/>
            <w:vAlign w:val="bottom"/>
            <w:tcBorders>
              <w:bottom w:val="single" w:sz="8" w:color="auto"/>
            </w:tcBorders>
            <w:vMerge w:val="continue"/>
            <w:shd w:val="clear" w:color="auto" w:fill="D1D2D4"/>
          </w:tcPr>
          <w:p>
            <w:pPr>
              <w:spacing w:after="0"/>
              <w:rPr>
                <w:sz w:val="18"/>
                <w:szCs w:val="18"/>
                <w:color w:val="auto"/>
              </w:rPr>
            </w:pPr>
          </w:p>
        </w:tc>
        <w:tc>
          <w:tcPr>
            <w:tcW w:w="200" w:type="dxa"/>
            <w:vAlign w:val="bottom"/>
            <w:tcBorders>
              <w:bottom w:val="single" w:sz="8" w:color="auto"/>
            </w:tcBorders>
            <w:shd w:val="clear" w:color="auto" w:fill="D1D2D4"/>
          </w:tcPr>
          <w:p>
            <w:pPr>
              <w:spacing w:after="0"/>
              <w:rPr>
                <w:sz w:val="18"/>
                <w:szCs w:val="18"/>
                <w:color w:val="auto"/>
              </w:rPr>
            </w:pPr>
          </w:p>
        </w:tc>
        <w:tc>
          <w:tcPr>
            <w:tcW w:w="860" w:type="dxa"/>
            <w:vAlign w:val="bottom"/>
            <w:tcBorders>
              <w:bottom w:val="single" w:sz="8" w:color="auto"/>
            </w:tcBorders>
            <w:vMerge w:val="continue"/>
            <w:shd w:val="clear" w:color="auto" w:fill="D1D2D4"/>
          </w:tcPr>
          <w:p>
            <w:pPr>
              <w:spacing w:after="0"/>
              <w:rPr>
                <w:sz w:val="18"/>
                <w:szCs w:val="18"/>
                <w:color w:val="auto"/>
              </w:rPr>
            </w:pPr>
          </w:p>
        </w:tc>
        <w:tc>
          <w:tcPr>
            <w:tcW w:w="220" w:type="dxa"/>
            <w:vAlign w:val="bottom"/>
            <w:tcBorders>
              <w:bottom w:val="single" w:sz="8" w:color="auto"/>
            </w:tcBorders>
            <w:shd w:val="clear" w:color="auto" w:fill="D1D2D4"/>
          </w:tcPr>
          <w:p>
            <w:pPr>
              <w:spacing w:after="0"/>
              <w:rPr>
                <w:sz w:val="18"/>
                <w:szCs w:val="18"/>
                <w:color w:val="auto"/>
              </w:rPr>
            </w:pPr>
          </w:p>
        </w:tc>
        <w:tc>
          <w:tcPr>
            <w:tcW w:w="200" w:type="dxa"/>
            <w:vAlign w:val="bottom"/>
            <w:tcBorders>
              <w:bottom w:val="single" w:sz="8" w:color="auto"/>
            </w:tcBorders>
            <w:shd w:val="clear" w:color="auto" w:fill="D1D2D4"/>
          </w:tcPr>
          <w:p>
            <w:pPr>
              <w:spacing w:after="0"/>
              <w:rPr>
                <w:sz w:val="18"/>
                <w:szCs w:val="18"/>
                <w:color w:val="auto"/>
              </w:rPr>
            </w:pPr>
          </w:p>
        </w:tc>
        <w:tc>
          <w:tcPr>
            <w:tcW w:w="1060" w:type="dxa"/>
            <w:vAlign w:val="bottom"/>
            <w:tcBorders>
              <w:bottom w:val="single" w:sz="8" w:color="auto"/>
            </w:tcBorders>
            <w:vMerge w:val="continue"/>
            <w:shd w:val="clear" w:color="auto" w:fill="D1D2D4"/>
          </w:tcPr>
          <w:p>
            <w:pPr>
              <w:spacing w:after="0"/>
              <w:rPr>
                <w:sz w:val="18"/>
                <w:szCs w:val="18"/>
                <w:color w:val="auto"/>
              </w:rPr>
            </w:pPr>
          </w:p>
        </w:tc>
        <w:tc>
          <w:tcPr>
            <w:tcW w:w="280" w:type="dxa"/>
            <w:vAlign w:val="bottom"/>
            <w:tcBorders>
              <w:bottom w:val="single" w:sz="8" w:color="auto"/>
            </w:tcBorders>
            <w:shd w:val="clear" w:color="auto" w:fill="D1D2D4"/>
          </w:tcPr>
          <w:p>
            <w:pPr>
              <w:spacing w:after="0"/>
              <w:rPr>
                <w:sz w:val="18"/>
                <w:szCs w:val="18"/>
                <w:color w:val="auto"/>
              </w:rPr>
            </w:pPr>
          </w:p>
        </w:tc>
        <w:tc>
          <w:tcPr>
            <w:tcW w:w="1000" w:type="dxa"/>
            <w:vAlign w:val="bottom"/>
            <w:tcBorders>
              <w:bottom w:val="single" w:sz="8" w:color="auto"/>
            </w:tcBorders>
            <w:vMerge w:val="continue"/>
            <w:shd w:val="clear" w:color="auto" w:fill="D1D2D4"/>
          </w:tcPr>
          <w:p>
            <w:pPr>
              <w:spacing w:after="0"/>
              <w:rPr>
                <w:sz w:val="18"/>
                <w:szCs w:val="18"/>
                <w:color w:val="auto"/>
              </w:rPr>
            </w:pPr>
          </w:p>
        </w:tc>
        <w:tc>
          <w:tcPr>
            <w:tcW w:w="260" w:type="dxa"/>
            <w:vAlign w:val="bottom"/>
            <w:tcBorders>
              <w:bottom w:val="single" w:sz="8" w:color="auto"/>
            </w:tcBorders>
            <w:shd w:val="clear" w:color="auto" w:fill="D1D2D4"/>
          </w:tcPr>
          <w:p>
            <w:pPr>
              <w:spacing w:after="0"/>
              <w:rPr>
                <w:sz w:val="18"/>
                <w:szCs w:val="18"/>
                <w:color w:val="auto"/>
              </w:rPr>
            </w:pPr>
          </w:p>
        </w:tc>
        <w:tc>
          <w:tcPr>
            <w:tcW w:w="1000" w:type="dxa"/>
            <w:vAlign w:val="bottom"/>
            <w:tcBorders>
              <w:bottom w:val="single" w:sz="8" w:color="auto"/>
            </w:tcBorders>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135</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(144)</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
        </w:trPr>
        <w:tc>
          <w:tcPr>
            <w:tcW w:w="48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7.8 %</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7.8 %</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income tax provision for the third quarter of 2020 increased as compared to the second quarter of 2020 primarily as a result of increases in our profit before tax. Our income tax provision in the third quarter of 2020 increased as compared to the third quarter of 2019 primarily due to tax benefits in the third quarter of 2019 resulting from tax law changes. Our income tax provision decreased for the first nine months of 2020 as compared to the first nine months of 2019 primarily as a result of reductions in our profit before tax and the foreign minimum tax. Our income taxes include the effect of operations outside the United States, including Singapore, where we have tax incentive arrangements that further decrease our effective tax rates.</w:t>
      </w:r>
    </w:p>
    <w:p>
      <w:pPr>
        <w:spacing w:after="0" w:line="2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$70 million (benefiting our diluted earnings per share by $0.06) for the third quarter of 2020, were not significant for the second or first quarters of 2020, and $71 million ($0.06 per diluted share) for the third quarter of 2019.</w:t>
      </w:r>
    </w:p>
    <w:p>
      <w:pPr>
        <w:spacing w:after="0" w:line="21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for the third quarter of 2020 increased 11% as compared to the second quarter of 2020 as a result of increases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obligations. Interest income for the third quarter of 2020 decreased 32% as compared to the second quarter of 2020 due to decreases in interest rates partially offset by an increase in investment balances.</w:t>
      </w:r>
    </w:p>
    <w:p>
      <w:pPr>
        <w:spacing w:after="0" w:line="220"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Interest expense for the third quarter and first nine months of 2020 increased 76% and 62% as compared to the corresponding periods of 2019 primarily due to increases in debt obligations and a reduction of capitalized interest from lower levels of capital projects in process. Interest income for the third quarter and first nine months of 2020 decreased 56% and 32% as compared to the corresponding periods of 2019 as a result of decreases in interest rates, partially offset by higher levels of cash and investment balances.</w:t>
      </w:r>
    </w:p>
    <w:p>
      <w:pPr>
        <w:spacing w:after="0" w:line="231"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Further discussion of other operating and non-operating income and expenses can be found in “Item 1. Financial Statements – Notes to Consolidated Financial Statements – Equity Plans,” “– Other Operating Income (Expense), Net,” and “– Other Non-Operating Income (Expense), Net.”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Liquidity and Capital Resources</w:t>
      </w:r>
    </w:p>
    <w:p>
      <w:pPr>
        <w:spacing w:after="0" w:line="26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As of May 28, 2020, $2.50 billion was available to draw under our Revolving Credit Facility. We expect that our cash and investments, cash flows from operations, and available financing will be sufficient to meet our requirements at least through the next 12 months.</w:t>
      </w:r>
    </w:p>
    <w:p>
      <w:pPr>
        <w:spacing w:after="0" w:line="2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ind w:right="460"/>
        <w:spacing w:after="0" w:line="254" w:lineRule="auto"/>
        <w:rPr>
          <w:sz w:val="20"/>
          <w:szCs w:val="20"/>
          <w:color w:val="auto"/>
        </w:rPr>
      </w:pPr>
      <w:r>
        <w:rPr>
          <w:rFonts w:ascii="Arial" w:cs="Arial" w:eastAsia="Arial" w:hAnsi="Arial"/>
          <w:sz w:val="18"/>
          <w:szCs w:val="18"/>
          <w:color w:val="auto"/>
        </w:rPr>
        <w:t>estimate capital expenditures in 2020, net of partner contributions, to be approximately $8 billion, focused on technology transitions and product enablement. Actual amounts for 2020 will vary depending on timing of equipment deliveries. As of May 28, 2020, we had commitments of approximately $2.67 billion for the acquisition of property, plant, and equipment, of which approximately $2.32 billion is expected to be paid within one year.</w:t>
      </w: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Through May 28, 2020, we had repurchased an aggregate of $2.8 billion of the authorized amount. See “Item 1. Financial Statements – Notes to Consolidated Financial Statements – Equity.”</w:t>
      </w:r>
    </w:p>
    <w:p>
      <w:pPr>
        <w:spacing w:after="0" w:line="23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Cash and marketable investments totaled $9.24 billion as of May 28, 2020 and $9.12 billion as of August 29, 2019. Our investments consist primarily of bank deposits, money market funds, and liquid investment-grade, fixed-income securities, diversified among industries and individual issuers. To mitigate credit risk, we invest through high-credit-quality financial institutions and by policy generally limit the concentration of credit exposure by restricting the amount of investments with any single obligor. As of May 28, 2020, $2.98 billion of our cash and marketable investments was held by our foreign subsidiaries.</w:t>
      </w:r>
    </w:p>
    <w:p>
      <w:pPr>
        <w:spacing w:after="0" w:line="21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Limitations on the Use of Cash and Investments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marketable investments as of May 28, 2020 included $228 million held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MMJ. As a result of the corporate reorganization proceedings of MMJ initiated in March 2012, and for so long as such proceedings are continuing, MMJ is prohibited from paying dividends to us. In addition, pursuant to an order of the Tokyo District Court, MMJ cannot make loans or advances, other than certain ordinary course advances, to us without the consent of the Tokyo District Court and may, under certain circumstances, be subject to the approval of the legal trustee. As a result, the assets of MMJ are not available for use by us in our other operations. Furthermore, certain uses of the assets of MMJ, including investments in certain capital expenditures, may require consent of MMJ’s trustees and/or the Tokyo District Court.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7"/>
        </w:trPr>
        <w:tc>
          <w:tcPr>
            <w:tcW w:w="8360" w:type="dxa"/>
            <w:vAlign w:val="bottom"/>
          </w:tcPr>
          <w:p>
            <w:pPr>
              <w:spacing w:after="0"/>
              <w:rPr>
                <w:sz w:val="24"/>
                <w:szCs w:val="24"/>
                <w:color w:val="auto"/>
              </w:rPr>
            </w:pPr>
          </w:p>
        </w:tc>
        <w:tc>
          <w:tcPr>
            <w:tcW w:w="320" w:type="dxa"/>
            <w:vAlign w:val="bottom"/>
            <w:tcBorders>
              <w:bottom w:val="single" w:sz="8" w:color="0090DA"/>
            </w:tcBorders>
          </w:tcPr>
          <w:p>
            <w:pPr>
              <w:spacing w:after="0"/>
              <w:rPr>
                <w:sz w:val="24"/>
                <w:szCs w:val="24"/>
                <w:color w:val="auto"/>
              </w:rPr>
            </w:pPr>
          </w:p>
        </w:tc>
        <w:tc>
          <w:tcPr>
            <w:tcW w:w="2560" w:type="dxa"/>
            <w:vAlign w:val="bottom"/>
            <w:tcBorders>
              <w:bottom w:val="single" w:sz="8" w:color="0090DA"/>
            </w:tcBorders>
            <w:gridSpan w:val="3"/>
          </w:tcPr>
          <w:p>
            <w:pPr>
              <w:jc w:val="right"/>
              <w:ind w:right="810"/>
              <w:spacing w:after="0"/>
              <w:rPr>
                <w:sz w:val="20"/>
                <w:szCs w:val="20"/>
                <w:color w:val="auto"/>
              </w:rPr>
            </w:pPr>
            <w:r>
              <w:rPr>
                <w:rFonts w:ascii="Arial" w:cs="Arial" w:eastAsia="Arial" w:hAnsi="Arial"/>
                <w:sz w:val="18"/>
                <w:szCs w:val="18"/>
                <w:b w:val="1"/>
                <w:bCs w:val="1"/>
                <w:color w:val="auto"/>
              </w:rPr>
              <w:t>Nine Months</w:t>
            </w:r>
          </w:p>
        </w:tc>
      </w:tr>
      <w:tr>
        <w:trPr>
          <w:trHeight w:val="250"/>
        </w:trPr>
        <w:tc>
          <w:tcPr>
            <w:tcW w:w="8360" w:type="dxa"/>
            <w:vAlign w:val="bottom"/>
            <w:tcBorders>
              <w:bottom w:val="single" w:sz="8" w:color="0090DA"/>
            </w:tcBorders>
          </w:tcPr>
          <w:p>
            <w:pPr>
              <w:spacing w:after="0"/>
              <w:rPr>
                <w:sz w:val="21"/>
                <w:szCs w:val="21"/>
                <w:color w:val="auto"/>
              </w:rPr>
            </w:pPr>
          </w:p>
        </w:tc>
        <w:tc>
          <w:tcPr>
            <w:tcW w:w="32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0"/>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6"/>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6,035</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10,956</w:t>
            </w:r>
          </w:p>
        </w:tc>
      </w:tr>
      <w:tr>
        <w:trPr>
          <w:trHeight w:val="250"/>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(4,851)</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(8,985)</w:t>
            </w:r>
          </w:p>
        </w:tc>
      </w:tr>
      <w:tr>
        <w:trPr>
          <w:trHeight w:val="263"/>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w:t>
            </w:r>
          </w:p>
        </w:tc>
        <w:tc>
          <w:tcPr>
            <w:tcW w:w="36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(3,330)</w:t>
            </w:r>
          </w:p>
        </w:tc>
      </w:tr>
      <w:tr>
        <w:trPr>
          <w:trHeight w:val="257"/>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r>
      <w:tr>
        <w:trPr>
          <w:trHeight w:val="275"/>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1,041</w:t>
            </w:r>
          </w:p>
        </w:tc>
        <w:tc>
          <w:tcPr>
            <w:tcW w:w="36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(1,353)</w:t>
            </w: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color w:val="auto"/>
        </w:rPr>
        <w:t>: Cash provided by operating activities reflects net income adjusted for certain non-cash items, including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amortization of intangible assets, and stock-based compensation, and the effects of changes in operating assets and liabilities. The decrease in the first nine months of 2020 as compared to 2019 was primarily due to lower net income compared with the prior period and changes in working capital.</w:t>
      </w:r>
    </w:p>
    <w:p>
      <w:pPr>
        <w:spacing w:after="0" w:line="20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color w:val="auto"/>
        </w:rPr>
        <w:t>: For the first nine months of 2020, net cash used for investing activities consisted primarily of $5.77 billion of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for property, plant, and equipment (net of partner contributions) partially offset by $1.00 billion of net inflows from sales, maturities, and purchases of available-for-sale securities. For the first nine months of 2019, net cash used for investing activities consisted primarily of $7.08 billion of expenditures for property, plant, and equipment (net of partner contributions) and $1.92 billion of net outflows from sales, maturities, and purchases of available-for-sale securities.</w:t>
      </w:r>
    </w:p>
    <w:p>
      <w:pPr>
        <w:spacing w:after="0" w:line="2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u w:val="single" w:color="auto"/>
          <w:color w:val="auto"/>
        </w:rPr>
        <w:t>Financing Activities</w:t>
      </w:r>
      <w:r>
        <w:rPr>
          <w:rFonts w:ascii="Arial" w:cs="Arial" w:eastAsia="Arial" w:hAnsi="Arial"/>
          <w:sz w:val="17"/>
          <w:szCs w:val="17"/>
          <w:color w:val="auto"/>
        </w:rPr>
        <w:t>: For the first nine months of 2020, net cash used for financing activities consisted primarily of $4.29 billion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to reduce our debt, including $2.50 billion to pay down borrowings under our Revolving Credit Facility, $621 million for IMFT Member Debt repayments, $534 million to prepay our 2025 Notes, $266 million to settle conversions of notes, and $171 million for scheduled repayment of finance leases; $744 million for the acquisition of Intel’s noncontrolling interest in IMFT; and $134 million for the acquisition of</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2.8 million shares of our common stock under our $10 billion share repurchase authorization. Cash used for financing activities was partially offset by proceeds of $2.50 billion from our Revolving Credit Facility, $1.25 billion from the 2023 Notes,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6" w:name="page37"/>
    <w:bookmarkEnd w:id="36"/>
    <w:p>
      <w:pPr>
        <w:ind w:right="280"/>
        <w:spacing w:after="0" w:line="254" w:lineRule="auto"/>
        <w:rPr>
          <w:sz w:val="20"/>
          <w:szCs w:val="20"/>
          <w:color w:val="auto"/>
        </w:rPr>
      </w:pPr>
      <w:r>
        <w:rPr>
          <w:rFonts w:ascii="Arial" w:cs="Arial" w:eastAsia="Arial" w:hAnsi="Arial"/>
          <w:sz w:val="18"/>
          <w:szCs w:val="18"/>
          <w:color w:val="auto"/>
        </w:rPr>
        <w:t>and $ 1.25 billion from the 2024 Term Loan A. For the first nine months of 2019, net cash used for financing activities consisted primarily of $2.66 billion for the acquisition of 66.4 million shares of common stock, $1.65 billion of payments to settle conversions of notes, and $731 million of scheduled repayments of other notes and finance leases, partially offset by net proceeds of $1.79 billion from the aggregate issuance of our 2024 Notes, 2026 Notes, and 2029 Notes.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Settlement Obligations of Convertible Notes</w:t>
      </w:r>
      <w:r>
        <w:rPr>
          <w:rFonts w:ascii="Arial" w:cs="Arial" w:eastAsia="Arial" w:hAnsi="Arial"/>
          <w:sz w:val="18"/>
          <w:szCs w:val="18"/>
          <w:b w:val="1"/>
          <w:bCs w:val="1"/>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Debt – Convertible Senior Notes.”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b w:val="1"/>
          <w:bCs w:val="1"/>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Leases” and “– Debt.”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Recently Adopted Accounting Standards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Recently Adopted Accounting Standards.”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Recently Issued Accounting Standards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Recently Issued Accounting Standards.”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8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affected by changes in currency exchange and interest rates. For further discussion about market risk and sensitivity analysis related to changes in currency exchange rates, see “Part II – Item 7A. Quantitative and Qualitative Disclosures About Market Risk” in our Annual Report on Form 10-K for the year ended August 29, 2019.</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8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Securities and Exchange Commission’s rules and forms and that such information is accumulated and communicated to our management, including the principal executive officer and principal financial officer, to allow timely decision regarding disclosure.</w:t>
      </w:r>
    </w:p>
    <w:p>
      <w:pPr>
        <w:spacing w:after="0" w:line="23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During the third quarter of 2020,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7" w:name="page38"/>
    <w:bookmarkEnd w:id="37"/>
    <w:p>
      <w:pPr>
        <w:spacing w:after="0"/>
        <w:rPr>
          <w:sz w:val="20"/>
          <w:szCs w:val="20"/>
          <w:color w:val="auto"/>
        </w:rPr>
      </w:pPr>
      <w:r>
        <w:rPr>
          <w:rFonts w:ascii="Arial" w:cs="Arial" w:eastAsia="Arial" w:hAnsi="Arial"/>
          <w:sz w:val="29"/>
          <w:szCs w:val="29"/>
          <w:b w:val="1"/>
          <w:bCs w:val="1"/>
          <w:color w:val="auto"/>
        </w:rPr>
        <w:t>PART II. OTHER INFORMATION</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 August 29, 2019 and “Part I. Financial Information – Item 1. Financial Statements – Notes to Consolidated Financial Statements – Contingencies” and “Item 1A. Risk Factors” herein.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8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to the factors discussed elsewhere in this Form 10-Q, the following are important factors, the order of which is not necessarily indicative of the level of risk that each poses to us, which could cause actual results or events to differ materially from those contained in any forward-looking statements made by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effects of the COVID-19 outbreak could adversely affect our business, results of operations, and financial condition.</w:t>
      </w:r>
    </w:p>
    <w:p>
      <w:pPr>
        <w:spacing w:after="0" w:line="27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effects of the public health crisis caused by the COVID-19 outbreak and the measures being taken to limit COVID-19’s spread are uncertain and difficult to predict, but may include:</w:t>
      </w:r>
    </w:p>
    <w:p>
      <w:pPr>
        <w:spacing w:after="0" w:line="225" w:lineRule="exact"/>
        <w:rPr>
          <w:sz w:val="20"/>
          <w:szCs w:val="20"/>
          <w:color w:val="auto"/>
        </w:rPr>
      </w:pPr>
    </w:p>
    <w:p>
      <w:pPr>
        <w:ind w:left="660" w:right="240" w:hanging="328"/>
        <w:spacing w:after="0" w:line="25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short-term and/or long-term demand and/or pricing for our products, and a global economic recession or depression that could further reduce demand and/or pricing for our products, resulting from actions taken by governments, businesses, and/or the general public in an effort to limit exposure to and the spreading of COVID-19, such as travel restrictions, quarantines, and business shutdowns or slowdowns;</w:t>
      </w:r>
    </w:p>
    <w:p>
      <w:pPr>
        <w:spacing w:after="0" w:line="23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impacts to our operations, including:</w:t>
      </w:r>
    </w:p>
    <w:p>
      <w:pPr>
        <w:spacing w:after="0" w:line="184" w:lineRule="exact"/>
        <w:rPr>
          <w:rFonts w:ascii="Arial" w:cs="Arial" w:eastAsia="Arial" w:hAnsi="Arial"/>
          <w:sz w:val="18"/>
          <w:szCs w:val="18"/>
          <w:color w:val="auto"/>
        </w:rPr>
      </w:pPr>
    </w:p>
    <w:p>
      <w:pPr>
        <w:ind w:left="1300" w:right="220" w:hanging="320"/>
        <w:spacing w:after="0" w:line="252" w:lineRule="auto"/>
        <w:tabs>
          <w:tab w:leader="none" w:pos="12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reductions in production levels, R&amp;D activities, product development, technology transitions, yield enhancement activities, and qualification activities with our customers, resulting from our efforts to mitigate the impact of COVID-19 through social-distancing measures we have enacted at our locations around the world in an effort to protect our employees’ and contractors’ health and well-being, including working from home, limiting the number of meeting attendees, reducing the number of people in our sites at any one time, quarantines of team members, contractors, or vendors who are at risk of contracting, or have contracted, COVID-19, and suspending employee travel (“Social Distancing Measures”);</w:t>
      </w:r>
    </w:p>
    <w:p>
      <w:pPr>
        <w:spacing w:after="0" w:line="180" w:lineRule="exact"/>
        <w:rPr>
          <w:rFonts w:ascii="Arial" w:cs="Arial" w:eastAsia="Arial" w:hAnsi="Arial"/>
          <w:sz w:val="18"/>
          <w:szCs w:val="18"/>
          <w:color w:val="auto"/>
        </w:rPr>
      </w:pPr>
    </w:p>
    <w:p>
      <w:pPr>
        <w:ind w:left="1300" w:right="200" w:hanging="320"/>
        <w:spacing w:after="0" w:line="261" w:lineRule="auto"/>
        <w:tabs>
          <w:tab w:leader="none" w:pos="12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increased costs resulting from our efforts to mitigate the impact of COVID-19 through Social Distancing Measures, working from home, enhanced cleaning measures and the increased use of personal protective equipment at our sites;</w:t>
      </w:r>
    </w:p>
    <w:p>
      <w:pPr>
        <w:spacing w:after="0" w:line="157" w:lineRule="exact"/>
        <w:rPr>
          <w:rFonts w:ascii="Arial" w:cs="Arial" w:eastAsia="Arial" w:hAnsi="Arial"/>
          <w:sz w:val="18"/>
          <w:szCs w:val="18"/>
          <w:color w:val="auto"/>
        </w:rPr>
      </w:pPr>
    </w:p>
    <w:p>
      <w:pPr>
        <w:ind w:left="1300" w:right="540" w:hanging="320"/>
        <w:spacing w:after="0" w:line="261" w:lineRule="auto"/>
        <w:tabs>
          <w:tab w:leader="none" w:pos="12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increased costs for, or unavailability of, transportation, raw materials, or other inputs necessary for the operation of our business;</w:t>
      </w:r>
    </w:p>
    <w:p>
      <w:pPr>
        <w:spacing w:after="0" w:line="157" w:lineRule="exact"/>
        <w:rPr>
          <w:rFonts w:ascii="Arial" w:cs="Arial" w:eastAsia="Arial" w:hAnsi="Arial"/>
          <w:sz w:val="18"/>
          <w:szCs w:val="18"/>
          <w:color w:val="auto"/>
        </w:rPr>
      </w:pPr>
    </w:p>
    <w:p>
      <w:pPr>
        <w:ind w:left="1300" w:right="100" w:hanging="320"/>
        <w:spacing w:after="0" w:line="256" w:lineRule="auto"/>
        <w:tabs>
          <w:tab w:leader="none" w:pos="12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reductions in or cessation of operations at any site or in any jurisdiction resulting from government restrictions on movement and/or business operations or our failure to prevent and/or adequately mitigate spread of COVID-19 at one or more of our sites; and</w:t>
      </w:r>
    </w:p>
    <w:p>
      <w:pPr>
        <w:spacing w:after="0" w:line="174" w:lineRule="exact"/>
        <w:rPr>
          <w:rFonts w:ascii="Arial" w:cs="Arial" w:eastAsia="Arial" w:hAnsi="Arial"/>
          <w:sz w:val="18"/>
          <w:szCs w:val="18"/>
          <w:color w:val="auto"/>
        </w:rPr>
      </w:pPr>
    </w:p>
    <w:p>
      <w:pPr>
        <w:ind w:left="1300" w:right="200" w:hanging="320"/>
        <w:spacing w:after="0" w:line="256" w:lineRule="auto"/>
        <w:tabs>
          <w:tab w:leader="none" w:pos="12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our inability to continue or resume construction projects due to delays in obtaining materials, equipment, labor, engineering services, government permits or any other essential aspect of projects, which could impact our ability to introduce new technologies, reduce costs or meet customer demand;</w:t>
      </w:r>
    </w:p>
    <w:p>
      <w:pPr>
        <w:spacing w:after="0" w:line="161" w:lineRule="exact"/>
        <w:rPr>
          <w:rFonts w:ascii="Arial" w:cs="Arial" w:eastAsia="Arial" w:hAnsi="Arial"/>
          <w:sz w:val="18"/>
          <w:szCs w:val="18"/>
          <w:color w:val="auto"/>
        </w:rPr>
      </w:pPr>
    </w:p>
    <w:p>
      <w:pPr>
        <w:jc w:val="both"/>
        <w:ind w:left="660" w:right="24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 result in losses on our holdings of cash and investments due to failures of financial institutions and other parties, and result in a higher rate of losses on our accounts receivables due to credit defaults; and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8" w:name="page39"/>
    <w:bookmarkEnd w:id="38"/>
    <w:p>
      <w:pPr>
        <w:jc w:val="both"/>
        <w:ind w:left="660" w:right="160" w:hanging="328"/>
        <w:spacing w:after="0" w:line="291"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Disruptions to our supply chain in connection with the sourcing and transportation of materials, equipment and engineering support, and services from or in geographic areas that have been impacted by COVID-19 and by efforts to contain the spread of COVID-19.</w:t>
      </w:r>
    </w:p>
    <w:p>
      <w:pPr>
        <w:spacing w:after="0" w:line="20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resumption of normal business operations after such interruptions may be delayed or constrained by lingering effects of COVID-19 on our team members, contractors, suppliers, third-party service providers, customers, or distributors.</w:t>
      </w:r>
    </w:p>
    <w:p>
      <w:pPr>
        <w:spacing w:after="0" w:line="225"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legal exposure, or financial condition. A sustained, prolonged, or recurring outbreak could exacerbate the adverse impact of such measures.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Volatility in average selling prices for our semiconductor memory and storage products may adversely affect our business.</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Average selling prices for our products that decline faster than our costs could have a material adverse effect on our business, results of operations, or financial condition.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0" w:type="dxa"/>
            <w:vAlign w:val="bottom"/>
          </w:tcPr>
          <w:p>
            <w:pPr>
              <w:spacing w:after="0"/>
              <w:rPr>
                <w:sz w:val="21"/>
                <w:szCs w:val="21"/>
                <w:color w:val="auto"/>
              </w:rPr>
            </w:pPr>
          </w:p>
        </w:tc>
        <w:tc>
          <w:tcPr>
            <w:tcW w:w="1240" w:type="dxa"/>
            <w:vAlign w:val="bottom"/>
            <w:tcBorders>
              <w:bottom w:val="single" w:sz="8" w:color="0090DA"/>
            </w:tcBorders>
          </w:tcPr>
          <w:p>
            <w:pPr>
              <w:ind w:left="640"/>
              <w:spacing w:after="0"/>
              <w:rPr>
                <w:sz w:val="20"/>
                <w:szCs w:val="20"/>
                <w:color w:val="auto"/>
              </w:rPr>
            </w:pPr>
            <w:r>
              <w:rPr>
                <w:rFonts w:ascii="Arial" w:cs="Arial" w:eastAsia="Arial" w:hAnsi="Arial"/>
                <w:sz w:val="18"/>
                <w:szCs w:val="18"/>
                <w:b w:val="1"/>
                <w:bCs w:val="1"/>
                <w:color w:val="auto"/>
              </w:rPr>
              <w:t>DRAM</w:t>
            </w:r>
          </w:p>
        </w:tc>
        <w:tc>
          <w:tcPr>
            <w:tcW w:w="900" w:type="dxa"/>
            <w:vAlign w:val="bottom"/>
            <w:tcBorders>
              <w:bottom w:val="single" w:sz="8" w:color="0090DA"/>
            </w:tcBorders>
          </w:tcPr>
          <w:p>
            <w:pPr>
              <w:spacing w:after="0"/>
              <w:rPr>
                <w:sz w:val="21"/>
                <w:szCs w:val="21"/>
                <w:color w:val="auto"/>
              </w:rPr>
            </w:pPr>
          </w:p>
        </w:tc>
        <w:tc>
          <w:tcPr>
            <w:tcW w:w="1500" w:type="dxa"/>
            <w:vAlign w:val="bottom"/>
            <w:tcBorders>
              <w:bottom w:val="single" w:sz="8" w:color="0090DA"/>
            </w:tcBorders>
          </w:tcPr>
          <w:p>
            <w:pPr>
              <w:jc w:val="right"/>
              <w:ind w:right="570"/>
              <w:spacing w:after="0"/>
              <w:rPr>
                <w:sz w:val="20"/>
                <w:szCs w:val="20"/>
                <w:color w:val="auto"/>
              </w:rPr>
            </w:pPr>
            <w:r>
              <w:rPr>
                <w:rFonts w:ascii="Arial" w:cs="Arial" w:eastAsia="Arial" w:hAnsi="Arial"/>
                <w:sz w:val="18"/>
                <w:szCs w:val="18"/>
                <w:b w:val="1"/>
                <w:bCs w:val="1"/>
                <w:color w:val="auto"/>
              </w:rPr>
              <w:t>NAND</w:t>
            </w:r>
          </w:p>
        </w:tc>
      </w:tr>
      <w:tr>
        <w:trPr>
          <w:trHeight w:val="237"/>
        </w:trPr>
        <w:tc>
          <w:tcPr>
            <w:tcW w:w="7600" w:type="dxa"/>
            <w:vAlign w:val="bottom"/>
            <w:tcBorders>
              <w:bottom w:val="single" w:sz="8" w:color="0090DA"/>
            </w:tcBorders>
          </w:tcPr>
          <w:p>
            <w:pPr>
              <w:spacing w:after="0"/>
              <w:rPr>
                <w:sz w:val="20"/>
                <w:szCs w:val="20"/>
                <w:color w:val="auto"/>
              </w:rPr>
            </w:pPr>
          </w:p>
        </w:tc>
        <w:tc>
          <w:tcPr>
            <w:tcW w:w="3640" w:type="dxa"/>
            <w:vAlign w:val="bottom"/>
            <w:tcBorders>
              <w:bottom w:val="single" w:sz="8" w:color="0090DA"/>
            </w:tcBorders>
            <w:gridSpan w:val="3"/>
          </w:tcPr>
          <w:p>
            <w:pPr>
              <w:jc w:val="right"/>
              <w:ind w:right="90"/>
              <w:spacing w:after="0"/>
              <w:rPr>
                <w:sz w:val="20"/>
                <w:szCs w:val="20"/>
                <w:color w:val="auto"/>
              </w:rPr>
            </w:pPr>
            <w:r>
              <w:rPr>
                <w:rFonts w:ascii="Arial" w:cs="Arial" w:eastAsia="Arial" w:hAnsi="Arial"/>
                <w:sz w:val="16"/>
                <w:szCs w:val="16"/>
                <w:color w:val="auto"/>
              </w:rPr>
              <w:t>(percentage change in average selling prices)</w:t>
            </w:r>
          </w:p>
        </w:tc>
      </w:tr>
      <w:tr>
        <w:trPr>
          <w:trHeight w:val="41"/>
        </w:trPr>
        <w:tc>
          <w:tcPr>
            <w:tcW w:w="76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7"/>
        </w:trPr>
        <w:tc>
          <w:tcPr>
            <w:tcW w:w="88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2019 from 2018</w:t>
            </w:r>
          </w:p>
        </w:tc>
        <w:tc>
          <w:tcPr>
            <w:tcW w:w="90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(30)%</w:t>
            </w:r>
          </w:p>
        </w:tc>
        <w:tc>
          <w:tcPr>
            <w:tcW w:w="1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r>
      <w:tr>
        <w:trPr>
          <w:trHeight w:val="25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2018 from 2017</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36 %</w:t>
            </w: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63"/>
        </w:trPr>
        <w:tc>
          <w:tcPr>
            <w:tcW w:w="88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2017 from 2016</w:t>
            </w:r>
          </w:p>
        </w:tc>
        <w:tc>
          <w:tcPr>
            <w:tcW w:w="90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18 %</w:t>
            </w:r>
          </w:p>
        </w:tc>
        <w:tc>
          <w:tcPr>
            <w:tcW w:w="1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2016 from 2015</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88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2015 from 2014</w:t>
            </w:r>
          </w:p>
        </w:tc>
        <w:tc>
          <w:tcPr>
            <w:tcW w:w="90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(11)%</w:t>
            </w:r>
          </w:p>
        </w:tc>
        <w:tc>
          <w:tcPr>
            <w:tcW w:w="1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r>
    </w:tbl>
    <w:p>
      <w:pPr>
        <w:spacing w:after="0" w:line="8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Beginning in 2020, revenue and units for MCPs and SSDs, which contain both DRAM and NAND, are disaggregated based on the relative values of each component. Prior periods presented in the table above have been conformed to current period presentation.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be unable to maintain or improve gross margins.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maintain or reduce costs include, but are not limited to, strategic product diversification decisions affecting product mix, the increasing complexity of manufacturing processes, difficulties in transitioning to smaller line-width process technologies, 3D memory layers, NAND cell levels, transitioning to replacement gate technology for NAND, process complexity including number of mask layers and fabrication steps, manufacturing yield, technological barriers, changes in process technologies, and new products that may require relatively larger die sizes.</w:t>
      </w:r>
    </w:p>
    <w:p>
      <w:pPr>
        <w:spacing w:after="0" w:line="23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our ramp of emerging technologies in dedicated manufacturing capacity, declining selling prices, and changes in supply agreements. A significant portion of our manufacturing costs are fixed and do not vary proportionally with changes in production output. As a result, lower utilization and increases in our per gigabit manufacturing costs may adversely affect our gross margins, business, results of operations, or financial condition.</w:t>
      </w:r>
    </w:p>
    <w:p>
      <w:pPr>
        <w:spacing w:after="0" w:line="235"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In addition, per gigabit manufacturing costs may also be affected by a broader product portfolio, which may have smaller production quantities and shorter product lifecycles. Our business and the markets we serve are subject to rapid technological changes and material fluctuations in demand based on end-user preferences. As a result, we</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9" w:name="page40"/>
    <w:bookmarkEnd w:id="39"/>
    <w:p>
      <w:pPr>
        <w:ind w:right="80"/>
        <w:spacing w:after="0" w:line="252" w:lineRule="auto"/>
        <w:rPr>
          <w:sz w:val="20"/>
          <w:szCs w:val="20"/>
          <w:color w:val="auto"/>
        </w:rPr>
      </w:pPr>
      <w:r>
        <w:rPr>
          <w:rFonts w:ascii="Arial" w:cs="Arial" w:eastAsia="Arial" w:hAnsi="Arial"/>
          <w:sz w:val="18"/>
          <w:szCs w:val="18"/>
          <w:color w:val="auto"/>
        </w:rPr>
        <w:t>may have work in process or finished goods inventories that could become obsolete or in amounts that are in excess of our customers’ demand. As a result, we may incur charges in connection with obsolete or excess inventories, which could have a material adverse effect on our business, results of operations, or financial condition. In addition, due to the customized nature of certain of the products we manufacture, we may be unable to sell certain finished goods inventories to alternative customers or manufacture in-process inventory to different specifications, which may result in excess and obsolescence charges in future periods. Our inability to maintain or improve gross margins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semiconductor memory and storage markets are highly competitive.</w:t>
      </w:r>
    </w:p>
    <w:p>
      <w:pPr>
        <w:spacing w:after="0" w:line="27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Samsung Electronics Co., Ltd.; SK Hynix Inc.; Kioxia Holdings Corporation (formerly Toshiba Memory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In addition, some governments may begin to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 Some of our competitors may use aggressive pricing to obtain market share or take business of our key customers.</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competitors generally seek to increase wafer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further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3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0090DA"/>
        </w:rPr>
        <w:t>We may be unable to generate sufficient cash flows or obtain access to external financing necessary to fund our operations, make scheduled debt payments, and make adequate capital investments.</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2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estimate capital expenditures in 2020, net of partner contributions, to be approximately $ 8 billion, focused on technology transitions and product enablement. Investments in capital expenditures may not generate expected returns or cash flows. Delays in completion and ramping of new production facilities could significantly impact our ability to realize expected returns on our capital expenditures, which could have a material adverse effect on our business, results of operations, or financial condition.</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 result of the corporate reorganization proceedings of MMJ initiated in 2012, and for so long as such proceedings are continuing, MMJ is prohibited from paying dividends, including any cash dividends, to us and such proceedings require that excess earnings be used in MMJ’s business or to fund the MMJ creditor payments. In addition, pursuant to an order of the Tokyo District Court, MMJ cannot make loans or advances, other than certain ordinary course advances, to us without the consent of the Tokyo District Court and may, under certain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0" w:name="page41"/>
    <w:bookmarkEnd w:id="40"/>
    <w:p>
      <w:pPr>
        <w:ind w:right="340"/>
        <w:spacing w:after="0" w:line="256" w:lineRule="auto"/>
        <w:rPr>
          <w:sz w:val="20"/>
          <w:szCs w:val="20"/>
          <w:color w:val="auto"/>
        </w:rPr>
      </w:pPr>
      <w:r>
        <w:rPr>
          <w:rFonts w:ascii="Arial" w:cs="Arial" w:eastAsia="Arial" w:hAnsi="Arial"/>
          <w:sz w:val="18"/>
          <w:szCs w:val="18"/>
          <w:color w:val="auto"/>
        </w:rPr>
        <w:t>circumstances, be subject to approval of the legal trustee. As a result, the assets of MMJ are not available for use by us in our other operations. Furthermore, certain uses of the assets of MMJ, including certain capital expenditures of MMJ, may require consent of MMJ’s trustees and/or the Tokyo District Court.</w:t>
      </w:r>
    </w:p>
    <w:p>
      <w:pPr>
        <w:spacing w:after="0" w:line="22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and general economic conditions, it may be difficult for us to obtain financing on terms acceptable to us. We have experienced volatility in our cash flows and operating results and may continue to experience such volatility in the future, which may negatively affect our credit rating. Our credit rating may also be affected by our liquidity, financial results, economic risk, or other factors, which may increase the cost of future borrowings and make it difficult for us to obtain financing on terms acceptable to us. In 2019, we suspended the security interest in the collateral under our credit facility upon achieving specified credit ratings and the prepayment of our Senior Secured Term Loan B due 2022; however, the security interest would be automatically reinstated upon a decline in our corporate credit rating below a certain level. There can be no assurance that we will be able to generate sufficient cash flows, use cash held by MMJ to fund its capital expenditures, access capital or credit markets or find other sources of financing to fund our operations, make debt payments,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downturn in the worldwide economy may harm our business.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health crisis caused by COVID-19 has adversely affected economic conditions and caused a downturn in the worldwide economy. Downturns in the worldwide economy have harmed our business in the past and the current downturn has adversely affected our business. As a result, demand for certain of our products used in smartphones, consumer electronics, and automotive, has declined. Reduced demand for these or other products could result in significant decreases in our average selling prices and product sales. If these adverse conditions persist or worsen, we could experience additional reduction in demand for our products and/or devices that incorporate our products. Future downturns could also adversely affect our business. In addition, to the extent our customers or distributors have elevated inventory levels, we may experience a decrease in short-term and/or long-term demand and/or pricing for our products.</w:t>
      </w:r>
    </w:p>
    <w:p>
      <w:pPr>
        <w:spacing w:after="0" w:line="23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 deterioration of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downturns in the worldwide economy could have a material adverse effect on our business, results of operations, or financial condition.</w:t>
      </w:r>
    </w:p>
    <w:p>
      <w:pPr>
        <w:spacing w:after="0" w:line="20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0090DA"/>
        </w:rPr>
        <w:t>Increases in tariffs or other trade restrictions or taxes on our or our customers’ products or equipment and supplies could have an adverse impact on our operations.</w:t>
      </w:r>
    </w:p>
    <w:p>
      <w:pPr>
        <w:spacing w:after="0" w:line="202"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In 2019, 89% of our revenue was from products shipped to customer locations outside the United States. We also purchase a significant portion of equipment and supplies from suppliers outside the United States. Additionally, a significant portion of our facilities are located outside the United States, including in Taiwan, Singapore, Malaysia, Japan, and China.</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United States and other countries have levied tariffs and taxes on certain goods. General trade tensions between the U.S. and China have been escalating since 2018, with U.S. tariffs on Chinese goods and retaliatory Chinese tariffs on U.S. goods. Some of our products are included in these tariffs. Higher duties on existing tariffs and further rounds of tariffs have been announced or threatened by U.S. and Chinese leaders. Additionally, the U.S. has threatened to impose tariffs on goods imported from other countries, which could also impact certain of our customers’ or our operations. If the U.S. were to impose current or additional tariffs on components that we or our suppliers source, our cost for such components would increase. We may also incur increases in manufacturing costs and supply chain risks due to our efforts to mitigate the impact of tariffs on our customers and our operations. Additionally, tariffs on our customers’ products could impact their sales of such end products, resulting in lower demand for our products.</w:t>
      </w:r>
    </w:p>
    <w:p>
      <w:pPr>
        <w:spacing w:after="0" w:line="232"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We cannot predict what further actions may ultimately be taken with respect to tariffs or trade relations between the U.S. and other countries, what products may be subject to such actions, or what actions may be taken by other countries in retaliation. Further changes in trade policy, tariffs, additional taxes, restrictions on exports or other trade barriers, or restrictions on supplies, equipment, and raw materials including rare earth minerals, may limit our ability</w:t>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1" w:name="page42"/>
    <w:bookmarkEnd w:id="41"/>
    <w:p>
      <w:pPr>
        <w:ind w:right="440"/>
        <w:spacing w:after="0" w:line="256" w:lineRule="auto"/>
        <w:rPr>
          <w:sz w:val="20"/>
          <w:szCs w:val="20"/>
          <w:color w:val="auto"/>
        </w:rPr>
      </w:pPr>
      <w:r>
        <w:rPr>
          <w:rFonts w:ascii="Arial" w:cs="Arial" w:eastAsia="Arial" w:hAnsi="Arial"/>
          <w:sz w:val="18"/>
          <w:szCs w:val="18"/>
          <w:color w:val="auto"/>
        </w:rPr>
        <w:t>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w:t>
      </w:r>
    </w:p>
    <w:p>
      <w:pPr>
        <w:spacing w:after="0" w:line="20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0090DA"/>
        </w:rPr>
        <w:t>Trade regulations have restricted our ability to sell our products to a significant customer and could restrict our ability to sell our products to other customers.</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May 16, 2019, the Bureau of Industry and Security (“BIS”) of the U.S. Department of Commerce added Huawei to the BIS’s Entity List, which imposes limitations on the supply of certain U.S. items and product support to Huawei. In 2019, our sales to Huawei accounted for 12% of our total revenue. To ensure compliance with the Entity List restrictions, we suspended shipments of all products to Huawei, effective May 16, 2019. We have determined that certain products Huawei purchases from us are not subject to the Export Administration Regulations (“EAR”) and consequently can be lawfully sold and shipped to Huawei. Accordingly, we resumed shipping certain products to Huawei in the fourth quarter of 2019.</w:t>
      </w:r>
    </w:p>
    <w:p>
      <w:pPr>
        <w:spacing w:after="0" w:line="2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applied for and received licenses that enable us to provide support for the products we sell that are not subject to the EAR, as well as qualify new products for Huawei’s mobile and server businesses. Additionally, these licenses allow us to ship previously restricted products that we manufacture in the United States, which represent a very small portion of our sales. However, there are still some products outside of the mobile and server markets that we are unable to sell to Huawei. While Huawei remains on the Entity List, and in the absence of additional licenses from the BIS, we may be unable to work with Huawei on product development for uses other than in mobile and server end-products, which may have a negative effect on our ability to sell products to Huawei in the future. Despite the receipt of licenses, Entity List restrictions may also encourage Huawei to seek to obtain a greater supply of similar or substitute products from our competitors that are not subject to these restrictions, thereby decreasing our long-term competitiveness as a supplier to Huawei. Moreover, although Huawei is not prohibited from paying (and we are not restricted from collecting) accounts receivable for products we sell to Huawei, the credit risks associated with these accounts may have increased as a result of the BIS’s actions.</w:t>
      </w:r>
    </w:p>
    <w:p>
      <w:pPr>
        <w:spacing w:after="0" w:line="23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More recently, on May 15, 2020, the BIS modified its existing rules that subject certain foreign-produced items to the EAR. We believe these actions could hinder Huawei’s ability to source parts required to manufacture their products, and could consequently have a negative impact on Huawei’s demand for our products.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cannot predict what additional actions the U.S. government may take with respect to Huawei, including modifications to, or interpretations of, Entity List restrictions, export restrictions, tariffs, or other trade limitations or barriers. We may be unable to sell certain inventories to alternative customers, which may result in excess and obsolescence charges in future periods. The licenses we have received may not be effective against such additional or heightened restrictions.</w:t>
      </w: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Entity List trade restrictions enacted during our third quarter of 2019 had an adverse effect on our business. Although we received licenses in the first quarter of fiscal 2020, we are unable to predict the impact these licenses will have on our sales to Huawei, nor the impact existing or future trade restrictions may have on our business with Huawei. Other companies may be added to the Entity List and/or subject to trade restrictions. For example, in October 2019, the U.S. government added several additional organizations to the Entity List, effective October 9, 2019, and in May 2020 added 33 more China-based organizations, effective June 5, 2020.</w:t>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Other trade restrictions imposed by BIS or non-US governments may further impact our business. For example, on April 28, 2020, the BIS published new rules that increase the number of products that require export licenses and remove certain license exemptions by expanding scope of military end-users and military end-use controls for sales of certain products. These new trade restrictions went into effect on June 29, 2020. While we do not expect these changes to materially impact our business, complying with them may increase costs, and further restrictions may materially reduce our customer opportunities in China. These and other trade restrictions that may be imposed by the U.S., China, or other countries may indirectly impact our business in ways we cannot reasonably quantify, including that some of our other customers’ products which incorporate our solutions may also be impacted. Restrictions on our ability to sell and ship our products to Huawei have had, and may continue to have, an adverse effect on our business, results of operations, or financial condition. In addition, if there are changes to Export Administration Regulations or Entity List restrictions, our revenue with Huawei or other customers could be negatively impacted, and the licenses we have received could be rendered ineffective. Any such changes may have a further adverse effect on our business, results of operations, or financial condition.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0090DA"/>
        </w:rPr>
        <w:t>Our future success depends on our ability to develop and produce competitive new memory and storage technologies.</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per-unit cost. We have invested and expect to continue to invest in R&amp;D for new and existing products, which involves significant risk and uncertainties.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23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5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develop and produce advanced memory technologies, including 3D XPoint memory, a new class of non-volatile technology. There is no assurance that our efforts to develop and market new product technologies will be successful. Unsuccessful efforts to develop new semiconductor memory and storage technologies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significant portion of our revenue is concentrated with a select number of customers.</w:t>
      </w:r>
    </w:p>
    <w:p>
      <w:pPr>
        <w:spacing w:after="0" w:line="274"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In each of the last three fiscal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In addition, any consolidation of our customers could reduce the number of customers to whom our products could be sold. Our inability to meet our customers’ requirements or to qualify our products with them could adversely impact our revenue. Meaningful change in the inventory strategy of our customers, particularly those in China, could impact our industry bit demand growth outlook. The loss of one or more of our major customers or any significant reduction in orders from, or a shift in product mix by, these customers could have a material adverse effect on our business, results of operations, or financial condition.</w:t>
      </w:r>
    </w:p>
    <w:p>
      <w:pPr>
        <w:spacing w:after="0" w:line="19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0090DA"/>
        </w:rPr>
        <w:t>We face risks associated with our international sales and operations that could materially adversely affect our business, results of operations, or financial condition.</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2019, 53% of our revenue was to customers who have headquarters located in the United States. We ship our products to the locations specified by our customers. Customers with global supply chains and operations may request we deliver products to countries where they own or operate production facilities or to countries where they utilize third-party subcontractors or warehouses. As a result, 89% of our revenue in 2019 was from products shipped to customer locations outside the United States. In addition, a substantial portion of our manufacturing operations are located outside the United States. In particular, a significant portion of our manufacturing operations are concentrated in Singapore, Taiwan, Japan, and China. Many of our customers, suppliers, and vendors operate internationally and are also subject to the risks described herein. In addition, the U.S. government has in the past restricted American firms from selling products and software to certain of our customers and may in the future impose similar bans or other restrictions on sales to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while complying with such restrictions. We have experienced restrictions on our ability to sell products to certain foreign customers where sales of products require export licenses or are prohibited by government action. Possible future U.S. government</w:t>
      </w:r>
    </w:p>
    <w:p>
      <w:pPr>
        <w:spacing w:after="0" w:line="200" w:lineRule="exact"/>
        <w:rPr>
          <w:sz w:val="20"/>
          <w:szCs w:val="20"/>
          <w:color w:val="auto"/>
        </w:rPr>
      </w:pPr>
    </w:p>
    <w:p>
      <w:pPr>
        <w:spacing w:after="0" w:line="307" w:lineRule="exact"/>
        <w:rPr>
          <w:sz w:val="20"/>
          <w:szCs w:val="20"/>
          <w:color w:val="auto"/>
        </w:rPr>
      </w:pPr>
    </w:p>
    <w:p>
      <w:pPr>
        <w:ind w:left="10060"/>
        <w:spacing w:after="0"/>
        <w:rPr>
          <w:sz w:val="20"/>
          <w:szCs w:val="20"/>
          <w:color w:val="auto"/>
        </w:rPr>
      </w:pPr>
      <w:r>
        <w:rPr>
          <w:sz w:val="1"/>
          <w:szCs w:val="1"/>
          <w:color w:val="auto"/>
        </w:rPr>
        <w:drawing>
          <wp:inline distT="0" distB="0" distL="0" distR="0">
            <wp:extent cx="591820" cy="15430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3"/>
          <w:szCs w:val="13"/>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3" w:name="page44"/>
    <w:bookmarkEnd w:id="43"/>
    <w:p>
      <w:pPr>
        <w:ind w:right="180"/>
        <w:spacing w:after="0" w:line="261" w:lineRule="auto"/>
        <w:rPr>
          <w:sz w:val="20"/>
          <w:szCs w:val="20"/>
          <w:color w:val="auto"/>
        </w:rPr>
      </w:pPr>
      <w:r>
        <w:rPr>
          <w:rFonts w:ascii="Arial" w:cs="Arial" w:eastAsia="Arial" w:hAnsi="Arial"/>
          <w:sz w:val="18"/>
          <w:szCs w:val="18"/>
          <w:color w:val="auto"/>
        </w:rPr>
        <w:t>actions could lead to additional or enhanced controls on exports from the United States to China or other countries, bans on sales to other key customers, or other similar restrictions.</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Trade-related government actions, by China or other countries, that impose barriers or restrictions that would impact our ability to sell or ship products to Huawei or other customers may have a negative impact on our financial condition and results of operations. We cannot predict the actions government entities may take in this context and may be unable to quickly offset or effectively react to government actions that restrict our ability to sell to certain customers or in certain jurisdictions. Government actions that affect our customers’ ability to sell products or access critical elements of their supply chains may result in a decreased demand for their products, which may consequently reduce their demand for our products.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sales and operations are subject to a variety of risks, including:</w:t>
      </w:r>
    </w:p>
    <w:p>
      <w:pPr>
        <w:spacing w:after="0" w:line="252" w:lineRule="exact"/>
        <w:rPr>
          <w:sz w:val="20"/>
          <w:szCs w:val="20"/>
          <w:color w:val="auto"/>
        </w:rPr>
      </w:pPr>
    </w:p>
    <w:p>
      <w:pPr>
        <w:ind w:left="660" w:right="4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color w:val="auto"/>
        </w:rPr>
        <w:t>public health issues (for example, an outbreak of a contagious disease such as COVID-19, Severe Acute Respiratory Syndrome (“SARS-CoV”), avian and swine influenza, measles, or Ebola);</w:t>
      </w:r>
    </w:p>
    <w:p>
      <w:pPr>
        <w:ind w:left="660" w:right="14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including delays in shipping and obtaining products, cancellation of orders, or loss or damage of products;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disruptions to manufacturing operations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5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If we or our customers, suppliers, or vendors are impacted by these risks, it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have been served with complaints in Chinese courts alleging patent infringement.</w:t>
      </w:r>
    </w:p>
    <w:p>
      <w:pPr>
        <w:spacing w:after="0" w:line="2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unable to predict the outcome of these assertions of infringement made against us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 have a material adverse effect on our business, results of operations, or financial condition. (See “Part I. Financial Information – Item 1. Financial Statements – Notes to Consolidated Financial Statements – Contingencies.”)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49" w:right="4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0090DA"/>
        </w:rPr>
        <w:t>We are subject to allegations of anticompetitive conduct.</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plaintiffs the opportunity to file a consolidated, amended complaint. On October 28, 2019, the plaintiffs filed a consolidated amended complaint that purports to be on behalf of a nationwide class of indirect purchasers of DRAM products. The amended complaint asserts claims based on alleged price-fixing of DRAM products under federal and state law during the period from June 1, 2016 to at least February 1, 2018, and seeks treble monetary damages, costs, interest, attorneys’ fees, and other injunctive and equitable relief.</w:t>
      </w:r>
    </w:p>
    <w:p>
      <w:pPr>
        <w:spacing w:after="0" w:line="23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purports to be on behalf of a nationwide class of direct purchasers of DRAM products. The consolidated complaint asserts claims based on alleged price-fixing of DRAM products under federal and state law during the period from June 1, 2016 through at least February 1, 2018, and seeks treble monetary damages, costs, interest, attorneys’ fees, and other injunctive and equitable relief.</w:t>
      </w:r>
    </w:p>
    <w:p>
      <w:pPr>
        <w:spacing w:after="0" w:line="2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22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20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0090DA"/>
        </w:rPr>
        <w:t>Our business, results of operations, or financial condition could be adversely affected by the limited availability and quality of materials, supplies, and capital equipment, or the dependency on third-party service providers.</w:t>
      </w:r>
    </w:p>
    <w:p>
      <w:pPr>
        <w:spacing w:after="0" w:line="20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and services that meet our standards and, in some cases, materials, components, or services are provided by a single supplier. Various factors could reduce the availability of materials or components such as chemicals, silicon wafers, gases, photoresist, controllers, substrates, lead frames, printed circuit boards, targets, and reticle glass blanks. Shortages or increases in lead times may occur from time to time in the future. Our manufacturing processes are also dependent on our relationships with third-party manufacturers of controllers used in a number of our products and with outsourced semiconductor assembly and test providers, contract manufacturers, logistic carriers, and other service providers.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Certain materials are primarily available in certain countries, including rare earth elements, minerals, and metals available primarily from China. Trade disputes or other political conditions, economic conditions, or public health issues, such as COVID-19, may limit our ability to obtain such materials. Although these rare earth and other materials are generally available from multiple suppliers, China is the predominant producer of certain of these materials. If China were to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5" w:name="page46"/>
    <w:bookmarkEnd w:id="45"/>
    <w:p>
      <w:pPr>
        <w:ind w:right="40"/>
        <w:spacing w:after="0" w:line="252" w:lineRule="auto"/>
        <w:rPr>
          <w:sz w:val="20"/>
          <w:szCs w:val="20"/>
          <w:color w:val="auto"/>
        </w:rPr>
      </w:pPr>
      <w:r>
        <w:rPr>
          <w:rFonts w:ascii="Arial" w:cs="Arial" w:eastAsia="Arial" w:hAnsi="Arial"/>
          <w:sz w:val="18"/>
          <w:szCs w:val="18"/>
          <w:color w:val="auto"/>
        </w:rPr>
        <w:t>We and/or our suppliers and service providers could be affected by tariffs, embargoes, or other trade restrictions, as well as laws and regulations enacted in response to concerns regarding climate change, conflict minerals, responsible sourcing practices, public health crises, or contagious disease outbreaks,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Lead times for the supply of materials have been extended in the past. The disruption of our supply of materials, components, services, or the extension of our lead times could have a material adverse effect on our business, results of operations, or financial condition.</w:t>
      </w:r>
    </w:p>
    <w:p>
      <w:pPr>
        <w:spacing w:after="0" w:line="2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New product and market development may be unsuccessful.</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 end-customer’s needs and preferences. As a result, our product demand forecasts may be impacted significantly by the strategic actions of our customers.</w:t>
      </w:r>
    </w:p>
    <w:p>
      <w:pPr>
        <w:spacing w:after="0" w:line="2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For certain of our markets, 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and performance, often well in advance of a planned ramp of production, in order to secure design wins with our customers. The effects of the public health crisis caused by the COVID-19 outbreak and the measures being taken to limit COVID-19’s spread could negatively impact our ability to meet anticipated timelines and/or expected or required quality standards with respect to the development of certain of our products. In addition, some of our components have long lead-times, requiring us to place orders several months in advance of anticipated demand. Such long lead-times increase the risk of excess inventory or loss of sales in the event our forecasts vary substantially from actual demand. There can be no assurance of the following:</w:t>
      </w:r>
    </w:p>
    <w:p>
      <w:pPr>
        <w:spacing w:after="0" w:line="23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our product development efforts will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products;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we will be able to introduce new products into the market and qualify them with our customers on a timely basis;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5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20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color w:val="0090DA"/>
        </w:rPr>
        <w:t>Increases in sales of system solutions may increase our dependency upon specific customers and our costs to develop and qualify our system solutions.</w:t>
      </w:r>
    </w:p>
    <w:p>
      <w:pPr>
        <w:spacing w:after="0" w:line="202"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6" w:name="page47"/>
    <w:bookmarkEnd w:id="46"/>
    <w:p>
      <w:pPr>
        <w:ind w:right="60"/>
        <w:spacing w:after="0" w:line="251" w:lineRule="auto"/>
        <w:rPr>
          <w:sz w:val="20"/>
          <w:szCs w:val="20"/>
          <w:color w:val="auto"/>
        </w:rPr>
      </w:pPr>
      <w:r>
        <w:rPr>
          <w:rFonts w:ascii="Arial" w:cs="Arial" w:eastAsia="Arial" w:hAnsi="Arial"/>
          <w:sz w:val="18"/>
          <w:szCs w:val="18"/>
          <w:color w:val="auto"/>
        </w:rPr>
        <w:t>with specifications unique to a customer increases our reliance upon that customer for purchasing our products at sufficient volumes and prices in a timely manner. If we fail to identify or develop products on a timely basis, or at all, that comply with our customers’ specifications or achieve design wins with our customers, we may experience a significant adverse impact on our revenue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Additionally, some of our system solutions are increasingly dependent on sophisticated firmware that may require significant customization to meet customer specifications, which increases our costs and time to market. Additionally, we may need to update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firmware in a timely manner may result in reduced demand for our system-level products and could have a material adverse effect on our business, results of operations, or financial condition.</w:t>
      </w:r>
    </w:p>
    <w:p>
      <w:pPr>
        <w:spacing w:after="0" w:line="2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0090DA"/>
        </w:rPr>
        <w:t>Products that fail to meet specifications, are defective, or that are otherwise incompatible with end uses could impose significant costs on us.</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We could be adversely affected in several ways, including the following:</w:t>
      </w:r>
    </w:p>
    <w:p>
      <w:pPr>
        <w:spacing w:after="0" w:line="232" w:lineRule="exact"/>
        <w:rPr>
          <w:sz w:val="20"/>
          <w:szCs w:val="20"/>
          <w:color w:val="auto"/>
        </w:rPr>
      </w:pPr>
    </w:p>
    <w:p>
      <w:pPr>
        <w:ind w:left="660" w:right="10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ind w:left="660" w:right="58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4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relationships with existing or potential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30"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color w:val="0090DA"/>
        </w:rPr>
        <w:t>We may be unable to protect our intellectual property or retain key employees who are knowledgeable of and develop our intellectual property.</w:t>
      </w: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7" w:name="page48"/>
    <w:bookmarkEnd w:id="47"/>
    <w:p>
      <w:pPr>
        <w:ind w:right="20"/>
        <w:spacing w:after="0" w:line="252"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Due to the volatile nature of our industry and our operating results,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20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color w:val="0090DA"/>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22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3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225"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Litigation could have a material adverse effect on our business, results of operations, or financial condition.</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Any claim, with or without merit, could result in significant legal fees that could negatively impact our financial results, disrupt our operations, and require significant attention from our management. We could be subject to litigation or arbitration disputes arising from our relationships with vendors or customers, supply agreements, or contractual obligations with our subcontractors or business partners. We may also be associated with and subject to litigation arising from the actions of our subcontractors or business partners. We may also be subject to litigation as a result of indemnities we issue, primarily with our customers, the terms of our product warranties, and from product liability claims. 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There can be no assurance that we are adequately insured to protect against all claims and potential liabilities, and we may elect to self-insure with respect to certain matters. Exposures to various litigation could lead to significant costs and expenses as we defend claims, are required to pay damage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48" w:name="page49"/>
    <w:bookmarkEnd w:id="48"/>
    <w:p>
      <w:pPr>
        <w:ind w:right="380"/>
        <w:spacing w:after="0" w:line="261" w:lineRule="auto"/>
        <w:rPr>
          <w:sz w:val="20"/>
          <w:szCs w:val="20"/>
          <w:color w:val="auto"/>
        </w:rPr>
      </w:pPr>
      <w:r>
        <w:rPr>
          <w:rFonts w:ascii="Arial" w:cs="Arial" w:eastAsia="Arial" w:hAnsi="Arial"/>
          <w:sz w:val="18"/>
          <w:szCs w:val="18"/>
          <w:color w:val="auto"/>
        </w:rPr>
        <w:t>awards, or enter into settlement agreements, any of which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allegations of securities violations and related wrongful acts.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January 23, 2019, a complaint was filed against Micron and two of our officers, Sanjay Mehrotra and David Zinsner, in the U.S. District Court for the Southern District of New York. The lawsuit purported to be brought on behalf of a class of purchasers of our stock during the period from June 22, 2018 through November 19, 2018. Subsequently two substantially similar cases were filed in the same court adding one of our former officers, Ernie Maddock, as a defendant and alleging a class action period from September 26, 2017 through November 19, 2018. The separate cases were joined, and a consolidated amended complaint was filed on June 15, 2019. The consolidated amended complaint alleged that defendants committed securities fraud through misrepresentations and omissions about purported anticompetitive behavior in the DRAM industry and sought compensatory and punitive damages, fees, interest, costs, and other appropriate relief. On October 2, 2019, the parties submitted a joint stipulation to dismiss the complaint. The Court approved the stipulation and dismissed the complaint on October 3, 2019. On March 5, 2019, a derivative complaint was filed by a shareholder in the U.S. District Court for the District of Delaware, based on similar allegations to the securities fraud cases, allegedly on behalf of and for the benefit of Micron, against certain current and former officers and directors of Micron for alleged breaches of their fiduciary duties and other violations of law. The complaint seeks damages, fees, interest, costs, and other appropriate relief. Similar shareholder derivative complaints were subsequently filed in the U.S. District Court for the District of Delaware and the U.S. District Court for the District of Idaho. On November 20, 2019, the plaintiff in the second action filed in the U.S. District Court for the District of Delaware voluntarily dismissed his complaint. On November 21, 2019, the plaintiff voluntarily dismissed his complaint that was filed in the U.S. District Court for the District of Idaho.</w:t>
      </w:r>
    </w:p>
    <w:p>
      <w:pPr>
        <w:spacing w:after="0" w:line="23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207"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color w:val="0090DA"/>
        </w:rPr>
        <w:t>If our manufacturing process is disrupted by operational issues, natural disasters, or other events, our business, results of operations, or financial condition could be materially adversely affected.</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w:t>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From time to time, there have been disruptions in the manufacturing process as a result of power outages, improperly functioning equipment, disruptions in supply of raw materials or components, or equipment failures. We have manufacturing and other operations in locations subject to natural occurrences such as severe weather and geological events, including earthquakes or tsunamis, that could disrupt operations. In addition, our suppliers and customers also have operations in such locations. Additionally, other events including political or public health crises, such as an outbreak of contagious diseases like COVID-19, SARS-CoV, avian and swine influenza, measles, or Ebola, may affect our production capabilities or that of our suppliers, including as a result of quarantines, closures of production facilities, lack of supplies, or delays caused by restrictions on travel or shipping. For example, in March 2020, the government of Malaysia announced measures to restrict movement in that country in an effort to suppress the number of COVID-19 cases. Those restrictions temporarily limited our ability to fully operate our manufacturing facilities in that country. The events noted above have occurred from time to time in the past and may occur in the future. As a result, in addition to disruptions to operations, our insurance premiums may increase or we may not be able to fully recover any sustained losses through insurance.</w:t>
      </w:r>
    </w:p>
    <w:p>
      <w:pPr>
        <w:spacing w:after="0" w:line="2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0090DA"/>
        </w:rPr>
        <w:t>Breaches of our security systems, or those of our customers, suppliers, or business partners, could expose us to losses.</w:t>
      </w:r>
    </w:p>
    <w:p>
      <w:pPr>
        <w:spacing w:after="0" w:line="2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These parties may also be able to develop and deploy viruses, worms, and other malicious software programs that disrupt our operations and create security vulnerabilities. Breaches of our physical security and attacks on our network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 The foregoing could have a material adverse effect on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Our acquisition of Intel’s noncontrolling interest in IMFT involves numerous risks.</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October 31, 2019, we purchased Intel’s noncontrolling interest in IMFT, now known as MTU. Our acquisition involves risks including, but not limited to, an inability to sell the product MTU produces, increases in underutilization charges, increase in R&amp;D expenses, retention of key employees, and successful integration of MTU. We may also face risks from disputes in connection with joint venture activities, or difficulties or delays in collecting amounts due to us. The foregoing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obligations could adversely affect our financial condition.</w:t>
      </w:r>
    </w:p>
    <w:p>
      <w:pPr>
        <w:spacing w:after="0" w:line="2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restructure of our capital structure. As of May 28, 2020, we had debt with a carrying value of $6.69 billion. As of May 28, 2020, $2.50 billion of our Revolving Credit Facility was available to us. As of May 28, 2020, the conversion value in excess of principal of our 2032D Notes was $488 million, based on the trading price of our common stock of $46.47 per share on such date.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debt obligations could adversely impact us. For example, these obligations could:</w:t>
      </w:r>
    </w:p>
    <w:p>
      <w:pPr>
        <w:spacing w:after="0" w:line="252" w:lineRule="exact"/>
        <w:rPr>
          <w:sz w:val="20"/>
          <w:szCs w:val="20"/>
          <w:color w:val="auto"/>
        </w:rPr>
      </w:pPr>
    </w:p>
    <w:p>
      <w:pPr>
        <w:ind w:left="660" w:right="42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and other business activities;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use cash and/or issue shares of our common stock to settle any conversion obligations of our convertible notes;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 to dilute our earnings per share as a result of the conversion provisions in our convertible notes; and</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continue to pay cash amounts substantially in excess of the principal amounts upon settlement of our convertible notes to minimize dilution of our earnings per share.</w:t>
      </w:r>
    </w:p>
    <w:p>
      <w:pPr>
        <w:spacing w:after="0" w:line="22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0" w:name="page51"/>
    <w:bookmarkEnd w:id="50"/>
    <w:p>
      <w:pPr>
        <w:spacing w:after="0" w:line="236" w:lineRule="auto"/>
        <w:rPr>
          <w:sz w:val="20"/>
          <w:szCs w:val="20"/>
          <w:color w:val="auto"/>
        </w:rPr>
      </w:pPr>
      <w:r>
        <w:rPr>
          <w:rFonts w:ascii="Arial" w:cs="Arial" w:eastAsia="Arial" w:hAnsi="Arial"/>
          <w:sz w:val="18"/>
          <w:szCs w:val="18"/>
          <w:color w:val="auto"/>
        </w:rPr>
        <w:t>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In 2019, we suspended the security interest in the collateral under our credit facility upon achieving a specified credit rating and prepaying our Senior Secured Term Loan B due 2022; however, if our corporate credit rating were to decline below a certain level, the security interest would be automatically reinstated.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must attract, retain, and motivate highly skilled employees.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remain competitive, we must attract, retain, and motivate executives and other highly skilled employees. Competition for experienced employees in our industry can be intense and hiring and retaining qualified executives, engineers, technical staff, and sales representatives are critical to our business. Our inability to attract and retain key employees may inhibit our ability to maintain or expand our business operations. Additionally, changes to immigration policies in the numerous countries in which we operate, including the United States, as well as restrictions on global travel as a result of local or global public health crises requiring quarantines or other precautions to limit exposure to infectious diseases, may limit our ability to hire and/or retain talent in, or transfer talent to, specific locations. If our total compensation programs and workplace culture cease to be viewed as competitive, our ability to attract, retain, and motivate employees could be weakened, which could have a material adverse effect on our business, results of operations, or financial condition.</w:t>
      </w:r>
    </w:p>
    <w:p>
      <w:pPr>
        <w:spacing w:after="0" w:line="21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0090DA"/>
        </w:rPr>
        <w:t>The acquisition of our ownership interest in Inotera from Qimonda has been challenged by the administrator of the insolvency proceedings for Qimonda.</w:t>
      </w:r>
    </w:p>
    <w:p>
      <w:pPr>
        <w:spacing w:after="0" w:line="20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32"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ind w:right="80" w:firstLine="8"/>
        <w:spacing w:after="0" w:line="251"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has been able to continue to operate with full control of the Inotera Shares subject to further developments in the case. On April 17, 2014, Micron and Micron B.V. filed a notice of appeal with the German Appeals Court challenging the District Court’s decision. After opening briefs, the Appeals Court held a hearing on the matter on July 9, 2015, and thereafter appointed an independent expert to perform an evaluation of Dr. Jaffé’s claims that the amount Micron paid for Qimonda was less than fair market value. On January 25, 2018, the court-appointed expert issued a report concluding that the amount paid by Micron was within an acceptable fair-value range. The Appeals Court held a subsequent hearing on April 30, 2019, and on May 28, 2019, the Appeals Court remanded the case to the expert for supplemental expert opinion. On March 31, 2020, the expert presented a</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1" w:name="page52"/>
    <w:bookmarkEnd w:id="51"/>
    <w:p>
      <w:pPr>
        <w:ind w:right="100"/>
        <w:spacing w:after="0" w:line="261" w:lineRule="auto"/>
        <w:rPr>
          <w:sz w:val="20"/>
          <w:szCs w:val="20"/>
          <w:color w:val="auto"/>
        </w:rPr>
      </w:pPr>
      <w:r>
        <w:rPr>
          <w:rFonts w:ascii="Arial" w:cs="Arial" w:eastAsia="Arial" w:hAnsi="Arial"/>
          <w:sz w:val="18"/>
          <w:szCs w:val="18"/>
          <w:color w:val="auto"/>
        </w:rPr>
        <w:t>revised opinion to the Appeals Court which reaffirmed the earlier view that the amount paid by Micron was still within an acceptable range of fair value.</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additional tax expense or become subject to additional tax exposure.</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arrangements, failure to meet performance obligations with respect to tax incentive agreements, expanding our operations in various countries,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change in tax laws in key jurisdictions could materially increase our tax expense.</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subject to income taxes in the U.S. and many foreign jurisdictions. Changes to income tax laws and regulations in any of the jurisdictions in which we operate, or in the interpretation of such laws, could significantly increase our effective tax rate and ultimately reduce our cash flows from operating activities and otherwise have a material adverse effect on our financial condition. For example, our effective tax rate increased from 1.2% for 2018 to 9.8% for 2019 primarily as a result of the Tax Cuts and Jobs Act, enacted on December 22, 2017 by the United States. Additionally, various levels of government are increasingly focused on tax reform and other legislative actions to increase tax revenue. Further changes in the tax laws of foreign jurisdictions could arise as a result of the base erosion and profit shifting project undertaken by the Organisation for Economic Co-operation and Development, which represents a coalition of member countries and recommended changes to numerous long-standing tax principles. If adopted by countries,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21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0090DA"/>
        </w:rPr>
        <w:t>Our incentives from various governments are conditional upon achieving or maintaining certain performance obligations and are subject to reduction, termination, or clawback.</w:t>
      </w:r>
    </w:p>
    <w:p>
      <w:pPr>
        <w:spacing w:after="0" w:line="20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cannot guarantee that we will successfully achieve performance obligations required to qualify for these incentives or that the granting agencies will provide such funding. These incentive arrangements typically provide the granting agencies with rights to audit our performance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0090DA"/>
        </w:rPr>
        <w:t>We may make future acquisitions and/or alliances, which involve numerous risks.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or restrictions on the conduct of our business or the acquired business;</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70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21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0090DA"/>
        </w:rPr>
        <w:t>Changes in foreign currency exchange rates could materially adversely affect our business, results of operations, or financial condition.</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euro, Singapore dollar, New Taiwan dollar, and yen.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additional restructuring charges in future periods.</w:t>
      </w:r>
    </w:p>
    <w:p>
      <w:pPr>
        <w:spacing w:after="0" w:line="2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time to time, we have,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ind w:right="120"/>
        <w:spacing w:after="0" w:line="287" w:lineRule="auto"/>
        <w:rPr>
          <w:sz w:val="20"/>
          <w:szCs w:val="20"/>
          <w:color w:val="auto"/>
        </w:rPr>
      </w:pPr>
      <w:r>
        <w:rPr>
          <w:rFonts w:ascii="Arial" w:cs="Arial" w:eastAsia="Arial" w:hAnsi="Arial"/>
          <w:sz w:val="18"/>
          <w:szCs w:val="18"/>
          <w:b w:val="1"/>
          <w:bCs w:val="1"/>
          <w:color w:val="0090DA"/>
        </w:rPr>
        <w:t>Compliance with customer and responsible sourcing requirements and related regulations could limit the supply and increase the cost of certain materials, supplies, and services used in manufacturing our products.</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Many of our customers have adopted responsible sourcing programs that require us to periodically report on our supply chain and responsible sourcing efforts to ensure we source the materials, supplies, and services we use and incorporate into the products we sell in a manner that is consistent with their programs. Some of our customers may elect to disqualify us as a supplier or reduce purchases from us if we are unable to verify that our products meet the specifications of their responsible sourcing programs. Meeting customer requirements may limit the sourcing and availability of some of the materials, supplies, and services we use, particularly when the availability of such is concentrated to a limited number of suppliers. This in turn may affect our ability and/or the cost to obtain in sufficient quantities materials, supplies, and services necessary for the manufacture of our products.</w:t>
      </w:r>
    </w:p>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increased focus on environmental protection and social responsibility initiatives led to the passage of Section 1502 of the Dodd-Frank Wall Street Reform and Consumer Protection Act of 2010 and its implementing SEC regulations. The act imposes supply chain diligence and disclosure requirements for certain manufacturers of products containing specific minerals that may originate in or near the Democratic Republic of the Congo and finance or benefit local armed groups. These conflict minerals are commonly found in materials used in the manufacture of semiconductors.</w:t>
      </w:r>
    </w:p>
    <w:p>
      <w:pPr>
        <w:spacing w:after="0" w:line="23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Our inability to comply with customers’ requirements for responsible sourcing or with regulations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and others are subject to a variety of laws, regulations, or industry standards that may result in additional costs and liabilities.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to represent us or otherwise act on our behalf who are also subject to a broad array of laws, regulations, and industry standards. Our engagement with these third parties may also expose us to risks associated with their respective compliance with laws and regulations. As a result of these items, we could experience the following:</w:t>
      </w:r>
    </w:p>
    <w:p>
      <w:pPr>
        <w:spacing w:after="0" w:line="23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of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5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failure, or the failure of our third-party agents, to comply with laws, regulations, or industry standards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counterparty default risks.</w:t>
      </w:r>
    </w:p>
    <w:p>
      <w:pPr>
        <w:spacing w:after="0" w:line="2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their contractual commitments which could then lead to their defaulting on their obligations with little or no notice to us, which could limit our ability to take action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4" w:name="page55"/>
    <w:bookmarkEnd w:id="54"/>
    <w:p>
      <w:pPr>
        <w:ind w:right="700"/>
        <w:spacing w:after="0" w:line="287" w:lineRule="auto"/>
        <w:rPr>
          <w:sz w:val="20"/>
          <w:szCs w:val="20"/>
          <w:color w:val="auto"/>
        </w:rPr>
      </w:pPr>
      <w:r>
        <w:rPr>
          <w:rFonts w:ascii="Arial" w:cs="Arial" w:eastAsia="Arial" w:hAnsi="Arial"/>
          <w:sz w:val="18"/>
          <w:szCs w:val="18"/>
          <w:b w:val="1"/>
          <w:bCs w:val="1"/>
          <w:color w:val="0090DA"/>
        </w:rPr>
        <w:t>The operations of MMJ are subject to continued oversight by the Tokyo District Court during the pendency of the corporate reorganization proceedings.</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Because MMJ’s plan of reorganization provides for ongoing payments to creditors following the closing of the MMJ acquisition, the reorganization proceedings in Japan (the “Japan Proceedings”) are continuing and MMJ remains subject to the oversight of the Tokyo District Court and of the trustees (including a trustee designated by us, who we refer to as the business trustee, and a trustee designated by the Tokyo District Court, who we refer to as the legal trustee), pending completion of the reorganization proceedings. The business trustee is responsible for overseeing the operation of the business of MMJ, other than oversight in relation to acts that need to be carried out in connection with the Japan Proceedings, which are the responsibility of the legal trustee. As of the end of the second quarter of 2020, substantially all creditor payments had been paid under MMJ’s plan of reorganization. Following distribution of the final payment and the Tokyo District Court’s approval and issuance of an order concluding the reorganization proceedings, MMJ’s reorganization proceedings in Japan and oversight by the Tokyo District Court will terminate.</w:t>
      </w:r>
    </w:p>
    <w:p>
      <w:pPr>
        <w:spacing w:after="0" w:line="2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During the pendency of the reorganization proceedings in Japan, MMJ is obligated to provide periodic financial reports to the Tokyo District Court and may be required to obtain the consent of the Tokyo District Court prior to taking a number of significant actions relating to its businesses, including transferring or disposing of, or acquiring, certain material assets, incurring or guaranteeing material indebtedness, settling material disputes, or entering into certain material agreements. The consent of the legal trustee may also be required for matters that would likely have a material impact on the operations or assets of MMJ or for transfers of material assets, to the extent the matters or transfers would reasonably be expected to materially and adversely affect execution of MMJ’s plan of reorganization. Accordingly, during the pendency of the reorganization proceedings in Japan, our ability to operate MMJ as part of our global business or to cause MMJ to take certain actions that we deem advisable for its business could be adversely affected if the Tokyo District Court or the legal trustee is unwilling to consent to various actions that we may wish to take with respect to MMJ.</w:t>
      </w:r>
    </w:p>
    <w:p>
      <w:pPr>
        <w:spacing w:after="0" w:line="239" w:lineRule="exact"/>
        <w:rPr>
          <w:sz w:val="20"/>
          <w:szCs w:val="20"/>
          <w:color w:val="auto"/>
        </w:rPr>
      </w:pPr>
    </w:p>
    <w:p>
      <w:pPr>
        <w:ind w:right="1040"/>
        <w:spacing w:after="0" w:line="291" w:lineRule="auto"/>
        <w:rPr>
          <w:sz w:val="20"/>
          <w:szCs w:val="20"/>
          <w:color w:val="auto"/>
        </w:rPr>
      </w:pPr>
      <w:r>
        <w:rPr>
          <w:rFonts w:ascii="Arial" w:cs="Arial" w:eastAsia="Arial" w:hAnsi="Arial"/>
          <w:sz w:val="17"/>
          <w:szCs w:val="17"/>
          <w:color w:val="auto"/>
        </w:rPr>
        <w:t>The operations of MMJ being subject to the continued oversight by the Tokyo District Court during the pendency of the corporate reorganization proceedings could have a material adverse effect on our business, results of operations, or financial condition.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8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20" w:type="dxa"/>
            <w:vAlign w:val="bottom"/>
          </w:tcPr>
          <w:p>
            <w:pPr>
              <w:spacing w:after="0"/>
              <w:rPr>
                <w:sz w:val="16"/>
                <w:szCs w:val="16"/>
                <w:color w:val="auto"/>
              </w:rPr>
            </w:pPr>
          </w:p>
        </w:tc>
        <w:tc>
          <w:tcPr>
            <w:tcW w:w="3260" w:type="dxa"/>
            <w:vAlign w:val="bottom"/>
          </w:tcPr>
          <w:p>
            <w:pPr>
              <w:jc w:val="center"/>
              <w:ind w:right="37"/>
              <w:spacing w:after="0"/>
              <w:rPr>
                <w:sz w:val="20"/>
                <w:szCs w:val="20"/>
                <w:color w:val="auto"/>
              </w:rPr>
            </w:pPr>
            <w:r>
              <w:rPr>
                <w:rFonts w:ascii="Arial" w:cs="Arial" w:eastAsia="Arial" w:hAnsi="Arial"/>
                <w:sz w:val="16"/>
                <w:szCs w:val="16"/>
                <w:b w:val="1"/>
                <w:bCs w:val="1"/>
                <w:color w:val="auto"/>
              </w:rPr>
              <w:t>Maximum number (or approximate dollar</w:t>
            </w:r>
          </w:p>
        </w:tc>
      </w:tr>
      <w:tr>
        <w:trPr>
          <w:trHeight w:val="189"/>
        </w:trPr>
        <w:tc>
          <w:tcPr>
            <w:tcW w:w="1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100" w:type="dxa"/>
            <w:vAlign w:val="bottom"/>
          </w:tcPr>
          <w:p>
            <w:pPr>
              <w:spacing w:after="0"/>
              <w:rPr>
                <w:sz w:val="16"/>
                <w:szCs w:val="16"/>
                <w:color w:val="auto"/>
              </w:rPr>
            </w:pPr>
          </w:p>
        </w:tc>
        <w:tc>
          <w:tcPr>
            <w:tcW w:w="900" w:type="dxa"/>
            <w:vAlign w:val="bottom"/>
          </w:tcPr>
          <w:p>
            <w:pPr>
              <w:jc w:val="center"/>
              <w:ind w:right="34"/>
              <w:spacing w:after="0"/>
              <w:rPr>
                <w:sz w:val="20"/>
                <w:szCs w:val="20"/>
                <w:color w:val="auto"/>
              </w:rPr>
            </w:pPr>
            <w:r>
              <w:rPr>
                <w:rFonts w:ascii="Arial" w:cs="Arial" w:eastAsia="Arial" w:hAnsi="Arial"/>
                <w:sz w:val="16"/>
                <w:szCs w:val="16"/>
                <w:b w:val="1"/>
                <w:bCs w:val="1"/>
                <w:color w:val="auto"/>
                <w:w w:val="98"/>
              </w:rPr>
              <w:t>Average</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3380" w:type="dxa"/>
            <w:vAlign w:val="bottom"/>
            <w:gridSpan w:val="2"/>
          </w:tcPr>
          <w:p>
            <w:pPr>
              <w:jc w:val="center"/>
              <w:spacing w:after="0"/>
              <w:rPr>
                <w:sz w:val="20"/>
                <w:szCs w:val="20"/>
                <w:color w:val="auto"/>
              </w:rPr>
            </w:pPr>
            <w:r>
              <w:rPr>
                <w:rFonts w:ascii="Arial" w:cs="Arial" w:eastAsia="Arial" w:hAnsi="Arial"/>
                <w:sz w:val="16"/>
                <w:szCs w:val="16"/>
                <w:b w:val="1"/>
                <w:bCs w:val="1"/>
                <w:color w:val="auto"/>
              </w:rPr>
              <w:t>value) of shares that may yet be purchased</w:t>
            </w:r>
          </w:p>
        </w:tc>
      </w:tr>
      <w:tr>
        <w:trPr>
          <w:trHeight w:val="189"/>
        </w:trPr>
        <w:tc>
          <w:tcPr>
            <w:tcW w:w="1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6"/>
                <w:szCs w:val="16"/>
                <w:color w:val="auto"/>
              </w:rPr>
            </w:pPr>
          </w:p>
        </w:tc>
        <w:tc>
          <w:tcPr>
            <w:tcW w:w="900" w:type="dxa"/>
            <w:vAlign w:val="bottom"/>
          </w:tcPr>
          <w:p>
            <w:pPr>
              <w:jc w:val="center"/>
              <w:ind w:right="34"/>
              <w:spacing w:after="0"/>
              <w:rPr>
                <w:sz w:val="20"/>
                <w:szCs w:val="20"/>
                <w:color w:val="auto"/>
              </w:rPr>
            </w:pPr>
            <w:r>
              <w:rPr>
                <w:rFonts w:ascii="Arial" w:cs="Arial" w:eastAsia="Arial" w:hAnsi="Arial"/>
                <w:sz w:val="16"/>
                <w:szCs w:val="16"/>
                <w:b w:val="1"/>
                <w:bCs w:val="1"/>
                <w:color w:val="auto"/>
              </w:rPr>
              <w:t>price paid</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 plans</w:t>
            </w:r>
          </w:p>
        </w:tc>
        <w:tc>
          <w:tcPr>
            <w:tcW w:w="120" w:type="dxa"/>
            <w:vAlign w:val="bottom"/>
          </w:tcPr>
          <w:p>
            <w:pPr>
              <w:spacing w:after="0"/>
              <w:rPr>
                <w:sz w:val="16"/>
                <w:szCs w:val="16"/>
                <w:color w:val="auto"/>
              </w:rPr>
            </w:pPr>
          </w:p>
        </w:tc>
        <w:tc>
          <w:tcPr>
            <w:tcW w:w="3260" w:type="dxa"/>
            <w:vAlign w:val="bottom"/>
          </w:tcPr>
          <w:p>
            <w:pPr>
              <w:jc w:val="center"/>
              <w:ind w:right="37"/>
              <w:spacing w:after="0"/>
              <w:rPr>
                <w:sz w:val="20"/>
                <w:szCs w:val="20"/>
                <w:color w:val="auto"/>
              </w:rPr>
            </w:pPr>
            <w:r>
              <w:rPr>
                <w:rFonts w:ascii="Arial" w:cs="Arial" w:eastAsia="Arial" w:hAnsi="Arial"/>
                <w:sz w:val="16"/>
                <w:szCs w:val="16"/>
                <w:b w:val="1"/>
                <w:bCs w:val="1"/>
                <w:color w:val="auto"/>
              </w:rPr>
              <w:t>under publicly announced plans or</w:t>
            </w:r>
          </w:p>
        </w:tc>
      </w:tr>
      <w:tr>
        <w:trPr>
          <w:trHeight w:val="228"/>
        </w:trPr>
        <w:tc>
          <w:tcPr>
            <w:tcW w:w="1420" w:type="dxa"/>
            <w:vAlign w:val="bottom"/>
            <w:tcBorders>
              <w:bottom w:val="single" w:sz="8" w:color="0090DA"/>
            </w:tcBorders>
          </w:tcPr>
          <w:p>
            <w:pPr>
              <w:spacing w:after="0"/>
              <w:rPr>
                <w:sz w:val="19"/>
                <w:szCs w:val="19"/>
                <w:color w:val="auto"/>
              </w:rPr>
            </w:pPr>
          </w:p>
        </w:tc>
        <w:tc>
          <w:tcPr>
            <w:tcW w:w="2080" w:type="dxa"/>
            <w:vAlign w:val="bottom"/>
            <w:tcBorders>
              <w:bottom w:val="single" w:sz="8" w:color="0090DA"/>
            </w:tcBorders>
          </w:tcPr>
          <w:p>
            <w:pPr>
              <w:ind w:left="80"/>
              <w:spacing w:after="0"/>
              <w:rPr>
                <w:sz w:val="20"/>
                <w:szCs w:val="20"/>
                <w:color w:val="auto"/>
              </w:rPr>
            </w:pPr>
            <w:r>
              <w:rPr>
                <w:rFonts w:ascii="Arial" w:cs="Arial" w:eastAsia="Arial" w:hAnsi="Arial"/>
                <w:sz w:val="16"/>
                <w:szCs w:val="16"/>
                <w:b w:val="1"/>
                <w:bCs w:val="1"/>
                <w:color w:val="auto"/>
              </w:rPr>
              <w:t>Period</w:t>
            </w:r>
          </w:p>
        </w:tc>
        <w:tc>
          <w:tcPr>
            <w:tcW w:w="116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100" w:type="dxa"/>
            <w:vAlign w:val="bottom"/>
            <w:tcBorders>
              <w:bottom w:val="single" w:sz="8" w:color="0090DA"/>
            </w:tcBorders>
          </w:tcPr>
          <w:p>
            <w:pPr>
              <w:spacing w:after="0"/>
              <w:rPr>
                <w:sz w:val="19"/>
                <w:szCs w:val="19"/>
                <w:color w:val="auto"/>
              </w:rPr>
            </w:pPr>
          </w:p>
        </w:tc>
        <w:tc>
          <w:tcPr>
            <w:tcW w:w="900" w:type="dxa"/>
            <w:vAlign w:val="bottom"/>
            <w:tcBorders>
              <w:bottom w:val="single" w:sz="8" w:color="0090DA"/>
            </w:tcBorders>
          </w:tcPr>
          <w:p>
            <w:pPr>
              <w:jc w:val="center"/>
              <w:ind w:right="34"/>
              <w:spacing w:after="0"/>
              <w:rPr>
                <w:sz w:val="20"/>
                <w:szCs w:val="20"/>
                <w:color w:val="auto"/>
              </w:rPr>
            </w:pPr>
            <w:r>
              <w:rPr>
                <w:rFonts w:ascii="Arial" w:cs="Arial" w:eastAsia="Arial" w:hAnsi="Arial"/>
                <w:sz w:val="16"/>
                <w:szCs w:val="16"/>
                <w:b w:val="1"/>
                <w:bCs w:val="1"/>
                <w:color w:val="auto"/>
              </w:rPr>
              <w:t>per share</w:t>
            </w:r>
          </w:p>
        </w:tc>
        <w:tc>
          <w:tcPr>
            <w:tcW w:w="22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or programs</w:t>
            </w:r>
          </w:p>
        </w:tc>
        <w:tc>
          <w:tcPr>
            <w:tcW w:w="120" w:type="dxa"/>
            <w:vAlign w:val="bottom"/>
            <w:tcBorders>
              <w:bottom w:val="single" w:sz="8" w:color="0090DA"/>
            </w:tcBorders>
          </w:tcPr>
          <w:p>
            <w:pPr>
              <w:spacing w:after="0"/>
              <w:rPr>
                <w:sz w:val="19"/>
                <w:szCs w:val="19"/>
                <w:color w:val="auto"/>
              </w:rPr>
            </w:pPr>
          </w:p>
        </w:tc>
        <w:tc>
          <w:tcPr>
            <w:tcW w:w="3260" w:type="dxa"/>
            <w:vAlign w:val="bottom"/>
            <w:tcBorders>
              <w:bottom w:val="single" w:sz="8" w:color="0090DA"/>
            </w:tcBorders>
          </w:tcPr>
          <w:p>
            <w:pPr>
              <w:jc w:val="center"/>
              <w:ind w:right="37"/>
              <w:spacing w:after="0"/>
              <w:rPr>
                <w:sz w:val="20"/>
                <w:szCs w:val="20"/>
                <w:color w:val="auto"/>
              </w:rPr>
            </w:pPr>
            <w:r>
              <w:rPr>
                <w:rFonts w:ascii="Arial" w:cs="Arial" w:eastAsia="Arial" w:hAnsi="Arial"/>
                <w:sz w:val="16"/>
                <w:szCs w:val="16"/>
                <w:b w:val="1"/>
                <w:bCs w:val="1"/>
                <w:color w:val="auto"/>
              </w:rPr>
              <w:t>programs</w:t>
            </w:r>
          </w:p>
        </w:tc>
      </w:tr>
      <w:tr>
        <w:trPr>
          <w:trHeight w:val="41"/>
        </w:trPr>
        <w:tc>
          <w:tcPr>
            <w:tcW w:w="14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60" w:type="dxa"/>
            <w:vAlign w:val="bottom"/>
          </w:tcPr>
          <w:p>
            <w:pPr>
              <w:spacing w:after="0"/>
              <w:rPr>
                <w:sz w:val="3"/>
                <w:szCs w:val="3"/>
                <w:color w:val="auto"/>
              </w:rPr>
            </w:pPr>
          </w:p>
        </w:tc>
      </w:tr>
      <w:tr>
        <w:trPr>
          <w:trHeight w:val="256"/>
        </w:trPr>
        <w:tc>
          <w:tcPr>
            <w:tcW w:w="1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February 28, 2020</w:t>
            </w:r>
          </w:p>
        </w:tc>
        <w:tc>
          <w:tcPr>
            <w:tcW w:w="2080" w:type="dxa"/>
            <w:vAlign w:val="bottom"/>
            <w:shd w:val="clear" w:color="auto" w:fill="D1D2D4"/>
          </w:tcPr>
          <w:p>
            <w:pPr>
              <w:ind w:left="260"/>
              <w:spacing w:after="0"/>
              <w:rPr>
                <w:sz w:val="20"/>
                <w:szCs w:val="20"/>
                <w:color w:val="auto"/>
              </w:rPr>
            </w:pPr>
            <w:r>
              <w:rPr>
                <w:rFonts w:ascii="Arial" w:cs="Arial" w:eastAsia="Arial" w:hAnsi="Arial"/>
                <w:sz w:val="16"/>
                <w:szCs w:val="16"/>
                <w:color w:val="auto"/>
              </w:rPr>
              <w:t>– April 2, 2020</w:t>
            </w:r>
          </w:p>
        </w:tc>
        <w:tc>
          <w:tcPr>
            <w:tcW w:w="1160" w:type="dxa"/>
            <w:vAlign w:val="bottom"/>
            <w:shd w:val="clear" w:color="auto" w:fill="D1D2D4"/>
          </w:tcPr>
          <w:p>
            <w:pPr>
              <w:jc w:val="right"/>
              <w:ind w:right="74"/>
              <w:spacing w:after="0"/>
              <w:rPr>
                <w:sz w:val="20"/>
                <w:szCs w:val="20"/>
                <w:color w:val="auto"/>
              </w:rPr>
            </w:pPr>
            <w:r>
              <w:rPr>
                <w:rFonts w:ascii="Arial" w:cs="Arial" w:eastAsia="Arial" w:hAnsi="Arial"/>
                <w:sz w:val="18"/>
                <w:szCs w:val="18"/>
                <w:color w:val="auto"/>
              </w:rPr>
              <w:t>320,260</w:t>
            </w:r>
          </w:p>
        </w:tc>
        <w:tc>
          <w:tcPr>
            <w:tcW w:w="1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1D2D4"/>
          </w:tcPr>
          <w:p>
            <w:pPr>
              <w:jc w:val="right"/>
              <w:ind w:right="74"/>
              <w:spacing w:after="0"/>
              <w:rPr>
                <w:sz w:val="20"/>
                <w:szCs w:val="20"/>
                <w:color w:val="auto"/>
              </w:rPr>
            </w:pPr>
            <w:r>
              <w:rPr>
                <w:rFonts w:ascii="Arial" w:cs="Arial" w:eastAsia="Arial" w:hAnsi="Arial"/>
                <w:sz w:val="18"/>
                <w:szCs w:val="18"/>
                <w:color w:val="auto"/>
              </w:rPr>
              <w:t>40.41</w:t>
            </w:r>
          </w:p>
        </w:tc>
        <w:tc>
          <w:tcPr>
            <w:tcW w:w="2200" w:type="dxa"/>
            <w:vAlign w:val="bottom"/>
            <w:shd w:val="clear" w:color="auto" w:fill="D1D2D4"/>
          </w:tcPr>
          <w:p>
            <w:pPr>
              <w:jc w:val="right"/>
              <w:ind w:right="75"/>
              <w:spacing w:after="0"/>
              <w:rPr>
                <w:sz w:val="20"/>
                <w:szCs w:val="20"/>
                <w:color w:val="auto"/>
              </w:rPr>
            </w:pPr>
            <w:r>
              <w:rPr>
                <w:rFonts w:ascii="Arial" w:cs="Arial" w:eastAsia="Arial" w:hAnsi="Arial"/>
                <w:sz w:val="18"/>
                <w:szCs w:val="18"/>
                <w:color w:val="auto"/>
              </w:rPr>
              <w:t>320,260</w:t>
            </w:r>
          </w:p>
        </w:tc>
        <w:tc>
          <w:tcPr>
            <w:tcW w:w="120" w:type="dxa"/>
            <w:vAlign w:val="bottom"/>
            <w:shd w:val="clear" w:color="auto" w:fill="D1D2D4"/>
          </w:tcPr>
          <w:p>
            <w:pPr>
              <w:spacing w:after="0"/>
              <w:rPr>
                <w:sz w:val="22"/>
                <w:szCs w:val="22"/>
                <w:color w:val="auto"/>
              </w:rPr>
            </w:pPr>
          </w:p>
        </w:tc>
        <w:tc>
          <w:tcPr>
            <w:tcW w:w="3260" w:type="dxa"/>
            <w:vAlign w:val="bottom"/>
            <w:shd w:val="clear" w:color="auto" w:fill="D1D2D4"/>
          </w:tcPr>
          <w:p>
            <w:pPr>
              <w:spacing w:after="0"/>
              <w:rPr>
                <w:sz w:val="22"/>
                <w:szCs w:val="22"/>
                <w:color w:val="auto"/>
              </w:rPr>
            </w:pPr>
          </w:p>
        </w:tc>
      </w:tr>
      <w:tr>
        <w:trPr>
          <w:trHeight w:val="250"/>
        </w:trPr>
        <w:tc>
          <w:tcPr>
            <w:tcW w:w="1420" w:type="dxa"/>
            <w:vAlign w:val="bottom"/>
          </w:tcPr>
          <w:p>
            <w:pPr>
              <w:ind w:left="20"/>
              <w:spacing w:after="0"/>
              <w:rPr>
                <w:sz w:val="20"/>
                <w:szCs w:val="20"/>
                <w:color w:val="auto"/>
              </w:rPr>
            </w:pPr>
            <w:r>
              <w:rPr>
                <w:rFonts w:ascii="Arial" w:cs="Arial" w:eastAsia="Arial" w:hAnsi="Arial"/>
                <w:sz w:val="16"/>
                <w:szCs w:val="16"/>
                <w:color w:val="auto"/>
              </w:rPr>
              <w:t>April 3, 2020</w:t>
            </w:r>
          </w:p>
        </w:tc>
        <w:tc>
          <w:tcPr>
            <w:tcW w:w="2080" w:type="dxa"/>
            <w:vAlign w:val="bottom"/>
          </w:tcPr>
          <w:p>
            <w:pPr>
              <w:ind w:left="260"/>
              <w:spacing w:after="0"/>
              <w:rPr>
                <w:sz w:val="20"/>
                <w:szCs w:val="20"/>
                <w:color w:val="auto"/>
              </w:rPr>
            </w:pPr>
            <w:r>
              <w:rPr>
                <w:rFonts w:ascii="Arial" w:cs="Arial" w:eastAsia="Arial" w:hAnsi="Arial"/>
                <w:sz w:val="16"/>
                <w:szCs w:val="16"/>
                <w:color w:val="auto"/>
              </w:rPr>
              <w:t>– April 30, 2020</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608,716</w:t>
            </w:r>
          </w:p>
        </w:tc>
        <w:tc>
          <w:tcPr>
            <w:tcW w:w="10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45.18</w:t>
            </w:r>
          </w:p>
        </w:tc>
        <w:tc>
          <w:tcPr>
            <w:tcW w:w="2200" w:type="dxa"/>
            <w:vAlign w:val="bottom"/>
          </w:tcPr>
          <w:p>
            <w:pPr>
              <w:jc w:val="right"/>
              <w:ind w:right="75"/>
              <w:spacing w:after="0"/>
              <w:rPr>
                <w:sz w:val="20"/>
                <w:szCs w:val="20"/>
                <w:color w:val="auto"/>
              </w:rPr>
            </w:pPr>
            <w:r>
              <w:rPr>
                <w:rFonts w:ascii="Arial" w:cs="Arial" w:eastAsia="Arial" w:hAnsi="Arial"/>
                <w:sz w:val="18"/>
                <w:szCs w:val="18"/>
                <w:color w:val="auto"/>
              </w:rPr>
              <w:t>608,716</w:t>
            </w:r>
          </w:p>
        </w:tc>
        <w:tc>
          <w:tcPr>
            <w:tcW w:w="120" w:type="dxa"/>
            <w:vAlign w:val="bottom"/>
          </w:tcPr>
          <w:p>
            <w:pPr>
              <w:spacing w:after="0"/>
              <w:rPr>
                <w:sz w:val="21"/>
                <w:szCs w:val="21"/>
                <w:color w:val="auto"/>
              </w:rPr>
            </w:pPr>
          </w:p>
        </w:tc>
        <w:tc>
          <w:tcPr>
            <w:tcW w:w="3260" w:type="dxa"/>
            <w:vAlign w:val="bottom"/>
          </w:tcPr>
          <w:p>
            <w:pPr>
              <w:spacing w:after="0"/>
              <w:rPr>
                <w:sz w:val="21"/>
                <w:szCs w:val="21"/>
                <w:color w:val="auto"/>
              </w:rPr>
            </w:pPr>
          </w:p>
        </w:tc>
      </w:tr>
      <w:tr>
        <w:trPr>
          <w:trHeight w:val="257"/>
        </w:trPr>
        <w:tc>
          <w:tcPr>
            <w:tcW w:w="1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May 1, 2020</w:t>
            </w:r>
          </w:p>
        </w:tc>
        <w:tc>
          <w:tcPr>
            <w:tcW w:w="2080" w:type="dxa"/>
            <w:vAlign w:val="bottom"/>
            <w:shd w:val="clear" w:color="auto" w:fill="D1D2D4"/>
          </w:tcPr>
          <w:p>
            <w:pPr>
              <w:ind w:left="260"/>
              <w:spacing w:after="0"/>
              <w:rPr>
                <w:sz w:val="20"/>
                <w:szCs w:val="20"/>
                <w:color w:val="auto"/>
              </w:rPr>
            </w:pPr>
            <w:r>
              <w:rPr>
                <w:rFonts w:ascii="Arial" w:cs="Arial" w:eastAsia="Arial" w:hAnsi="Arial"/>
                <w:sz w:val="16"/>
                <w:szCs w:val="16"/>
                <w:color w:val="auto"/>
              </w:rPr>
              <w:t>– May 28, 2020</w:t>
            </w:r>
          </w:p>
        </w:tc>
        <w:tc>
          <w:tcPr>
            <w:tcW w:w="1160" w:type="dxa"/>
            <w:vAlign w:val="bottom"/>
            <w:tcBorders>
              <w:bottom w:val="single" w:sz="8" w:color="auto"/>
            </w:tcBorders>
            <w:shd w:val="clear" w:color="auto" w:fill="D1D2D4"/>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shd w:val="clear" w:color="auto" w:fill="D1D2D4"/>
          </w:tcPr>
          <w:p>
            <w:pPr>
              <w:spacing w:after="0"/>
              <w:rPr>
                <w:sz w:val="22"/>
                <w:szCs w:val="22"/>
                <w:color w:val="auto"/>
              </w:rPr>
            </w:pPr>
          </w:p>
        </w:tc>
        <w:tc>
          <w:tcPr>
            <w:tcW w:w="900" w:type="dxa"/>
            <w:vAlign w:val="bottom"/>
            <w:shd w:val="clear" w:color="auto" w:fill="D1D2D4"/>
          </w:tcPr>
          <w:p>
            <w:pPr>
              <w:jc w:val="right"/>
              <w:ind w:right="74"/>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D1D2D4"/>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22"/>
                <w:szCs w:val="22"/>
                <w:color w:val="auto"/>
              </w:rPr>
            </w:pPr>
          </w:p>
        </w:tc>
        <w:tc>
          <w:tcPr>
            <w:tcW w:w="3260" w:type="dxa"/>
            <w:vAlign w:val="bottom"/>
            <w:shd w:val="clear" w:color="auto" w:fill="D1D2D4"/>
          </w:tcPr>
          <w:p>
            <w:pPr>
              <w:spacing w:after="0"/>
              <w:rPr>
                <w:sz w:val="22"/>
                <w:szCs w:val="22"/>
                <w:color w:val="auto"/>
              </w:rPr>
            </w:pPr>
          </w:p>
        </w:tc>
      </w:tr>
      <w:tr>
        <w:trPr>
          <w:trHeight w:val="256"/>
        </w:trPr>
        <w:tc>
          <w:tcPr>
            <w:tcW w:w="14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928,976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43.54</w:t>
            </w:r>
          </w:p>
        </w:tc>
        <w:tc>
          <w:tcPr>
            <w:tcW w:w="22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928,976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60" w:type="dxa"/>
            <w:vAlign w:val="bottom"/>
          </w:tcPr>
          <w:p>
            <w:pPr>
              <w:jc w:val="right"/>
              <w:ind w:right="77"/>
              <w:spacing w:after="0"/>
              <w:rPr>
                <w:sz w:val="20"/>
                <w:szCs w:val="20"/>
                <w:color w:val="auto"/>
              </w:rPr>
            </w:pPr>
            <w:r>
              <w:rPr>
                <w:rFonts w:ascii="Arial" w:cs="Arial" w:eastAsia="Arial" w:hAnsi="Arial"/>
                <w:sz w:val="18"/>
                <w:szCs w:val="18"/>
                <w:color w:val="auto"/>
              </w:rPr>
              <w:t>7,203,401,131</w:t>
            </w:r>
          </w:p>
        </w:tc>
      </w:tr>
      <w:tr>
        <w:trPr>
          <w:trHeight w:val="20"/>
        </w:trPr>
        <w:tc>
          <w:tcPr>
            <w:tcW w:w="1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350"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Shares of common stock withheld as payment of withholding taxes and exercise prices in connection with the vesting or exercise of equity awards are also treated as common stock repurchases. Those withheld shares of common stock are not considered common stock repurchases under an authorized common stock repurchase plan and accordingly are excluded from the amounts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5" w:name="page56"/>
    <w:bookmarkEnd w:id="55"/>
    <w:p>
      <w:pPr>
        <w:spacing w:after="0"/>
        <w:rPr>
          <w:sz w:val="20"/>
          <w:szCs w:val="20"/>
          <w:color w:val="auto"/>
        </w:rPr>
      </w:pPr>
      <w:r>
        <w:rPr>
          <w:rFonts w:ascii="Arial" w:cs="Arial" w:eastAsia="Arial" w:hAnsi="Arial"/>
          <w:sz w:val="25"/>
          <w:szCs w:val="25"/>
          <w:b w:val="1"/>
          <w:bCs w:val="1"/>
          <w:color w:val="auto"/>
        </w:rPr>
        <w:t>ITEM 6. EXHIBITS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00" w:type="dxa"/>
            <w:vAlign w:val="bottom"/>
          </w:tcPr>
          <w:p>
            <w:pPr>
              <w:jc w:val="center"/>
              <w:ind w:right="1039"/>
              <w:spacing w:after="0"/>
              <w:rPr>
                <w:sz w:val="20"/>
                <w:szCs w:val="20"/>
                <w:color w:val="auto"/>
              </w:rPr>
            </w:pPr>
            <w:r>
              <w:rPr>
                <w:rFonts w:ascii="Arial" w:cs="Arial" w:eastAsia="Arial" w:hAnsi="Arial"/>
                <w:sz w:val="16"/>
                <w:szCs w:val="16"/>
                <w:b w:val="1"/>
                <w:bCs w:val="1"/>
                <w:color w:val="auto"/>
              </w:rPr>
              <w:t>Exhibit</w:t>
            </w:r>
          </w:p>
        </w:tc>
        <w:tc>
          <w:tcPr>
            <w:tcW w:w="4240" w:type="dxa"/>
            <w:vAlign w:val="bottom"/>
          </w:tcPr>
          <w:p>
            <w:pPr>
              <w:spacing w:after="0"/>
              <w:rPr>
                <w:sz w:val="16"/>
                <w:szCs w:val="16"/>
                <w:color w:val="auto"/>
              </w:rPr>
            </w:pPr>
          </w:p>
        </w:tc>
        <w:tc>
          <w:tcPr>
            <w:tcW w:w="2020" w:type="dxa"/>
            <w:vAlign w:val="bottom"/>
          </w:tcPr>
          <w:p>
            <w:pPr>
              <w:jc w:val="center"/>
              <w:ind w:left="1079"/>
              <w:spacing w:after="0"/>
              <w:rPr>
                <w:sz w:val="20"/>
                <w:szCs w:val="20"/>
                <w:color w:val="auto"/>
              </w:rPr>
            </w:pPr>
            <w:r>
              <w:rPr>
                <w:rFonts w:ascii="Arial" w:cs="Arial" w:eastAsia="Arial" w:hAnsi="Arial"/>
                <w:sz w:val="16"/>
                <w:szCs w:val="16"/>
                <w:b w:val="1"/>
                <w:bCs w:val="1"/>
                <w:color w:val="auto"/>
              </w:rPr>
              <w:t>Filed</w:t>
            </w:r>
          </w:p>
        </w:tc>
        <w:tc>
          <w:tcPr>
            <w:tcW w:w="1280" w:type="dxa"/>
            <w:vAlign w:val="bottom"/>
          </w:tcPr>
          <w:p>
            <w:pPr>
              <w:ind w:left="700"/>
              <w:spacing w:after="0"/>
              <w:rPr>
                <w:sz w:val="20"/>
                <w:szCs w:val="20"/>
                <w:color w:val="auto"/>
              </w:rPr>
            </w:pPr>
            <w:r>
              <w:rPr>
                <w:rFonts w:ascii="Arial" w:cs="Arial" w:eastAsia="Arial" w:hAnsi="Arial"/>
                <w:sz w:val="16"/>
                <w:szCs w:val="16"/>
                <w:b w:val="1"/>
                <w:bCs w:val="1"/>
                <w:color w:val="auto"/>
              </w:rPr>
              <w:t>Period</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rPr>
              <w:t>Filing</w:t>
            </w:r>
          </w:p>
        </w:tc>
      </w:tr>
      <w:tr>
        <w:trPr>
          <w:trHeight w:val="228"/>
        </w:trPr>
        <w:tc>
          <w:tcPr>
            <w:tcW w:w="2100" w:type="dxa"/>
            <w:vAlign w:val="bottom"/>
            <w:tcBorders>
              <w:bottom w:val="single" w:sz="8" w:color="0090DA"/>
            </w:tcBorders>
          </w:tcPr>
          <w:p>
            <w:pPr>
              <w:jc w:val="center"/>
              <w:ind w:right="1039"/>
              <w:spacing w:after="0"/>
              <w:rPr>
                <w:sz w:val="20"/>
                <w:szCs w:val="20"/>
                <w:color w:val="auto"/>
              </w:rPr>
            </w:pPr>
            <w:r>
              <w:rPr>
                <w:rFonts w:ascii="Arial" w:cs="Arial" w:eastAsia="Arial" w:hAnsi="Arial"/>
                <w:sz w:val="16"/>
                <w:szCs w:val="16"/>
                <w:b w:val="1"/>
                <w:bCs w:val="1"/>
                <w:color w:val="auto"/>
              </w:rPr>
              <w:t>Number</w:t>
            </w:r>
          </w:p>
        </w:tc>
        <w:tc>
          <w:tcPr>
            <w:tcW w:w="4240" w:type="dxa"/>
            <w:vAlign w:val="bottom"/>
            <w:tcBorders>
              <w:bottom w:val="single" w:sz="8" w:color="0090DA"/>
            </w:tcBorders>
          </w:tcPr>
          <w:p>
            <w:pPr>
              <w:ind w:left="1320"/>
              <w:spacing w:after="0"/>
              <w:rPr>
                <w:sz w:val="20"/>
                <w:szCs w:val="20"/>
                <w:color w:val="auto"/>
              </w:rPr>
            </w:pPr>
            <w:r>
              <w:rPr>
                <w:rFonts w:ascii="Arial" w:cs="Arial" w:eastAsia="Arial" w:hAnsi="Arial"/>
                <w:sz w:val="16"/>
                <w:szCs w:val="16"/>
                <w:b w:val="1"/>
                <w:bCs w:val="1"/>
                <w:color w:val="auto"/>
              </w:rPr>
              <w:t>Description of Exhibit</w:t>
            </w:r>
          </w:p>
        </w:tc>
        <w:tc>
          <w:tcPr>
            <w:tcW w:w="2020" w:type="dxa"/>
            <w:vAlign w:val="bottom"/>
            <w:tcBorders>
              <w:bottom w:val="single" w:sz="8" w:color="0090DA"/>
            </w:tcBorders>
          </w:tcPr>
          <w:p>
            <w:pPr>
              <w:jc w:val="center"/>
              <w:ind w:left="1099"/>
              <w:spacing w:after="0"/>
              <w:rPr>
                <w:sz w:val="20"/>
                <w:szCs w:val="20"/>
                <w:color w:val="auto"/>
              </w:rPr>
            </w:pPr>
            <w:r>
              <w:rPr>
                <w:rFonts w:ascii="Arial" w:cs="Arial" w:eastAsia="Arial" w:hAnsi="Arial"/>
                <w:sz w:val="16"/>
                <w:szCs w:val="16"/>
                <w:b w:val="1"/>
                <w:bCs w:val="1"/>
                <w:color w:val="auto"/>
              </w:rPr>
              <w:t>Herewith</w:t>
            </w:r>
          </w:p>
        </w:tc>
        <w:tc>
          <w:tcPr>
            <w:tcW w:w="1280" w:type="dxa"/>
            <w:vAlign w:val="bottom"/>
            <w:tcBorders>
              <w:bottom w:val="single" w:sz="8" w:color="0090DA"/>
            </w:tcBorders>
          </w:tcPr>
          <w:p>
            <w:pPr>
              <w:ind w:left="100"/>
              <w:spacing w:after="0"/>
              <w:rPr>
                <w:sz w:val="20"/>
                <w:szCs w:val="20"/>
                <w:color w:val="auto"/>
              </w:rPr>
            </w:pPr>
            <w:r>
              <w:rPr>
                <w:rFonts w:ascii="Arial" w:cs="Arial" w:eastAsia="Arial" w:hAnsi="Arial"/>
                <w:sz w:val="16"/>
                <w:szCs w:val="16"/>
                <w:b w:val="1"/>
                <w:bCs w:val="1"/>
                <w:color w:val="auto"/>
              </w:rPr>
              <w:t>Form  Ending</w:t>
            </w:r>
          </w:p>
        </w:tc>
        <w:tc>
          <w:tcPr>
            <w:tcW w:w="9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Appendix</w:t>
            </w:r>
          </w:p>
        </w:tc>
        <w:tc>
          <w:tcPr>
            <w:tcW w:w="7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40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60" w:type="dxa"/>
            <w:vAlign w:val="bottom"/>
            <w:vMerge w:val="restart"/>
          </w:tcPr>
          <w:p>
            <w:pPr>
              <w:spacing w:after="0"/>
              <w:rPr>
                <w:sz w:val="20"/>
                <w:szCs w:val="20"/>
                <w:color w:val="auto"/>
              </w:rPr>
            </w:pPr>
            <w:r>
              <w:rPr>
                <w:rFonts w:ascii="Arial" w:cs="Arial" w:eastAsia="Arial" w:hAnsi="Arial"/>
                <w:sz w:val="16"/>
                <w:szCs w:val="16"/>
                <w:color w:val="auto"/>
              </w:rPr>
              <w:t>4.16</w:t>
            </w:r>
          </w:p>
        </w:tc>
        <w:tc>
          <w:tcPr>
            <w:tcW w:w="6680" w:type="dxa"/>
            <w:vAlign w:val="bottom"/>
            <w:gridSpan w:val="6"/>
          </w:tcPr>
          <w:p>
            <w:pPr>
              <w:spacing w:after="0"/>
              <w:rPr>
                <w:rFonts w:ascii="Arial" w:cs="Arial" w:eastAsia="Arial" w:hAnsi="Arial"/>
                <w:sz w:val="16"/>
                <w:szCs w:val="16"/>
                <w:color w:val="0000FF"/>
              </w:rPr>
            </w:pPr>
            <w:hyperlink r:id="rId144">
              <w:r>
                <w:rPr>
                  <w:rFonts w:ascii="Arial" w:cs="Arial" w:eastAsia="Arial" w:hAnsi="Arial"/>
                  <w:sz w:val="16"/>
                  <w:szCs w:val="16"/>
                  <w:u w:val="single" w:color="auto"/>
                  <w:color w:val="0000FF"/>
                </w:rPr>
                <w:t>Third</w:t>
              </w:r>
              <w:r>
                <w:rPr>
                  <w:rFonts w:ascii="Arial" w:cs="Arial" w:eastAsia="Arial" w:hAnsi="Arial"/>
                  <w:sz w:val="16"/>
                  <w:szCs w:val="16"/>
                  <w:color w:val="0000FF"/>
                </w:rPr>
                <w:t xml:space="preserve"> Supplemental Indenture, dated April 24, 2020, by and between Micron Technology,</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60" w:type="dxa"/>
            <w:vAlign w:val="bottom"/>
            <w:vMerge w:val="continue"/>
          </w:tcPr>
          <w:p>
            <w:pPr>
              <w:spacing w:after="0"/>
              <w:rPr>
                <w:sz w:val="12"/>
                <w:szCs w:val="12"/>
                <w:color w:val="auto"/>
              </w:rPr>
            </w:pPr>
          </w:p>
        </w:tc>
        <w:tc>
          <w:tcPr>
            <w:tcW w:w="3720" w:type="dxa"/>
            <w:vAlign w:val="bottom"/>
            <w:tcBorders>
              <w:bottom w:val="single" w:sz="8" w:color="0000FF"/>
            </w:tcBorders>
            <w:gridSpan w:val="3"/>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Inc. and U.S. Bank National Association, as Trustee</w:t>
              </w:r>
            </w:hyperlink>
          </w:p>
        </w:tc>
        <w:tc>
          <w:tcPr>
            <w:tcW w:w="262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60" w:type="dxa"/>
            <w:vAlign w:val="bottom"/>
            <w:vMerge w:val="restart"/>
          </w:tcPr>
          <w:p>
            <w:pPr>
              <w:spacing w:after="0"/>
              <w:rPr>
                <w:sz w:val="20"/>
                <w:szCs w:val="20"/>
                <w:color w:val="auto"/>
              </w:rPr>
            </w:pPr>
            <w:r>
              <w:rPr>
                <w:rFonts w:ascii="Arial" w:cs="Arial" w:eastAsia="Arial" w:hAnsi="Arial"/>
                <w:sz w:val="16"/>
                <w:szCs w:val="16"/>
                <w:color w:val="auto"/>
              </w:rPr>
              <w:t>4.17</w:t>
            </w:r>
          </w:p>
        </w:tc>
        <w:tc>
          <w:tcPr>
            <w:tcW w:w="6680" w:type="dxa"/>
            <w:vAlign w:val="bottom"/>
            <w:gridSpan w:val="6"/>
          </w:tcPr>
          <w:p>
            <w:pPr>
              <w:spacing w:after="0"/>
              <w:rPr>
                <w:rFonts w:ascii="Arial" w:cs="Arial" w:eastAsia="Arial" w:hAnsi="Arial"/>
                <w:sz w:val="16"/>
                <w:szCs w:val="16"/>
                <w:color w:val="0000FF"/>
              </w:rPr>
            </w:pPr>
            <w:hyperlink r:id="rId144">
              <w:r>
                <w:rPr>
                  <w:rFonts w:ascii="Arial" w:cs="Arial" w:eastAsia="Arial" w:hAnsi="Arial"/>
                  <w:sz w:val="16"/>
                  <w:szCs w:val="16"/>
                  <w:color w:val="0000FF"/>
                </w:rPr>
                <w:t>Form of Note for Micron Technology, Inc.’s 2.497% Senior Notes due 2023 (included in</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60" w:type="dxa"/>
            <w:vAlign w:val="bottom"/>
            <w:vMerge w:val="continue"/>
          </w:tcPr>
          <w:p>
            <w:pPr>
              <w:spacing w:after="0"/>
              <w:rPr>
                <w:sz w:val="12"/>
                <w:szCs w:val="12"/>
                <w:color w:val="auto"/>
              </w:rPr>
            </w:pPr>
          </w:p>
        </w:tc>
        <w:tc>
          <w:tcPr>
            <w:tcW w:w="6200" w:type="dxa"/>
            <w:vAlign w:val="bottom"/>
            <w:tcBorders>
              <w:top w:val="single" w:sz="8" w:color="0000FF"/>
            </w:tcBorders>
            <w:gridSpan w:val="4"/>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Exhibit 4.16)</w:t>
              </w:r>
            </w:hyperlink>
          </w:p>
        </w:tc>
        <w:tc>
          <w:tcPr>
            <w:tcW w:w="48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900" w:type="dxa"/>
            <w:vAlign w:val="bottom"/>
            <w:gridSpan w:val="2"/>
            <w:shd w:val="clear" w:color="auto" w:fill="0000FF"/>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320" w:type="dxa"/>
            <w:vAlign w:val="bottom"/>
            <w:vMerge w:val="restart"/>
          </w:tcPr>
          <w:p>
            <w:pPr>
              <w:ind w:left="2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line="20" w:lineRule="exact"/>
              <w:rPr>
                <w:sz w:val="1"/>
                <w:szCs w:val="1"/>
                <w:color w:val="auto"/>
              </w:rPr>
            </w:pPr>
          </w:p>
        </w:tc>
      </w:tr>
      <w:tr>
        <w:trPr>
          <w:trHeight w:val="258"/>
        </w:trPr>
        <w:tc>
          <w:tcPr>
            <w:tcW w:w="960" w:type="dxa"/>
            <w:vAlign w:val="bottom"/>
            <w:vMerge w:val="continue"/>
          </w:tcPr>
          <w:p>
            <w:pPr>
              <w:spacing w:after="0"/>
              <w:rPr>
                <w:sz w:val="22"/>
                <w:szCs w:val="22"/>
                <w:color w:val="auto"/>
              </w:rPr>
            </w:pPr>
          </w:p>
        </w:tc>
        <w:tc>
          <w:tcPr>
            <w:tcW w:w="6680" w:type="dxa"/>
            <w:vAlign w:val="bottom"/>
            <w:gridSpan w:val="6"/>
          </w:tcPr>
          <w:p>
            <w:pPr>
              <w:spacing w:after="0"/>
              <w:rPr>
                <w:rFonts w:ascii="Arial" w:cs="Arial" w:eastAsia="Arial" w:hAnsi="Arial"/>
                <w:sz w:val="16"/>
                <w:szCs w:val="16"/>
                <w:u w:val="single" w:color="auto"/>
                <w:color w:val="0000FF"/>
              </w:rPr>
            </w:pPr>
            <w:hyperlink w:anchor="page58">
              <w:r>
                <w:rPr>
                  <w:rFonts w:ascii="Arial" w:cs="Arial" w:eastAsia="Arial" w:hAnsi="Arial"/>
                  <w:sz w:val="16"/>
                  <w:szCs w:val="16"/>
                  <w:u w:val="single" w:color="auto"/>
                  <w:color w:val="0000FF"/>
                </w:rPr>
                <w:t>Rule 13a-14(a) Certification of Chief Executive Officer</w:t>
              </w:r>
            </w:hyperlink>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0"/>
                <w:szCs w:val="20"/>
                <w:color w:val="auto"/>
              </w:rPr>
            </w:pPr>
            <w:r>
              <w:rPr>
                <w:rFonts w:ascii="Arial" w:cs="Arial" w:eastAsia="Arial" w:hAnsi="Arial"/>
                <w:sz w:val="16"/>
                <w:szCs w:val="16"/>
                <w:color w:val="auto"/>
              </w:rPr>
              <w:t>31.2</w:t>
            </w:r>
          </w:p>
        </w:tc>
        <w:tc>
          <w:tcPr>
            <w:tcW w:w="6680" w:type="dxa"/>
            <w:vAlign w:val="bottom"/>
            <w:gridSpan w:val="6"/>
          </w:tcPr>
          <w:p>
            <w:pPr>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Rule 13a-14(a) Certification of Chief Financial Officer</w:t>
              </w:r>
            </w:hyperlink>
          </w:p>
        </w:tc>
        <w:tc>
          <w:tcPr>
            <w:tcW w:w="320" w:type="dxa"/>
            <w:vAlign w:val="bottom"/>
          </w:tcPr>
          <w:p>
            <w:pPr>
              <w:ind w:left="2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0"/>
                <w:szCs w:val="20"/>
                <w:color w:val="auto"/>
              </w:rPr>
            </w:pPr>
            <w:r>
              <w:rPr>
                <w:rFonts w:ascii="Arial" w:cs="Arial" w:eastAsia="Arial" w:hAnsi="Arial"/>
                <w:sz w:val="16"/>
                <w:szCs w:val="16"/>
                <w:color w:val="auto"/>
              </w:rPr>
              <w:t>32.1</w:t>
            </w:r>
          </w:p>
        </w:tc>
        <w:tc>
          <w:tcPr>
            <w:tcW w:w="6680" w:type="dxa"/>
            <w:vAlign w:val="bottom"/>
            <w:gridSpan w:val="6"/>
          </w:tcPr>
          <w:p>
            <w:pPr>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Certification of Chief Executive Officer Pursuant to 18 U.S.C. 1350</w:t>
              </w:r>
            </w:hyperlink>
          </w:p>
        </w:tc>
        <w:tc>
          <w:tcPr>
            <w:tcW w:w="320" w:type="dxa"/>
            <w:vAlign w:val="bottom"/>
          </w:tcPr>
          <w:p>
            <w:pPr>
              <w:ind w:left="2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0"/>
                <w:szCs w:val="20"/>
                <w:color w:val="auto"/>
              </w:rPr>
            </w:pPr>
            <w:r>
              <w:rPr>
                <w:rFonts w:ascii="Arial" w:cs="Arial" w:eastAsia="Arial" w:hAnsi="Arial"/>
                <w:sz w:val="16"/>
                <w:szCs w:val="16"/>
                <w:color w:val="auto"/>
              </w:rPr>
              <w:t>32.2</w:t>
            </w:r>
          </w:p>
        </w:tc>
        <w:tc>
          <w:tcPr>
            <w:tcW w:w="6680" w:type="dxa"/>
            <w:vAlign w:val="bottom"/>
            <w:gridSpan w:val="6"/>
          </w:tcPr>
          <w:p>
            <w:pPr>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Certification of Chief Financial Officer Pursuant to 18 U.S.C. 1350</w:t>
              </w:r>
            </w:hyperlink>
          </w:p>
        </w:tc>
        <w:tc>
          <w:tcPr>
            <w:tcW w:w="320" w:type="dxa"/>
            <w:vAlign w:val="bottom"/>
          </w:tcPr>
          <w:p>
            <w:pPr>
              <w:ind w:left="2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24"/>
        </w:trPr>
        <w:tc>
          <w:tcPr>
            <w:tcW w:w="960" w:type="dxa"/>
            <w:vAlign w:val="bottom"/>
          </w:tcPr>
          <w:p>
            <w:pPr>
              <w:spacing w:after="0"/>
              <w:rPr>
                <w:sz w:val="20"/>
                <w:szCs w:val="20"/>
                <w:color w:val="auto"/>
              </w:rPr>
            </w:pPr>
            <w:r>
              <w:rPr>
                <w:rFonts w:ascii="Arial" w:cs="Arial" w:eastAsia="Arial" w:hAnsi="Arial"/>
                <w:sz w:val="16"/>
                <w:szCs w:val="16"/>
                <w:color w:val="auto"/>
              </w:rPr>
              <w:t>101.INS</w:t>
            </w:r>
          </w:p>
        </w:tc>
        <w:tc>
          <w:tcPr>
            <w:tcW w:w="6680" w:type="dxa"/>
            <w:vAlign w:val="bottom"/>
            <w:gridSpan w:val="6"/>
          </w:tcPr>
          <w:p>
            <w:pPr>
              <w:spacing w:after="0"/>
              <w:rPr>
                <w:sz w:val="20"/>
                <w:szCs w:val="20"/>
                <w:color w:val="auto"/>
              </w:rPr>
            </w:pPr>
            <w:r>
              <w:rPr>
                <w:rFonts w:ascii="Arial" w:cs="Arial" w:eastAsia="Arial" w:hAnsi="Arial"/>
                <w:sz w:val="16"/>
                <w:szCs w:val="16"/>
                <w:color w:val="auto"/>
              </w:rPr>
              <w:t>XBRL Instance Document - the instance document does not appear in the Interactive Data</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6680" w:type="dxa"/>
            <w:vAlign w:val="bottom"/>
            <w:gridSpan w:val="6"/>
          </w:tcPr>
          <w:p>
            <w:pPr>
              <w:spacing w:after="0"/>
              <w:rPr>
                <w:sz w:val="20"/>
                <w:szCs w:val="20"/>
                <w:color w:val="auto"/>
              </w:rPr>
            </w:pPr>
            <w:r>
              <w:rPr>
                <w:rFonts w:ascii="Arial" w:cs="Arial" w:eastAsia="Arial" w:hAnsi="Arial"/>
                <w:sz w:val="16"/>
                <w:szCs w:val="16"/>
                <w:color w:val="auto"/>
              </w:rPr>
              <w:t>File because its XBRL tags are embedded within the Inline XBRL document</w:t>
            </w:r>
          </w:p>
        </w:tc>
        <w:tc>
          <w:tcPr>
            <w:tcW w:w="320" w:type="dxa"/>
            <w:vAlign w:val="bottom"/>
          </w:tcPr>
          <w:p>
            <w:pPr>
              <w:ind w:left="2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0"/>
                <w:szCs w:val="20"/>
                <w:color w:val="auto"/>
              </w:rPr>
            </w:pPr>
            <w:r>
              <w:rPr>
                <w:rFonts w:ascii="Arial" w:cs="Arial" w:eastAsia="Arial" w:hAnsi="Arial"/>
                <w:sz w:val="16"/>
                <w:szCs w:val="16"/>
                <w:color w:val="auto"/>
              </w:rPr>
              <w:t>101.SCH</w:t>
            </w:r>
          </w:p>
        </w:tc>
        <w:tc>
          <w:tcPr>
            <w:tcW w:w="668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 Document</w:t>
            </w:r>
          </w:p>
        </w:tc>
        <w:tc>
          <w:tcPr>
            <w:tcW w:w="320" w:type="dxa"/>
            <w:vAlign w:val="bottom"/>
          </w:tcPr>
          <w:p>
            <w:pPr>
              <w:ind w:left="2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0"/>
                <w:szCs w:val="20"/>
                <w:color w:val="auto"/>
              </w:rPr>
            </w:pPr>
            <w:r>
              <w:rPr>
                <w:rFonts w:ascii="Arial" w:cs="Arial" w:eastAsia="Arial" w:hAnsi="Arial"/>
                <w:sz w:val="16"/>
                <w:szCs w:val="16"/>
                <w:color w:val="auto"/>
              </w:rPr>
              <w:t>101.CAL</w:t>
            </w:r>
          </w:p>
        </w:tc>
        <w:tc>
          <w:tcPr>
            <w:tcW w:w="6680" w:type="dxa"/>
            <w:vAlign w:val="bottom"/>
            <w:gridSpan w:val="6"/>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320" w:type="dxa"/>
            <w:vAlign w:val="bottom"/>
          </w:tcPr>
          <w:p>
            <w:pPr>
              <w:ind w:left="2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0"/>
                <w:szCs w:val="20"/>
                <w:color w:val="auto"/>
              </w:rPr>
            </w:pPr>
            <w:r>
              <w:rPr>
                <w:rFonts w:ascii="Arial" w:cs="Arial" w:eastAsia="Arial" w:hAnsi="Arial"/>
                <w:sz w:val="16"/>
                <w:szCs w:val="16"/>
                <w:color w:val="auto"/>
              </w:rPr>
              <w:t>101.DEF</w:t>
            </w:r>
          </w:p>
        </w:tc>
        <w:tc>
          <w:tcPr>
            <w:tcW w:w="6680" w:type="dxa"/>
            <w:vAlign w:val="bottom"/>
            <w:gridSpan w:val="6"/>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320" w:type="dxa"/>
            <w:vAlign w:val="bottom"/>
          </w:tcPr>
          <w:p>
            <w:pPr>
              <w:ind w:left="2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0"/>
                <w:szCs w:val="20"/>
                <w:color w:val="auto"/>
              </w:rPr>
            </w:pPr>
            <w:r>
              <w:rPr>
                <w:rFonts w:ascii="Arial" w:cs="Arial" w:eastAsia="Arial" w:hAnsi="Arial"/>
                <w:sz w:val="16"/>
                <w:szCs w:val="16"/>
                <w:color w:val="auto"/>
              </w:rPr>
              <w:t>101.LAB</w:t>
            </w:r>
          </w:p>
        </w:tc>
        <w:tc>
          <w:tcPr>
            <w:tcW w:w="6680" w:type="dxa"/>
            <w:vAlign w:val="bottom"/>
            <w:gridSpan w:val="6"/>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320" w:type="dxa"/>
            <w:vAlign w:val="bottom"/>
          </w:tcPr>
          <w:p>
            <w:pPr>
              <w:ind w:left="2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0"/>
                <w:szCs w:val="20"/>
                <w:color w:val="auto"/>
              </w:rPr>
            </w:pPr>
            <w:r>
              <w:rPr>
                <w:rFonts w:ascii="Arial" w:cs="Arial" w:eastAsia="Arial" w:hAnsi="Arial"/>
                <w:sz w:val="16"/>
                <w:szCs w:val="16"/>
                <w:color w:val="auto"/>
              </w:rPr>
              <w:t>101.PRE</w:t>
            </w:r>
          </w:p>
        </w:tc>
        <w:tc>
          <w:tcPr>
            <w:tcW w:w="6680" w:type="dxa"/>
            <w:vAlign w:val="bottom"/>
            <w:gridSpan w:val="6"/>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320" w:type="dxa"/>
            <w:vAlign w:val="bottom"/>
          </w:tcPr>
          <w:p>
            <w:pPr>
              <w:ind w:left="2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0"/>
                <w:szCs w:val="20"/>
                <w:color w:val="auto"/>
              </w:rPr>
            </w:pPr>
            <w:r>
              <w:rPr>
                <w:rFonts w:ascii="Arial" w:cs="Arial" w:eastAsia="Arial" w:hAnsi="Arial"/>
                <w:sz w:val="16"/>
                <w:szCs w:val="16"/>
                <w:color w:val="auto"/>
              </w:rPr>
              <w:t>104</w:t>
            </w:r>
          </w:p>
        </w:tc>
        <w:tc>
          <w:tcPr>
            <w:tcW w:w="6680" w:type="dxa"/>
            <w:vAlign w:val="bottom"/>
            <w:gridSpan w:val="6"/>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320" w:type="dxa"/>
            <w:vAlign w:val="bottom"/>
          </w:tcPr>
          <w:p>
            <w:pPr>
              <w:ind w:left="2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-1804670</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-1496060</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-1186815</wp:posOffset>
            </wp:positionV>
            <wp:extent cx="7132320" cy="274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-758825</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40" w:type="dxa"/>
            <w:vAlign w:val="bottom"/>
          </w:tcPr>
          <w:p>
            <w:pPr>
              <w:spacing w:after="0"/>
              <w:rPr>
                <w:sz w:val="20"/>
                <w:szCs w:val="20"/>
                <w:color w:val="auto"/>
              </w:rPr>
            </w:pPr>
            <w:r>
              <w:rPr>
                <w:rFonts w:ascii="Arial" w:cs="Arial" w:eastAsia="Arial" w:hAnsi="Arial"/>
                <w:sz w:val="16"/>
                <w:szCs w:val="16"/>
                <w:color w:val="auto"/>
              </w:rPr>
              <w:t>8-K</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4.2</w:t>
            </w:r>
          </w:p>
        </w:tc>
        <w:tc>
          <w:tcPr>
            <w:tcW w:w="760" w:type="dxa"/>
            <w:vAlign w:val="bottom"/>
          </w:tcPr>
          <w:p>
            <w:pPr>
              <w:jc w:val="right"/>
              <w:spacing w:after="0"/>
              <w:rPr>
                <w:sz w:val="20"/>
                <w:szCs w:val="20"/>
                <w:color w:val="auto"/>
              </w:rPr>
            </w:pPr>
            <w:r>
              <w:rPr>
                <w:rFonts w:ascii="Arial" w:cs="Arial" w:eastAsia="Arial" w:hAnsi="Arial"/>
                <w:sz w:val="16"/>
                <w:szCs w:val="16"/>
                <w:color w:val="auto"/>
              </w:rPr>
              <w:t>4/24/20</w:t>
            </w:r>
          </w:p>
        </w:tc>
      </w:tr>
      <w:tr>
        <w:trPr>
          <w:trHeight w:val="378"/>
        </w:trPr>
        <w:tc>
          <w:tcPr>
            <w:tcW w:w="840" w:type="dxa"/>
            <w:vAlign w:val="bottom"/>
          </w:tcPr>
          <w:p>
            <w:pPr>
              <w:spacing w:after="0"/>
              <w:rPr>
                <w:sz w:val="20"/>
                <w:szCs w:val="20"/>
                <w:color w:val="auto"/>
              </w:rPr>
            </w:pPr>
            <w:r>
              <w:rPr>
                <w:rFonts w:ascii="Arial" w:cs="Arial" w:eastAsia="Arial" w:hAnsi="Arial"/>
                <w:sz w:val="16"/>
                <w:szCs w:val="16"/>
                <w:color w:val="auto"/>
              </w:rPr>
              <w:t>8-K</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760" w:type="dxa"/>
            <w:vAlign w:val="bottom"/>
          </w:tcPr>
          <w:p>
            <w:pPr>
              <w:jc w:val="right"/>
              <w:spacing w:after="0"/>
              <w:rPr>
                <w:sz w:val="20"/>
                <w:szCs w:val="20"/>
                <w:color w:val="auto"/>
              </w:rPr>
            </w:pPr>
            <w:r>
              <w:rPr>
                <w:rFonts w:ascii="Arial" w:cs="Arial" w:eastAsia="Arial" w:hAnsi="Arial"/>
                <w:sz w:val="16"/>
                <w:szCs w:val="16"/>
                <w:color w:val="auto"/>
              </w:rPr>
              <w:t>4/24/20</w:t>
            </w:r>
          </w:p>
        </w:tc>
      </w:tr>
    </w:tbl>
    <w:p>
      <w:pPr>
        <w:spacing w:after="0" w:line="3061" w:lineRule="exact"/>
        <w:rPr>
          <w:sz w:val="20"/>
          <w:szCs w:val="20"/>
          <w:color w:val="auto"/>
        </w:rPr>
      </w:pPr>
    </w:p>
    <w:p>
      <w:pPr>
        <w:sectPr>
          <w:pgSz w:w="11900" w:h="16838" w:orient="portrait"/>
          <w:cols w:equalWidth="0" w:num="2">
            <w:col w:w="7980" w:space="560"/>
            <w:col w:w="2700"/>
          </w:cols>
          <w:pgMar w:left="320" w:top="9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22"/>
          <w:szCs w:val="22"/>
          <w:b w:val="1"/>
          <w:bCs w:val="1"/>
          <w:color w:val="auto"/>
        </w:rPr>
        <w:t>SIGNATURES</w:t>
      </w:r>
    </w:p>
    <w:p>
      <w:pPr>
        <w:spacing w:after="0" w:line="26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776"/>
        </w:trPr>
        <w:tc>
          <w:tcPr>
            <w:tcW w:w="3700" w:type="dxa"/>
            <w:vAlign w:val="bottom"/>
          </w:tcPr>
          <w:p>
            <w:pPr>
              <w:spacing w:after="0"/>
              <w:rPr>
                <w:sz w:val="20"/>
                <w:szCs w:val="20"/>
                <w:color w:val="auto"/>
              </w:rPr>
            </w:pPr>
            <w:r>
              <w:rPr>
                <w:rFonts w:ascii="Arial" w:cs="Arial" w:eastAsia="Arial" w:hAnsi="Arial"/>
                <w:sz w:val="18"/>
                <w:szCs w:val="18"/>
                <w:color w:val="auto"/>
              </w:rPr>
              <w:t>Date:  June 30, 2020</w:t>
            </w:r>
          </w:p>
        </w:tc>
        <w:tc>
          <w:tcPr>
            <w:tcW w:w="7520" w:type="dxa"/>
            <w:vAlign w:val="bottom"/>
            <w:gridSpan w:val="2"/>
          </w:tcPr>
          <w:p>
            <w:pPr>
              <w:ind w:left="19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David A. Zinsner</w:t>
            </w:r>
          </w:p>
        </w:tc>
      </w:tr>
      <w:tr>
        <w:trPr>
          <w:trHeight w:val="243"/>
        </w:trPr>
        <w:tc>
          <w:tcPr>
            <w:tcW w:w="37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A. Zinsner</w:t>
            </w:r>
          </w:p>
        </w:tc>
      </w:tr>
      <w:tr>
        <w:trPr>
          <w:trHeight w:val="257"/>
        </w:trPr>
        <w:tc>
          <w:tcPr>
            <w:tcW w:w="37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56"/>
        </w:trPr>
        <w:tc>
          <w:tcPr>
            <w:tcW w:w="37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20"/>
        </w:trPr>
        <w:tc>
          <w:tcPr>
            <w:tcW w:w="37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Paul Marosvari</w:t>
            </w:r>
          </w:p>
        </w:tc>
      </w:tr>
      <w:tr>
        <w:trPr>
          <w:trHeight w:val="243"/>
        </w:trPr>
        <w:tc>
          <w:tcPr>
            <w:tcW w:w="37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Paul Marosvari</w:t>
            </w:r>
          </w:p>
        </w:tc>
      </w:tr>
      <w:tr>
        <w:trPr>
          <w:trHeight w:val="257"/>
        </w:trPr>
        <w:tc>
          <w:tcPr>
            <w:tcW w:w="37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56"/>
        </w:trPr>
        <w:tc>
          <w:tcPr>
            <w:tcW w:w="37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55</w:t>
      </w:r>
    </w:p>
    <w:p>
      <w:pPr>
        <w:sectPr>
          <w:pgSz w:w="11900" w:h="16838" w:orient="portrait"/>
          <w:cols w:equalWidth="0" w:num="1">
            <w:col w:w="11240"/>
          </w:cols>
          <w:pgMar w:left="320" w:top="93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31.1</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1"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280" w:hanging="328"/>
        <w:spacing w:after="0" w:line="291" w:lineRule="auto"/>
        <w:tabs>
          <w:tab w:leader="none" w:pos="648"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760" w:val="left"/>
          <w:tab w:leader="none" w:pos="5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30, 2020</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14605</wp:posOffset>
            </wp:positionV>
            <wp:extent cx="33089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Sanjay Mehrotra</w:t>
      </w:r>
    </w:p>
    <w:p>
      <w:pPr>
        <w:ind w:left="512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89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31.2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171"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1"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280" w:hanging="328"/>
        <w:spacing w:after="0" w:line="291" w:lineRule="auto"/>
        <w:tabs>
          <w:tab w:leader="none" w:pos="648"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40"/>
        <w:spacing w:after="0"/>
        <w:tabs>
          <w:tab w:leader="none" w:pos="720" w:val="left"/>
          <w:tab w:leader="none" w:pos="5640" w:val="left"/>
        </w:tabs>
        <w:rPr>
          <w:sz w:val="20"/>
          <w:szCs w:val="20"/>
          <w:color w:val="auto"/>
        </w:rPr>
      </w:pPr>
      <w:r>
        <w:rPr>
          <w:rFonts w:ascii="Arial" w:cs="Arial" w:eastAsia="Arial" w:hAnsi="Arial"/>
          <w:sz w:val="18"/>
          <w:szCs w:val="18"/>
          <w:color w:val="auto"/>
        </w:rPr>
        <w:t>Date:</w:t>
        <w:tab/>
        <w:t>June 30, 2020</w:t>
      </w:r>
      <w:r>
        <w:rPr>
          <w:sz w:val="20"/>
          <w:szCs w:val="20"/>
          <w:color w:val="auto"/>
        </w:rPr>
        <w:tab/>
      </w:r>
      <w:r>
        <w:rPr>
          <w:rFonts w:ascii="Arial" w:cs="Arial" w:eastAsia="Arial" w:hAnsi="Arial"/>
          <w:sz w:val="18"/>
          <w:szCs w:val="18"/>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01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A. Zinsner</w:t>
      </w:r>
    </w:p>
    <w:p>
      <w:pPr>
        <w:ind w:left="56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98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32.1</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May 28, 2020,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341" w:lineRule="exact"/>
        <w:rPr>
          <w:sz w:val="20"/>
          <w:szCs w:val="20"/>
          <w:color w:val="auto"/>
        </w:rPr>
      </w:pPr>
    </w:p>
    <w:p>
      <w:pPr>
        <w:ind w:left="60"/>
        <w:spacing w:after="0"/>
        <w:tabs>
          <w:tab w:leader="none" w:pos="720" w:val="left"/>
          <w:tab w:leader="none" w:pos="5620" w:val="left"/>
        </w:tabs>
        <w:rPr>
          <w:sz w:val="20"/>
          <w:szCs w:val="20"/>
          <w:color w:val="auto"/>
        </w:rPr>
      </w:pPr>
      <w:r>
        <w:rPr>
          <w:rFonts w:ascii="Arial" w:cs="Arial" w:eastAsia="Arial" w:hAnsi="Arial"/>
          <w:sz w:val="18"/>
          <w:szCs w:val="18"/>
          <w:color w:val="auto"/>
        </w:rPr>
        <w:t>Date:</w:t>
        <w:tab/>
        <w:t>June 30, 2020</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490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Sanjay Mehrotra</w:t>
      </w:r>
    </w:p>
    <w:p>
      <w:pPr>
        <w:ind w:left="564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 18 U.S.C. 1350</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 David A. Zinsner, certify, pursuant to 18 U.S.C. 1350, as adopted pursuant to Section 906 of the Sarbanes-Oxley Act of 2002, that the Quarterly Report of Micron Technology, Inc. on Form 10-Q for the period ended May 28, 2020,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60" w:lineRule="exact"/>
        <w:rPr>
          <w:sz w:val="20"/>
          <w:szCs w:val="20"/>
          <w:color w:val="auto"/>
        </w:rPr>
      </w:pPr>
    </w:p>
    <w:p>
      <w:pPr>
        <w:ind w:left="40"/>
        <w:spacing w:after="0"/>
        <w:tabs>
          <w:tab w:leader="none" w:pos="720" w:val="left"/>
          <w:tab w:leader="none" w:pos="5640" w:val="left"/>
        </w:tabs>
        <w:rPr>
          <w:sz w:val="20"/>
          <w:szCs w:val="20"/>
          <w:color w:val="auto"/>
        </w:rPr>
      </w:pPr>
      <w:r>
        <w:rPr>
          <w:rFonts w:ascii="Arial" w:cs="Arial" w:eastAsia="Arial" w:hAnsi="Arial"/>
          <w:sz w:val="18"/>
          <w:szCs w:val="18"/>
          <w:color w:val="auto"/>
        </w:rPr>
        <w:t>Date:</w:t>
        <w:tab/>
        <w:t>June 30, 2020</w:t>
      </w:r>
      <w:r>
        <w:rPr>
          <w:sz w:val="20"/>
          <w:szCs w:val="20"/>
          <w:color w:val="auto"/>
        </w:rPr>
        <w:tab/>
      </w:r>
      <w:r>
        <w:rPr>
          <w:rFonts w:ascii="Arial" w:cs="Arial" w:eastAsia="Arial" w:hAnsi="Arial"/>
          <w:sz w:val="18"/>
          <w:szCs w:val="18"/>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0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A. Zinsner</w:t>
      </w:r>
    </w:p>
    <w:p>
      <w:pPr>
        <w:ind w:left="566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461"/>
    </w:lvl>
  </w:abstractNum>
  <w:abstractNum w:abstractNumId="4">
    <w:nsid w:val="628C895D"/>
    <w:multiLevelType w:val="hybridMultilevel"/>
    <w:lvl w:ilvl="0">
      <w:lvlJc w:val="left"/>
      <w:lvlText w:val="(%1)"/>
      <w:numFmt w:val="decimal"/>
      <w:start w:val="286"/>
    </w:lvl>
  </w:abstractNum>
  <w:abstractNum w:abstractNumId="5">
    <w:nsid w:val="333AB105"/>
    <w:multiLevelType w:val="hybridMultilevel"/>
    <w:lvl w:ilvl="0">
      <w:lvlJc w:val="left"/>
      <w:lvlText w:val="(%1)"/>
      <w:numFmt w:val="decimal"/>
      <w:start w:val="793"/>
    </w:lvl>
  </w:abstractNum>
  <w:abstractNum w:abstractNumId="6">
    <w:nsid w:val="721DA317"/>
    <w:multiLevelType w:val="hybridMultilevel"/>
    <w:lvl w:ilvl="0">
      <w:lvlJc w:val="left"/>
      <w:lvlText w:val="%1"/>
      <w:numFmt w:val="decimal"/>
      <w:start w:val="140"/>
    </w:lvl>
    <w:lvl w:ilvl="1">
      <w:lvlJc w:val="left"/>
      <w:lvlText w:val="(%2)"/>
      <w:numFmt w:val="decimal"/>
      <w:start w:val="48"/>
    </w:lvl>
  </w:abstractNum>
  <w:abstractNum w:abstractNumId="7">
    <w:nsid w:val="2443A858"/>
    <w:multiLevelType w:val="hybridMultilevel"/>
    <w:lvl w:ilvl="0">
      <w:lvlJc w:val="left"/>
      <w:lvlText w:val="(%1)"/>
      <w:numFmt w:val="decimal"/>
      <w:start w:val="744"/>
    </w:lvl>
  </w:abstractNum>
  <w:abstractNum w:abstractNumId="8">
    <w:nsid w:val="2D1D5AE9"/>
    <w:multiLevelType w:val="hybridMultilevel"/>
    <w:lvl w:ilvl="0">
      <w:lvlJc w:val="left"/>
      <w:lvlText w:val="(%1)"/>
      <w:numFmt w:val="decimal"/>
      <w:start w:val="203"/>
    </w:lvl>
    <w:lvl w:ilvl="1">
      <w:lvlJc w:val="left"/>
      <w:lvlText w:val="%2"/>
      <w:numFmt w:val="decimal"/>
      <w:start w:val="1"/>
    </w:lvl>
  </w:abstractNum>
  <w:abstractNum w:abstractNumId="9">
    <w:nsid w:val="6763845E"/>
    <w:multiLevelType w:val="hybridMultilevel"/>
    <w:lvl w:ilvl="0">
      <w:lvlJc w:val="left"/>
      <w:lvlText w:val="(%1)"/>
      <w:numFmt w:val="decimal"/>
      <w:start w:val="49"/>
    </w:lvl>
    <w:lvl w:ilvl="1">
      <w:lvlJc w:val="left"/>
      <w:lvlText w:val="%2"/>
      <w:numFmt w:val="decimal"/>
      <w:start w:val="1"/>
    </w:lvl>
  </w:abstractNum>
  <w:abstractNum w:abstractNumId="10">
    <w:nsid w:val="75A2A8D4"/>
    <w:multiLevelType w:val="hybridMultilevel"/>
    <w:lvl w:ilvl="0">
      <w:lvlJc w:val="left"/>
      <w:lvlText w:val="(%1)"/>
      <w:numFmt w:val="decimal"/>
      <w:start w:val="135"/>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lowerRoman"/>
      <w:start w:val="1"/>
    </w:lvl>
  </w:abstractNum>
  <w:abstractNum w:abstractNumId="15">
    <w:nsid w:val="189A769B"/>
    <w:multiLevelType w:val="hybridMultilevel"/>
    <w:lvl w:ilvl="0">
      <w:lvlJc w:val="left"/>
      <w:lvlText w:val="(%1)"/>
      <w:numFmt w:val="decimal"/>
      <w:start w:val="3"/>
    </w:lvl>
  </w:abstractNum>
  <w:abstractNum w:abstractNumId="16">
    <w:nsid w:val="54E49EB4"/>
    <w:multiLevelType w:val="hybridMultilevel"/>
    <w:lvl w:ilvl="0">
      <w:lvlJc w:val="left"/>
      <w:lvlText w:val="(%1)"/>
      <w:numFmt w:val="decimal"/>
      <w:start w:val="3"/>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lvl w:ilvl="1">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3"/>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jpe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44" Type="http://schemas.openxmlformats.org/officeDocument/2006/relationships/hyperlink" Target="http://www.sec.gov/Archives/edgar/data/723125/000110465920050965/tm2016033d4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2020-06-30T11:15:33Z</dcterms:created>
  <dcterms:modified xsi:type="dcterms:W3CDTF">2020-06-30T11:15:33Z</dcterms:modified>
</cp:coreProperties>
</file>