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252095</wp:posOffset>
            </wp:positionH>
            <wp:positionV relativeFrom="page">
              <wp:posOffset>612140</wp:posOffset>
            </wp:positionV>
            <wp:extent cx="70662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66280" cy="8890"/>
                    </a:xfrm>
                    <a:prstGeom prst="rect">
                      <a:avLst/>
                    </a:prstGeom>
                    <a:noFill/>
                  </pic:spPr>
                </pic:pic>
              </a:graphicData>
            </a:graphic>
          </wp:anchor>
        </w:drawing>
        <w:drawing>
          <wp:anchor simplePos="0" relativeHeight="251657728" behindDoc="1" locked="0" layoutInCell="0" allowOverlap="1">
            <wp:simplePos x="0" y="0"/>
            <wp:positionH relativeFrom="page">
              <wp:posOffset>252095</wp:posOffset>
            </wp:positionH>
            <wp:positionV relativeFrom="page">
              <wp:posOffset>629285</wp:posOffset>
            </wp:positionV>
            <wp:extent cx="70662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6628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ind w:left="300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11"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September 26,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83185</wp:posOffset>
            </wp:positionV>
            <wp:extent cx="1551940"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94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40005</wp:posOffset>
            </wp:positionV>
            <wp:extent cx="72377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16"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398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3"/>
              </w:rPr>
              <w:t>Delaware</w:t>
            </w:r>
          </w:p>
        </w:tc>
        <w:tc>
          <w:tcPr>
            <w:tcW w:w="3820" w:type="dxa"/>
            <w:vAlign w:val="bottom"/>
          </w:tcPr>
          <w:p>
            <w:pPr>
              <w:ind w:left="1480"/>
              <w:spacing w:after="0"/>
              <w:rPr>
                <w:sz w:val="20"/>
                <w:szCs w:val="20"/>
                <w:color w:val="auto"/>
              </w:rPr>
            </w:pPr>
            <w:r>
              <w:rPr>
                <w:rFonts w:ascii="Arial" w:cs="Arial" w:eastAsia="Arial" w:hAnsi="Arial"/>
                <w:sz w:val="18"/>
                <w:szCs w:val="18"/>
                <w:b w:val="1"/>
                <w:bCs w:val="1"/>
                <w:color w:val="auto"/>
              </w:rPr>
              <w:t>1-10658</w:t>
            </w:r>
          </w:p>
        </w:tc>
        <w:tc>
          <w:tcPr>
            <w:tcW w:w="36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3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7"/>
        </w:trPr>
        <w:tc>
          <w:tcPr>
            <w:tcW w:w="398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(State or other jurisdiction of incorporation)</w:t>
            </w:r>
          </w:p>
        </w:tc>
        <w:tc>
          <w:tcPr>
            <w:tcW w:w="3820" w:type="dxa"/>
            <w:vAlign w:val="bottom"/>
          </w:tcPr>
          <w:p>
            <w:pPr>
              <w:ind w:left="800"/>
              <w:spacing w:after="0"/>
              <w:rPr>
                <w:sz w:val="20"/>
                <w:szCs w:val="20"/>
                <w:color w:val="auto"/>
              </w:rPr>
            </w:pPr>
            <w:r>
              <w:rPr>
                <w:rFonts w:ascii="Arial" w:cs="Arial" w:eastAsia="Arial" w:hAnsi="Arial"/>
                <w:sz w:val="18"/>
                <w:szCs w:val="18"/>
                <w:color w:val="auto"/>
              </w:rPr>
              <w:t>(Commission File Number)</w:t>
            </w:r>
          </w:p>
        </w:tc>
        <w:tc>
          <w:tcPr>
            <w:tcW w:w="3600" w:type="dxa"/>
            <w:vAlign w:val="bottom"/>
          </w:tcPr>
          <w:p>
            <w:pPr>
              <w:jc w:val="center"/>
              <w:ind w:right="410"/>
              <w:spacing w:after="0"/>
              <w:rPr>
                <w:sz w:val="20"/>
                <w:szCs w:val="20"/>
                <w:color w:val="auto"/>
              </w:rPr>
            </w:pPr>
            <w:r>
              <w:rPr>
                <w:rFonts w:ascii="Arial" w:cs="Arial" w:eastAsia="Arial" w:hAnsi="Arial"/>
                <w:sz w:val="18"/>
                <w:szCs w:val="18"/>
                <w:color w:val="auto"/>
                <w:w w:val="94"/>
              </w:rPr>
              <w:t>(I.R.S. Employer Identification No.)</w:t>
            </w:r>
          </w:p>
        </w:tc>
      </w:tr>
      <w:tr>
        <w:trPr>
          <w:trHeight w:val="527"/>
        </w:trPr>
        <w:tc>
          <w:tcPr>
            <w:tcW w:w="3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Arial" w:cs="Arial" w:eastAsia="Arial" w:hAnsi="Arial"/>
                <w:sz w:val="18"/>
                <w:szCs w:val="18"/>
                <w:b w:val="1"/>
                <w:bCs w:val="1"/>
                <w:color w:val="auto"/>
              </w:rPr>
              <w:t>8000 South Federal Way</w:t>
            </w:r>
          </w:p>
        </w:tc>
        <w:tc>
          <w:tcPr>
            <w:tcW w:w="3600" w:type="dxa"/>
            <w:vAlign w:val="bottom"/>
          </w:tcPr>
          <w:p>
            <w:pPr>
              <w:spacing w:after="0"/>
              <w:rPr>
                <w:sz w:val="24"/>
                <w:szCs w:val="24"/>
                <w:color w:val="auto"/>
              </w:rPr>
            </w:pPr>
          </w:p>
        </w:tc>
      </w:tr>
      <w:tr>
        <w:trPr>
          <w:trHeight w:val="270"/>
        </w:trPr>
        <w:tc>
          <w:tcPr>
            <w:tcW w:w="3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20" w:type="dxa"/>
            <w:vAlign w:val="bottom"/>
          </w:tcPr>
          <w:p>
            <w:pPr>
              <w:ind w:left="780"/>
              <w:spacing w:after="0"/>
              <w:rPr>
                <w:sz w:val="20"/>
                <w:szCs w:val="20"/>
                <w:color w:val="auto"/>
              </w:rPr>
            </w:pPr>
            <w:r>
              <w:rPr>
                <w:rFonts w:ascii="Arial" w:cs="Arial" w:eastAsia="Arial" w:hAnsi="Arial"/>
                <w:sz w:val="18"/>
                <w:szCs w:val="18"/>
                <w:b w:val="1"/>
                <w:bCs w:val="1"/>
                <w:color w:val="auto"/>
              </w:rPr>
              <w:t>Boise, Idaho 83716-9632</w:t>
            </w:r>
          </w:p>
        </w:tc>
        <w:tc>
          <w:tcPr>
            <w:tcW w:w="3600" w:type="dxa"/>
            <w:vAlign w:val="bottom"/>
          </w:tcPr>
          <w:p>
            <w:pPr>
              <w:spacing w:after="0"/>
              <w:rPr>
                <w:sz w:val="23"/>
                <w:szCs w:val="23"/>
                <w:color w:val="auto"/>
              </w:rPr>
            </w:pPr>
          </w:p>
        </w:tc>
      </w:tr>
      <w:tr>
        <w:trPr>
          <w:trHeight w:val="27"/>
        </w:trPr>
        <w:tc>
          <w:tcPr>
            <w:tcW w:w="36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3600" w:type="dxa"/>
            <w:vAlign w:val="bottom"/>
          </w:tcPr>
          <w:p>
            <w:pPr>
              <w:spacing w:after="0"/>
              <w:rPr>
                <w:sz w:val="2"/>
                <w:szCs w:val="2"/>
                <w:color w:val="auto"/>
              </w:rPr>
            </w:pPr>
          </w:p>
        </w:tc>
      </w:tr>
      <w:tr>
        <w:trPr>
          <w:trHeight w:val="237"/>
        </w:trPr>
        <w:tc>
          <w:tcPr>
            <w:tcW w:w="3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20" w:type="dxa"/>
            <w:vAlign w:val="bottom"/>
          </w:tcPr>
          <w:p>
            <w:pPr>
              <w:ind w:left="280"/>
              <w:spacing w:after="0"/>
              <w:rPr>
                <w:sz w:val="20"/>
                <w:szCs w:val="20"/>
                <w:color w:val="auto"/>
              </w:rPr>
            </w:pPr>
            <w:r>
              <w:rPr>
                <w:rFonts w:ascii="Arial" w:cs="Arial" w:eastAsia="Arial" w:hAnsi="Arial"/>
                <w:sz w:val="18"/>
                <w:szCs w:val="18"/>
                <w:color w:val="auto"/>
              </w:rPr>
              <w:t>(Address of principal executive offices)</w:t>
            </w:r>
          </w:p>
        </w:tc>
        <w:tc>
          <w:tcPr>
            <w:tcW w:w="3600" w:type="dxa"/>
            <w:vAlign w:val="bottom"/>
          </w:tcPr>
          <w:p>
            <w:pPr>
              <w:spacing w:after="0"/>
              <w:rPr>
                <w:sz w:val="20"/>
                <w:szCs w:val="20"/>
                <w:color w:val="auto"/>
              </w:rPr>
            </w:pPr>
          </w:p>
        </w:tc>
      </w:tr>
    </w:tbl>
    <w:p>
      <w:pPr>
        <w:spacing w:after="0" w:line="2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8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8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4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Trading symbol</w:t>
            </w:r>
          </w:p>
        </w:tc>
        <w:tc>
          <w:tcPr>
            <w:tcW w:w="46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2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8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Common Stock, par value $0.10 per share</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MU</w:t>
            </w:r>
          </w:p>
        </w:tc>
        <w:tc>
          <w:tcPr>
            <w:tcW w:w="468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229"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3"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150495</wp:posOffset>
            </wp:positionV>
            <wp:extent cx="70662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66280" cy="8890"/>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167640</wp:posOffset>
            </wp:positionV>
            <wp:extent cx="7066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6628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00" w:lineRule="exact"/>
        <w:rPr>
          <w:sz w:val="20"/>
          <w:szCs w:val="20"/>
          <w:color w:val="auto"/>
        </w:rPr>
      </w:pPr>
    </w:p>
    <w:p>
      <w:pPr>
        <w:spacing w:after="0" w:line="29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On September 26, 2019, we announced the financial results for our fourth quarter and full year of fiscal 2019 ended August 29, 2019. The full text of the press release issued in connection with the announcement is attached as Exhibit 99.1 to this Current Report on Form 8-K.</w:t>
      </w:r>
    </w:p>
    <w:p>
      <w:pPr>
        <w:spacing w:after="0" w:line="251" w:lineRule="exact"/>
        <w:rPr>
          <w:sz w:val="20"/>
          <w:szCs w:val="20"/>
          <w:color w:val="auto"/>
        </w:rPr>
      </w:pPr>
    </w:p>
    <w:p>
      <w:pPr>
        <w:jc w:val="both"/>
        <w:ind w:right="140" w:firstLine="324"/>
        <w:spacing w:after="0" w:line="279" w:lineRule="auto"/>
        <w:rPr>
          <w:sz w:val="20"/>
          <w:szCs w:val="20"/>
          <w:color w:val="auto"/>
        </w:rPr>
      </w:pPr>
      <w:r>
        <w:rPr>
          <w:rFonts w:ascii="Arial" w:cs="Arial" w:eastAsia="Arial" w:hAnsi="Arial"/>
          <w:sz w:val="17"/>
          <w:szCs w:val="17"/>
          <w:color w:val="auto"/>
        </w:rPr>
        <w:t>The information in Item 2.02 of this Current Report on Form 8-K shall not be deemed "filed" for the purposes of Section 18 of the Securities Exchange Act of 1934, as amended (the "Exchange Act"), or otherwise subject to the liabilities of that section. The information in Item 2.02 of this Current Report on Form 8-K shall not be incorporated by reference into any filing or other document pursuant to the Securities Act of 1933, as amended (the "Securities Act"), or the Exchange Act, except as shall be expressly set forth by specific reference in such filing or document.</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Item 9.01.</w:t>
            </w:r>
          </w:p>
        </w:tc>
        <w:tc>
          <w:tcPr>
            <w:tcW w:w="10380" w:type="dxa"/>
            <w:vAlign w:val="bottom"/>
            <w:gridSpan w:val="5"/>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67"/>
        </w:trPr>
        <w:tc>
          <w:tcPr>
            <w:tcW w:w="1020" w:type="dxa"/>
            <w:vAlign w:val="bottom"/>
          </w:tcPr>
          <w:p>
            <w:pPr>
              <w:spacing w:after="0"/>
              <w:rPr>
                <w:sz w:val="24"/>
                <w:szCs w:val="24"/>
                <w:color w:val="auto"/>
              </w:rPr>
            </w:pPr>
          </w:p>
        </w:tc>
        <w:tc>
          <w:tcPr>
            <w:tcW w:w="10380" w:type="dxa"/>
            <w:vAlign w:val="bottom"/>
            <w:gridSpan w:val="5"/>
          </w:tcPr>
          <w:p>
            <w:pPr>
              <w:ind w:left="120"/>
              <w:spacing w:after="0"/>
              <w:rPr>
                <w:sz w:val="20"/>
                <w:szCs w:val="20"/>
                <w:color w:val="auto"/>
              </w:rPr>
            </w:pPr>
            <w:r>
              <w:rPr>
                <w:rFonts w:ascii="Arial" w:cs="Arial" w:eastAsia="Arial" w:hAnsi="Arial"/>
                <w:sz w:val="18"/>
                <w:szCs w:val="18"/>
                <w:color w:val="auto"/>
              </w:rPr>
              <w:t>(d) Exhibits.</w:t>
            </w:r>
          </w:p>
        </w:tc>
      </w:tr>
      <w:tr>
        <w:trPr>
          <w:trHeight w:val="837"/>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Exhibit No.</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6560" w:type="dxa"/>
            <w:vAlign w:val="bottom"/>
            <w:tcBorders>
              <w:bottom w:val="single" w:sz="8" w:color="auto"/>
            </w:tcBorders>
          </w:tcPr>
          <w:p>
            <w:pPr>
              <w:spacing w:after="0"/>
              <w:rPr>
                <w:sz w:val="2"/>
                <w:szCs w:val="2"/>
                <w:color w:val="auto"/>
              </w:rPr>
            </w:pPr>
          </w:p>
        </w:tc>
      </w:tr>
      <w:tr>
        <w:trPr>
          <w:trHeight w:val="196"/>
        </w:trPr>
        <w:tc>
          <w:tcPr>
            <w:tcW w:w="1020" w:type="dxa"/>
            <w:vAlign w:val="bottom"/>
          </w:tcPr>
          <w:p>
            <w:pPr>
              <w:jc w:val="right"/>
              <w:ind w:right="70"/>
              <w:spacing w:after="0" w:line="196" w:lineRule="exact"/>
              <w:rPr>
                <w:sz w:val="20"/>
                <w:szCs w:val="20"/>
                <w:color w:val="auto"/>
              </w:rPr>
            </w:pPr>
            <w:r>
              <w:rPr>
                <w:rFonts w:ascii="Arial" w:cs="Arial" w:eastAsia="Arial" w:hAnsi="Arial"/>
                <w:sz w:val="18"/>
                <w:szCs w:val="18"/>
                <w:color w:val="auto"/>
              </w:rPr>
              <w:t>99.1</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0" w:type="dxa"/>
            <w:vAlign w:val="bottom"/>
            <w:tcBorders>
              <w:bottom w:val="single" w:sz="8" w:color="0000FF"/>
            </w:tcBorders>
          </w:tcPr>
          <w:p>
            <w:pPr>
              <w:spacing w:after="0" w:line="196" w:lineRule="exact"/>
              <w:rPr>
                <w:rFonts w:ascii="Arial" w:cs="Arial" w:eastAsia="Arial" w:hAnsi="Arial"/>
                <w:sz w:val="18"/>
                <w:szCs w:val="18"/>
                <w:color w:val="0000FF"/>
                <w:w w:val="86"/>
              </w:rPr>
            </w:pPr>
            <w:hyperlink w:anchor="page4">
              <w:r>
                <w:rPr>
                  <w:rFonts w:ascii="Arial" w:cs="Arial" w:eastAsia="Arial" w:hAnsi="Arial"/>
                  <w:sz w:val="18"/>
                  <w:szCs w:val="18"/>
                  <w:color w:val="0000FF"/>
                  <w:w w:val="86"/>
                </w:rPr>
                <w:t>Press Release issued on September 26, 2019</w:t>
              </w:r>
            </w:hyperlink>
          </w:p>
        </w:tc>
        <w:tc>
          <w:tcPr>
            <w:tcW w:w="6560" w:type="dxa"/>
            <w:vAlign w:val="bottom"/>
          </w:tcPr>
          <w:p>
            <w:pPr>
              <w:spacing w:after="0"/>
              <w:rPr>
                <w:sz w:val="17"/>
                <w:szCs w:val="17"/>
                <w:color w:val="auto"/>
              </w:rPr>
            </w:pPr>
          </w:p>
        </w:tc>
      </w:tr>
    </w:tbl>
    <w:p>
      <w:pPr>
        <w:sectPr>
          <w:pgSz w:w="11900" w:h="16838" w:orient="portrait"/>
          <w:cols w:equalWidth="0" w:num="1">
            <w:col w:w="11400"/>
          </w:cols>
          <w:pgMar w:left="240" w:top="742" w:right="259" w:bottom="1440" w:gutter="0" w:footer="0" w:header="0"/>
        </w:sectPr>
      </w:pPr>
    </w:p>
    <w:bookmarkStart w:id="2" w:name="page3"/>
    <w:bookmarkEnd w:id="2"/>
    <w:p>
      <w:pPr>
        <w:jc w:val="center"/>
        <w:ind w:right="-5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6920" w:type="dxa"/>
            <w:vAlign w:val="bottom"/>
            <w:gridSpan w:val="2"/>
          </w:tcPr>
          <w:p>
            <w:pPr>
              <w:ind w:left="166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300" w:type="dxa"/>
            <w:vAlign w:val="bottom"/>
          </w:tcPr>
          <w:p>
            <w:pPr>
              <w:ind w:left="180"/>
              <w:spacing w:after="0"/>
              <w:rPr>
                <w:sz w:val="20"/>
                <w:szCs w:val="20"/>
                <w:color w:val="auto"/>
              </w:rPr>
            </w:pPr>
            <w:r>
              <w:rPr>
                <w:rFonts w:ascii="Arial" w:cs="Arial" w:eastAsia="Arial" w:hAnsi="Arial"/>
                <w:sz w:val="18"/>
                <w:szCs w:val="18"/>
                <w:color w:val="auto"/>
              </w:rPr>
              <w:t>September 26, 2019</w:t>
            </w:r>
          </w:p>
        </w:tc>
        <w:tc>
          <w:tcPr>
            <w:tcW w:w="2600" w:type="dxa"/>
            <w:vAlign w:val="bottom"/>
          </w:tcPr>
          <w:p>
            <w:pPr>
              <w:ind w:left="1660"/>
              <w:spacing w:after="0"/>
              <w:rPr>
                <w:sz w:val="20"/>
                <w:szCs w:val="20"/>
                <w:color w:val="auto"/>
              </w:rPr>
            </w:pPr>
            <w:r>
              <w:rPr>
                <w:rFonts w:ascii="Arial" w:cs="Arial" w:eastAsia="Arial" w:hAnsi="Arial"/>
                <w:sz w:val="18"/>
                <w:szCs w:val="18"/>
                <w:color w:val="auto"/>
              </w:rPr>
              <w:t>By:</w:t>
            </w:r>
          </w:p>
        </w:tc>
        <w:tc>
          <w:tcPr>
            <w:tcW w:w="4320" w:type="dxa"/>
            <w:vAlign w:val="bottom"/>
          </w:tcPr>
          <w:p>
            <w:pPr>
              <w:ind w:left="20"/>
              <w:spacing w:after="0"/>
              <w:rPr>
                <w:sz w:val="20"/>
                <w:szCs w:val="20"/>
                <w:color w:val="auto"/>
              </w:rPr>
            </w:pPr>
            <w:r>
              <w:rPr>
                <w:rFonts w:ascii="Arial" w:cs="Arial" w:eastAsia="Arial" w:hAnsi="Arial"/>
                <w:sz w:val="18"/>
                <w:szCs w:val="18"/>
                <w:i w:val="1"/>
                <w:iCs w:val="1"/>
                <w:color w:val="auto"/>
              </w:rPr>
              <w:t>/s/ David A. Zinsner</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600" w:type="dxa"/>
            <w:vAlign w:val="bottom"/>
            <w:vMerge w:val="restart"/>
          </w:tcPr>
          <w:p>
            <w:pPr>
              <w:ind w:left="1660"/>
              <w:spacing w:after="0"/>
              <w:rPr>
                <w:sz w:val="20"/>
                <w:szCs w:val="20"/>
                <w:color w:val="auto"/>
              </w:rPr>
            </w:pPr>
            <w:r>
              <w:rPr>
                <w:rFonts w:ascii="Arial" w:cs="Arial" w:eastAsia="Arial" w:hAnsi="Arial"/>
                <w:sz w:val="18"/>
                <w:szCs w:val="18"/>
                <w:color w:val="auto"/>
              </w:rPr>
              <w:t>Name:</w:t>
            </w:r>
          </w:p>
        </w:tc>
        <w:tc>
          <w:tcPr>
            <w:tcW w:w="4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600" w:type="dxa"/>
            <w:vAlign w:val="bottom"/>
            <w:vMerge w:val="continue"/>
          </w:tcPr>
          <w:p>
            <w:pPr>
              <w:spacing w:after="0"/>
              <w:rPr>
                <w:sz w:val="20"/>
                <w:szCs w:val="20"/>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2600" w:type="dxa"/>
            <w:vAlign w:val="bottom"/>
          </w:tcPr>
          <w:p>
            <w:pPr>
              <w:ind w:left="1660"/>
              <w:spacing w:after="0"/>
              <w:rPr>
                <w:sz w:val="20"/>
                <w:szCs w:val="20"/>
                <w:color w:val="auto"/>
              </w:rPr>
            </w:pPr>
            <w:r>
              <w:rPr>
                <w:rFonts w:ascii="Arial" w:cs="Arial" w:eastAsia="Arial" w:hAnsi="Arial"/>
                <w:sz w:val="18"/>
                <w:szCs w:val="18"/>
                <w:color w:val="auto"/>
              </w:rPr>
              <w:t>Title:</w:t>
            </w:r>
          </w:p>
        </w:tc>
        <w:tc>
          <w:tcPr>
            <w:tcW w:w="432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bl>
    <w:p>
      <w:pPr>
        <w:sectPr>
          <w:pgSz w:w="11900" w:h="16838" w:orient="portrait"/>
          <w:cols w:equalWidth="0" w:num="1">
            <w:col w:w="10840"/>
          </w:cols>
          <w:pgMar w:left="240" w:top="796" w:right="81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700" w:type="dxa"/>
            <w:vAlign w:val="bottom"/>
            <w:gridSpan w:val="3"/>
          </w:tcPr>
          <w:p>
            <w:pPr>
              <w:spacing w:after="0"/>
              <w:rPr>
                <w:sz w:val="20"/>
                <w:szCs w:val="20"/>
                <w:color w:val="auto"/>
              </w:rPr>
            </w:pPr>
            <w:r>
              <w:rPr>
                <w:rFonts w:ascii="Arial" w:cs="Arial" w:eastAsia="Arial" w:hAnsi="Arial"/>
                <w:sz w:val="22"/>
                <w:szCs w:val="22"/>
                <w:b w:val="1"/>
                <w:bCs w:val="1"/>
                <w:color w:val="auto"/>
              </w:rPr>
              <w:t>FOR IMMEDIATE RELEASE</w:t>
            </w:r>
          </w:p>
        </w:tc>
        <w:tc>
          <w:tcPr>
            <w:tcW w:w="100" w:type="dxa"/>
            <w:vAlign w:val="bottom"/>
          </w:tcPr>
          <w:p>
            <w:pPr>
              <w:spacing w:after="0"/>
              <w:rPr>
                <w:sz w:val="24"/>
                <w:szCs w:val="24"/>
                <w:color w:val="auto"/>
              </w:rPr>
            </w:pPr>
          </w:p>
        </w:tc>
        <w:tc>
          <w:tcPr>
            <w:tcW w:w="2180" w:type="dxa"/>
            <w:vAlign w:val="bottom"/>
            <w:gridSpan w:val="2"/>
          </w:tcPr>
          <w:p>
            <w:pPr>
              <w:ind w:left="860"/>
              <w:spacing w:after="0"/>
              <w:rPr>
                <w:sz w:val="20"/>
                <w:szCs w:val="20"/>
                <w:color w:val="auto"/>
              </w:rPr>
            </w:pPr>
            <w:r>
              <w:rPr>
                <w:rFonts w:ascii="Arial" w:cs="Arial" w:eastAsia="Arial" w:hAnsi="Arial"/>
                <w:sz w:val="22"/>
                <w:szCs w:val="22"/>
                <w:b w:val="1"/>
                <w:bCs w:val="1"/>
                <w:color w:val="auto"/>
              </w:rPr>
              <w:t>Exhibit 99.1</w:t>
            </w:r>
          </w:p>
        </w:tc>
      </w:tr>
      <w:tr>
        <w:trPr>
          <w:trHeight w:val="405"/>
        </w:trPr>
        <w:tc>
          <w:tcPr>
            <w:tcW w:w="3700" w:type="dxa"/>
            <w:vAlign w:val="bottom"/>
            <w:gridSpan w:val="3"/>
          </w:tcPr>
          <w:p>
            <w:pPr>
              <w:ind w:left="40"/>
              <w:spacing w:after="0"/>
              <w:rPr>
                <w:sz w:val="20"/>
                <w:szCs w:val="20"/>
                <w:color w:val="auto"/>
              </w:rPr>
            </w:pPr>
            <w:r>
              <w:rPr>
                <w:rFonts w:ascii="Arial" w:cs="Arial" w:eastAsia="Arial" w:hAnsi="Arial"/>
                <w:sz w:val="22"/>
                <w:szCs w:val="22"/>
                <w:color w:val="auto"/>
                <w:w w:val="87"/>
              </w:rPr>
              <w:t>Contacts:Farhan Ahmad</w:t>
            </w:r>
          </w:p>
        </w:tc>
        <w:tc>
          <w:tcPr>
            <w:tcW w:w="2280" w:type="dxa"/>
            <w:vAlign w:val="bottom"/>
            <w:gridSpan w:val="3"/>
          </w:tcPr>
          <w:p>
            <w:pPr>
              <w:ind w:left="100"/>
              <w:spacing w:after="0"/>
              <w:rPr>
                <w:sz w:val="20"/>
                <w:szCs w:val="20"/>
                <w:color w:val="auto"/>
              </w:rPr>
            </w:pPr>
            <w:r>
              <w:rPr>
                <w:rFonts w:ascii="Arial" w:cs="Arial" w:eastAsia="Arial" w:hAnsi="Arial"/>
                <w:sz w:val="22"/>
                <w:szCs w:val="22"/>
                <w:color w:val="auto"/>
                <w:w w:val="88"/>
              </w:rPr>
              <w:t>Erica Rodriguez Pompen</w:t>
            </w:r>
          </w:p>
        </w:tc>
      </w:tr>
      <w:tr>
        <w:trPr>
          <w:trHeight w:val="297"/>
        </w:trPr>
        <w:tc>
          <w:tcPr>
            <w:tcW w:w="126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22"/>
                <w:szCs w:val="22"/>
                <w:color w:val="auto"/>
              </w:rPr>
              <w:t>Investor Relations</w:t>
            </w:r>
          </w:p>
        </w:tc>
        <w:tc>
          <w:tcPr>
            <w:tcW w:w="2280" w:type="dxa"/>
            <w:vAlign w:val="bottom"/>
            <w:gridSpan w:val="3"/>
          </w:tcPr>
          <w:p>
            <w:pPr>
              <w:ind w:left="100"/>
              <w:spacing w:after="0"/>
              <w:rPr>
                <w:sz w:val="20"/>
                <w:szCs w:val="20"/>
                <w:color w:val="auto"/>
              </w:rPr>
            </w:pPr>
            <w:r>
              <w:rPr>
                <w:rFonts w:ascii="Arial" w:cs="Arial" w:eastAsia="Arial" w:hAnsi="Arial"/>
                <w:sz w:val="22"/>
                <w:szCs w:val="22"/>
                <w:color w:val="auto"/>
              </w:rPr>
              <w:t>Media Relations</w:t>
            </w:r>
          </w:p>
        </w:tc>
      </w:tr>
      <w:tr>
        <w:trPr>
          <w:trHeight w:val="247"/>
        </w:trPr>
        <w:tc>
          <w:tcPr>
            <w:tcW w:w="1260" w:type="dxa"/>
            <w:vAlign w:val="bottom"/>
          </w:tcPr>
          <w:p>
            <w:pPr>
              <w:spacing w:after="0"/>
              <w:rPr>
                <w:sz w:val="21"/>
                <w:szCs w:val="21"/>
                <w:color w:val="auto"/>
              </w:rPr>
            </w:pPr>
          </w:p>
        </w:tc>
        <w:tc>
          <w:tcPr>
            <w:tcW w:w="2360" w:type="dxa"/>
            <w:vAlign w:val="bottom"/>
            <w:tcBorders>
              <w:bottom w:val="single" w:sz="8" w:color="0000FF"/>
            </w:tcBorders>
          </w:tcPr>
          <w:p>
            <w:pPr>
              <w:spacing w:after="0" w:line="246" w:lineRule="exact"/>
              <w:rPr>
                <w:sz w:val="20"/>
                <w:szCs w:val="20"/>
                <w:color w:val="auto"/>
              </w:rPr>
            </w:pPr>
            <w:r>
              <w:rPr>
                <w:rFonts w:ascii="Arial" w:cs="Arial" w:eastAsia="Arial" w:hAnsi="Arial"/>
                <w:sz w:val="22"/>
                <w:szCs w:val="22"/>
                <w:color w:val="0000FF"/>
                <w:w w:val="88"/>
              </w:rPr>
              <w:t>farhanahmad@micron.com</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tcBorders>
              <w:bottom w:val="single" w:sz="8" w:color="0000FF"/>
            </w:tcBorders>
          </w:tcPr>
          <w:p>
            <w:pPr>
              <w:spacing w:after="0" w:line="246" w:lineRule="exact"/>
              <w:rPr>
                <w:sz w:val="20"/>
                <w:szCs w:val="20"/>
                <w:color w:val="auto"/>
              </w:rPr>
            </w:pPr>
            <w:r>
              <w:rPr>
                <w:rFonts w:ascii="Arial" w:cs="Arial" w:eastAsia="Arial" w:hAnsi="Arial"/>
                <w:sz w:val="22"/>
                <w:szCs w:val="22"/>
                <w:color w:val="0000FF"/>
                <w:w w:val="88"/>
              </w:rPr>
              <w:t>epompen@micron.com</w:t>
            </w:r>
          </w:p>
        </w:tc>
        <w:tc>
          <w:tcPr>
            <w:tcW w:w="140" w:type="dxa"/>
            <w:vAlign w:val="bottom"/>
          </w:tcPr>
          <w:p>
            <w:pPr>
              <w:spacing w:after="0"/>
              <w:rPr>
                <w:sz w:val="21"/>
                <w:szCs w:val="21"/>
                <w:color w:val="auto"/>
              </w:rPr>
            </w:pPr>
          </w:p>
        </w:tc>
      </w:tr>
      <w:tr>
        <w:trPr>
          <w:trHeight w:val="328"/>
        </w:trPr>
        <w:tc>
          <w:tcPr>
            <w:tcW w:w="3620" w:type="dxa"/>
            <w:vAlign w:val="bottom"/>
            <w:gridSpan w:val="2"/>
          </w:tcPr>
          <w:p>
            <w:pPr>
              <w:ind w:left="1260"/>
              <w:spacing w:after="0"/>
              <w:rPr>
                <w:sz w:val="20"/>
                <w:szCs w:val="20"/>
                <w:color w:val="auto"/>
              </w:rPr>
            </w:pPr>
            <w:r>
              <w:rPr>
                <w:rFonts w:ascii="Arial" w:cs="Arial" w:eastAsia="Arial" w:hAnsi="Arial"/>
                <w:sz w:val="22"/>
                <w:szCs w:val="22"/>
                <w:color w:val="auto"/>
              </w:rPr>
              <w:t>(408) 834-1927</w:t>
            </w:r>
          </w:p>
        </w:tc>
        <w:tc>
          <w:tcPr>
            <w:tcW w:w="80" w:type="dxa"/>
            <w:vAlign w:val="bottom"/>
          </w:tcPr>
          <w:p>
            <w:pPr>
              <w:spacing w:after="0"/>
              <w:rPr>
                <w:sz w:val="24"/>
                <w:szCs w:val="24"/>
                <w:color w:val="auto"/>
              </w:rPr>
            </w:pPr>
          </w:p>
        </w:tc>
        <w:tc>
          <w:tcPr>
            <w:tcW w:w="2140" w:type="dxa"/>
            <w:vAlign w:val="bottom"/>
            <w:gridSpan w:val="2"/>
          </w:tcPr>
          <w:p>
            <w:pPr>
              <w:ind w:left="100"/>
              <w:spacing w:after="0"/>
              <w:rPr>
                <w:sz w:val="20"/>
                <w:szCs w:val="20"/>
                <w:color w:val="auto"/>
              </w:rPr>
            </w:pPr>
            <w:r>
              <w:rPr>
                <w:rFonts w:ascii="Arial" w:cs="Arial" w:eastAsia="Arial" w:hAnsi="Arial"/>
                <w:sz w:val="22"/>
                <w:szCs w:val="22"/>
                <w:color w:val="auto"/>
              </w:rPr>
              <w:t>(408) 834-1873</w:t>
            </w:r>
          </w:p>
        </w:tc>
        <w:tc>
          <w:tcPr>
            <w:tcW w:w="140" w:type="dxa"/>
            <w:vAlign w:val="bottom"/>
          </w:tcPr>
          <w:p>
            <w:pPr>
              <w:spacing w:after="0"/>
              <w:rPr>
                <w:sz w:val="24"/>
                <w:szCs w:val="24"/>
                <w:color w:val="auto"/>
              </w:rPr>
            </w:pPr>
          </w:p>
        </w:tc>
      </w:tr>
    </w:tbl>
    <w:p>
      <w:pPr>
        <w:spacing w:after="0" w:line="260"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u w:val="single" w:color="auto"/>
          <w:color w:val="auto"/>
        </w:rPr>
        <w:t>MICRON TECHNOLOGY, INC. REPORTS RESULTS FOR THE</w:t>
      </w:r>
    </w:p>
    <w:p>
      <w:pPr>
        <w:spacing w:after="0" w:line="28"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u w:val="single" w:color="auto"/>
          <w:color w:val="auto"/>
        </w:rPr>
        <w:t>FOURTH QUARTER AND FULL YEAR OF FISCAL 2019</w:t>
      </w:r>
    </w:p>
    <w:p>
      <w:pPr>
        <w:spacing w:after="0" w:line="242" w:lineRule="exact"/>
        <w:rPr>
          <w:sz w:val="20"/>
          <w:szCs w:val="20"/>
          <w:color w:val="auto"/>
        </w:rPr>
      </w:pPr>
    </w:p>
    <w:p>
      <w:pPr>
        <w:jc w:val="center"/>
        <w:ind w:right="-199"/>
        <w:spacing w:after="0"/>
        <w:rPr>
          <w:sz w:val="20"/>
          <w:szCs w:val="20"/>
          <w:color w:val="auto"/>
        </w:rPr>
      </w:pPr>
      <w:r>
        <w:rPr>
          <w:rFonts w:ascii="Arial" w:cs="Arial" w:eastAsia="Arial" w:hAnsi="Arial"/>
          <w:sz w:val="22"/>
          <w:szCs w:val="22"/>
          <w:i w:val="1"/>
          <w:iCs w:val="1"/>
          <w:color w:val="auto"/>
        </w:rPr>
        <w:t>Micron enters fiscal 2020 with strengthened product portfolio,</w:t>
      </w:r>
    </w:p>
    <w:p>
      <w:pPr>
        <w:spacing w:after="0" w:line="22" w:lineRule="exact"/>
        <w:rPr>
          <w:sz w:val="20"/>
          <w:szCs w:val="20"/>
          <w:color w:val="auto"/>
        </w:rPr>
      </w:pPr>
    </w:p>
    <w:p>
      <w:pPr>
        <w:jc w:val="center"/>
        <w:ind w:right="-199"/>
        <w:spacing w:after="0"/>
        <w:rPr>
          <w:sz w:val="20"/>
          <w:szCs w:val="20"/>
          <w:color w:val="auto"/>
        </w:rPr>
      </w:pPr>
      <w:r>
        <w:rPr>
          <w:rFonts w:ascii="Arial" w:cs="Arial" w:eastAsia="Arial" w:hAnsi="Arial"/>
          <w:sz w:val="22"/>
          <w:szCs w:val="22"/>
          <w:i w:val="1"/>
          <w:iCs w:val="1"/>
          <w:color w:val="auto"/>
        </w:rPr>
        <w:t>supported by solid Q4 and fiscal 2019 execution and performance</w:t>
      </w:r>
    </w:p>
    <w:p>
      <w:pPr>
        <w:spacing w:after="0" w:line="236" w:lineRule="exact"/>
        <w:rPr>
          <w:sz w:val="20"/>
          <w:szCs w:val="20"/>
          <w:color w:val="auto"/>
        </w:rPr>
      </w:pPr>
    </w:p>
    <w:p>
      <w:pPr>
        <w:ind w:right="100"/>
        <w:spacing w:after="0" w:line="269" w:lineRule="auto"/>
        <w:rPr>
          <w:sz w:val="20"/>
          <w:szCs w:val="20"/>
          <w:color w:val="auto"/>
        </w:rPr>
      </w:pPr>
      <w:r>
        <w:rPr>
          <w:rFonts w:ascii="Arial" w:cs="Arial" w:eastAsia="Arial" w:hAnsi="Arial"/>
          <w:sz w:val="22"/>
          <w:szCs w:val="22"/>
          <w:b w:val="1"/>
          <w:bCs w:val="1"/>
          <w:color w:val="auto"/>
        </w:rPr>
        <w:t xml:space="preserve">BOISE, Idaho, </w:t>
      </w:r>
      <w:r>
        <w:rPr>
          <w:rFonts w:ascii="Arial" w:cs="Arial" w:eastAsia="Arial" w:hAnsi="Arial"/>
          <w:sz w:val="22"/>
          <w:szCs w:val="22"/>
          <w:color w:val="auto"/>
        </w:rPr>
        <w:t>September 26, 2019 – Micron Technology, Inc. (Nasdaq: MU) today announced results for its fourth quarter and</w:t>
      </w:r>
      <w:r>
        <w:rPr>
          <w:rFonts w:ascii="Arial" w:cs="Arial" w:eastAsia="Arial" w:hAnsi="Arial"/>
          <w:sz w:val="22"/>
          <w:szCs w:val="22"/>
          <w:b w:val="1"/>
          <w:bCs w:val="1"/>
          <w:color w:val="auto"/>
        </w:rPr>
        <w:t xml:space="preserve"> </w:t>
      </w:r>
      <w:r>
        <w:rPr>
          <w:rFonts w:ascii="Arial" w:cs="Arial" w:eastAsia="Arial" w:hAnsi="Arial"/>
          <w:sz w:val="22"/>
          <w:szCs w:val="22"/>
          <w:color w:val="auto"/>
        </w:rPr>
        <w:t>full year of fiscal 2019, which ended August 29, 2019.</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Fiscal Q4 2019 highlights</w:t>
      </w:r>
    </w:p>
    <w:p>
      <w:pPr>
        <w:spacing w:after="0" w:line="28"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9"/>
          <w:szCs w:val="19"/>
          <w:color w:val="auto"/>
        </w:rPr>
      </w:pPr>
      <w:r>
        <w:rPr>
          <w:rFonts w:ascii="Arial" w:cs="Arial" w:eastAsia="Arial" w:hAnsi="Arial"/>
          <w:sz w:val="19"/>
          <w:szCs w:val="19"/>
          <w:color w:val="auto"/>
        </w:rPr>
        <w:t>Revenues of $4.87 billion versus $4.79 billion for the prior quarter and $8.44 billion for the same period last year</w:t>
      </w:r>
    </w:p>
    <w:p>
      <w:pPr>
        <w:spacing w:after="0" w:line="38" w:lineRule="exact"/>
        <w:rPr>
          <w:rFonts w:ascii="Arial" w:cs="Arial" w:eastAsia="Arial" w:hAnsi="Arial"/>
          <w:sz w:val="19"/>
          <w:szCs w:val="19"/>
          <w:color w:val="auto"/>
        </w:rPr>
      </w:pPr>
    </w:p>
    <w:p>
      <w:pPr>
        <w:ind w:left="1380" w:hanging="400"/>
        <w:spacing w:after="0"/>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color w:val="auto"/>
        </w:rPr>
        <w:t>GAAP net income of $561 million, or $0.49 per diluted share</w:t>
      </w:r>
    </w:p>
    <w:p>
      <w:pPr>
        <w:spacing w:after="0" w:line="3" w:lineRule="exact"/>
        <w:rPr>
          <w:rFonts w:ascii="Arial" w:cs="Arial" w:eastAsia="Arial" w:hAnsi="Arial"/>
          <w:sz w:val="22"/>
          <w:szCs w:val="22"/>
          <w:color w:val="auto"/>
        </w:rPr>
      </w:pPr>
    </w:p>
    <w:p>
      <w:pPr>
        <w:ind w:left="1380" w:hanging="400"/>
        <w:spacing w:after="0"/>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color w:val="auto"/>
        </w:rPr>
        <w:t>Non-GAAP net income of $637 million, or $0.56 per diluted share</w:t>
      </w:r>
    </w:p>
    <w:p>
      <w:pPr>
        <w:spacing w:after="0" w:line="3" w:lineRule="exact"/>
        <w:rPr>
          <w:rFonts w:ascii="Arial" w:cs="Arial" w:eastAsia="Arial" w:hAnsi="Arial"/>
          <w:sz w:val="22"/>
          <w:szCs w:val="22"/>
          <w:color w:val="auto"/>
        </w:rPr>
      </w:pPr>
    </w:p>
    <w:p>
      <w:pPr>
        <w:ind w:left="1620" w:hanging="640"/>
        <w:spacing w:after="0" w:line="246" w:lineRule="auto"/>
        <w:tabs>
          <w:tab w:leader="none" w:pos="1296" w:val="left"/>
        </w:tabs>
        <w:numPr>
          <w:ilvl w:val="0"/>
          <w:numId w:val="2"/>
        </w:numPr>
        <w:rPr>
          <w:rFonts w:ascii="Arial" w:cs="Arial" w:eastAsia="Arial" w:hAnsi="Arial"/>
          <w:sz w:val="22"/>
          <w:szCs w:val="22"/>
          <w:color w:val="auto"/>
        </w:rPr>
      </w:pPr>
      <w:r>
        <w:rPr>
          <w:rFonts w:ascii="Arial" w:cs="Arial" w:eastAsia="Arial" w:hAnsi="Arial"/>
          <w:sz w:val="22"/>
          <w:szCs w:val="22"/>
          <w:color w:val="auto"/>
        </w:rPr>
        <w:t>Operating cash flow of $2.23 billion versus $2.71 billion for the prior quarter and $5.16 billion for the same period last year</w:t>
      </w:r>
    </w:p>
    <w:p>
      <w:pPr>
        <w:spacing w:after="0" w:line="233" w:lineRule="exact"/>
        <w:rPr>
          <w:sz w:val="20"/>
          <w:szCs w:val="20"/>
          <w:color w:val="auto"/>
        </w:rPr>
      </w:pPr>
    </w:p>
    <w:p>
      <w:pPr>
        <w:ind w:left="1380" w:hanging="400"/>
        <w:spacing w:after="0"/>
        <w:tabs>
          <w:tab w:leader="none" w:pos="138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Revenues of $23.41 billion versus $30.39 billion for the prior fiscal year</w:t>
      </w:r>
    </w:p>
    <w:p>
      <w:pPr>
        <w:spacing w:after="0" w:line="21" w:lineRule="exact"/>
        <w:rPr>
          <w:rFonts w:ascii="Arial" w:cs="Arial" w:eastAsia="Arial" w:hAnsi="Arial"/>
          <w:sz w:val="22"/>
          <w:szCs w:val="22"/>
          <w:color w:val="auto"/>
        </w:rPr>
      </w:pPr>
    </w:p>
    <w:p>
      <w:pPr>
        <w:ind w:left="1380" w:hanging="400"/>
        <w:spacing w:after="0"/>
        <w:tabs>
          <w:tab w:leader="none" w:pos="1380" w:val="left"/>
        </w:tabs>
        <w:numPr>
          <w:ilvl w:val="0"/>
          <w:numId w:val="3"/>
        </w:numPr>
        <w:rPr>
          <w:rFonts w:ascii="Arial" w:cs="Arial" w:eastAsia="Arial" w:hAnsi="Arial"/>
          <w:sz w:val="22"/>
          <w:szCs w:val="22"/>
          <w:color w:val="auto"/>
        </w:rPr>
      </w:pPr>
      <w:r>
        <w:rPr>
          <w:rFonts w:ascii="Arial" w:cs="Arial" w:eastAsia="Arial" w:hAnsi="Arial"/>
          <w:sz w:val="22"/>
          <w:szCs w:val="22"/>
          <w:color w:val="auto"/>
        </w:rPr>
        <w:t>GAAP net income of $6.31 billion, or $5.51 per diluted share</w:t>
      </w:r>
    </w:p>
    <w:p>
      <w:pPr>
        <w:spacing w:after="0" w:line="3" w:lineRule="exact"/>
        <w:rPr>
          <w:rFonts w:ascii="Arial" w:cs="Arial" w:eastAsia="Arial" w:hAnsi="Arial"/>
          <w:sz w:val="22"/>
          <w:szCs w:val="22"/>
          <w:color w:val="auto"/>
        </w:rPr>
      </w:pPr>
    </w:p>
    <w:p>
      <w:pPr>
        <w:ind w:left="1380" w:hanging="400"/>
        <w:spacing w:after="0"/>
        <w:tabs>
          <w:tab w:leader="none" w:pos="1380" w:val="left"/>
        </w:tabs>
        <w:numPr>
          <w:ilvl w:val="0"/>
          <w:numId w:val="3"/>
        </w:numPr>
        <w:rPr>
          <w:rFonts w:ascii="Arial" w:cs="Arial" w:eastAsia="Arial" w:hAnsi="Arial"/>
          <w:sz w:val="22"/>
          <w:szCs w:val="22"/>
          <w:color w:val="auto"/>
        </w:rPr>
      </w:pPr>
      <w:r>
        <w:rPr>
          <w:rFonts w:ascii="Arial" w:cs="Arial" w:eastAsia="Arial" w:hAnsi="Arial"/>
          <w:sz w:val="22"/>
          <w:szCs w:val="22"/>
          <w:color w:val="auto"/>
        </w:rPr>
        <w:t>Non-GAAP net income of $7.31 billion, or $6.35 per diluted share</w:t>
      </w:r>
    </w:p>
    <w:p>
      <w:pPr>
        <w:spacing w:after="0" w:line="3" w:lineRule="exact"/>
        <w:rPr>
          <w:rFonts w:ascii="Arial" w:cs="Arial" w:eastAsia="Arial" w:hAnsi="Arial"/>
          <w:sz w:val="22"/>
          <w:szCs w:val="22"/>
          <w:color w:val="auto"/>
        </w:rPr>
      </w:pPr>
    </w:p>
    <w:p>
      <w:pPr>
        <w:ind w:left="1380" w:hanging="400"/>
        <w:spacing w:after="0"/>
        <w:tabs>
          <w:tab w:leader="none" w:pos="1380" w:val="left"/>
        </w:tabs>
        <w:numPr>
          <w:ilvl w:val="0"/>
          <w:numId w:val="3"/>
        </w:numPr>
        <w:rPr>
          <w:rFonts w:ascii="Arial" w:cs="Arial" w:eastAsia="Arial" w:hAnsi="Arial"/>
          <w:sz w:val="22"/>
          <w:szCs w:val="22"/>
          <w:color w:val="auto"/>
        </w:rPr>
      </w:pPr>
      <w:r>
        <w:rPr>
          <w:rFonts w:ascii="Arial" w:cs="Arial" w:eastAsia="Arial" w:hAnsi="Arial"/>
          <w:sz w:val="22"/>
          <w:szCs w:val="22"/>
          <w:color w:val="auto"/>
        </w:rPr>
        <w:t>Operating cash flow of $13.19 billion versus $17.40 billion for the prior fiscal year</w:t>
      </w:r>
    </w:p>
    <w:p>
      <w:pPr>
        <w:spacing w:after="0" w:line="3" w:lineRule="exact"/>
        <w:rPr>
          <w:rFonts w:ascii="Arial" w:cs="Arial" w:eastAsia="Arial" w:hAnsi="Arial"/>
          <w:sz w:val="22"/>
          <w:szCs w:val="22"/>
          <w:color w:val="auto"/>
        </w:rPr>
      </w:pPr>
    </w:p>
    <w:p>
      <w:pPr>
        <w:ind w:left="1380" w:hanging="400"/>
        <w:spacing w:after="0"/>
        <w:tabs>
          <w:tab w:leader="none" w:pos="1380" w:val="left"/>
        </w:tabs>
        <w:numPr>
          <w:ilvl w:val="0"/>
          <w:numId w:val="3"/>
        </w:numPr>
        <w:rPr>
          <w:rFonts w:ascii="Arial" w:cs="Arial" w:eastAsia="Arial" w:hAnsi="Arial"/>
          <w:sz w:val="22"/>
          <w:szCs w:val="22"/>
          <w:color w:val="auto"/>
        </w:rPr>
      </w:pPr>
      <w:r>
        <w:rPr>
          <w:rFonts w:ascii="Arial" w:cs="Arial" w:eastAsia="Arial" w:hAnsi="Arial"/>
          <w:sz w:val="22"/>
          <w:szCs w:val="22"/>
          <w:color w:val="auto"/>
        </w:rPr>
        <w:t>Share repurchases of $2.66 billion under the authorized buyback program</w:t>
      </w:r>
    </w:p>
    <w:p>
      <w:pPr>
        <w:spacing w:after="0" w:line="242" w:lineRule="exact"/>
        <w:rPr>
          <w:sz w:val="20"/>
          <w:szCs w:val="20"/>
          <w:color w:val="auto"/>
        </w:rPr>
      </w:pPr>
    </w:p>
    <w:p>
      <w:pPr>
        <w:ind w:right="40"/>
        <w:spacing w:after="0" w:line="263" w:lineRule="auto"/>
        <w:rPr>
          <w:sz w:val="20"/>
          <w:szCs w:val="20"/>
          <w:color w:val="auto"/>
        </w:rPr>
      </w:pPr>
      <w:r>
        <w:rPr>
          <w:rFonts w:ascii="Arial" w:cs="Arial" w:eastAsia="Arial" w:hAnsi="Arial"/>
          <w:sz w:val="21"/>
          <w:szCs w:val="21"/>
          <w:color w:val="auto"/>
        </w:rPr>
        <w:t>"Micron delivered fourth quarter results ahead of expectations, capping a fiscal 2019 in which we executed well in a challenging environment, significantly improved our competitive position, and returned cash to shareholders through share repurchases," said Micron Technology President and CEO Sanjay Mehrotra. "We are encouraged by signs of improving industry demand, but are mindful of continued near-term macroeconomic and trade uncertainties. As markets recover, Micron is well positioned to address the robust secular demand for memory and storage solutions."</w:t>
      </w:r>
    </w:p>
    <w:p>
      <w:pPr>
        <w:spacing w:after="0" w:line="224" w:lineRule="exact"/>
        <w:rPr>
          <w:sz w:val="20"/>
          <w:szCs w:val="20"/>
          <w:color w:val="auto"/>
        </w:rPr>
      </w:pPr>
    </w:p>
    <w:p>
      <w:pPr>
        <w:ind w:left="1160"/>
        <w:spacing w:after="0"/>
        <w:rPr>
          <w:sz w:val="20"/>
          <w:szCs w:val="20"/>
          <w:color w:val="auto"/>
        </w:rPr>
      </w:pPr>
      <w:r>
        <w:rPr>
          <w:rFonts w:ascii="Arial" w:cs="Arial" w:eastAsia="Arial" w:hAnsi="Arial"/>
          <w:sz w:val="22"/>
          <w:szCs w:val="22"/>
          <w:b w:val="1"/>
          <w:bCs w:val="1"/>
          <w:color w:val="auto"/>
        </w:rPr>
        <w:t>Quarterly Financial Results</w:t>
      </w:r>
    </w:p>
    <w:p>
      <w:pPr>
        <w:spacing w:after="0" w:line="28" w:lineRule="exact"/>
        <w:rPr>
          <w:sz w:val="20"/>
          <w:szCs w:val="20"/>
          <w:color w:val="auto"/>
        </w:rPr>
      </w:pPr>
    </w:p>
    <w:tbl>
      <w:tblPr>
        <w:tblLayout w:type="fixed"/>
        <w:tblInd w:w="1130" w:type="dxa"/>
        <w:tblCellMar>
          <w:top w:w="0" w:type="dxa"/>
          <w:left w:w="0" w:type="dxa"/>
          <w:bottom w:w="0" w:type="dxa"/>
          <w:right w:w="0" w:type="dxa"/>
        </w:tblCellMar>
      </w:tblPr>
      <w:tr>
        <w:trPr>
          <w:trHeight w:val="281"/>
        </w:trPr>
        <w:tc>
          <w:tcPr>
            <w:tcW w:w="3440" w:type="dxa"/>
            <w:vAlign w:val="bottom"/>
            <w:tcBorders>
              <w:top w:val="single" w:sz="8" w:color="auto"/>
              <w:left w:val="single" w:sz="8" w:color="auto"/>
              <w:right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center"/>
              <w:ind w:right="30"/>
              <w:spacing w:after="0" w:line="281" w:lineRule="exact"/>
              <w:rPr>
                <w:sz w:val="20"/>
                <w:szCs w:val="20"/>
                <w:color w:val="auto"/>
              </w:rPr>
            </w:pPr>
            <w:r>
              <w:rPr>
                <w:rFonts w:ascii="Arial" w:cs="Arial" w:eastAsia="Arial" w:hAnsi="Arial"/>
                <w:sz w:val="18"/>
                <w:szCs w:val="18"/>
                <w:b w:val="1"/>
                <w:bCs w:val="1"/>
                <w:color w:val="auto"/>
                <w:w w:val="90"/>
              </w:rPr>
              <w:t xml:space="preserve">GAAP </w:t>
            </w:r>
            <w:r>
              <w:rPr>
                <w:rFonts w:ascii="Arial" w:cs="Arial" w:eastAsia="Arial" w:hAnsi="Arial"/>
                <w:sz w:val="25"/>
                <w:szCs w:val="25"/>
                <w:b w:val="1"/>
                <w:bCs w:val="1"/>
                <w:color w:val="auto"/>
                <w:w w:val="90"/>
                <w:vertAlign w:val="superscript"/>
              </w:rPr>
              <w:t>(1)</w:t>
            </w:r>
          </w:p>
        </w:tc>
        <w:tc>
          <w:tcPr>
            <w:tcW w:w="1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right w:val="single" w:sz="8" w:color="auto"/>
            </w:tcBorders>
          </w:tcPr>
          <w:p>
            <w:pPr>
              <w:spacing w:after="0"/>
              <w:rPr>
                <w:sz w:val="24"/>
                <w:szCs w:val="24"/>
                <w:color w:val="auto"/>
              </w:rPr>
            </w:pPr>
          </w:p>
        </w:tc>
        <w:tc>
          <w:tcPr>
            <w:tcW w:w="120" w:type="dxa"/>
            <w:vAlign w:val="bottom"/>
            <w:tcBorders>
              <w:top w:val="single" w:sz="8" w:color="auto"/>
              <w:bottom w:val="single" w:sz="8" w:color="auto"/>
              <w:right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gridSpan w:val="4"/>
          </w:tcPr>
          <w:p>
            <w:pPr>
              <w:jc w:val="center"/>
              <w:spacing w:after="0" w:line="281" w:lineRule="exact"/>
              <w:rPr>
                <w:sz w:val="20"/>
                <w:szCs w:val="20"/>
                <w:color w:val="auto"/>
              </w:rPr>
            </w:pPr>
            <w:r>
              <w:rPr>
                <w:rFonts w:ascii="Arial" w:cs="Arial" w:eastAsia="Arial" w:hAnsi="Arial"/>
                <w:sz w:val="18"/>
                <w:szCs w:val="18"/>
                <w:b w:val="1"/>
                <w:bCs w:val="1"/>
                <w:color w:val="auto"/>
                <w:w w:val="91"/>
              </w:rPr>
              <w:t xml:space="preserve">Non-GAAP </w:t>
            </w:r>
            <w:r>
              <w:rPr>
                <w:rFonts w:ascii="Arial" w:cs="Arial" w:eastAsia="Arial" w:hAnsi="Arial"/>
                <w:sz w:val="25"/>
                <w:szCs w:val="25"/>
                <w:b w:val="1"/>
                <w:bCs w:val="1"/>
                <w:color w:val="auto"/>
                <w:w w:val="91"/>
                <w:vertAlign w:val="superscript"/>
              </w:rPr>
              <w:t>(2)</w:t>
            </w:r>
          </w:p>
        </w:tc>
        <w:tc>
          <w:tcPr>
            <w:tcW w:w="800" w:type="dxa"/>
            <w:vAlign w:val="bottom"/>
            <w:tcBorders>
              <w:top w:val="single" w:sz="8" w:color="auto"/>
              <w:bottom w:val="single" w:sz="8" w:color="auto"/>
              <w:right w:val="single" w:sz="8" w:color="auto"/>
            </w:tcBorders>
          </w:tcPr>
          <w:p>
            <w:pPr>
              <w:spacing w:after="0"/>
              <w:rPr>
                <w:sz w:val="24"/>
                <w:szCs w:val="24"/>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(in millions, except per share amounts)</w:t>
            </w:r>
          </w:p>
        </w:tc>
        <w:tc>
          <w:tcPr>
            <w:tcW w:w="140" w:type="dxa"/>
            <w:vAlign w:val="bottom"/>
          </w:tcPr>
          <w:p>
            <w:pPr>
              <w:spacing w:after="0"/>
              <w:rPr>
                <w:sz w:val="20"/>
                <w:szCs w:val="20"/>
                <w:color w:val="auto"/>
              </w:rPr>
            </w:pPr>
          </w:p>
        </w:tc>
        <w:tc>
          <w:tcPr>
            <w:tcW w:w="78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FQ4-19</w:t>
            </w:r>
          </w:p>
        </w:tc>
        <w:tc>
          <w:tcPr>
            <w:tcW w:w="120" w:type="dxa"/>
            <w:vAlign w:val="bottom"/>
          </w:tcPr>
          <w:p>
            <w:pPr>
              <w:spacing w:after="0"/>
              <w:rPr>
                <w:sz w:val="20"/>
                <w:szCs w:val="20"/>
                <w:color w:val="auto"/>
              </w:rPr>
            </w:pPr>
          </w:p>
        </w:tc>
        <w:tc>
          <w:tcPr>
            <w:tcW w:w="82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4"/>
              </w:rPr>
              <w:t>FQ3-19</w:t>
            </w:r>
          </w:p>
        </w:tc>
        <w:tc>
          <w:tcPr>
            <w:tcW w:w="140" w:type="dxa"/>
            <w:vAlign w:val="bottom"/>
          </w:tcPr>
          <w:p>
            <w:pPr>
              <w:spacing w:after="0"/>
              <w:rPr>
                <w:sz w:val="20"/>
                <w:szCs w:val="20"/>
                <w:color w:val="auto"/>
              </w:rPr>
            </w:pPr>
          </w:p>
        </w:tc>
        <w:tc>
          <w:tcPr>
            <w:tcW w:w="8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8"/>
              </w:rPr>
              <w:t>FQ4-18</w:t>
            </w:r>
          </w:p>
        </w:tc>
        <w:tc>
          <w:tcPr>
            <w:tcW w:w="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98"/>
              </w:rPr>
              <w:t>FQ4-19</w:t>
            </w:r>
          </w:p>
        </w:tc>
        <w:tc>
          <w:tcPr>
            <w:tcW w:w="1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4"/>
              </w:rPr>
              <w:t>FQ3-19</w:t>
            </w:r>
          </w:p>
        </w:tc>
        <w:tc>
          <w:tcPr>
            <w:tcW w:w="140" w:type="dxa"/>
            <w:vAlign w:val="bottom"/>
          </w:tcPr>
          <w:p>
            <w:pPr>
              <w:spacing w:after="0"/>
              <w:rPr>
                <w:sz w:val="20"/>
                <w:szCs w:val="20"/>
                <w:color w:val="auto"/>
              </w:rPr>
            </w:pPr>
          </w:p>
        </w:tc>
        <w:tc>
          <w:tcPr>
            <w:tcW w:w="8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8"/>
              </w:rPr>
              <w:t>FQ4-18</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69"/>
        </w:trPr>
        <w:tc>
          <w:tcPr>
            <w:tcW w:w="3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4,870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4,788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8,440</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4,870</w:t>
            </w:r>
          </w:p>
        </w:tc>
        <w:tc>
          <w:tcPr>
            <w:tcW w:w="100" w:type="dxa"/>
            <w:vAlign w:val="bottom"/>
            <w:tcBorders>
              <w:bottom w:val="single" w:sz="8" w:color="CCEEFF"/>
              <w:right w:val="single" w:sz="8" w:color="auto"/>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4,788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8,440</w:t>
            </w:r>
          </w:p>
        </w:tc>
      </w:tr>
      <w:tr>
        <w:trPr>
          <w:trHeight w:val="237"/>
        </w:trPr>
        <w:tc>
          <w:tcPr>
            <w:tcW w:w="3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Gross margin</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1,395</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1,828</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5,151</w:t>
            </w:r>
          </w:p>
        </w:tc>
        <w:tc>
          <w:tcPr>
            <w:tcW w:w="12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Borders>
              <w:top w:val="single" w:sz="8" w:color="auto"/>
              <w:right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1,884</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5,179</w:t>
            </w:r>
          </w:p>
        </w:tc>
      </w:tr>
      <w:tr>
        <w:trPr>
          <w:trHeight w:val="270"/>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percent of revenue</w:t>
            </w:r>
          </w:p>
        </w:tc>
        <w:tc>
          <w:tcPr>
            <w:tcW w:w="140" w:type="dxa"/>
            <w:vAlign w:val="bottom"/>
          </w:tcPr>
          <w:p>
            <w:pPr>
              <w:spacing w:after="0"/>
              <w:rPr>
                <w:sz w:val="23"/>
                <w:szCs w:val="23"/>
                <w:color w:val="auto"/>
              </w:rPr>
            </w:pPr>
          </w:p>
        </w:tc>
        <w:tc>
          <w:tcPr>
            <w:tcW w:w="78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28.6%</w:t>
            </w:r>
          </w:p>
        </w:tc>
        <w:tc>
          <w:tcPr>
            <w:tcW w:w="120" w:type="dxa"/>
            <w:vAlign w:val="bottom"/>
          </w:tcPr>
          <w:p>
            <w:pPr>
              <w:spacing w:after="0"/>
              <w:rPr>
                <w:sz w:val="23"/>
                <w:szCs w:val="23"/>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38.2%</w:t>
            </w:r>
          </w:p>
        </w:tc>
        <w:tc>
          <w:tcPr>
            <w:tcW w:w="140" w:type="dxa"/>
            <w:vAlign w:val="bottom"/>
          </w:tcPr>
          <w:p>
            <w:pPr>
              <w:spacing w:after="0"/>
              <w:rPr>
                <w:sz w:val="23"/>
                <w:szCs w:val="23"/>
                <w:color w:val="auto"/>
              </w:rPr>
            </w:pPr>
          </w:p>
        </w:tc>
        <w:tc>
          <w:tcPr>
            <w:tcW w:w="80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61.0%</w:t>
            </w:r>
          </w:p>
        </w:tc>
        <w:tc>
          <w:tcPr>
            <w:tcW w:w="12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i w:val="1"/>
                <w:iCs w:val="1"/>
                <w:color w:val="auto"/>
              </w:rPr>
              <w:t>30.6%</w:t>
            </w:r>
          </w:p>
        </w:tc>
        <w:tc>
          <w:tcPr>
            <w:tcW w:w="10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i w:val="1"/>
                <w:iCs w:val="1"/>
                <w:color w:val="auto"/>
                <w:w w:val="93"/>
              </w:rPr>
              <w:t>39.3%</w:t>
            </w:r>
          </w:p>
        </w:tc>
        <w:tc>
          <w:tcPr>
            <w:tcW w:w="140" w:type="dxa"/>
            <w:vAlign w:val="bottom"/>
          </w:tcPr>
          <w:p>
            <w:pPr>
              <w:spacing w:after="0"/>
              <w:rPr>
                <w:sz w:val="23"/>
                <w:szCs w:val="23"/>
                <w:color w:val="auto"/>
              </w:rPr>
            </w:pPr>
          </w:p>
        </w:tc>
        <w:tc>
          <w:tcPr>
            <w:tcW w:w="80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61.4%</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69"/>
        </w:trPr>
        <w:tc>
          <w:tcPr>
            <w:tcW w:w="3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745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774</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right w:val="single" w:sz="8" w:color="auto"/>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774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740</w:t>
            </w:r>
          </w:p>
        </w:tc>
      </w:tr>
      <w:tr>
        <w:trPr>
          <w:trHeight w:val="237"/>
        </w:trPr>
        <w:tc>
          <w:tcPr>
            <w:tcW w:w="3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650</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1,010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4,377</w:t>
            </w:r>
          </w:p>
        </w:tc>
        <w:tc>
          <w:tcPr>
            <w:tcW w:w="12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Borders>
              <w:top w:val="single" w:sz="8" w:color="auto"/>
              <w:right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1,110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4,439</w:t>
            </w:r>
          </w:p>
        </w:tc>
      </w:tr>
      <w:tr>
        <w:trPr>
          <w:trHeight w:val="270"/>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percent of revenue</w:t>
            </w:r>
          </w:p>
        </w:tc>
        <w:tc>
          <w:tcPr>
            <w:tcW w:w="140" w:type="dxa"/>
            <w:vAlign w:val="bottom"/>
          </w:tcPr>
          <w:p>
            <w:pPr>
              <w:spacing w:after="0"/>
              <w:rPr>
                <w:sz w:val="23"/>
                <w:szCs w:val="23"/>
                <w:color w:val="auto"/>
              </w:rPr>
            </w:pPr>
          </w:p>
        </w:tc>
        <w:tc>
          <w:tcPr>
            <w:tcW w:w="78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13.3%</w:t>
            </w:r>
          </w:p>
        </w:tc>
        <w:tc>
          <w:tcPr>
            <w:tcW w:w="120" w:type="dxa"/>
            <w:vAlign w:val="bottom"/>
          </w:tcPr>
          <w:p>
            <w:pPr>
              <w:spacing w:after="0"/>
              <w:rPr>
                <w:sz w:val="23"/>
                <w:szCs w:val="23"/>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21.1%</w:t>
            </w:r>
          </w:p>
        </w:tc>
        <w:tc>
          <w:tcPr>
            <w:tcW w:w="140" w:type="dxa"/>
            <w:vAlign w:val="bottom"/>
          </w:tcPr>
          <w:p>
            <w:pPr>
              <w:spacing w:after="0"/>
              <w:rPr>
                <w:sz w:val="23"/>
                <w:szCs w:val="23"/>
                <w:color w:val="auto"/>
              </w:rPr>
            </w:pPr>
          </w:p>
        </w:tc>
        <w:tc>
          <w:tcPr>
            <w:tcW w:w="80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51.9%</w:t>
            </w:r>
          </w:p>
        </w:tc>
        <w:tc>
          <w:tcPr>
            <w:tcW w:w="12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i w:val="1"/>
                <w:iCs w:val="1"/>
                <w:color w:val="auto"/>
              </w:rPr>
              <w:t>14.3%</w:t>
            </w:r>
          </w:p>
        </w:tc>
        <w:tc>
          <w:tcPr>
            <w:tcW w:w="10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i w:val="1"/>
                <w:iCs w:val="1"/>
                <w:color w:val="auto"/>
                <w:w w:val="93"/>
              </w:rPr>
              <w:t>23.2%</w:t>
            </w:r>
          </w:p>
        </w:tc>
        <w:tc>
          <w:tcPr>
            <w:tcW w:w="140" w:type="dxa"/>
            <w:vAlign w:val="bottom"/>
          </w:tcPr>
          <w:p>
            <w:pPr>
              <w:spacing w:after="0"/>
              <w:rPr>
                <w:sz w:val="23"/>
                <w:szCs w:val="23"/>
                <w:color w:val="auto"/>
              </w:rPr>
            </w:pPr>
          </w:p>
        </w:tc>
        <w:tc>
          <w:tcPr>
            <w:tcW w:w="80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52.6%</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69"/>
        </w:trPr>
        <w:tc>
          <w:tcPr>
            <w:tcW w:w="3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Micron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561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840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4,325</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right w:val="single" w:sz="8" w:color="auto"/>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1,198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4,313</w:t>
            </w:r>
          </w:p>
        </w:tc>
      </w:tr>
      <w:tr>
        <w:trPr>
          <w:trHeight w:val="237"/>
        </w:trPr>
        <w:tc>
          <w:tcPr>
            <w:tcW w:w="3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Diluted earnings per share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0.49</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0.74</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3.56</w:t>
            </w:r>
          </w:p>
        </w:tc>
        <w:tc>
          <w:tcPr>
            <w:tcW w:w="12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Borders>
              <w:top w:val="single" w:sz="8" w:color="auto"/>
              <w:right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1.05</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3.53</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40"/>
          </w:cols>
          <w:pgMar w:left="240" w:top="625" w:right="419" w:bottom="1440" w:gutter="0" w:footer="0" w:header="0"/>
        </w:sectPr>
      </w:pPr>
    </w:p>
    <w:bookmarkStart w:id="4" w:name="page5"/>
    <w:bookmarkEnd w:id="4"/>
    <w:p>
      <w:pPr>
        <w:ind w:left="1140"/>
        <w:spacing w:after="0"/>
        <w:rPr>
          <w:sz w:val="20"/>
          <w:szCs w:val="20"/>
          <w:color w:val="auto"/>
        </w:rPr>
      </w:pPr>
      <w:r>
        <w:rPr>
          <w:rFonts w:ascii="Arial" w:cs="Arial" w:eastAsia="Arial" w:hAnsi="Arial"/>
          <w:sz w:val="22"/>
          <w:szCs w:val="22"/>
          <w:b w:val="1"/>
          <w:bCs w:val="1"/>
          <w:color w:val="auto"/>
        </w:rPr>
        <w:t>Annual Financial Results</w:t>
      </w:r>
    </w:p>
    <w:p>
      <w:pPr>
        <w:spacing w:after="0" w:line="28" w:lineRule="exact"/>
        <w:rPr>
          <w:sz w:val="20"/>
          <w:szCs w:val="20"/>
          <w:color w:val="auto"/>
        </w:rPr>
      </w:pPr>
    </w:p>
    <w:tbl>
      <w:tblPr>
        <w:tblLayout w:type="fixed"/>
        <w:tblInd w:w="1130" w:type="dxa"/>
        <w:tblCellMar>
          <w:top w:w="0" w:type="dxa"/>
          <w:left w:w="0" w:type="dxa"/>
          <w:bottom w:w="0" w:type="dxa"/>
          <w:right w:w="0" w:type="dxa"/>
        </w:tblCellMar>
      </w:tblPr>
      <w:tr>
        <w:trPr>
          <w:trHeight w:val="281"/>
        </w:trPr>
        <w:tc>
          <w:tcPr>
            <w:tcW w:w="5260" w:type="dxa"/>
            <w:vAlign w:val="bottom"/>
            <w:tcBorders>
              <w:top w:val="single" w:sz="8" w:color="auto"/>
              <w:left w:val="single" w:sz="8" w:color="auto"/>
              <w:right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740" w:type="dxa"/>
            <w:vAlign w:val="bottom"/>
            <w:tcBorders>
              <w:top w:val="single" w:sz="8" w:color="auto"/>
              <w:bottom w:val="single" w:sz="8" w:color="auto"/>
              <w:right w:val="single" w:sz="8" w:color="auto"/>
            </w:tcBorders>
            <w:gridSpan w:val="3"/>
          </w:tcPr>
          <w:p>
            <w:pPr>
              <w:jc w:val="right"/>
              <w:ind w:right="530"/>
              <w:spacing w:after="0" w:line="281" w:lineRule="exact"/>
              <w:rPr>
                <w:sz w:val="20"/>
                <w:szCs w:val="20"/>
                <w:color w:val="auto"/>
              </w:rPr>
            </w:pPr>
            <w:r>
              <w:rPr>
                <w:rFonts w:ascii="Arial" w:cs="Arial" w:eastAsia="Arial" w:hAnsi="Arial"/>
                <w:sz w:val="18"/>
                <w:szCs w:val="18"/>
                <w:b w:val="1"/>
                <w:bCs w:val="1"/>
                <w:color w:val="auto"/>
              </w:rPr>
              <w:t xml:space="preserve">GAAP </w:t>
            </w:r>
            <w:r>
              <w:rPr>
                <w:rFonts w:ascii="Arial" w:cs="Arial" w:eastAsia="Arial" w:hAnsi="Arial"/>
                <w:sz w:val="25"/>
                <w:szCs w:val="25"/>
                <w:b w:val="1"/>
                <w:bCs w:val="1"/>
                <w:color w:val="auto"/>
                <w:vertAlign w:val="superscript"/>
              </w:rPr>
              <w:t>(1)</w:t>
            </w:r>
          </w:p>
        </w:tc>
        <w:tc>
          <w:tcPr>
            <w:tcW w:w="120" w:type="dxa"/>
            <w:vAlign w:val="bottom"/>
            <w:tcBorders>
              <w:top w:val="single" w:sz="8" w:color="auto"/>
              <w:bottom w:val="single" w:sz="8" w:color="auto"/>
              <w:right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740" w:type="dxa"/>
            <w:vAlign w:val="bottom"/>
            <w:tcBorders>
              <w:top w:val="single" w:sz="8" w:color="auto"/>
              <w:bottom w:val="single" w:sz="8" w:color="auto"/>
              <w:right w:val="single" w:sz="8" w:color="auto"/>
            </w:tcBorders>
            <w:gridSpan w:val="3"/>
          </w:tcPr>
          <w:p>
            <w:pPr>
              <w:jc w:val="right"/>
              <w:ind w:right="330"/>
              <w:spacing w:after="0" w:line="281" w:lineRule="exact"/>
              <w:rPr>
                <w:sz w:val="20"/>
                <w:szCs w:val="20"/>
                <w:color w:val="auto"/>
              </w:rPr>
            </w:pPr>
            <w:r>
              <w:rPr>
                <w:rFonts w:ascii="Arial" w:cs="Arial" w:eastAsia="Arial" w:hAnsi="Arial"/>
                <w:sz w:val="18"/>
                <w:szCs w:val="18"/>
                <w:b w:val="1"/>
                <w:bCs w:val="1"/>
                <w:color w:val="auto"/>
              </w:rPr>
              <w:t xml:space="preserve">Non-GAAP </w:t>
            </w:r>
            <w:r>
              <w:rPr>
                <w:rFonts w:ascii="Arial" w:cs="Arial" w:eastAsia="Arial" w:hAnsi="Arial"/>
                <w:sz w:val="25"/>
                <w:szCs w:val="25"/>
                <w:b w:val="1"/>
                <w:bCs w:val="1"/>
                <w:color w:val="auto"/>
                <w:vertAlign w:val="superscript"/>
              </w:rPr>
              <w:t>(2)</w:t>
            </w:r>
          </w:p>
        </w:tc>
      </w:tr>
      <w:tr>
        <w:trPr>
          <w:trHeight w:val="23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(in millions, except per share amounts)</w:t>
            </w:r>
          </w:p>
        </w:tc>
        <w:tc>
          <w:tcPr>
            <w:tcW w:w="180" w:type="dxa"/>
            <w:vAlign w:val="bottom"/>
          </w:tcPr>
          <w:p>
            <w:pPr>
              <w:spacing w:after="0"/>
              <w:rPr>
                <w:sz w:val="20"/>
                <w:szCs w:val="20"/>
                <w:color w:val="auto"/>
              </w:rPr>
            </w:pPr>
          </w:p>
        </w:tc>
        <w:tc>
          <w:tcPr>
            <w:tcW w:w="7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FY 19</w:t>
            </w:r>
          </w:p>
        </w:tc>
        <w:tc>
          <w:tcPr>
            <w:tcW w:w="180" w:type="dxa"/>
            <w:vAlign w:val="bottom"/>
          </w:tcPr>
          <w:p>
            <w:pPr>
              <w:spacing w:after="0"/>
              <w:rPr>
                <w:sz w:val="20"/>
                <w:szCs w:val="20"/>
                <w:color w:val="auto"/>
              </w:rPr>
            </w:pPr>
          </w:p>
        </w:tc>
        <w:tc>
          <w:tcPr>
            <w:tcW w:w="7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FY 18</w:t>
            </w:r>
          </w:p>
        </w:tc>
        <w:tc>
          <w:tcPr>
            <w:tcW w:w="1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FY 19</w:t>
            </w:r>
          </w:p>
        </w:tc>
        <w:tc>
          <w:tcPr>
            <w:tcW w:w="180" w:type="dxa"/>
            <w:vAlign w:val="bottom"/>
          </w:tcPr>
          <w:p>
            <w:pPr>
              <w:spacing w:after="0"/>
              <w:rPr>
                <w:sz w:val="20"/>
                <w:szCs w:val="20"/>
                <w:color w:val="auto"/>
              </w:rPr>
            </w:pPr>
          </w:p>
        </w:tc>
        <w:tc>
          <w:tcPr>
            <w:tcW w:w="7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FY 18</w:t>
            </w:r>
          </w:p>
        </w:tc>
      </w:tr>
      <w:tr>
        <w:trPr>
          <w:trHeight w:val="27"/>
        </w:trPr>
        <w:tc>
          <w:tcPr>
            <w:tcW w:w="5260" w:type="dxa"/>
            <w:vAlign w:val="bottom"/>
            <w:tcBorders>
              <w:left w:val="single" w:sz="8" w:color="auto"/>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69"/>
        </w:trPr>
        <w:tc>
          <w:tcPr>
            <w:tcW w:w="5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23,406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30,391</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23,406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30,391</w:t>
            </w:r>
          </w:p>
        </w:tc>
      </w:tr>
      <w:tr>
        <w:trPr>
          <w:trHeight w:val="237"/>
        </w:trPr>
        <w:tc>
          <w:tcPr>
            <w:tcW w:w="5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Gross margin</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10,702</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17,891</w:t>
            </w:r>
          </w:p>
        </w:tc>
        <w:tc>
          <w:tcPr>
            <w:tcW w:w="120" w:type="dxa"/>
            <w:vAlign w:val="bottom"/>
            <w:tcBorders>
              <w:top w:val="single" w:sz="8" w:color="auto"/>
              <w:right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10,973</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17,994</w:t>
            </w:r>
          </w:p>
        </w:tc>
      </w:tr>
      <w:tr>
        <w:trPr>
          <w:trHeight w:val="270"/>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percent of revenue</w:t>
            </w:r>
          </w:p>
        </w:tc>
        <w:tc>
          <w:tcPr>
            <w:tcW w:w="180" w:type="dxa"/>
            <w:vAlign w:val="bottom"/>
          </w:tcPr>
          <w:p>
            <w:pPr>
              <w:spacing w:after="0"/>
              <w:rPr>
                <w:sz w:val="23"/>
                <w:szCs w:val="23"/>
                <w:color w:val="auto"/>
              </w:rPr>
            </w:pPr>
          </w:p>
        </w:tc>
        <w:tc>
          <w:tcPr>
            <w:tcW w:w="78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45.7%</w:t>
            </w:r>
          </w:p>
        </w:tc>
        <w:tc>
          <w:tcPr>
            <w:tcW w:w="180" w:type="dxa"/>
            <w:vAlign w:val="bottom"/>
          </w:tcPr>
          <w:p>
            <w:pPr>
              <w:spacing w:after="0"/>
              <w:rPr>
                <w:sz w:val="23"/>
                <w:szCs w:val="23"/>
                <w:color w:val="auto"/>
              </w:rPr>
            </w:pPr>
          </w:p>
        </w:tc>
        <w:tc>
          <w:tcPr>
            <w:tcW w:w="78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58.9%</w:t>
            </w:r>
          </w:p>
        </w:tc>
        <w:tc>
          <w:tcPr>
            <w:tcW w:w="12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46.9%</w:t>
            </w:r>
          </w:p>
        </w:tc>
        <w:tc>
          <w:tcPr>
            <w:tcW w:w="180" w:type="dxa"/>
            <w:vAlign w:val="bottom"/>
          </w:tcPr>
          <w:p>
            <w:pPr>
              <w:spacing w:after="0"/>
              <w:rPr>
                <w:sz w:val="23"/>
                <w:szCs w:val="23"/>
                <w:color w:val="auto"/>
              </w:rPr>
            </w:pPr>
          </w:p>
        </w:tc>
        <w:tc>
          <w:tcPr>
            <w:tcW w:w="78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59.2%</w:t>
            </w:r>
          </w:p>
        </w:tc>
      </w:tr>
      <w:tr>
        <w:trPr>
          <w:trHeight w:val="27"/>
        </w:trPr>
        <w:tc>
          <w:tcPr>
            <w:tcW w:w="5260" w:type="dxa"/>
            <w:vAlign w:val="bottom"/>
            <w:tcBorders>
              <w:left w:val="single" w:sz="8" w:color="auto"/>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69"/>
        </w:trPr>
        <w:tc>
          <w:tcPr>
            <w:tcW w:w="5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3,326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2,897</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3,172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2,751</w:t>
            </w:r>
          </w:p>
        </w:tc>
      </w:tr>
      <w:tr>
        <w:trPr>
          <w:trHeight w:val="237"/>
        </w:trPr>
        <w:tc>
          <w:tcPr>
            <w:tcW w:w="5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7,376</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14,994</w:t>
            </w:r>
          </w:p>
        </w:tc>
        <w:tc>
          <w:tcPr>
            <w:tcW w:w="120" w:type="dxa"/>
            <w:vAlign w:val="bottom"/>
            <w:tcBorders>
              <w:top w:val="single" w:sz="8" w:color="auto"/>
              <w:right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7,801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15,243</w:t>
            </w:r>
          </w:p>
        </w:tc>
      </w:tr>
      <w:tr>
        <w:trPr>
          <w:trHeight w:val="270"/>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percent of revenue</w:t>
            </w:r>
          </w:p>
        </w:tc>
        <w:tc>
          <w:tcPr>
            <w:tcW w:w="180" w:type="dxa"/>
            <w:vAlign w:val="bottom"/>
          </w:tcPr>
          <w:p>
            <w:pPr>
              <w:spacing w:after="0"/>
              <w:rPr>
                <w:sz w:val="23"/>
                <w:szCs w:val="23"/>
                <w:color w:val="auto"/>
              </w:rPr>
            </w:pPr>
          </w:p>
        </w:tc>
        <w:tc>
          <w:tcPr>
            <w:tcW w:w="78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31.5%</w:t>
            </w:r>
          </w:p>
        </w:tc>
        <w:tc>
          <w:tcPr>
            <w:tcW w:w="180" w:type="dxa"/>
            <w:vAlign w:val="bottom"/>
          </w:tcPr>
          <w:p>
            <w:pPr>
              <w:spacing w:after="0"/>
              <w:rPr>
                <w:sz w:val="23"/>
                <w:szCs w:val="23"/>
                <w:color w:val="auto"/>
              </w:rPr>
            </w:pPr>
          </w:p>
        </w:tc>
        <w:tc>
          <w:tcPr>
            <w:tcW w:w="78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49.3%</w:t>
            </w:r>
          </w:p>
        </w:tc>
        <w:tc>
          <w:tcPr>
            <w:tcW w:w="12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33.3%</w:t>
            </w:r>
          </w:p>
        </w:tc>
        <w:tc>
          <w:tcPr>
            <w:tcW w:w="180" w:type="dxa"/>
            <w:vAlign w:val="bottom"/>
          </w:tcPr>
          <w:p>
            <w:pPr>
              <w:spacing w:after="0"/>
              <w:rPr>
                <w:sz w:val="23"/>
                <w:szCs w:val="23"/>
                <w:color w:val="auto"/>
              </w:rPr>
            </w:pPr>
          </w:p>
        </w:tc>
        <w:tc>
          <w:tcPr>
            <w:tcW w:w="78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50.2%</w:t>
            </w:r>
          </w:p>
        </w:tc>
      </w:tr>
      <w:tr>
        <w:trPr>
          <w:trHeight w:val="27"/>
        </w:trPr>
        <w:tc>
          <w:tcPr>
            <w:tcW w:w="5260" w:type="dxa"/>
            <w:vAlign w:val="bottom"/>
            <w:tcBorders>
              <w:left w:val="single" w:sz="8" w:color="auto"/>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69"/>
        </w:trPr>
        <w:tc>
          <w:tcPr>
            <w:tcW w:w="5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Micron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6,313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14,135</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7,314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14,700</w:t>
            </w:r>
          </w:p>
        </w:tc>
      </w:tr>
      <w:tr>
        <w:trPr>
          <w:trHeight w:val="237"/>
        </w:trPr>
        <w:tc>
          <w:tcPr>
            <w:tcW w:w="5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5.51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11.51</w:t>
            </w:r>
          </w:p>
        </w:tc>
        <w:tc>
          <w:tcPr>
            <w:tcW w:w="120" w:type="dxa"/>
            <w:vAlign w:val="bottom"/>
            <w:tcBorders>
              <w:top w:val="single" w:sz="8" w:color="auto"/>
              <w:right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6.35</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11.95</w:t>
            </w:r>
          </w:p>
        </w:tc>
      </w:tr>
      <w:tr>
        <w:trPr>
          <w:trHeight w:val="27"/>
        </w:trPr>
        <w:tc>
          <w:tcPr>
            <w:tcW w:w="5260" w:type="dxa"/>
            <w:vAlign w:val="bottom"/>
            <w:tcBorders>
              <w:left w:val="single" w:sz="8" w:color="auto"/>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Investments in capital expenditures, net of amounts funded by partners, were $1.97 billion for the fourth quarter of 2019 and $9.11</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color w:val="auto"/>
        </w:rPr>
        <w:t>billion for the full year of 2019, which resulted in adjusted free cash flows</w:t>
      </w:r>
      <w:r>
        <w:rPr>
          <w:rFonts w:ascii="Arial" w:cs="Arial" w:eastAsia="Arial" w:hAnsi="Arial"/>
          <w:sz w:val="26"/>
          <w:szCs w:val="26"/>
          <w:color w:val="auto"/>
          <w:vertAlign w:val="superscript"/>
        </w:rPr>
        <w:t>(3)</w:t>
      </w:r>
      <w:r>
        <w:rPr>
          <w:rFonts w:ascii="Arial" w:cs="Arial" w:eastAsia="Arial" w:hAnsi="Arial"/>
          <w:sz w:val="20"/>
          <w:szCs w:val="20"/>
          <w:color w:val="auto"/>
        </w:rPr>
        <w:t xml:space="preserve"> of $263 million for the fourth quarter of 2019 and</w:t>
      </w:r>
    </w:p>
    <w:p>
      <w:pPr>
        <w:spacing w:after="0"/>
        <w:rPr>
          <w:sz w:val="20"/>
          <w:szCs w:val="20"/>
          <w:color w:val="auto"/>
        </w:rPr>
      </w:pPr>
      <w:r>
        <w:rPr>
          <w:rFonts w:ascii="Arial" w:cs="Arial" w:eastAsia="Arial" w:hAnsi="Arial"/>
          <w:sz w:val="19"/>
          <w:szCs w:val="19"/>
          <w:color w:val="auto"/>
        </w:rPr>
        <w:t>$4.08 billion for the full year of 2019. Micron repurchased an aggregate of 67 million shares of its common stock for $2.66 billion</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during 2019 and ended the fourth quarter with cash, marketable investments, and restricted cash of $9.25 billion, for a net cash</w:t>
      </w:r>
      <w:r>
        <w:rPr>
          <w:rFonts w:ascii="Arial" w:cs="Arial" w:eastAsia="Arial" w:hAnsi="Arial"/>
          <w:sz w:val="25"/>
          <w:szCs w:val="25"/>
          <w:color w:val="auto"/>
          <w:vertAlign w:val="superscript"/>
        </w:rPr>
        <w:t>(4)</w:t>
      </w:r>
    </w:p>
    <w:p>
      <w:pPr>
        <w:spacing w:after="0"/>
        <w:rPr>
          <w:sz w:val="20"/>
          <w:szCs w:val="20"/>
          <w:color w:val="auto"/>
        </w:rPr>
      </w:pPr>
      <w:r>
        <w:rPr>
          <w:rFonts w:ascii="Arial" w:cs="Arial" w:eastAsia="Arial" w:hAnsi="Arial"/>
          <w:sz w:val="22"/>
          <w:szCs w:val="22"/>
          <w:color w:val="auto"/>
        </w:rPr>
        <w:t>position of $3.40 billion.</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Business Outlook</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presents Micron's guidance for the first quarter of fiscal 2020:</w:t>
      </w:r>
    </w:p>
    <w:p>
      <w:pPr>
        <w:spacing w:after="0" w:line="127" w:lineRule="exact"/>
        <w:rPr>
          <w:sz w:val="20"/>
          <w:szCs w:val="20"/>
          <w:color w:val="auto"/>
        </w:rPr>
      </w:pPr>
    </w:p>
    <w:tbl>
      <w:tblPr>
        <w:tblLayout w:type="fixed"/>
        <w:tblInd w:w="1110" w:type="dxa"/>
        <w:tblCellMar>
          <w:top w:w="0" w:type="dxa"/>
          <w:left w:w="0" w:type="dxa"/>
          <w:bottom w:w="0" w:type="dxa"/>
          <w:right w:w="0" w:type="dxa"/>
        </w:tblCellMar>
      </w:tblPr>
      <w:tr>
        <w:trPr>
          <w:trHeight w:val="284"/>
        </w:trPr>
        <w:tc>
          <w:tcPr>
            <w:tcW w:w="47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FQ1-20</w:t>
            </w:r>
          </w:p>
        </w:tc>
        <w:tc>
          <w:tcPr>
            <w:tcW w:w="2200" w:type="dxa"/>
            <w:vAlign w:val="bottom"/>
            <w:tcBorders>
              <w:top w:val="single" w:sz="8" w:color="auto"/>
              <w:bottom w:val="single" w:sz="8" w:color="auto"/>
              <w:right w:val="single" w:sz="8" w:color="auto"/>
            </w:tcBorders>
          </w:tcPr>
          <w:p>
            <w:pPr>
              <w:jc w:val="right"/>
              <w:ind w:right="330"/>
              <w:spacing w:after="0" w:line="283" w:lineRule="exact"/>
              <w:rPr>
                <w:sz w:val="20"/>
                <w:szCs w:val="20"/>
                <w:color w:val="auto"/>
              </w:rPr>
            </w:pPr>
            <w:r>
              <w:rPr>
                <w:rFonts w:ascii="Arial" w:cs="Arial" w:eastAsia="Arial" w:hAnsi="Arial"/>
                <w:sz w:val="18"/>
                <w:szCs w:val="18"/>
                <w:b w:val="1"/>
                <w:bCs w:val="1"/>
                <w:color w:val="auto"/>
              </w:rPr>
              <w:t xml:space="preserve">GAAP </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 xml:space="preserve"> Outlook</w:t>
            </w:r>
          </w:p>
        </w:tc>
        <w:tc>
          <w:tcPr>
            <w:tcW w:w="140" w:type="dxa"/>
            <w:vAlign w:val="bottom"/>
            <w:tcBorders>
              <w:top w:val="single" w:sz="8" w:color="auto"/>
              <w:bottom w:val="single" w:sz="8" w:color="auto"/>
              <w:right w:val="single" w:sz="8" w:color="auto"/>
            </w:tcBorders>
          </w:tcPr>
          <w:p>
            <w:pPr>
              <w:spacing w:after="0"/>
              <w:rPr>
                <w:sz w:val="24"/>
                <w:szCs w:val="24"/>
                <w:color w:val="auto"/>
              </w:rPr>
            </w:pPr>
          </w:p>
        </w:tc>
        <w:tc>
          <w:tcPr>
            <w:tcW w:w="2180" w:type="dxa"/>
            <w:vAlign w:val="bottom"/>
            <w:tcBorders>
              <w:top w:val="single" w:sz="8" w:color="auto"/>
              <w:bottom w:val="single" w:sz="8" w:color="auto"/>
              <w:right w:val="single" w:sz="8" w:color="auto"/>
            </w:tcBorders>
          </w:tcPr>
          <w:p>
            <w:pPr>
              <w:jc w:val="right"/>
              <w:ind w:right="150"/>
              <w:spacing w:after="0" w:line="283" w:lineRule="exact"/>
              <w:rPr>
                <w:sz w:val="20"/>
                <w:szCs w:val="20"/>
                <w:color w:val="auto"/>
              </w:rPr>
            </w:pPr>
            <w:r>
              <w:rPr>
                <w:rFonts w:ascii="Arial" w:cs="Arial" w:eastAsia="Arial" w:hAnsi="Arial"/>
                <w:sz w:val="18"/>
                <w:szCs w:val="18"/>
                <w:b w:val="1"/>
                <w:bCs w:val="1"/>
                <w:color w:val="auto"/>
              </w:rPr>
              <w:t xml:space="preserve">Non-GAAP </w:t>
            </w:r>
            <w:r>
              <w:rPr>
                <w:rFonts w:ascii="Arial" w:cs="Arial" w:eastAsia="Arial" w:hAnsi="Arial"/>
                <w:sz w:val="25"/>
                <w:szCs w:val="25"/>
                <w:b w:val="1"/>
                <w:bCs w:val="1"/>
                <w:color w:val="auto"/>
                <w:vertAlign w:val="superscript"/>
              </w:rPr>
              <w:t>(2)</w:t>
            </w:r>
            <w:r>
              <w:rPr>
                <w:rFonts w:ascii="Arial" w:cs="Arial" w:eastAsia="Arial" w:hAnsi="Arial"/>
                <w:sz w:val="18"/>
                <w:szCs w:val="18"/>
                <w:b w:val="1"/>
                <w:bCs w:val="1"/>
                <w:color w:val="auto"/>
              </w:rPr>
              <w:t xml:space="preserve"> Outlook</w:t>
            </w:r>
          </w:p>
        </w:tc>
      </w:tr>
      <w:tr>
        <w:trPr>
          <w:trHeight w:val="269"/>
        </w:trPr>
        <w:tc>
          <w:tcPr>
            <w:tcW w:w="47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 billion ± $200 million</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21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 billion ± $200 million</w:t>
            </w:r>
          </w:p>
        </w:tc>
      </w:tr>
      <w:tr>
        <w:trPr>
          <w:trHeight w:val="237"/>
        </w:trPr>
        <w:tc>
          <w:tcPr>
            <w:tcW w:w="47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Gross margin</w:t>
            </w:r>
          </w:p>
        </w:tc>
        <w:tc>
          <w:tcPr>
            <w:tcW w:w="22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25.5% ± 1.5%</w:t>
            </w:r>
          </w:p>
        </w:tc>
        <w:tc>
          <w:tcPr>
            <w:tcW w:w="140" w:type="dxa"/>
            <w:vAlign w:val="bottom"/>
            <w:tcBorders>
              <w:top w:val="single" w:sz="8" w:color="auto"/>
              <w:right w:val="single" w:sz="8" w:color="auto"/>
            </w:tcBorders>
          </w:tcPr>
          <w:p>
            <w:pPr>
              <w:spacing w:after="0"/>
              <w:rPr>
                <w:sz w:val="20"/>
                <w:szCs w:val="20"/>
                <w:color w:val="auto"/>
              </w:rPr>
            </w:pPr>
          </w:p>
        </w:tc>
        <w:tc>
          <w:tcPr>
            <w:tcW w:w="21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26.5% ± 1.5%</w:t>
            </w:r>
          </w:p>
        </w:tc>
      </w:tr>
      <w:tr>
        <w:trPr>
          <w:trHeight w:val="27"/>
        </w:trPr>
        <w:tc>
          <w:tcPr>
            <w:tcW w:w="47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69"/>
        </w:trPr>
        <w:tc>
          <w:tcPr>
            <w:tcW w:w="47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 million ± $25 million</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21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 million ± $25 million</w:t>
            </w:r>
          </w:p>
        </w:tc>
      </w:tr>
      <w:tr>
        <w:trPr>
          <w:trHeight w:val="237"/>
        </w:trPr>
        <w:tc>
          <w:tcPr>
            <w:tcW w:w="47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Diluted earnings per share</w:t>
            </w:r>
          </w:p>
        </w:tc>
        <w:tc>
          <w:tcPr>
            <w:tcW w:w="22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$0.42 ± $0.07</w:t>
            </w:r>
          </w:p>
        </w:tc>
        <w:tc>
          <w:tcPr>
            <w:tcW w:w="140" w:type="dxa"/>
            <w:vAlign w:val="bottom"/>
            <w:tcBorders>
              <w:top w:val="single" w:sz="8" w:color="auto"/>
              <w:right w:val="single" w:sz="8" w:color="auto"/>
            </w:tcBorders>
          </w:tcPr>
          <w:p>
            <w:pPr>
              <w:spacing w:after="0"/>
              <w:rPr>
                <w:sz w:val="20"/>
                <w:szCs w:val="20"/>
                <w:color w:val="auto"/>
              </w:rPr>
            </w:pPr>
          </w:p>
        </w:tc>
        <w:tc>
          <w:tcPr>
            <w:tcW w:w="21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$0.46 ± $0.07</w:t>
            </w:r>
          </w:p>
        </w:tc>
      </w:tr>
      <w:tr>
        <w:trPr>
          <w:trHeight w:val="27"/>
        </w:trPr>
        <w:tc>
          <w:tcPr>
            <w:tcW w:w="47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bl>
    <w:p>
      <w:pPr>
        <w:spacing w:after="0" w:line="24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Micron expects investments in capital expenditures, net of amounts funded by partners, to be in the range of $7 billion to $8 billion for fiscal 2020. Further information regarding Micron's business outlook is included in the prepared remarks and slides, which have been posted at </w:t>
      </w:r>
      <w:r>
        <w:rPr>
          <w:rFonts w:ascii="Arial" w:cs="Arial" w:eastAsia="Arial" w:hAnsi="Arial"/>
          <w:sz w:val="22"/>
          <w:szCs w:val="22"/>
          <w:u w:val="single" w:color="auto"/>
          <w:color w:val="006EBF"/>
        </w:rPr>
        <w:t>investors.micron.com</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Investor Webcast</w:t>
      </w:r>
    </w:p>
    <w:p>
      <w:pPr>
        <w:spacing w:after="0" w:line="266"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 xml:space="preserve">Micron will host a conference call on Thursday, September 26, 2019 at 2:30 p.m. MT to discuss financial results and provide forward-looking guidance for its fiscal first quarter. The call, audio, and slides will be available online at </w:t>
      </w:r>
      <w:r>
        <w:rPr>
          <w:rFonts w:ascii="Arial" w:cs="Arial" w:eastAsia="Arial" w:hAnsi="Arial"/>
          <w:sz w:val="22"/>
          <w:szCs w:val="22"/>
          <w:u w:val="single" w:color="auto"/>
          <w:color w:val="006EBF"/>
        </w:rPr>
        <w:t>investors.micron.com</w:t>
      </w:r>
      <w:r>
        <w:rPr>
          <w:rFonts w:ascii="Arial" w:cs="Arial" w:eastAsia="Arial" w:hAnsi="Arial"/>
          <w:sz w:val="22"/>
          <w:szCs w:val="22"/>
          <w:color w:val="auto"/>
        </w:rPr>
        <w:t xml:space="preserve">. A webcast replay will be available on the website until September 26, 2020. For Investor Relations and other company updates, follow @MicronTech on Twitter at </w:t>
      </w:r>
      <w:r>
        <w:rPr>
          <w:rFonts w:ascii="Arial" w:cs="Arial" w:eastAsia="Arial" w:hAnsi="Arial"/>
          <w:sz w:val="22"/>
          <w:szCs w:val="22"/>
          <w:u w:val="single" w:color="auto"/>
          <w:color w:val="006EBF"/>
        </w:rPr>
        <w:t>twitter.com/MicronTech</w:t>
      </w:r>
      <w:r>
        <w:rPr>
          <w:rFonts w:ascii="Arial" w:cs="Arial" w:eastAsia="Arial" w:hAnsi="Arial"/>
          <w:sz w:val="22"/>
          <w:szCs w:val="22"/>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Micron Technology, Inc.</w:t>
      </w:r>
    </w:p>
    <w:p>
      <w:pPr>
        <w:spacing w:after="0" w:line="255" w:lineRule="exact"/>
        <w:rPr>
          <w:sz w:val="20"/>
          <w:szCs w:val="20"/>
          <w:color w:val="auto"/>
        </w:rPr>
      </w:pPr>
    </w:p>
    <w:p>
      <w:pPr>
        <w:ind w:right="20"/>
        <w:spacing w:after="0" w:line="225" w:lineRule="auto"/>
        <w:rPr>
          <w:sz w:val="20"/>
          <w:szCs w:val="20"/>
          <w:color w:val="auto"/>
        </w:rPr>
      </w:pPr>
      <w:r>
        <w:rPr>
          <w:rFonts w:ascii="Arial" w:cs="Arial" w:eastAsia="Arial" w:hAnsi="Arial"/>
          <w:sz w:val="22"/>
          <w:szCs w:val="22"/>
          <w:color w:val="auto"/>
        </w:rPr>
        <w:t xml:space="preserve">We are an industry leader in innovative memory and storage solutions. Through our global brands </w:t>
      </w:r>
      <w:r>
        <w:rPr>
          <w:rFonts w:ascii="Arial" w:cs="Arial" w:eastAsia="Arial" w:hAnsi="Arial"/>
          <w:sz w:val="18"/>
          <w:szCs w:val="18"/>
          <w:color w:val="auto"/>
        </w:rPr>
        <w:t>–</w:t>
      </w:r>
      <w:r>
        <w:rPr>
          <w:rFonts w:ascii="Arial" w:cs="Arial" w:eastAsia="Arial" w:hAnsi="Arial"/>
          <w:sz w:val="22"/>
          <w:szCs w:val="22"/>
          <w:color w:val="auto"/>
        </w:rPr>
        <w:t xml:space="preserve"> Micron</w:t>
      </w:r>
      <w:r>
        <w:rPr>
          <w:rFonts w:ascii="Arial" w:cs="Arial" w:eastAsia="Arial" w:hAnsi="Arial"/>
          <w:sz w:val="28"/>
          <w:szCs w:val="28"/>
          <w:color w:val="auto"/>
          <w:vertAlign w:val="superscript"/>
        </w:rPr>
        <w:t>®</w:t>
      </w:r>
      <w:r>
        <w:rPr>
          <w:rFonts w:ascii="Arial" w:cs="Arial" w:eastAsia="Arial" w:hAnsi="Arial"/>
          <w:sz w:val="22"/>
          <w:szCs w:val="22"/>
          <w:color w:val="auto"/>
        </w:rPr>
        <w:t>, Crucial</w:t>
      </w:r>
      <w:r>
        <w:rPr>
          <w:rFonts w:ascii="Arial" w:cs="Arial" w:eastAsia="Arial" w:hAnsi="Arial"/>
          <w:sz w:val="28"/>
          <w:szCs w:val="28"/>
          <w:color w:val="auto"/>
          <w:vertAlign w:val="superscript"/>
        </w:rPr>
        <w:t>®</w:t>
      </w:r>
      <w:r>
        <w:rPr>
          <w:rFonts w:ascii="Arial" w:cs="Arial" w:eastAsia="Arial" w:hAnsi="Arial"/>
          <w:sz w:val="22"/>
          <w:szCs w:val="22"/>
          <w:color w:val="auto"/>
        </w:rPr>
        <w:t>, and Ballistix</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t>
      </w:r>
      <w:r>
        <w:rPr>
          <w:rFonts w:ascii="Arial" w:cs="Arial" w:eastAsia="Arial" w:hAnsi="Arial"/>
          <w:sz w:val="18"/>
          <w:szCs w:val="18"/>
          <w:color w:val="auto"/>
        </w:rPr>
        <w:t>–</w:t>
      </w:r>
      <w:r>
        <w:rPr>
          <w:rFonts w:ascii="Arial" w:cs="Arial" w:eastAsia="Arial" w:hAnsi="Arial"/>
          <w:sz w:val="22"/>
          <w:szCs w:val="22"/>
          <w:color w:val="auto"/>
        </w:rPr>
        <w:t xml:space="preserve"> our broad portfolio of high-performance memory and storage technologies, including DRAM, NAND, NOR Flash, and 3D XPoint™ memory, is transforming how the world uses information to enrich life. Backed by 40 years of technology leadership, our memory and</w:t>
      </w:r>
    </w:p>
    <w:p>
      <w:pPr>
        <w:sectPr>
          <w:pgSz w:w="11900" w:h="16838" w:orient="portrait"/>
          <w:cols w:equalWidth="0" w:num="1">
            <w:col w:w="11380"/>
          </w:cols>
          <w:pgMar w:left="240" w:top="774" w:right="279" w:bottom="1440" w:gutter="0" w:footer="0" w:header="0"/>
        </w:sectPr>
      </w:pPr>
    </w:p>
    <w:bookmarkStart w:id="5" w:name="page6"/>
    <w:bookmarkEnd w:id="5"/>
    <w:p>
      <w:pPr>
        <w:ind w:right="40"/>
        <w:spacing w:after="0" w:line="271" w:lineRule="auto"/>
        <w:rPr>
          <w:sz w:val="20"/>
          <w:szCs w:val="20"/>
          <w:color w:val="auto"/>
        </w:rPr>
      </w:pPr>
      <w:r>
        <w:rPr>
          <w:rFonts w:ascii="Arial" w:cs="Arial" w:eastAsia="Arial" w:hAnsi="Arial"/>
          <w:sz w:val="21"/>
          <w:szCs w:val="21"/>
          <w:color w:val="auto"/>
        </w:rPr>
        <w:t xml:space="preserve">storage solutions enable disruptive trends, including artificial intelligence, machine learning, and autonomous vehicles, in key market segments like data center, networking, automotive, industrial, mobile, graphics, and client. Our common stock is traded on the Nasdaq under the MU symbol. To learn more about Micron Technology, Inc., visit </w:t>
      </w:r>
      <w:r>
        <w:rPr>
          <w:rFonts w:ascii="Arial" w:cs="Arial" w:eastAsia="Arial" w:hAnsi="Arial"/>
          <w:sz w:val="21"/>
          <w:szCs w:val="21"/>
          <w:u w:val="single" w:color="auto"/>
          <w:color w:val="006EBF"/>
        </w:rPr>
        <w:t>micron.com</w:t>
      </w:r>
      <w:r>
        <w:rPr>
          <w:rFonts w:ascii="Arial" w:cs="Arial" w:eastAsia="Arial" w:hAnsi="Arial"/>
          <w:sz w:val="21"/>
          <w:szCs w:val="21"/>
          <w:color w:val="auto"/>
        </w:rPr>
        <w:t>.</w:t>
      </w:r>
    </w:p>
    <w:p>
      <w:pPr>
        <w:spacing w:after="0" w:line="208" w:lineRule="exact"/>
        <w:rPr>
          <w:sz w:val="20"/>
          <w:szCs w:val="20"/>
          <w:color w:val="auto"/>
        </w:rPr>
      </w:pPr>
    </w:p>
    <w:p>
      <w:pPr>
        <w:ind w:right="640"/>
        <w:spacing w:after="0" w:line="263" w:lineRule="auto"/>
        <w:rPr>
          <w:sz w:val="20"/>
          <w:szCs w:val="20"/>
          <w:color w:val="auto"/>
        </w:rPr>
      </w:pPr>
      <w:r>
        <w:rPr>
          <w:rFonts w:ascii="Arial" w:cs="Arial" w:eastAsia="Arial" w:hAnsi="Arial"/>
          <w:sz w:val="22"/>
          <w:szCs w:val="22"/>
          <w:i w:val="1"/>
          <w:iCs w:val="1"/>
          <w:color w:val="auto"/>
        </w:rPr>
        <w:t>Micron and the Micron orbit logo are trademarks of Micron Technology, Inc. All other trademarks are the property of their respective owners.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Forward-Looking Statements</w:t>
      </w:r>
    </w:p>
    <w:p>
      <w:pPr>
        <w:spacing w:after="0" w:line="266" w:lineRule="exact"/>
        <w:rPr>
          <w:sz w:val="20"/>
          <w:szCs w:val="20"/>
          <w:color w:val="auto"/>
        </w:rPr>
      </w:pPr>
    </w:p>
    <w:p>
      <w:pPr>
        <w:spacing w:after="0" w:line="290" w:lineRule="auto"/>
        <w:rPr>
          <w:sz w:val="20"/>
          <w:szCs w:val="20"/>
          <w:color w:val="auto"/>
        </w:rPr>
      </w:pPr>
      <w:r>
        <w:rPr>
          <w:rFonts w:ascii="Arial" w:cs="Arial" w:eastAsia="Arial" w:hAnsi="Arial"/>
          <w:sz w:val="19"/>
          <w:szCs w:val="19"/>
          <w:color w:val="auto"/>
        </w:rPr>
        <w:t xml:space="preserve">This press release contains forward-looking statements regarding the industry, our strategic position, and financial and operating results. These forward-looking statements are subject to a number of risks and uncertainties that could cause actual results to differ materially. Please refer to the documents we file with the Securities and Exchange Commission, specifically our most recent Form 10-K and Form 10-Q. These documents contain and identify important factors that could cause our actual results to differ materially from those contained in these forward-looking statements. These certain factors can be found at </w:t>
      </w:r>
      <w:r>
        <w:rPr>
          <w:rFonts w:ascii="Arial" w:cs="Arial" w:eastAsia="Arial" w:hAnsi="Arial"/>
          <w:sz w:val="19"/>
          <w:szCs w:val="19"/>
          <w:u w:val="single" w:color="auto"/>
          <w:color w:val="006EBF"/>
        </w:rPr>
        <w:t>www.micron.com/certainfactors</w:t>
      </w:r>
      <w:r>
        <w:rPr>
          <w:rFonts w:ascii="Arial" w:cs="Arial" w:eastAsia="Arial" w:hAnsi="Arial"/>
          <w:sz w:val="19"/>
          <w:szCs w:val="19"/>
          <w:color w:val="000000"/>
        </w:rPr>
        <w:t>. Although we believe that the expectations reflected in the forward-looking statements are</w:t>
      </w:r>
      <w:r>
        <w:rPr>
          <w:rFonts w:ascii="Arial" w:cs="Arial" w:eastAsia="Arial" w:hAnsi="Arial"/>
          <w:sz w:val="19"/>
          <w:szCs w:val="19"/>
          <w:color w:val="006EBF"/>
        </w:rPr>
        <w:t xml:space="preserve"> </w:t>
      </w:r>
      <w:r>
        <w:rPr>
          <w:rFonts w:ascii="Arial" w:cs="Arial" w:eastAsia="Arial" w:hAnsi="Arial"/>
          <w:sz w:val="19"/>
          <w:szCs w:val="19"/>
          <w:color w:val="000000"/>
        </w:rPr>
        <w:t>reasonable, we cannot guarantee future results, levels of activity, performance, or achievements. We are under no duty to update any of the forward-looking statements after the date of this release to conform these statements to actual results.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29"/>
          <w:szCs w:val="29"/>
          <w:color w:val="auto"/>
          <w:vertAlign w:val="superscript"/>
        </w:rPr>
      </w:pPr>
      <w:r>
        <w:rPr>
          <w:rFonts w:ascii="Arial" w:cs="Arial" w:eastAsia="Arial" w:hAnsi="Arial"/>
          <w:sz w:val="22"/>
          <w:szCs w:val="22"/>
          <w:color w:val="auto"/>
        </w:rPr>
        <w:t>GAAP represents U.S. Generally Accepted Accounting Principles.</w:t>
      </w:r>
    </w:p>
    <w:p>
      <w:pPr>
        <w:ind w:left="340" w:right="220" w:hanging="332"/>
        <w:spacing w:after="0" w:line="229" w:lineRule="auto"/>
        <w:tabs>
          <w:tab w:leader="none" w:pos="340" w:val="left"/>
        </w:tabs>
        <w:numPr>
          <w:ilvl w:val="0"/>
          <w:numId w:val="4"/>
        </w:numPr>
        <w:rPr>
          <w:rFonts w:ascii="Arial" w:cs="Arial" w:eastAsia="Arial" w:hAnsi="Arial"/>
          <w:sz w:val="28"/>
          <w:szCs w:val="28"/>
          <w:color w:val="auto"/>
          <w:vertAlign w:val="superscript"/>
        </w:rPr>
      </w:pPr>
      <w:r>
        <w:rPr>
          <w:rFonts w:ascii="Arial" w:cs="Arial" w:eastAsia="Arial" w:hAnsi="Arial"/>
          <w:sz w:val="21"/>
          <w:szCs w:val="21"/>
          <w:color w:val="auto"/>
        </w:rPr>
        <w:t>Non-GAAP represents GAAP excluding the impact of certain activities, which management excludes in analyzing our operating results and understanding trends in our earnings. Non-GAAP shares used in per share calculations also include the impact of our outstanding capped call transactions and the effect of stock-based compensation.</w:t>
      </w:r>
    </w:p>
    <w:p>
      <w:pPr>
        <w:spacing w:after="0" w:line="1" w:lineRule="exact"/>
        <w:rPr>
          <w:rFonts w:ascii="Arial" w:cs="Arial" w:eastAsia="Arial" w:hAnsi="Arial"/>
          <w:sz w:val="28"/>
          <w:szCs w:val="28"/>
          <w:color w:val="auto"/>
          <w:vertAlign w:val="superscript"/>
        </w:rPr>
      </w:pPr>
    </w:p>
    <w:p>
      <w:pPr>
        <w:ind w:left="340" w:right="620" w:hanging="332"/>
        <w:spacing w:after="0" w:line="210" w:lineRule="auto"/>
        <w:tabs>
          <w:tab w:leader="none" w:pos="340" w:val="left"/>
        </w:tabs>
        <w:numPr>
          <w:ilvl w:val="0"/>
          <w:numId w:val="4"/>
        </w:numPr>
        <w:rPr>
          <w:rFonts w:ascii="Arial" w:cs="Arial" w:eastAsia="Arial" w:hAnsi="Arial"/>
          <w:sz w:val="29"/>
          <w:szCs w:val="29"/>
          <w:color w:val="auto"/>
          <w:vertAlign w:val="superscript"/>
        </w:rPr>
      </w:pPr>
      <w:r>
        <w:rPr>
          <w:rFonts w:ascii="Arial" w:cs="Arial" w:eastAsia="Arial" w:hAnsi="Arial"/>
          <w:sz w:val="22"/>
          <w:szCs w:val="22"/>
          <w:color w:val="auto"/>
        </w:rPr>
        <w:t>Adjusted free cash flow consists of cash provided by operating activities less investments in capital expenditures, net of amounts funded by partners.</w:t>
      </w:r>
    </w:p>
    <w:p>
      <w:pPr>
        <w:ind w:left="340" w:hanging="332"/>
        <w:spacing w:after="0" w:line="184" w:lineRule="auto"/>
        <w:tabs>
          <w:tab w:leader="none" w:pos="340" w:val="left"/>
        </w:tabs>
        <w:numPr>
          <w:ilvl w:val="0"/>
          <w:numId w:val="4"/>
        </w:numPr>
        <w:rPr>
          <w:rFonts w:ascii="Arial" w:cs="Arial" w:eastAsia="Arial" w:hAnsi="Arial"/>
          <w:sz w:val="29"/>
          <w:szCs w:val="29"/>
          <w:color w:val="auto"/>
          <w:vertAlign w:val="superscript"/>
        </w:rPr>
      </w:pPr>
      <w:r>
        <w:rPr>
          <w:rFonts w:ascii="Arial" w:cs="Arial" w:eastAsia="Arial" w:hAnsi="Arial"/>
          <w:sz w:val="22"/>
          <w:szCs w:val="22"/>
          <w:color w:val="auto"/>
        </w:rPr>
        <w:t>Net cash consists of cash, marketable investments, and restricted cash less current and long-term debt.</w:t>
      </w:r>
    </w:p>
    <w:p>
      <w:pPr>
        <w:spacing w:after="0" w:line="240" w:lineRule="exact"/>
        <w:rPr>
          <w:sz w:val="20"/>
          <w:szCs w:val="20"/>
          <w:color w:val="auto"/>
        </w:rPr>
      </w:pPr>
    </w:p>
    <w:p>
      <w:pPr>
        <w:ind w:right="40"/>
        <w:spacing w:after="0" w:line="263" w:lineRule="auto"/>
        <w:rPr>
          <w:sz w:val="20"/>
          <w:szCs w:val="20"/>
          <w:color w:val="auto"/>
        </w:rPr>
      </w:pPr>
      <w:r>
        <w:rPr>
          <w:rFonts w:ascii="Arial" w:cs="Arial" w:eastAsia="Arial" w:hAnsi="Arial"/>
          <w:sz w:val="22"/>
          <w:szCs w:val="22"/>
          <w:color w:val="auto"/>
        </w:rPr>
        <w:t>Further information regarding Micron's use of non-GAAP measures and reconciliations between GAAP and non-GAAP measures are included within this press release.</w:t>
      </w:r>
    </w:p>
    <w:p>
      <w:pPr>
        <w:sectPr>
          <w:pgSz w:w="11900" w:h="16838" w:orient="portrait"/>
          <w:cols w:equalWidth="0" w:num="1">
            <w:col w:w="11300"/>
          </w:cols>
          <w:pgMar w:left="240" w:top="631" w:right="359" w:bottom="1440" w:gutter="0" w:footer="0" w:header="0"/>
        </w:sectPr>
      </w:pPr>
    </w:p>
    <w:bookmarkStart w:id="6" w:name="page7"/>
    <w:bookmarkEnd w:id="6"/>
    <w:p>
      <w:pPr>
        <w:jc w:val="center"/>
        <w:ind w:left="340"/>
        <w:spacing w:after="0"/>
        <w:rPr>
          <w:sz w:val="20"/>
          <w:szCs w:val="20"/>
          <w:color w:val="auto"/>
        </w:rPr>
      </w:pPr>
      <w:r>
        <w:rPr>
          <w:rFonts w:ascii="Arial" w:cs="Arial" w:eastAsia="Arial" w:hAnsi="Arial"/>
          <w:sz w:val="22"/>
          <w:szCs w:val="22"/>
          <w:b w:val="1"/>
          <w:bCs w:val="1"/>
          <w:color w:val="auto"/>
        </w:rPr>
        <w:t>MICRON TECHNOLOGY, INC.</w:t>
      </w:r>
    </w:p>
    <w:p>
      <w:pPr>
        <w:spacing w:after="0" w:line="28"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CONSOLIDATED FINANCIAL SUMMARY</w:t>
      </w:r>
    </w:p>
    <w:p>
      <w:pPr>
        <w:spacing w:after="0" w:line="4"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(in millions, except per share amounts)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ind w:left="22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25"/>
                <w:szCs w:val="25"/>
                <w:b w:val="1"/>
                <w:bCs w:val="1"/>
                <w:color w:val="auto"/>
                <w:vertAlign w:val="superscript"/>
              </w:rPr>
              <w:t>th</w:t>
            </w:r>
            <w:r>
              <w:rPr>
                <w:rFonts w:ascii="Arial" w:cs="Arial" w:eastAsia="Arial" w:hAnsi="Arial"/>
                <w:sz w:val="18"/>
                <w:szCs w:val="18"/>
                <w:b w:val="1"/>
                <w:bCs w:val="1"/>
                <w:color w:val="auto"/>
              </w:rPr>
              <w:t xml:space="preserve"> Qtr.</w:t>
            </w:r>
          </w:p>
        </w:tc>
        <w:tc>
          <w:tcPr>
            <w:tcW w:w="220" w:type="dxa"/>
            <w:vAlign w:val="bottom"/>
          </w:tcPr>
          <w:p>
            <w:pPr>
              <w:spacing w:after="0"/>
              <w:rPr>
                <w:sz w:val="24"/>
                <w:szCs w:val="2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3</w:t>
            </w:r>
            <w:r>
              <w:rPr>
                <w:rFonts w:ascii="Arial" w:cs="Arial" w:eastAsia="Arial" w:hAnsi="Arial"/>
                <w:sz w:val="25"/>
                <w:szCs w:val="25"/>
                <w:b w:val="1"/>
                <w:bCs w:val="1"/>
                <w:color w:val="auto"/>
                <w:w w:val="87"/>
                <w:vertAlign w:val="superscript"/>
              </w:rPr>
              <w:t>rd</w:t>
            </w:r>
            <w:r>
              <w:rPr>
                <w:rFonts w:ascii="Arial" w:cs="Arial" w:eastAsia="Arial" w:hAnsi="Arial"/>
                <w:sz w:val="18"/>
                <w:szCs w:val="18"/>
                <w:b w:val="1"/>
                <w:bCs w:val="1"/>
                <w:color w:val="auto"/>
                <w:w w:val="87"/>
              </w:rPr>
              <w:t xml:space="preserve"> Qtr.</w:t>
            </w:r>
          </w:p>
        </w:tc>
        <w:tc>
          <w:tcPr>
            <w:tcW w:w="18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25"/>
                <w:szCs w:val="25"/>
                <w:b w:val="1"/>
                <w:bCs w:val="1"/>
                <w:color w:val="auto"/>
                <w:vertAlign w:val="superscript"/>
              </w:rPr>
              <w:t>th</w:t>
            </w:r>
            <w:r>
              <w:rPr>
                <w:rFonts w:ascii="Arial" w:cs="Arial" w:eastAsia="Arial" w:hAnsi="Arial"/>
                <w:sz w:val="18"/>
                <w:szCs w:val="18"/>
                <w:b w:val="1"/>
                <w:bCs w:val="1"/>
                <w:color w:val="auto"/>
              </w:rPr>
              <w:t xml:space="preserve"> Qtr.</w:t>
            </w:r>
          </w:p>
        </w:tc>
        <w:tc>
          <w:tcPr>
            <w:tcW w:w="180" w:type="dxa"/>
            <w:vAlign w:val="bottom"/>
          </w:tcPr>
          <w:p>
            <w:pPr>
              <w:spacing w:after="0"/>
              <w:rPr>
                <w:sz w:val="24"/>
                <w:szCs w:val="24"/>
                <w:color w:val="auto"/>
              </w:rPr>
            </w:pPr>
          </w:p>
        </w:tc>
        <w:tc>
          <w:tcPr>
            <w:tcW w:w="266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Year Ended</w:t>
            </w:r>
          </w:p>
        </w:tc>
      </w:tr>
      <w:tr>
        <w:trPr>
          <w:trHeight w:val="216"/>
        </w:trPr>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August 29,</w:t>
            </w:r>
          </w:p>
        </w:tc>
        <w:tc>
          <w:tcPr>
            <w:tcW w:w="22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May 30,</w:t>
            </w:r>
          </w:p>
        </w:tc>
        <w:tc>
          <w:tcPr>
            <w:tcW w:w="18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August 30,</w:t>
            </w:r>
          </w:p>
        </w:tc>
        <w:tc>
          <w:tcPr>
            <w:tcW w:w="1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August 29,</w:t>
            </w:r>
          </w:p>
        </w:tc>
        <w:tc>
          <w:tcPr>
            <w:tcW w:w="18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August 30,</w:t>
            </w:r>
          </w:p>
        </w:tc>
      </w:tr>
      <w:tr>
        <w:trPr>
          <w:trHeight w:val="234"/>
        </w:trPr>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42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Revenue </w:t>
            </w:r>
            <w:r>
              <w:rPr>
                <w:rFonts w:ascii="Arial" w:cs="Arial" w:eastAsia="Arial" w:hAnsi="Arial"/>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4,870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4,788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8,440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23,406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30,391</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3,289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12,704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12,500</w:t>
            </w: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17,891</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813</w:t>
            </w: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2,141</w:t>
            </w:r>
          </w:p>
        </w:tc>
      </w:tr>
      <w:tr>
        <w:trPr>
          <w:trHeight w:val="270"/>
        </w:trPr>
        <w:tc>
          <w:tcPr>
            <w:tcW w:w="42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operating (income) expense, net </w:t>
            </w:r>
            <w:r>
              <w:rPr>
                <w:rFonts w:ascii="Arial" w:cs="Arial" w:eastAsia="Arial" w:hAnsi="Arial"/>
                <w:sz w:val="25"/>
                <w:szCs w:val="25"/>
                <w:color w:val="auto"/>
                <w:vertAlign w:val="superscript"/>
              </w:rPr>
              <w:t>(2)</w:t>
            </w:r>
          </w:p>
        </w:tc>
        <w:tc>
          <w:tcPr>
            <w:tcW w:w="2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44"/>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14,994</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income (expense), net</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non-operating income (expense), net </w:t>
            </w:r>
            <w:r>
              <w:rPr>
                <w:rFonts w:ascii="Arial" w:cs="Arial" w:eastAsia="Arial" w:hAnsi="Arial"/>
                <w:sz w:val="25"/>
                <w:szCs w:val="25"/>
                <w:color w:val="auto"/>
                <w:vertAlign w:val="superscript"/>
              </w:rPr>
              <w:t>(3)</w:t>
            </w: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Equity in net income (loss) of equity method investees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Micron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6,313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14,135</w:t>
            </w: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84"/>
        </w:trPr>
        <w:tc>
          <w:tcPr>
            <w:tcW w:w="4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0.76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12.27</w:t>
            </w: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11.51</w:t>
            </w:r>
          </w:p>
        </w:tc>
      </w:tr>
      <w:tr>
        <w:trPr>
          <w:trHeight w:val="297"/>
        </w:trPr>
        <w:tc>
          <w:tcPr>
            <w:tcW w:w="4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shares used in per share calculations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1,152</w:t>
            </w: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4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1,229</w:t>
            </w:r>
          </w:p>
        </w:tc>
      </w:tr>
      <w:tr>
        <w:trPr>
          <w:trHeight w:val="27"/>
        </w:trPr>
        <w:tc>
          <w:tcPr>
            <w:tcW w:w="4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625"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CONSOLIDATED FINANCIAL SUMMARY, Continued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29,</w:t>
            </w: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30,</w:t>
            </w:r>
          </w:p>
        </w:tc>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30,</w:t>
            </w:r>
          </w:p>
        </w:tc>
      </w:tr>
      <w:tr>
        <w:trPr>
          <w:trHeight w:val="234"/>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22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short-term investments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6,802</w:t>
            </w:r>
          </w:p>
        </w:tc>
      </w:tr>
      <w:tr>
        <w:trPr>
          <w:trHeight w:val="270"/>
        </w:trPr>
        <w:tc>
          <w:tcPr>
            <w:tcW w:w="67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Receivables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3,195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3,257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5,478</w:t>
            </w: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3,595</w:t>
            </w:r>
          </w:p>
        </w:tc>
      </w:tr>
      <w:tr>
        <w:trPr>
          <w:trHeight w:val="270"/>
        </w:trPr>
        <w:tc>
          <w:tcPr>
            <w:tcW w:w="67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Total current assets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16,503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15,066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16,039</w:t>
            </w: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marketable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28,240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27,138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23,672</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43,376</w:t>
            </w:r>
          </w:p>
        </w:tc>
      </w:tr>
      <w:tr>
        <w:trPr>
          <w:trHeight w:val="297"/>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4,374</w:t>
            </w:r>
          </w:p>
        </w:tc>
      </w:tr>
      <w:tr>
        <w:trPr>
          <w:trHeight w:val="270"/>
        </w:trPr>
        <w:tc>
          <w:tcPr>
            <w:tcW w:w="67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Current debt </w:t>
            </w:r>
            <w:r>
              <w:rPr>
                <w:rFonts w:ascii="Arial" w:cs="Arial" w:eastAsia="Arial" w:hAnsi="Arial"/>
                <w:sz w:val="25"/>
                <w:szCs w:val="25"/>
                <w:color w:val="auto"/>
                <w:vertAlign w:val="superscript"/>
              </w:rPr>
              <w:t>(3)</w:t>
            </w:r>
          </w:p>
        </w:tc>
        <w:tc>
          <w:tcPr>
            <w:tcW w:w="22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859</w:t>
            </w: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5,754</w:t>
            </w:r>
          </w:p>
        </w:tc>
      </w:tr>
      <w:tr>
        <w:trPr>
          <w:trHeight w:val="270"/>
        </w:trPr>
        <w:tc>
          <w:tcPr>
            <w:tcW w:w="67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5"/>
                <w:szCs w:val="25"/>
                <w:color w:val="auto"/>
                <w:vertAlign w:val="superscript"/>
              </w:rPr>
              <w:t>(3)</w:t>
            </w:r>
          </w:p>
        </w:tc>
        <w:tc>
          <w:tcPr>
            <w:tcW w:w="22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4,541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3,563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3,777</w:t>
            </w:r>
          </w:p>
        </w:tc>
      </w:tr>
      <w:tr>
        <w:trPr>
          <w:trHeight w:val="297"/>
        </w:trPr>
        <w:tc>
          <w:tcPr>
            <w:tcW w:w="6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70"/>
        </w:trPr>
        <w:tc>
          <w:tcPr>
            <w:tcW w:w="67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Total Micron shareholders' equity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35,881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35,323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32,294</w:t>
            </w: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 in subsidiaries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Total equity</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36,770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36,190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33,164</w:t>
            </w: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gridSpan w:val="4"/>
          </w:tcPr>
          <w:p>
            <w:pPr>
              <w:jc w:val="right"/>
              <w:ind w:right="970"/>
              <w:spacing w:after="0"/>
              <w:rPr>
                <w:sz w:val="20"/>
                <w:szCs w:val="20"/>
                <w:color w:val="auto"/>
              </w:rPr>
            </w:pPr>
            <w:r>
              <w:rPr>
                <w:rFonts w:ascii="Arial" w:cs="Arial" w:eastAsia="Arial" w:hAnsi="Arial"/>
                <w:sz w:val="18"/>
                <w:szCs w:val="18"/>
                <w:b w:val="1"/>
                <w:bCs w:val="1"/>
                <w:color w:val="auto"/>
              </w:rPr>
              <w:t>Year Ended</w:t>
            </w:r>
          </w:p>
        </w:tc>
      </w:tr>
      <w:tr>
        <w:trPr>
          <w:trHeight w:val="252"/>
        </w:trPr>
        <w:tc>
          <w:tcPr>
            <w:tcW w:w="8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29,</w:t>
            </w:r>
          </w:p>
        </w:tc>
        <w:tc>
          <w:tcPr>
            <w:tcW w:w="220" w:type="dxa"/>
            <w:vAlign w:val="bottom"/>
          </w:tcPr>
          <w:p>
            <w:pPr>
              <w:spacing w:after="0"/>
              <w:rPr>
                <w:sz w:val="21"/>
                <w:szCs w:val="21"/>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30,</w:t>
            </w:r>
          </w:p>
        </w:tc>
      </w:tr>
      <w:tr>
        <w:trPr>
          <w:trHeight w:val="234"/>
        </w:trPr>
        <w:tc>
          <w:tcPr>
            <w:tcW w:w="8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17,400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cash provided by (used for) investing activities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(8,216)</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for)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(7,776)</w:t>
            </w:r>
          </w:p>
        </w:tc>
      </w:tr>
      <w:tr>
        <w:trPr>
          <w:trHeight w:val="297"/>
        </w:trPr>
        <w:tc>
          <w:tcPr>
            <w:tcW w:w="8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Investments in capital expenditures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(9,085)</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debt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Payments to acquire treasury stock</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stock</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1,655</w:t>
            </w:r>
          </w:p>
        </w:tc>
      </w:tr>
      <w:tr>
        <w:trPr>
          <w:trHeight w:val="341"/>
        </w:trPr>
        <w:tc>
          <w:tcPr>
            <w:tcW w:w="8360" w:type="dxa"/>
            <w:vAlign w:val="bottom"/>
          </w:tcPr>
          <w:p>
            <w:pPr>
              <w:ind w:left="40"/>
              <w:spacing w:after="0"/>
              <w:rPr>
                <w:sz w:val="20"/>
                <w:szCs w:val="20"/>
                <w:color w:val="auto"/>
              </w:rPr>
            </w:pPr>
            <w:r>
              <w:rPr>
                <w:rFonts w:ascii="Arial" w:cs="Arial" w:eastAsia="Arial" w:hAnsi="Arial"/>
                <w:sz w:val="18"/>
                <w:szCs w:val="18"/>
                <w:color w:val="auto"/>
              </w:rPr>
              <w:t xml:space="preserve">Proceeds from issuance of debt </w:t>
            </w:r>
            <w:r>
              <w:rPr>
                <w:rFonts w:ascii="Arial" w:cs="Arial" w:eastAsia="Arial" w:hAnsi="Arial"/>
                <w:sz w:val="25"/>
                <w:szCs w:val="25"/>
                <w:color w:val="auto"/>
                <w:vertAlign w:val="superscript"/>
              </w:rPr>
              <w:t>(3)</w:t>
            </w:r>
          </w:p>
        </w:tc>
        <w:tc>
          <w:tcPr>
            <w:tcW w:w="200" w:type="dxa"/>
            <w:vAlign w:val="bottom"/>
          </w:tcPr>
          <w:p>
            <w:pPr>
              <w:spacing w:after="0"/>
              <w:rPr>
                <w:sz w:val="24"/>
                <w:szCs w:val="24"/>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3,550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1,009</w:t>
            </w:r>
          </w:p>
        </w:tc>
      </w:tr>
    </w:tbl>
    <w:p>
      <w:pPr>
        <w:spacing w:after="0" w:line="130" w:lineRule="exact"/>
        <w:rPr>
          <w:sz w:val="20"/>
          <w:szCs w:val="20"/>
          <w:color w:val="auto"/>
        </w:rPr>
      </w:pPr>
    </w:p>
    <w:p>
      <w:pPr>
        <w:ind w:left="340" w:hanging="332"/>
        <w:spacing w:after="0" w:line="239" w:lineRule="auto"/>
        <w:tabs>
          <w:tab w:leader="none" w:pos="34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 xml:space="preserve">In the first quarter of 2019, we adopted ASU 2014-09 –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 amended, "ASC 606"), which supersedes nearly all existing revenue recognition guidance under generally accepted accounting principles in the United States. The core principal of ASC 606 is that an entity should recognize revenue when it transfers control of promised goods or services to customers in an amount that reflects the consideration to which the entity expects to be entitled in exchange for those goods or services. We adopted ASC 606 in the first quarter of 2019 under the modified retrospective method and, in connection therewith, made certain adjustments to our opening balances as of August 31, 2018. Adjustments to opening balances included an increase to receivables of $114 million, reduction of deferred tax assets of $92 million, increase of other current assets of $30 million, and an increase to retained earnings of $50 million.</w:t>
      </w:r>
    </w:p>
    <w:p>
      <w:pPr>
        <w:spacing w:after="0" w:line="205" w:lineRule="exact"/>
        <w:rPr>
          <w:rFonts w:ascii="Arial" w:cs="Arial" w:eastAsia="Arial" w:hAnsi="Arial"/>
          <w:sz w:val="25"/>
          <w:szCs w:val="25"/>
          <w:color w:val="auto"/>
          <w:vertAlign w:val="superscript"/>
        </w:rPr>
      </w:pPr>
    </w:p>
    <w:p>
      <w:pPr>
        <w:ind w:left="340" w:hanging="332"/>
        <w:spacing w:after="0" w:line="216" w:lineRule="auto"/>
        <w:tabs>
          <w:tab w:leader="none" w:pos="34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In the fourth quarter of 2019, we finalized the sale of our 200mm fabrication facility in Singapore and recognized gains of $128 million in other operating (income) expense, net.</w:t>
      </w:r>
    </w:p>
    <w:p>
      <w:pPr>
        <w:spacing w:after="0" w:line="203" w:lineRule="exact"/>
        <w:rPr>
          <w:rFonts w:ascii="Arial" w:cs="Arial" w:eastAsia="Arial" w:hAnsi="Arial"/>
          <w:sz w:val="25"/>
          <w:szCs w:val="25"/>
          <w:color w:val="auto"/>
          <w:vertAlign w:val="superscript"/>
        </w:rPr>
      </w:pPr>
    </w:p>
    <w:p>
      <w:pPr>
        <w:ind w:left="340" w:right="140" w:hanging="332"/>
        <w:spacing w:after="0" w:line="226" w:lineRule="auto"/>
        <w:tabs>
          <w:tab w:leader="none" w:pos="34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On July 12, 2019, we issued $900 million and $850 million in principal of senior unsecured notes due in 2027 and 2030, respectively. On July 31, 2019, we prepaid $728 million in principal of our senior secured Term Loan B due 2022 and recognized a loss of $7 million in other non-operating income (expense), net.</w:t>
      </w:r>
    </w:p>
    <w:p>
      <w:pPr>
        <w:sectPr>
          <w:pgSz w:w="11900" w:h="16838" w:orient="portrait"/>
          <w:cols w:equalWidth="0" w:num="1">
            <w:col w:w="11420"/>
          </w:cols>
          <w:pgMar w:left="240" w:top="625" w:right="239" w:bottom="1440" w:gutter="0" w:footer="0" w:header="0"/>
        </w:sectPr>
      </w:pPr>
    </w:p>
    <w:bookmarkStart w:id="8" w:name="page9"/>
    <w:bookmarkEnd w:id="8"/>
    <w:p>
      <w:pPr>
        <w:ind w:left="2980" w:right="2640" w:firstLine="1191"/>
        <w:spacing w:after="0" w:line="266" w:lineRule="auto"/>
        <w:rPr>
          <w:sz w:val="20"/>
          <w:szCs w:val="20"/>
          <w:color w:val="auto"/>
        </w:rPr>
      </w:pPr>
      <w:r>
        <w:rPr>
          <w:rFonts w:ascii="Arial" w:cs="Arial" w:eastAsia="Arial" w:hAnsi="Arial"/>
          <w:sz w:val="21"/>
          <w:szCs w:val="21"/>
          <w:b w:val="1"/>
          <w:bCs w:val="1"/>
          <w:color w:val="auto"/>
        </w:rPr>
        <w:t>MICRON TECHNOLOGY, INC. RECONCILIATION OF GAAP TO NON-GAAP MEASURES</w:t>
      </w:r>
    </w:p>
    <w:p>
      <w:pPr>
        <w:spacing w:after="0" w:line="2"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(in millions, except per share amounts)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4</w:t>
            </w:r>
            <w:r>
              <w:rPr>
                <w:rFonts w:ascii="Arial" w:cs="Arial" w:eastAsia="Arial" w:hAnsi="Arial"/>
                <w:sz w:val="25"/>
                <w:szCs w:val="25"/>
                <w:b w:val="1"/>
                <w:bCs w:val="1"/>
                <w:color w:val="auto"/>
                <w:w w:val="85"/>
                <w:vertAlign w:val="superscript"/>
              </w:rPr>
              <w:t>th</w:t>
            </w:r>
            <w:r>
              <w:rPr>
                <w:rFonts w:ascii="Arial" w:cs="Arial" w:eastAsia="Arial" w:hAnsi="Arial"/>
                <w:sz w:val="18"/>
                <w:szCs w:val="18"/>
                <w:b w:val="1"/>
                <w:bCs w:val="1"/>
                <w:color w:val="auto"/>
                <w:w w:val="85"/>
              </w:rPr>
              <w:t xml:space="preserve"> Qtr.</w:t>
            </w:r>
          </w:p>
        </w:tc>
        <w:tc>
          <w:tcPr>
            <w:tcW w:w="10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3</w:t>
            </w:r>
            <w:r>
              <w:rPr>
                <w:rFonts w:ascii="Arial" w:cs="Arial" w:eastAsia="Arial" w:hAnsi="Arial"/>
                <w:sz w:val="25"/>
                <w:szCs w:val="25"/>
                <w:b w:val="1"/>
                <w:bCs w:val="1"/>
                <w:color w:val="auto"/>
                <w:w w:val="87"/>
                <w:vertAlign w:val="superscript"/>
              </w:rPr>
              <w:t>rd</w:t>
            </w:r>
            <w:r>
              <w:rPr>
                <w:rFonts w:ascii="Arial" w:cs="Arial" w:eastAsia="Arial" w:hAnsi="Arial"/>
                <w:sz w:val="18"/>
                <w:szCs w:val="18"/>
                <w:b w:val="1"/>
                <w:bCs w:val="1"/>
                <w:color w:val="auto"/>
                <w:w w:val="87"/>
              </w:rPr>
              <w:t xml:space="preserve"> Qtr.</w:t>
            </w:r>
          </w:p>
        </w:tc>
        <w:tc>
          <w:tcPr>
            <w:tcW w:w="16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4</w:t>
            </w:r>
            <w:r>
              <w:rPr>
                <w:rFonts w:ascii="Arial" w:cs="Arial" w:eastAsia="Arial" w:hAnsi="Arial"/>
                <w:sz w:val="25"/>
                <w:szCs w:val="25"/>
                <w:b w:val="1"/>
                <w:bCs w:val="1"/>
                <w:color w:val="auto"/>
                <w:w w:val="89"/>
                <w:vertAlign w:val="superscript"/>
              </w:rPr>
              <w:t>th</w:t>
            </w:r>
            <w:r>
              <w:rPr>
                <w:rFonts w:ascii="Arial" w:cs="Arial" w:eastAsia="Arial" w:hAnsi="Arial"/>
                <w:sz w:val="18"/>
                <w:szCs w:val="18"/>
                <w:b w:val="1"/>
                <w:bCs w:val="1"/>
                <w:color w:val="auto"/>
                <w:w w:val="89"/>
              </w:rPr>
              <w:t xml:space="preserve"> Qtr.</w:t>
            </w:r>
          </w:p>
        </w:tc>
        <w:tc>
          <w:tcPr>
            <w:tcW w:w="160" w:type="dxa"/>
            <w:vAlign w:val="bottom"/>
          </w:tcPr>
          <w:p>
            <w:pPr>
              <w:spacing w:after="0"/>
              <w:rPr>
                <w:sz w:val="24"/>
                <w:szCs w:val="24"/>
                <w:color w:val="auto"/>
              </w:rPr>
            </w:pPr>
          </w:p>
        </w:tc>
        <w:tc>
          <w:tcPr>
            <w:tcW w:w="246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August 29,</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August 30,</w:t>
            </w: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August 29,</w:t>
            </w:r>
          </w:p>
        </w:tc>
        <w:tc>
          <w:tcPr>
            <w:tcW w:w="18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August 30,</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May 30, 2019</w:t>
            </w:r>
          </w:p>
        </w:tc>
        <w:tc>
          <w:tcPr>
            <w:tcW w:w="160" w:type="dxa"/>
            <w:vAlign w:val="bottom"/>
          </w:tcPr>
          <w:p>
            <w:pPr>
              <w:spacing w:after="0"/>
              <w:rPr>
                <w:sz w:val="20"/>
                <w:szCs w:val="20"/>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GAAP gross margin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17,891</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Start-up and preproduction costs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Employee severance</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Non-GAAP gross margin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1,491</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1,884</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5,179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10,973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17,994</w:t>
            </w:r>
          </w:p>
        </w:tc>
        <w:tc>
          <w:tcPr>
            <w:tcW w:w="0" w:type="dxa"/>
            <w:vAlign w:val="bottom"/>
          </w:tcPr>
          <w:p>
            <w:pPr>
              <w:spacing w:after="0"/>
              <w:rPr>
                <w:sz w:val="1"/>
                <w:szCs w:val="1"/>
                <w:color w:val="auto"/>
              </w:rPr>
            </w:pPr>
          </w:p>
        </w:tc>
      </w:tr>
      <w:tr>
        <w:trPr>
          <w:trHeight w:val="284"/>
        </w:trPr>
        <w:tc>
          <w:tcPr>
            <w:tcW w:w="4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GAAP operating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4,377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7,376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14,994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Start-up and preproduction costs</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severance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Restructure and asset impairments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Non-GAAP operating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694</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1,110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4,439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7,801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15,243</w:t>
            </w:r>
          </w:p>
        </w:tc>
        <w:tc>
          <w:tcPr>
            <w:tcW w:w="0" w:type="dxa"/>
            <w:vAlign w:val="bottom"/>
          </w:tcPr>
          <w:p>
            <w:pPr>
              <w:spacing w:after="0"/>
              <w:rPr>
                <w:sz w:val="1"/>
                <w:szCs w:val="1"/>
                <w:color w:val="auto"/>
              </w:rPr>
            </w:pPr>
          </w:p>
        </w:tc>
      </w:tr>
      <w:tr>
        <w:trPr>
          <w:trHeight w:val="284"/>
        </w:trPr>
        <w:tc>
          <w:tcPr>
            <w:tcW w:w="4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GAAP net income attributable to Micron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840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4,325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6,313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14,135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Start-up and preproduction costs</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severance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Restructure and asset impairments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discount and other costs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(Gain) loss on debt repurchases and conversions</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loss from changes in currency exchange rates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Impact of U.S. income tax reform</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rPr>
              <w:t>Estimated tax effects of above, non-cash changes in net</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40"/>
              <w:spacing w:after="0"/>
              <w:rPr>
                <w:sz w:val="20"/>
                <w:szCs w:val="20"/>
                <w:color w:val="auto"/>
              </w:rPr>
            </w:pPr>
            <w:r>
              <w:rPr>
                <w:rFonts w:ascii="Arial" w:cs="Arial" w:eastAsia="Arial" w:hAnsi="Arial"/>
                <w:sz w:val="18"/>
                <w:szCs w:val="18"/>
                <w:color w:val="auto"/>
                <w:w w:val="93"/>
              </w:rPr>
              <w:t>deferred income taxes, and assessments of tax exposures</w:t>
            </w:r>
          </w:p>
        </w:tc>
        <w:tc>
          <w:tcPr>
            <w:tcW w:w="1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Non-GAAP net income attributable to Micron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14,700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8"/>
              </w:rPr>
              <w:t>GAAP weighted-average common shares outstanding -</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Diluted</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w w:val="94"/>
              </w:rPr>
              <w:t>Adjustment for capped calls and stock-based compensation</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0"/>
              </w:rPr>
              <w:t>Non-GAAP weighted-average common shares outstanding -</w:t>
            </w:r>
          </w:p>
        </w:tc>
        <w:tc>
          <w:tcPr>
            <w:tcW w:w="1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1,134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1,135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1,220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Diluted</w:t>
            </w: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GAAP diluted earnings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Effects of the above adjustments</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Non-GAAP diluted earnings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625"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RECONCILIATION OF GAAP TO NON-GAAP MEASURES, Continued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4</w:t>
            </w:r>
            <w:r>
              <w:rPr>
                <w:rFonts w:ascii="Arial" w:cs="Arial" w:eastAsia="Arial" w:hAnsi="Arial"/>
                <w:sz w:val="25"/>
                <w:szCs w:val="25"/>
                <w:b w:val="1"/>
                <w:bCs w:val="1"/>
                <w:color w:val="auto"/>
                <w:w w:val="85"/>
                <w:vertAlign w:val="superscript"/>
              </w:rPr>
              <w:t>th</w:t>
            </w:r>
            <w:r>
              <w:rPr>
                <w:rFonts w:ascii="Arial" w:cs="Arial" w:eastAsia="Arial" w:hAnsi="Arial"/>
                <w:sz w:val="18"/>
                <w:szCs w:val="18"/>
                <w:b w:val="1"/>
                <w:bCs w:val="1"/>
                <w:color w:val="auto"/>
                <w:w w:val="85"/>
              </w:rPr>
              <w:t xml:space="preserve"> Qtr.</w:t>
            </w:r>
          </w:p>
        </w:tc>
        <w:tc>
          <w:tcPr>
            <w:tcW w:w="10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3</w:t>
            </w:r>
            <w:r>
              <w:rPr>
                <w:rFonts w:ascii="Arial" w:cs="Arial" w:eastAsia="Arial" w:hAnsi="Arial"/>
                <w:sz w:val="25"/>
                <w:szCs w:val="25"/>
                <w:b w:val="1"/>
                <w:bCs w:val="1"/>
                <w:color w:val="auto"/>
                <w:w w:val="87"/>
                <w:vertAlign w:val="superscript"/>
              </w:rPr>
              <w:t>rd</w:t>
            </w:r>
            <w:r>
              <w:rPr>
                <w:rFonts w:ascii="Arial" w:cs="Arial" w:eastAsia="Arial" w:hAnsi="Arial"/>
                <w:sz w:val="18"/>
                <w:szCs w:val="18"/>
                <w:b w:val="1"/>
                <w:bCs w:val="1"/>
                <w:color w:val="auto"/>
                <w:w w:val="87"/>
              </w:rPr>
              <w:t xml:space="preserve"> Qtr.</w:t>
            </w:r>
          </w:p>
        </w:tc>
        <w:tc>
          <w:tcPr>
            <w:tcW w:w="16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4</w:t>
            </w:r>
            <w:r>
              <w:rPr>
                <w:rFonts w:ascii="Arial" w:cs="Arial" w:eastAsia="Arial" w:hAnsi="Arial"/>
                <w:sz w:val="25"/>
                <w:szCs w:val="25"/>
                <w:b w:val="1"/>
                <w:bCs w:val="1"/>
                <w:color w:val="auto"/>
                <w:w w:val="89"/>
                <w:vertAlign w:val="superscript"/>
              </w:rPr>
              <w:t>th</w:t>
            </w:r>
            <w:r>
              <w:rPr>
                <w:rFonts w:ascii="Arial" w:cs="Arial" w:eastAsia="Arial" w:hAnsi="Arial"/>
                <w:sz w:val="18"/>
                <w:szCs w:val="18"/>
                <w:b w:val="1"/>
                <w:bCs w:val="1"/>
                <w:color w:val="auto"/>
                <w:w w:val="89"/>
              </w:rPr>
              <w:t xml:space="preserve"> Qtr.</w:t>
            </w:r>
          </w:p>
        </w:tc>
        <w:tc>
          <w:tcPr>
            <w:tcW w:w="160" w:type="dxa"/>
            <w:vAlign w:val="bottom"/>
          </w:tcPr>
          <w:p>
            <w:pPr>
              <w:spacing w:after="0"/>
              <w:rPr>
                <w:sz w:val="24"/>
                <w:szCs w:val="24"/>
                <w:color w:val="auto"/>
              </w:rPr>
            </w:pPr>
          </w:p>
        </w:tc>
        <w:tc>
          <w:tcPr>
            <w:tcW w:w="246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Year Ended</w:t>
            </w:r>
          </w:p>
        </w:tc>
      </w:tr>
      <w:tr>
        <w:trPr>
          <w:trHeight w:val="216"/>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August 29,</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August 30,</w:t>
            </w: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August 29,</w:t>
            </w:r>
          </w:p>
        </w:tc>
        <w:tc>
          <w:tcPr>
            <w:tcW w:w="18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August 30,</w:t>
            </w:r>
          </w:p>
        </w:tc>
      </w:t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May 30, 2019</w:t>
            </w:r>
          </w:p>
        </w:tc>
        <w:tc>
          <w:tcPr>
            <w:tcW w:w="160" w:type="dxa"/>
            <w:vAlign w:val="bottom"/>
          </w:tcPr>
          <w:p>
            <w:pPr>
              <w:spacing w:after="0"/>
              <w:rPr>
                <w:sz w:val="20"/>
                <w:szCs w:val="20"/>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GAAP net cash provided by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17,400</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Expenditures for property, plant, and equipment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(8,879)</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on equipment purchase contracts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Amounts funded by partners</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889</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free cash flow</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9,204</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August 29,</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August 30,</w:t>
            </w:r>
          </w:p>
        </w:tc>
      </w:tr>
      <w:tr>
        <w:trPr>
          <w:trHeight w:val="234"/>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16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May 30, 2019</w:t>
            </w:r>
          </w:p>
        </w:tc>
        <w:tc>
          <w:tcPr>
            <w:tcW w:w="18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short-term investments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6,802</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Current and noncurrent restricted cash</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81</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Long-term marketable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Current and long-term debt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(4,636)</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3,395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2,720</w:t>
            </w: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tables above reconcile GAAP to non-GAAP measures of gross margin, operating income, net income attributable to Micron, diluted shares, diluted earnings per share, adjusted free cash flow, and net cash. The non-GAAP adjustments above may or may not be infrequent or nonrecurring in nature, but are a result of periodic or non-core operating activities. We believe this non-GAAP information is helpful in understanding trends and in analyzing our operating results and earnings. We are providing this information to investors to assist in performing analysis of our operating results. When evaluating performance and making decisions on how to allocate our resources, management uses this non-GAAP information and believes investors should have access to similar data when making their investment decisions. We believe these non-GAAP financial measures increase transparency by providing investors with useful supplemental information about the financial performance of our business, enabling enhanced comparison of our operating results between periods and with peer companies. The presentation of these adjusted amounts varies from numbers presented in accordance with U.S. GAAP and therefore may not be comparable to amounts reported by other companies. Our management excludes the following items in analyzing our operating results and understanding trends in our earnings:</w:t>
      </w:r>
    </w:p>
    <w:p>
      <w:pPr>
        <w:spacing w:after="0" w:line="17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Flow-through of business acquisition-related inventory adjustments;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Acquisition-related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Start-up and preproduction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Employee severance;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Restructure and asset impairments;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Amortization of debt discount and other costs, including the accretion of non-cash interest expense associated with our convertible debt and MMJ creditor debt;</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Gains and losses from debt repurchases and conversions;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Gains and losses from changes in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Gains and losses from business acquisition activities;</w:t>
      </w:r>
    </w:p>
    <w:p>
      <w:pPr>
        <w:spacing w:after="0" w:line="9" w:lineRule="exact"/>
        <w:rPr>
          <w:rFonts w:ascii="Arial" w:cs="Arial" w:eastAsia="Arial" w:hAnsi="Arial"/>
          <w:sz w:val="18"/>
          <w:szCs w:val="18"/>
          <w:b w:val="1"/>
          <w:bCs w:val="1"/>
          <w:color w:val="auto"/>
        </w:rPr>
      </w:pPr>
    </w:p>
    <w:p>
      <w:pPr>
        <w:ind w:left="660" w:right="48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Impact of U.S. income tax reform for the one-time transition tax, release of U.S. valuation allowance, and remeasurement of net deferred taxes reflecting lower U.S. corporate tax rates; and</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estimated tax effects of above, non-cash changes in net deferred income taxes, and assessments of tax exposures.</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outstanding capped call transactions are anti-dilutive in GAAP earnings per share but are expected to mitigate the dilutive effect of our convertible notes. In periods with non-GAAP income attributable to Micron, non-GAAP diluted shares include the impact of capped calls based on the average share price for the period the capped calls are outstanding. Non-GAAP diluted shares are also adjusted for the impact of additional shares resulting from the exclusion of stock-based compensation from non-GAAP income.</w:t>
      </w:r>
    </w:p>
    <w:p>
      <w:pPr>
        <w:sectPr>
          <w:pgSz w:w="11900" w:h="16838" w:orient="portrait"/>
          <w:cols w:equalWidth="0" w:num="1">
            <w:col w:w="11420"/>
          </w:cols>
          <w:pgMar w:left="240" w:top="625" w:right="239" w:bottom="1440" w:gutter="0" w:footer="0" w:header="0"/>
        </w:sectPr>
      </w:pPr>
    </w:p>
    <w:bookmarkStart w:id="10" w:name="page11"/>
    <w:bookmarkEnd w:id="10"/>
    <w:p>
      <w:pPr>
        <w:jc w:val="center"/>
        <w:ind w:left="540" w:right="2560"/>
        <w:spacing w:after="0" w:line="256" w:lineRule="auto"/>
        <w:rPr>
          <w:sz w:val="20"/>
          <w:szCs w:val="20"/>
          <w:color w:val="auto"/>
        </w:rPr>
      </w:pPr>
      <w:r>
        <w:rPr>
          <w:rFonts w:ascii="Arial" w:cs="Arial" w:eastAsia="Arial" w:hAnsi="Arial"/>
          <w:sz w:val="22"/>
          <w:szCs w:val="22"/>
          <w:b w:val="1"/>
          <w:bCs w:val="1"/>
          <w:color w:val="auto"/>
        </w:rPr>
        <w:t>MICRON TECHNOLOGY, INC. RECONCILIATION OF GAAP TO NON-GAAP OUTLOOK (in millions, except per share amounts)</w:t>
      </w:r>
    </w:p>
    <w:p>
      <w:pPr>
        <w:spacing w:after="0" w:line="375"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2200" w:type="dxa"/>
            <w:vAlign w:val="bottom"/>
            <w:gridSpan w:val="2"/>
          </w:tcPr>
          <w:p>
            <w:pPr>
              <w:ind w:left="460"/>
              <w:spacing w:after="0"/>
              <w:rPr>
                <w:sz w:val="20"/>
                <w:szCs w:val="20"/>
                <w:color w:val="auto"/>
              </w:rPr>
            </w:pPr>
            <w:r>
              <w:rPr>
                <w:rFonts w:ascii="Arial" w:cs="Arial" w:eastAsia="Arial" w:hAnsi="Arial"/>
                <w:sz w:val="18"/>
                <w:szCs w:val="18"/>
                <w:b w:val="1"/>
                <w:bCs w:val="1"/>
                <w:color w:val="auto"/>
              </w:rPr>
              <w:t>GAAP Outlook</w:t>
            </w:r>
          </w:p>
        </w:tc>
        <w:tc>
          <w:tcPr>
            <w:tcW w:w="1880" w:type="dxa"/>
            <w:vAlign w:val="bottom"/>
            <w:gridSpan w:val="3"/>
          </w:tcPr>
          <w:p>
            <w:pPr>
              <w:ind w:left="420"/>
              <w:spacing w:after="0"/>
              <w:rPr>
                <w:sz w:val="20"/>
                <w:szCs w:val="20"/>
                <w:color w:val="auto"/>
              </w:rPr>
            </w:pPr>
            <w:r>
              <w:rPr>
                <w:rFonts w:ascii="Arial" w:cs="Arial" w:eastAsia="Arial" w:hAnsi="Arial"/>
                <w:sz w:val="18"/>
                <w:szCs w:val="18"/>
                <w:b w:val="1"/>
                <w:bCs w:val="1"/>
                <w:color w:val="auto"/>
              </w:rPr>
              <w:t>Adjustments</w:t>
            </w:r>
          </w:p>
        </w:tc>
        <w:tc>
          <w:tcPr>
            <w:tcW w:w="2120" w:type="dxa"/>
            <w:vAlign w:val="bottom"/>
          </w:tcPr>
          <w:p>
            <w:pPr>
              <w:jc w:val="right"/>
              <w:ind w:right="190"/>
              <w:spacing w:after="0"/>
              <w:rPr>
                <w:sz w:val="20"/>
                <w:szCs w:val="20"/>
                <w:color w:val="auto"/>
              </w:rPr>
            </w:pPr>
            <w:r>
              <w:rPr>
                <w:rFonts w:ascii="Arial" w:cs="Arial" w:eastAsia="Arial" w:hAnsi="Arial"/>
                <w:sz w:val="18"/>
                <w:szCs w:val="18"/>
                <w:b w:val="1"/>
                <w:bCs w:val="1"/>
                <w:color w:val="auto"/>
              </w:rPr>
              <w:t>Non-GAAP Outlook</w:t>
            </w:r>
          </w:p>
        </w:tc>
      </w:tr>
      <w:tr>
        <w:trPr>
          <w:trHeight w:val="27"/>
        </w:trPr>
        <w:tc>
          <w:tcPr>
            <w:tcW w:w="300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$5.0 billion ± $200 million</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billion ± $200 million</w:t>
            </w:r>
          </w:p>
        </w:tc>
      </w:tr>
      <w:tr>
        <w:trPr>
          <w:trHeight w:val="243"/>
        </w:trPr>
        <w:tc>
          <w:tcPr>
            <w:tcW w:w="300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100" w:type="dxa"/>
            <w:vAlign w:val="bottom"/>
          </w:tcPr>
          <w:p>
            <w:pPr>
              <w:jc w:val="right"/>
              <w:spacing w:after="0"/>
              <w:rPr>
                <w:sz w:val="20"/>
                <w:szCs w:val="20"/>
                <w:color w:val="auto"/>
              </w:rPr>
            </w:pPr>
            <w:r>
              <w:rPr>
                <w:rFonts w:ascii="Arial" w:cs="Arial" w:eastAsia="Arial" w:hAnsi="Arial"/>
                <w:sz w:val="18"/>
                <w:szCs w:val="18"/>
                <w:color w:val="auto"/>
              </w:rPr>
              <w:t>25.5% ± 1.5%</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A</w:t>
            </w:r>
          </w:p>
        </w:tc>
        <w:tc>
          <w:tcPr>
            <w:tcW w:w="2120" w:type="dxa"/>
            <w:vAlign w:val="bottom"/>
          </w:tcPr>
          <w:p>
            <w:pPr>
              <w:jc w:val="right"/>
              <w:spacing w:after="0"/>
              <w:rPr>
                <w:sz w:val="20"/>
                <w:szCs w:val="20"/>
                <w:color w:val="auto"/>
              </w:rPr>
            </w:pPr>
            <w:r>
              <w:rPr>
                <w:rFonts w:ascii="Arial" w:cs="Arial" w:eastAsia="Arial" w:hAnsi="Arial"/>
                <w:sz w:val="18"/>
                <w:szCs w:val="18"/>
                <w:color w:val="auto"/>
              </w:rPr>
              <w:t>26.5% ± 1.5%</w:t>
            </w:r>
          </w:p>
        </w:tc>
      </w:tr>
      <w:tr>
        <w:trPr>
          <w:trHeight w:val="27"/>
        </w:trPr>
        <w:tc>
          <w:tcPr>
            <w:tcW w:w="30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$818 million ± $25 million</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million</w:t>
            </w:r>
          </w:p>
        </w:tc>
        <w:tc>
          <w:tcPr>
            <w:tcW w:w="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 million ± $25 million</w:t>
            </w:r>
          </w:p>
        </w:tc>
      </w:tr>
      <w:tr>
        <w:trPr>
          <w:trHeight w:val="341"/>
        </w:trPr>
        <w:tc>
          <w:tcPr>
            <w:tcW w:w="3000" w:type="dxa"/>
            <w:vAlign w:val="bottom"/>
          </w:tcPr>
          <w:p>
            <w:pPr>
              <w:ind w:left="20"/>
              <w:spacing w:after="0"/>
              <w:rPr>
                <w:sz w:val="20"/>
                <w:szCs w:val="20"/>
                <w:color w:val="auto"/>
              </w:rPr>
            </w:pPr>
            <w:r>
              <w:rPr>
                <w:rFonts w:ascii="Arial" w:cs="Arial" w:eastAsia="Arial" w:hAnsi="Arial"/>
                <w:sz w:val="18"/>
                <w:szCs w:val="18"/>
                <w:color w:val="auto"/>
              </w:rPr>
              <w:t xml:space="preserve">Diluted earnings per share </w:t>
            </w:r>
            <w:r>
              <w:rPr>
                <w:rFonts w:ascii="Arial" w:cs="Arial" w:eastAsia="Arial" w:hAnsi="Arial"/>
                <w:sz w:val="25"/>
                <w:szCs w:val="25"/>
                <w:color w:val="auto"/>
                <w:vertAlign w:val="superscript"/>
              </w:rPr>
              <w:t>(1)</w:t>
            </w:r>
          </w:p>
        </w:tc>
        <w:tc>
          <w:tcPr>
            <w:tcW w:w="2100" w:type="dxa"/>
            <w:vAlign w:val="bottom"/>
          </w:tcPr>
          <w:p>
            <w:pPr>
              <w:jc w:val="right"/>
              <w:spacing w:after="0"/>
              <w:rPr>
                <w:sz w:val="20"/>
                <w:szCs w:val="20"/>
                <w:color w:val="auto"/>
              </w:rPr>
            </w:pPr>
            <w:r>
              <w:rPr>
                <w:rFonts w:ascii="Arial" w:cs="Arial" w:eastAsia="Arial" w:hAnsi="Arial"/>
                <w:sz w:val="18"/>
                <w:szCs w:val="18"/>
                <w:color w:val="auto"/>
              </w:rPr>
              <w:t>$0.42 ± $0.07</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$0.04</w:t>
            </w: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A, B, C</w:t>
            </w:r>
          </w:p>
        </w:tc>
        <w:tc>
          <w:tcPr>
            <w:tcW w:w="2120" w:type="dxa"/>
            <w:vAlign w:val="bottom"/>
          </w:tcPr>
          <w:p>
            <w:pPr>
              <w:jc w:val="right"/>
              <w:spacing w:after="0"/>
              <w:rPr>
                <w:sz w:val="20"/>
                <w:szCs w:val="20"/>
                <w:color w:val="auto"/>
              </w:rPr>
            </w:pPr>
            <w:r>
              <w:rPr>
                <w:rFonts w:ascii="Arial" w:cs="Arial" w:eastAsia="Arial" w:hAnsi="Arial"/>
                <w:sz w:val="18"/>
                <w:szCs w:val="18"/>
                <w:color w:val="auto"/>
              </w:rPr>
              <w:t>$0.46 ± $0.07</w:t>
            </w:r>
          </w:p>
        </w:tc>
      </w:tr>
    </w:tbl>
    <w:p>
      <w:pPr>
        <w:spacing w:after="0" w:line="72"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7060" w:type="dxa"/>
            <w:vAlign w:val="bottom"/>
            <w:gridSpan w:val="3"/>
          </w:tcPr>
          <w:p>
            <w:pPr>
              <w:ind w:left="20"/>
              <w:spacing w:after="0"/>
              <w:rPr>
                <w:sz w:val="20"/>
                <w:szCs w:val="20"/>
                <w:color w:val="auto"/>
              </w:rPr>
            </w:pPr>
            <w:r>
              <w:rPr>
                <w:rFonts w:ascii="Arial" w:cs="Arial" w:eastAsia="Arial" w:hAnsi="Arial"/>
                <w:sz w:val="18"/>
                <w:szCs w:val="18"/>
                <w:b w:val="1"/>
                <w:bCs w:val="1"/>
                <w:color w:val="auto"/>
              </w:rPr>
              <w:t>Non-GAAP Adjustments</w:t>
            </w: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20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68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Stock-based compensation – cost of goods sold</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43"/>
        </w:trPr>
        <w:tc>
          <w:tcPr>
            <w:tcW w:w="200" w:type="dxa"/>
            <w:vAlign w:val="bottom"/>
          </w:tcPr>
          <w:p>
            <w:pPr>
              <w:ind w:left="20"/>
              <w:spacing w:after="0"/>
              <w:rPr>
                <w:sz w:val="20"/>
                <w:szCs w:val="20"/>
                <w:color w:val="auto"/>
              </w:rPr>
            </w:pPr>
            <w:r>
              <w:rPr>
                <w:rFonts w:ascii="Arial" w:cs="Arial" w:eastAsia="Arial" w:hAnsi="Arial"/>
                <w:sz w:val="18"/>
                <w:szCs w:val="18"/>
                <w:color w:val="auto"/>
              </w:rPr>
              <w:t>A</w:t>
            </w:r>
          </w:p>
        </w:tc>
        <w:tc>
          <w:tcPr>
            <w:tcW w:w="6860" w:type="dxa"/>
            <w:vAlign w:val="bottom"/>
            <w:gridSpan w:val="2"/>
          </w:tcPr>
          <w:p>
            <w:pPr>
              <w:ind w:left="60"/>
              <w:spacing w:after="0"/>
              <w:rPr>
                <w:sz w:val="20"/>
                <w:szCs w:val="20"/>
                <w:color w:val="auto"/>
              </w:rPr>
            </w:pPr>
            <w:r>
              <w:rPr>
                <w:rFonts w:ascii="Arial" w:cs="Arial" w:eastAsia="Arial" w:hAnsi="Arial"/>
                <w:sz w:val="18"/>
                <w:szCs w:val="18"/>
                <w:color w:val="auto"/>
              </w:rPr>
              <w:t>Other – cost of goods sold</w:t>
            </w:r>
          </w:p>
        </w:tc>
        <w:tc>
          <w:tcPr>
            <w:tcW w:w="9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20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w:t>
            </w:r>
          </w:p>
        </w:tc>
        <w:tc>
          <w:tcPr>
            <w:tcW w:w="68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Stock-based compensation – sales, general, and administrative</w:t>
            </w:r>
          </w:p>
        </w:tc>
        <w:tc>
          <w:tcPr>
            <w:tcW w:w="9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200" w:type="dxa"/>
            <w:vAlign w:val="bottom"/>
          </w:tcPr>
          <w:p>
            <w:pPr>
              <w:ind w:left="20"/>
              <w:spacing w:after="0"/>
              <w:rPr>
                <w:sz w:val="20"/>
                <w:szCs w:val="20"/>
                <w:color w:val="auto"/>
              </w:rPr>
            </w:pPr>
            <w:r>
              <w:rPr>
                <w:rFonts w:ascii="Arial" w:cs="Arial" w:eastAsia="Arial" w:hAnsi="Arial"/>
                <w:sz w:val="18"/>
                <w:szCs w:val="18"/>
                <w:color w:val="auto"/>
              </w:rPr>
              <w:t>B</w:t>
            </w:r>
          </w:p>
        </w:tc>
        <w:tc>
          <w:tcPr>
            <w:tcW w:w="6860" w:type="dxa"/>
            <w:vAlign w:val="bottom"/>
            <w:gridSpan w:val="2"/>
          </w:tcPr>
          <w:p>
            <w:pPr>
              <w:ind w:left="60"/>
              <w:spacing w:after="0"/>
              <w:rPr>
                <w:sz w:val="20"/>
                <w:szCs w:val="20"/>
                <w:color w:val="auto"/>
              </w:rPr>
            </w:pPr>
            <w:r>
              <w:rPr>
                <w:rFonts w:ascii="Arial" w:cs="Arial" w:eastAsia="Arial" w:hAnsi="Arial"/>
                <w:sz w:val="18"/>
                <w:szCs w:val="18"/>
                <w:color w:val="auto"/>
              </w:rPr>
              <w:t>Stock-based compensation – research and development</w:t>
            </w:r>
          </w:p>
        </w:tc>
        <w:tc>
          <w:tcPr>
            <w:tcW w:w="9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20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68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Amortization of debt discount and other costs</w:t>
            </w:r>
          </w:p>
        </w:tc>
        <w:tc>
          <w:tcPr>
            <w:tcW w:w="9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43"/>
        </w:trPr>
        <w:tc>
          <w:tcPr>
            <w:tcW w:w="200" w:type="dxa"/>
            <w:vAlign w:val="bottom"/>
          </w:tcPr>
          <w:p>
            <w:pPr>
              <w:ind w:left="20"/>
              <w:spacing w:after="0"/>
              <w:rPr>
                <w:sz w:val="20"/>
                <w:szCs w:val="20"/>
                <w:color w:val="auto"/>
              </w:rPr>
            </w:pPr>
            <w:r>
              <w:rPr>
                <w:rFonts w:ascii="Arial" w:cs="Arial" w:eastAsia="Arial" w:hAnsi="Arial"/>
                <w:sz w:val="18"/>
                <w:szCs w:val="18"/>
                <w:color w:val="auto"/>
              </w:rPr>
              <w:t>C</w:t>
            </w:r>
          </w:p>
        </w:tc>
        <w:tc>
          <w:tcPr>
            <w:tcW w:w="6860" w:type="dxa"/>
            <w:vAlign w:val="bottom"/>
            <w:gridSpan w:val="2"/>
          </w:tcPr>
          <w:p>
            <w:pPr>
              <w:ind w:left="60"/>
              <w:spacing w:after="0"/>
              <w:rPr>
                <w:sz w:val="20"/>
                <w:szCs w:val="20"/>
                <w:color w:val="auto"/>
              </w:rPr>
            </w:pPr>
            <w:r>
              <w:rPr>
                <w:rFonts w:ascii="Arial" w:cs="Arial" w:eastAsia="Arial" w:hAnsi="Arial"/>
                <w:sz w:val="18"/>
                <w:szCs w:val="18"/>
                <w:color w:val="auto"/>
              </w:rPr>
              <w:t>(Gain) loss on debt repurchases and conversions</w:t>
            </w:r>
          </w:p>
        </w:tc>
        <w:tc>
          <w:tcPr>
            <w:tcW w:w="9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20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68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Tax effects of the above items and non-cash changes in net deferred income taxes</w:t>
            </w:r>
          </w:p>
        </w:tc>
        <w:tc>
          <w:tcPr>
            <w:tcW w:w="9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37"/>
        </w:trPr>
        <w:tc>
          <w:tcPr>
            <w:tcW w:w="20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r>
      <w:tr>
        <w:trPr>
          <w:trHeight w:val="27"/>
        </w:trPr>
        <w:tc>
          <w:tcPr>
            <w:tcW w:w="20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20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GAAP and non-GAAP earnings per share are based on approximately 1.13 billion diluted shares.</w:t>
      </w:r>
    </w:p>
    <w:p>
      <w:pPr>
        <w:spacing w:after="0" w:line="20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tables above reconcile our GAAP to non-GAAP guidance based on the current outlook. The guidance does not incorporate the impact of any potential business combinations, divestitures, restructuring activities, balance sheet valuation adjustments, strategic investments, financing transactions, and other significant transactions. The timing and impact of such items are dependent on future events that may be uncertain or outside of our control.</w:t>
      </w:r>
    </w:p>
    <w:sectPr>
      <w:pgSz w:w="11900" w:h="16838" w:orient="portrait"/>
      <w:cols w:equalWidth="0" w:num="1">
        <w:col w:w="11140"/>
      </w:cols>
      <w:pgMar w:left="240" w:top="62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2019-12-28T05:43:43Z</dcterms:created>
  <dcterms:modified xsi:type="dcterms:W3CDTF">2019-12-28T05:43:43Z</dcterms:modified>
</cp:coreProperties>
</file>