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As filed with the Securities and Exchange Commission on April 7, 2009</w:t>
      </w:r>
    </w:p>
    <w:p>
      <w:pPr>
        <w:spacing w:after="0" w:line="204" w:lineRule="exact"/>
        <w:rPr>
          <w:sz w:val="24"/>
          <w:szCs w:val="24"/>
          <w:color w:val="auto"/>
        </w:rPr>
      </w:pPr>
    </w:p>
    <w:p>
      <w:pPr>
        <w:ind w:left="99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FORM S-3</w:t>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21" w:lineRule="auto"/>
        <w:rPr>
          <w:sz w:val="20"/>
          <w:szCs w:val="20"/>
          <w:color w:val="auto"/>
        </w:rPr>
      </w:pPr>
      <w:r>
        <w:rPr>
          <w:rFonts w:ascii="Arial" w:cs="Arial" w:eastAsia="Arial" w:hAnsi="Arial"/>
          <w:sz w:val="14"/>
          <w:szCs w:val="14"/>
          <w:b w:val="1"/>
          <w:bCs w:val="1"/>
          <w:color w:val="auto"/>
        </w:rPr>
        <w:t>UNDER</w:t>
      </w: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MICRON TECHNOLOGY, INC.</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3240" w:type="dxa"/>
        <w:tblCellMar>
          <w:top w:w="0" w:type="dxa"/>
          <w:left w:w="0" w:type="dxa"/>
          <w:bottom w:w="0" w:type="dxa"/>
          <w:right w:w="0" w:type="dxa"/>
        </w:tblCellMar>
      </w:tblPr>
      <w:tr>
        <w:trPr>
          <w:trHeight w:val="161"/>
        </w:trPr>
        <w:tc>
          <w:tcPr>
            <w:tcW w:w="256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Delaware</w:t>
            </w:r>
          </w:p>
        </w:tc>
        <w:tc>
          <w:tcPr>
            <w:tcW w:w="2200" w:type="dxa"/>
            <w:vAlign w:val="bottom"/>
          </w:tcPr>
          <w:p>
            <w:pPr>
              <w:jc w:val="center"/>
              <w:ind w:left="892"/>
              <w:spacing w:after="0"/>
              <w:rPr>
                <w:sz w:val="20"/>
                <w:szCs w:val="20"/>
                <w:color w:val="auto"/>
              </w:rPr>
            </w:pPr>
            <w:r>
              <w:rPr>
                <w:rFonts w:ascii="Arial" w:cs="Arial" w:eastAsia="Arial" w:hAnsi="Arial"/>
                <w:sz w:val="14"/>
                <w:szCs w:val="14"/>
                <w:b w:val="1"/>
                <w:bCs w:val="1"/>
                <w:color w:val="auto"/>
                <w:w w:val="85"/>
              </w:rPr>
              <w:t>75-1618004</w:t>
            </w:r>
          </w:p>
        </w:tc>
      </w:tr>
      <w:tr>
        <w:trPr>
          <w:trHeight w:val="149"/>
        </w:trPr>
        <w:tc>
          <w:tcPr>
            <w:tcW w:w="2560" w:type="dxa"/>
            <w:vAlign w:val="bottom"/>
          </w:tcPr>
          <w:p>
            <w:pPr>
              <w:jc w:val="center"/>
              <w:ind w:right="872"/>
              <w:spacing w:after="0" w:line="149" w:lineRule="exact"/>
              <w:rPr>
                <w:sz w:val="20"/>
                <w:szCs w:val="20"/>
                <w:color w:val="auto"/>
              </w:rPr>
            </w:pPr>
            <w:r>
              <w:rPr>
                <w:rFonts w:ascii="Arial" w:cs="Arial" w:eastAsia="Arial" w:hAnsi="Arial"/>
                <w:sz w:val="14"/>
                <w:szCs w:val="14"/>
                <w:color w:val="auto"/>
                <w:w w:val="90"/>
              </w:rPr>
              <w:t>(State or other jurisdiction of</w:t>
            </w:r>
          </w:p>
        </w:tc>
        <w:tc>
          <w:tcPr>
            <w:tcW w:w="2200" w:type="dxa"/>
            <w:vAlign w:val="bottom"/>
          </w:tcPr>
          <w:p>
            <w:pPr>
              <w:jc w:val="center"/>
              <w:ind w:left="89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2560" w:type="dxa"/>
            <w:vAlign w:val="bottom"/>
          </w:tcPr>
          <w:p>
            <w:pPr>
              <w:jc w:val="center"/>
              <w:ind w:right="872"/>
              <w:spacing w:after="0"/>
              <w:rPr>
                <w:sz w:val="20"/>
                <w:szCs w:val="20"/>
                <w:color w:val="auto"/>
              </w:rPr>
            </w:pPr>
            <w:r>
              <w:rPr>
                <w:rFonts w:ascii="Arial" w:cs="Arial" w:eastAsia="Arial" w:hAnsi="Arial"/>
                <w:sz w:val="14"/>
                <w:szCs w:val="14"/>
                <w:color w:val="auto"/>
                <w:w w:val="88"/>
              </w:rPr>
              <w:t>incorporation or organization)</w:t>
            </w:r>
          </w:p>
        </w:tc>
        <w:tc>
          <w:tcPr>
            <w:tcW w:w="2200" w:type="dxa"/>
            <w:vAlign w:val="bottom"/>
          </w:tcPr>
          <w:p>
            <w:pPr>
              <w:jc w:val="center"/>
              <w:ind w:left="89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8000 South Federal Way, P.O. Box 6</w:t>
      </w:r>
    </w:p>
    <w:p>
      <w:pPr>
        <w:jc w:val="center"/>
        <w:ind w:right="-39"/>
        <w:spacing w:after="0" w:line="223" w:lineRule="auto"/>
        <w:rPr>
          <w:sz w:val="20"/>
          <w:szCs w:val="20"/>
          <w:color w:val="auto"/>
        </w:rPr>
      </w:pPr>
      <w:r>
        <w:rPr>
          <w:rFonts w:ascii="Arial" w:cs="Arial" w:eastAsia="Arial" w:hAnsi="Arial"/>
          <w:sz w:val="14"/>
          <w:szCs w:val="14"/>
          <w:b w:val="1"/>
          <w:bCs w:val="1"/>
          <w:color w:val="auto"/>
        </w:rPr>
        <w:t>Boise, Idaho 83707-0006</w:t>
      </w:r>
    </w:p>
    <w:p>
      <w:pPr>
        <w:jc w:val="center"/>
        <w:ind w:right="-39"/>
        <w:spacing w:after="0"/>
        <w:rPr>
          <w:sz w:val="20"/>
          <w:szCs w:val="20"/>
          <w:color w:val="auto"/>
        </w:rPr>
      </w:pPr>
      <w:r>
        <w:rPr>
          <w:rFonts w:ascii="Arial" w:cs="Arial" w:eastAsia="Arial" w:hAnsi="Arial"/>
          <w:sz w:val="14"/>
          <w:szCs w:val="14"/>
          <w:b w:val="1"/>
          <w:bCs w:val="1"/>
          <w:color w:val="auto"/>
        </w:rPr>
        <w:t>(208) 368-4000</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Ronald C. Foster</w:t>
      </w:r>
    </w:p>
    <w:p>
      <w:pPr>
        <w:jc w:val="center"/>
        <w:ind w:right="-39"/>
        <w:spacing w:after="0" w:line="223" w:lineRule="auto"/>
        <w:rPr>
          <w:sz w:val="20"/>
          <w:szCs w:val="20"/>
          <w:color w:val="auto"/>
        </w:rPr>
      </w:pPr>
      <w:r>
        <w:rPr>
          <w:rFonts w:ascii="Arial" w:cs="Arial" w:eastAsia="Arial" w:hAnsi="Arial"/>
          <w:sz w:val="14"/>
          <w:szCs w:val="14"/>
          <w:b w:val="1"/>
          <w:bCs w:val="1"/>
          <w:color w:val="auto"/>
        </w:rPr>
        <w:t>Vice President of Finance and Chief Financial Officer</w:t>
      </w:r>
    </w:p>
    <w:p>
      <w:pPr>
        <w:jc w:val="center"/>
        <w:ind w:right="-39"/>
        <w:spacing w:after="0" w:line="222" w:lineRule="auto"/>
        <w:rPr>
          <w:sz w:val="20"/>
          <w:szCs w:val="20"/>
          <w:color w:val="auto"/>
        </w:rPr>
      </w:pPr>
      <w:r>
        <w:rPr>
          <w:rFonts w:ascii="Arial" w:cs="Arial" w:eastAsia="Arial" w:hAnsi="Arial"/>
          <w:sz w:val="14"/>
          <w:szCs w:val="14"/>
          <w:b w:val="1"/>
          <w:bCs w:val="1"/>
          <w:color w:val="auto"/>
        </w:rPr>
        <w:t>Micron Technology, Inc.</w:t>
      </w:r>
    </w:p>
    <w:p>
      <w:pPr>
        <w:jc w:val="center"/>
        <w:ind w:right="-39"/>
        <w:spacing w:after="0" w:line="221" w:lineRule="auto"/>
        <w:rPr>
          <w:sz w:val="20"/>
          <w:szCs w:val="20"/>
          <w:color w:val="auto"/>
        </w:rPr>
      </w:pPr>
      <w:r>
        <w:rPr>
          <w:rFonts w:ascii="Arial" w:cs="Arial" w:eastAsia="Arial" w:hAnsi="Arial"/>
          <w:sz w:val="14"/>
          <w:szCs w:val="14"/>
          <w:b w:val="1"/>
          <w:bCs w:val="1"/>
          <w:color w:val="auto"/>
        </w:rPr>
        <w:t>8000 South Federal Way</w:t>
      </w:r>
    </w:p>
    <w:p>
      <w:pPr>
        <w:jc w:val="center"/>
        <w:ind w:right="-39"/>
        <w:spacing w:after="0" w:line="222" w:lineRule="auto"/>
        <w:rPr>
          <w:sz w:val="20"/>
          <w:szCs w:val="20"/>
          <w:color w:val="auto"/>
        </w:rPr>
      </w:pPr>
      <w:r>
        <w:rPr>
          <w:rFonts w:ascii="Arial" w:cs="Arial" w:eastAsia="Arial" w:hAnsi="Arial"/>
          <w:sz w:val="14"/>
          <w:szCs w:val="14"/>
          <w:b w:val="1"/>
          <w:bCs w:val="1"/>
          <w:color w:val="auto"/>
        </w:rPr>
        <w:t>Boise, Idaho 83716-9632</w:t>
      </w:r>
    </w:p>
    <w:p>
      <w:pPr>
        <w:jc w:val="center"/>
        <w:ind w:right="-39"/>
        <w:spacing w:after="0"/>
        <w:rPr>
          <w:sz w:val="20"/>
          <w:szCs w:val="20"/>
          <w:color w:val="auto"/>
        </w:rPr>
      </w:pPr>
      <w:r>
        <w:rPr>
          <w:rFonts w:ascii="Arial" w:cs="Arial" w:eastAsia="Arial" w:hAnsi="Arial"/>
          <w:sz w:val="14"/>
          <w:szCs w:val="14"/>
          <w:b w:val="1"/>
          <w:bCs w:val="1"/>
          <w:color w:val="auto"/>
        </w:rPr>
        <w:t>(208) 368-4000</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135890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Copies to:</w:t>
      </w:r>
    </w:p>
    <w:p>
      <w:pPr>
        <w:spacing w:after="0" w:line="352"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John A. Fore, Esq.</w:t>
      </w:r>
    </w:p>
    <w:p>
      <w:pPr>
        <w:jc w:val="center"/>
        <w:ind w:right="-39"/>
        <w:spacing w:after="0" w:line="223" w:lineRule="auto"/>
        <w:rPr>
          <w:sz w:val="20"/>
          <w:szCs w:val="20"/>
          <w:color w:val="auto"/>
        </w:rPr>
      </w:pPr>
      <w:r>
        <w:rPr>
          <w:rFonts w:ascii="Arial" w:cs="Arial" w:eastAsia="Arial" w:hAnsi="Arial"/>
          <w:sz w:val="14"/>
          <w:szCs w:val="14"/>
          <w:b w:val="1"/>
          <w:bCs w:val="1"/>
          <w:color w:val="auto"/>
        </w:rPr>
        <w:t>Michael A. Occhiolini, Esq.</w:t>
      </w:r>
    </w:p>
    <w:p>
      <w:pPr>
        <w:jc w:val="center"/>
        <w:ind w:right="-39"/>
        <w:spacing w:after="0" w:line="222" w:lineRule="auto"/>
        <w:rPr>
          <w:sz w:val="20"/>
          <w:szCs w:val="20"/>
          <w:color w:val="auto"/>
        </w:rPr>
      </w:pPr>
      <w:r>
        <w:rPr>
          <w:rFonts w:ascii="Arial" w:cs="Arial" w:eastAsia="Arial" w:hAnsi="Arial"/>
          <w:sz w:val="14"/>
          <w:szCs w:val="14"/>
          <w:b w:val="1"/>
          <w:bCs w:val="1"/>
          <w:color w:val="auto"/>
        </w:rPr>
        <w:t>Wilson Sonsini Goodrich &amp; Rosati</w:t>
      </w:r>
    </w:p>
    <w:p>
      <w:pPr>
        <w:jc w:val="center"/>
        <w:ind w:right="-39"/>
        <w:spacing w:after="0" w:line="221" w:lineRule="auto"/>
        <w:rPr>
          <w:sz w:val="20"/>
          <w:szCs w:val="20"/>
          <w:color w:val="auto"/>
        </w:rPr>
      </w:pPr>
      <w:r>
        <w:rPr>
          <w:rFonts w:ascii="Arial" w:cs="Arial" w:eastAsia="Arial" w:hAnsi="Arial"/>
          <w:sz w:val="14"/>
          <w:szCs w:val="14"/>
          <w:b w:val="1"/>
          <w:bCs w:val="1"/>
          <w:color w:val="auto"/>
        </w:rPr>
        <w:t>Professional Corporation</w:t>
      </w:r>
    </w:p>
    <w:p>
      <w:pPr>
        <w:jc w:val="center"/>
        <w:ind w:right="-39"/>
        <w:spacing w:after="0" w:line="222" w:lineRule="auto"/>
        <w:rPr>
          <w:sz w:val="20"/>
          <w:szCs w:val="20"/>
          <w:color w:val="auto"/>
        </w:rPr>
      </w:pPr>
      <w:r>
        <w:rPr>
          <w:rFonts w:ascii="Arial" w:cs="Arial" w:eastAsia="Arial" w:hAnsi="Arial"/>
          <w:sz w:val="14"/>
          <w:szCs w:val="14"/>
          <w:b w:val="1"/>
          <w:bCs w:val="1"/>
          <w:color w:val="auto"/>
        </w:rPr>
        <w:t>650 Page Mill Road</w:t>
      </w:r>
    </w:p>
    <w:p>
      <w:pPr>
        <w:jc w:val="center"/>
        <w:ind w:right="-39"/>
        <w:spacing w:after="0" w:line="221" w:lineRule="auto"/>
        <w:rPr>
          <w:sz w:val="20"/>
          <w:szCs w:val="20"/>
          <w:color w:val="auto"/>
        </w:rPr>
      </w:pPr>
      <w:r>
        <w:rPr>
          <w:rFonts w:ascii="Arial" w:cs="Arial" w:eastAsia="Arial" w:hAnsi="Arial"/>
          <w:sz w:val="14"/>
          <w:szCs w:val="14"/>
          <w:b w:val="1"/>
          <w:bCs w:val="1"/>
          <w:color w:val="auto"/>
        </w:rPr>
        <w:t>Palo Alto, CA 94304</w:t>
      </w:r>
    </w:p>
    <w:p>
      <w:pPr>
        <w:jc w:val="center"/>
        <w:ind w:right="-39"/>
        <w:spacing w:after="0"/>
        <w:rPr>
          <w:sz w:val="20"/>
          <w:szCs w:val="20"/>
          <w:color w:val="auto"/>
        </w:rPr>
      </w:pPr>
      <w:r>
        <w:rPr>
          <w:rFonts w:ascii="Arial" w:cs="Arial" w:eastAsia="Arial" w:hAnsi="Arial"/>
          <w:sz w:val="14"/>
          <w:szCs w:val="14"/>
          <w:b w:val="1"/>
          <w:bCs w:val="1"/>
          <w:color w:val="auto"/>
        </w:rPr>
        <w:t>(650) 493-9300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From time to time after the effective date of this Registration Statement.</w:t>
      </w:r>
    </w:p>
    <w:p>
      <w:pPr>
        <w:spacing w:after="0" w:line="192" w:lineRule="exact"/>
        <w:rPr>
          <w:sz w:val="24"/>
          <w:szCs w:val="24"/>
          <w:color w:val="auto"/>
        </w:rPr>
      </w:pPr>
    </w:p>
    <w:p>
      <w:pPr>
        <w:ind w:left="340"/>
        <w:spacing w:after="0"/>
        <w:tabs>
          <w:tab w:leader="none" w:pos="8700" w:val="left"/>
        </w:tabs>
        <w:rPr>
          <w:sz w:val="20"/>
          <w:szCs w:val="20"/>
          <w:color w:val="auto"/>
        </w:rPr>
      </w:pPr>
      <w:r>
        <w:rPr>
          <w:rFonts w:ascii="Arial" w:cs="Arial" w:eastAsia="Arial" w:hAnsi="Arial"/>
          <w:sz w:val="12"/>
          <w:szCs w:val="12"/>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0"/>
          <w:szCs w:val="10"/>
          <w:color w:val="auto"/>
        </w:rPr>
        <w:t>o</w:t>
      </w:r>
    </w:p>
    <w:p>
      <w:pPr>
        <w:spacing w:after="0" w:line="227" w:lineRule="exact"/>
        <w:rPr>
          <w:sz w:val="24"/>
          <w:szCs w:val="24"/>
          <w:color w:val="auto"/>
        </w:rPr>
      </w:pPr>
    </w:p>
    <w:p>
      <w:pPr>
        <w:ind w:right="560" w:firstLine="338"/>
        <w:spacing w:after="0" w:line="168"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firstLine="338"/>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260" w:firstLine="338"/>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please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firstLine="338"/>
        <w:spacing w:after="0" w:line="168" w:lineRule="exact"/>
        <w:rPr>
          <w:sz w:val="20"/>
          <w:szCs w:val="20"/>
          <w:color w:val="auto"/>
        </w:rPr>
      </w:pPr>
      <w:r>
        <w:rPr>
          <w:rFonts w:ascii="Arial" w:cs="Arial" w:eastAsia="Arial" w:hAnsi="Arial"/>
          <w:sz w:val="14"/>
          <w:szCs w:val="14"/>
          <w:color w:val="auto"/>
        </w:rPr>
        <w:t xml:space="preserve">If the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79" w:lineRule="exact"/>
        <w:rPr>
          <w:sz w:val="24"/>
          <w:szCs w:val="24"/>
          <w:color w:val="auto"/>
        </w:rPr>
      </w:pPr>
    </w:p>
    <w:p>
      <w:pPr>
        <w:ind w:right="620" w:firstLine="338"/>
        <w:spacing w:after="0" w:line="239"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ectPr>
          <w:pgSz w:w="11900" w:h="16838" w:orient="portrait"/>
          <w:cols w:equalWidth="0" w:num="1">
            <w:col w:w="11380"/>
          </w:cols>
          <w:pgMar w:left="240" w:top="685" w:right="279" w:bottom="0" w:gutter="0" w:footer="0" w:header="0"/>
        </w:sectPr>
      </w:pPr>
    </w:p>
    <w:bookmarkStart w:id="1" w:name="page2"/>
    <w:bookmarkEnd w:id="1"/>
    <w:p>
      <w:pPr>
        <w:ind w:left="34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 and "smaller reporting company" in Rule 12b-2 of the Exchange Act. (Check one):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380" w:type="dxa"/>
            <w:vAlign w:val="bottom"/>
          </w:tcPr>
          <w:p>
            <w:pPr>
              <w:ind w:left="3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1680" w:type="dxa"/>
            <w:vAlign w:val="bottom"/>
          </w:tcPr>
          <w:p>
            <w:pPr>
              <w:ind w:left="480"/>
              <w:spacing w:after="0"/>
              <w:rPr>
                <w:sz w:val="20"/>
                <w:szCs w:val="20"/>
                <w:color w:val="auto"/>
              </w:rPr>
            </w:pPr>
            <w:r>
              <w:rPr>
                <w:rFonts w:ascii="Arial" w:cs="Arial" w:eastAsia="Arial" w:hAnsi="Arial"/>
                <w:sz w:val="14"/>
                <w:szCs w:val="14"/>
                <w:color w:val="auto"/>
              </w:rPr>
              <w:t>Accelerated filer o</w:t>
            </w:r>
          </w:p>
        </w:tc>
        <w:tc>
          <w:tcPr>
            <w:tcW w:w="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100" w:type="dxa"/>
            <w:vAlign w:val="bottom"/>
            <w:gridSpan w:val="2"/>
          </w:tcPr>
          <w:p>
            <w:pPr>
              <w:jc w:val="center"/>
              <w:ind w:right="1252"/>
              <w:spacing w:after="0"/>
              <w:rPr>
                <w:sz w:val="20"/>
                <w:szCs w:val="20"/>
                <w:color w:val="auto"/>
              </w:rPr>
            </w:pPr>
            <w:r>
              <w:rPr>
                <w:rFonts w:ascii="Arial" w:cs="Arial" w:eastAsia="Arial" w:hAnsi="Arial"/>
                <w:sz w:val="14"/>
                <w:szCs w:val="14"/>
                <w:color w:val="auto"/>
                <w:w w:val="89"/>
              </w:rPr>
              <w:t>Non-accelerated filer o</w:t>
            </w:r>
          </w:p>
        </w:tc>
        <w:tc>
          <w:tcPr>
            <w:tcW w:w="2620" w:type="dxa"/>
            <w:vAlign w:val="bottom"/>
          </w:tcPr>
          <w:p>
            <w:pPr>
              <w:ind w:left="640"/>
              <w:spacing w:after="0"/>
              <w:rPr>
                <w:sz w:val="20"/>
                <w:szCs w:val="20"/>
                <w:color w:val="auto"/>
              </w:rPr>
            </w:pPr>
            <w:r>
              <w:rPr>
                <w:rFonts w:ascii="Arial" w:cs="Arial" w:eastAsia="Arial" w:hAnsi="Arial"/>
                <w:sz w:val="14"/>
                <w:szCs w:val="14"/>
                <w:color w:val="auto"/>
              </w:rPr>
              <w:t>Smaller reporting company o</w:t>
            </w:r>
          </w:p>
        </w:tc>
      </w:tr>
      <w:tr>
        <w:trPr>
          <w:trHeight w:val="172"/>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520" w:type="dxa"/>
            <w:vAlign w:val="bottom"/>
            <w:gridSpan w:val="3"/>
          </w:tcPr>
          <w:p>
            <w:pPr>
              <w:jc w:val="center"/>
              <w:ind w:left="32"/>
              <w:spacing w:after="0"/>
              <w:rPr>
                <w:sz w:val="20"/>
                <w:szCs w:val="20"/>
                <w:color w:val="auto"/>
              </w:rPr>
            </w:pPr>
            <w:r>
              <w:rPr>
                <w:rFonts w:ascii="Arial" w:cs="Arial" w:eastAsia="Arial" w:hAnsi="Arial"/>
                <w:sz w:val="14"/>
                <w:szCs w:val="14"/>
                <w:color w:val="auto"/>
                <w:w w:val="88"/>
              </w:rPr>
              <w:t>(Do not check if a smaller reporting company)</w:t>
            </w:r>
          </w:p>
        </w:tc>
        <w:tc>
          <w:tcPr>
            <w:tcW w:w="2620" w:type="dxa"/>
            <w:vAlign w:val="bottom"/>
          </w:tcPr>
          <w:p>
            <w:pPr>
              <w:spacing w:after="0"/>
              <w:rPr>
                <w:sz w:val="14"/>
                <w:szCs w:val="14"/>
                <w:color w:val="auto"/>
              </w:rPr>
            </w:pPr>
          </w:p>
        </w:tc>
      </w:tr>
      <w:tr>
        <w:trPr>
          <w:trHeight w:val="203"/>
        </w:trPr>
        <w:tc>
          <w:tcPr>
            <w:tcW w:w="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80" w:type="dxa"/>
            <w:vAlign w:val="bottom"/>
            <w:tcBorders>
              <w:bottom w:val="single" w:sz="8" w:color="auto"/>
            </w:tcBorders>
            <w:gridSpan w:val="2"/>
          </w:tcPr>
          <w:p>
            <w:pPr>
              <w:spacing w:after="0"/>
              <w:rPr>
                <w:sz w:val="17"/>
                <w:szCs w:val="17"/>
                <w:color w:val="auto"/>
              </w:rPr>
            </w:pPr>
          </w:p>
        </w:tc>
        <w:tc>
          <w:tcPr>
            <w:tcW w:w="16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628"/>
        </w:trPr>
        <w:tc>
          <w:tcPr>
            <w:tcW w:w="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20" w:type="dxa"/>
            <w:vAlign w:val="bottom"/>
            <w:gridSpan w:val="3"/>
          </w:tcPr>
          <w:p>
            <w:pPr>
              <w:ind w:left="140"/>
              <w:spacing w:after="0"/>
              <w:rPr>
                <w:sz w:val="20"/>
                <w:szCs w:val="20"/>
                <w:color w:val="auto"/>
              </w:rPr>
            </w:pPr>
            <w:r>
              <w:rPr>
                <w:rFonts w:ascii="Arial" w:cs="Arial" w:eastAsia="Arial" w:hAnsi="Arial"/>
                <w:sz w:val="14"/>
                <w:szCs w:val="14"/>
                <w:b w:val="1"/>
                <w:bCs w:val="1"/>
                <w:color w:val="auto"/>
              </w:rPr>
              <w:t>CALCULATION OF REGISTRATION FEE</w:t>
            </w:r>
          </w:p>
        </w:tc>
        <w:tc>
          <w:tcPr>
            <w:tcW w:w="262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spacing w:after="0"/>
              <w:rPr>
                <w:sz w:val="20"/>
                <w:szCs w:val="20"/>
                <w:color w:val="auto"/>
              </w:rPr>
            </w:pPr>
          </w:p>
        </w:tc>
        <w:tc>
          <w:tcPr>
            <w:tcW w:w="3100" w:type="dxa"/>
            <w:vAlign w:val="bottom"/>
            <w:tcBorders>
              <w:bottom w:val="single" w:sz="8" w:color="auto"/>
            </w:tcBorders>
            <w:gridSpan w:val="2"/>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100" w:type="dxa"/>
            <w:vAlign w:val="bottom"/>
            <w:tcBorders>
              <w:bottom w:val="single" w:sz="8" w:color="auto"/>
            </w:tcBorders>
            <w:gridSpan w:val="2"/>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3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620" w:type="dxa"/>
            <w:vAlign w:val="bottom"/>
            <w:gridSpan w:val="2"/>
          </w:tcPr>
          <w:p>
            <w:pPr>
              <w:jc w:val="center"/>
              <w:spacing w:after="0" w:line="117" w:lineRule="exact"/>
              <w:rPr>
                <w:sz w:val="20"/>
                <w:szCs w:val="20"/>
                <w:color w:val="auto"/>
              </w:rPr>
            </w:pPr>
            <w:r>
              <w:rPr>
                <w:rFonts w:ascii="Arial" w:cs="Arial" w:eastAsia="Arial" w:hAnsi="Arial"/>
                <w:sz w:val="12"/>
                <w:szCs w:val="12"/>
                <w:b w:val="1"/>
                <w:bCs w:val="1"/>
                <w:color w:val="auto"/>
              </w:rPr>
              <w:t>Proposed Maximum</w:t>
            </w:r>
          </w:p>
        </w:tc>
        <w:tc>
          <w:tcPr>
            <w:tcW w:w="3100" w:type="dxa"/>
            <w:vAlign w:val="bottom"/>
            <w:gridSpan w:val="2"/>
          </w:tcPr>
          <w:p>
            <w:pPr>
              <w:jc w:val="center"/>
              <w:ind w:left="554"/>
              <w:spacing w:after="0" w:line="117" w:lineRule="exact"/>
              <w:rPr>
                <w:sz w:val="20"/>
                <w:szCs w:val="20"/>
                <w:color w:val="auto"/>
              </w:rPr>
            </w:pPr>
            <w:r>
              <w:rPr>
                <w:rFonts w:ascii="Arial" w:cs="Arial" w:eastAsia="Arial" w:hAnsi="Arial"/>
                <w:sz w:val="12"/>
                <w:szCs w:val="12"/>
                <w:b w:val="1"/>
                <w:bCs w:val="1"/>
                <w:color w:val="auto"/>
              </w:rPr>
              <w:t>Proposed Maximum</w:t>
            </w:r>
          </w:p>
        </w:tc>
        <w:tc>
          <w:tcPr>
            <w:tcW w:w="262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2380" w:type="dxa"/>
            <w:vAlign w:val="bottom"/>
          </w:tcPr>
          <w:p>
            <w:pPr>
              <w:ind w:left="120"/>
              <w:spacing w:after="0" w:line="149" w:lineRule="exact"/>
              <w:rPr>
                <w:sz w:val="20"/>
                <w:szCs w:val="20"/>
                <w:color w:val="auto"/>
              </w:rPr>
            </w:pPr>
            <w:r>
              <w:rPr>
                <w:rFonts w:ascii="Arial" w:cs="Arial" w:eastAsia="Arial" w:hAnsi="Arial"/>
                <w:sz w:val="14"/>
                <w:szCs w:val="14"/>
                <w:b w:val="1"/>
                <w:bCs w:val="1"/>
                <w:color w:val="auto"/>
                <w:w w:val="89"/>
              </w:rPr>
              <w:t>Title of Each Class of Securities to be</w:t>
            </w:r>
          </w:p>
        </w:tc>
        <w:tc>
          <w:tcPr>
            <w:tcW w:w="168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Amount to be</w:t>
            </w:r>
          </w:p>
        </w:tc>
        <w:tc>
          <w:tcPr>
            <w:tcW w:w="200" w:type="dxa"/>
            <w:vAlign w:val="bottom"/>
          </w:tcPr>
          <w:p>
            <w:pPr>
              <w:spacing w:after="0"/>
              <w:rPr>
                <w:sz w:val="12"/>
                <w:szCs w:val="12"/>
                <w:color w:val="auto"/>
              </w:rPr>
            </w:pPr>
          </w:p>
        </w:tc>
        <w:tc>
          <w:tcPr>
            <w:tcW w:w="1420" w:type="dxa"/>
            <w:vAlign w:val="bottom"/>
          </w:tcPr>
          <w:p>
            <w:pPr>
              <w:jc w:val="center"/>
              <w:ind w:right="192"/>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3100" w:type="dxa"/>
            <w:vAlign w:val="bottom"/>
            <w:gridSpan w:val="2"/>
          </w:tcPr>
          <w:p>
            <w:pPr>
              <w:jc w:val="center"/>
              <w:ind w:left="554"/>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2620" w:type="dxa"/>
            <w:vAlign w:val="bottom"/>
          </w:tcPr>
          <w:p>
            <w:pPr>
              <w:jc w:val="center"/>
              <w:ind w:left="92"/>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82"/>
        </w:trPr>
        <w:tc>
          <w:tcPr>
            <w:tcW w:w="20" w:type="dxa"/>
            <w:vAlign w:val="bottom"/>
          </w:tcPr>
          <w:p>
            <w:pPr>
              <w:spacing w:after="0"/>
              <w:rPr>
                <w:sz w:val="15"/>
                <w:szCs w:val="15"/>
                <w:color w:val="auto"/>
              </w:rPr>
            </w:pPr>
          </w:p>
        </w:tc>
        <w:tc>
          <w:tcPr>
            <w:tcW w:w="23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Registered</w:t>
            </w:r>
          </w:p>
        </w:tc>
        <w:tc>
          <w:tcPr>
            <w:tcW w:w="168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b w:val="1"/>
                <w:bCs w:val="1"/>
                <w:color w:val="auto"/>
                <w:w w:val="88"/>
              </w:rPr>
              <w:t>Registered(1)(2)</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b w:val="1"/>
                <w:bCs w:val="1"/>
                <w:color w:val="auto"/>
                <w:w w:val="90"/>
              </w:rPr>
              <w:t>Price Per Unit(1)(2)</w:t>
            </w:r>
          </w:p>
        </w:tc>
        <w:tc>
          <w:tcPr>
            <w:tcW w:w="1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772"/>
              <w:spacing w:after="0"/>
              <w:rPr>
                <w:sz w:val="20"/>
                <w:szCs w:val="20"/>
                <w:color w:val="auto"/>
              </w:rPr>
            </w:pPr>
            <w:r>
              <w:rPr>
                <w:rFonts w:ascii="Arial" w:cs="Arial" w:eastAsia="Arial" w:hAnsi="Arial"/>
                <w:sz w:val="14"/>
                <w:szCs w:val="14"/>
                <w:b w:val="1"/>
                <w:bCs w:val="1"/>
                <w:color w:val="auto"/>
                <w:w w:val="87"/>
              </w:rPr>
              <w:t>Price(1)(2)</w:t>
            </w:r>
          </w:p>
        </w:tc>
        <w:tc>
          <w:tcPr>
            <w:tcW w:w="262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86"/>
              </w:rPr>
              <w:t>Registration Fee(3)</w:t>
            </w:r>
          </w:p>
        </w:tc>
      </w:tr>
      <w:tr>
        <w:trPr>
          <w:trHeight w:val="138"/>
        </w:trPr>
        <w:tc>
          <w:tcPr>
            <w:tcW w:w="20" w:type="dxa"/>
            <w:vAlign w:val="bottom"/>
          </w:tcPr>
          <w:p>
            <w:pPr>
              <w:spacing w:after="0"/>
              <w:rPr>
                <w:sz w:val="11"/>
                <w:szCs w:val="11"/>
                <w:color w:val="auto"/>
              </w:rPr>
            </w:pPr>
          </w:p>
        </w:tc>
        <w:tc>
          <w:tcPr>
            <w:tcW w:w="2380" w:type="dxa"/>
            <w:vAlign w:val="bottom"/>
          </w:tcPr>
          <w:p>
            <w:pPr>
              <w:spacing w:after="0" w:line="138" w:lineRule="exact"/>
              <w:rPr>
                <w:sz w:val="20"/>
                <w:szCs w:val="20"/>
                <w:color w:val="auto"/>
              </w:rPr>
            </w:pPr>
            <w:r>
              <w:rPr>
                <w:rFonts w:ascii="Arial" w:cs="Arial" w:eastAsia="Arial" w:hAnsi="Arial"/>
                <w:sz w:val="14"/>
                <w:szCs w:val="14"/>
                <w:color w:val="auto"/>
              </w:rPr>
              <w:t>Common Stock, $0.10 par value per</w:t>
            </w:r>
          </w:p>
        </w:tc>
        <w:tc>
          <w:tcPr>
            <w:tcW w:w="1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20" w:type="dxa"/>
            <w:vAlign w:val="bottom"/>
          </w:tcPr>
          <w:p>
            <w:pPr>
              <w:spacing w:after="0"/>
              <w:rPr>
                <w:sz w:val="11"/>
                <w:szCs w:val="11"/>
                <w:color w:val="auto"/>
              </w:rPr>
            </w:pPr>
          </w:p>
        </w:tc>
      </w:tr>
      <w:tr>
        <w:trPr>
          <w:trHeight w:val="180"/>
        </w:trPr>
        <w:tc>
          <w:tcPr>
            <w:tcW w:w="20" w:type="dxa"/>
            <w:vAlign w:val="bottom"/>
          </w:tcPr>
          <w:p>
            <w:pPr>
              <w:spacing w:after="0"/>
              <w:rPr>
                <w:sz w:val="15"/>
                <w:szCs w:val="15"/>
                <w:color w:val="auto"/>
              </w:rPr>
            </w:pPr>
          </w:p>
        </w:tc>
        <w:tc>
          <w:tcPr>
            <w:tcW w:w="238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rPr>
              <w:t>share(4)</w:t>
            </w:r>
          </w:p>
        </w:tc>
        <w:tc>
          <w:tcPr>
            <w:tcW w:w="16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tcPr>
          <w:p>
            <w:pPr>
              <w:spacing w:after="0"/>
              <w:rPr>
                <w:sz w:val="15"/>
                <w:szCs w:val="15"/>
                <w:color w:val="auto"/>
              </w:rPr>
            </w:pPr>
          </w:p>
        </w:tc>
      </w:tr>
      <w:tr>
        <w:trPr>
          <w:trHeight w:val="174"/>
        </w:trPr>
        <w:tc>
          <w:tcPr>
            <w:tcW w:w="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Warrants(5)</w:t>
            </w:r>
          </w:p>
        </w:tc>
        <w:tc>
          <w:tcPr>
            <w:tcW w:w="1680" w:type="dxa"/>
            <w:vAlign w:val="bottom"/>
            <w:tcBorders>
              <w:bottom w:val="single" w:sz="8" w:color="auto"/>
            </w:tcBorders>
          </w:tcPr>
          <w:p>
            <w:pPr>
              <w:jc w:val="center"/>
              <w:ind w:right="472"/>
              <w:spacing w:after="0"/>
              <w:rPr>
                <w:sz w:val="20"/>
                <w:szCs w:val="20"/>
                <w:color w:val="auto"/>
              </w:rPr>
            </w:pPr>
            <w:r>
              <w:rPr>
                <w:rFonts w:ascii="Arial" w:cs="Arial" w:eastAsia="Arial" w:hAnsi="Arial"/>
                <w:sz w:val="14"/>
                <w:szCs w:val="14"/>
                <w:color w:val="auto"/>
                <w:w w:val="99"/>
              </w:rPr>
              <w:t>—</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212"/>
              <w:spacing w:after="0"/>
              <w:rPr>
                <w:sz w:val="20"/>
                <w:szCs w:val="20"/>
                <w:color w:val="auto"/>
              </w:rPr>
            </w:pPr>
            <w:r>
              <w:rPr>
                <w:rFonts w:ascii="Arial" w:cs="Arial" w:eastAsia="Arial" w:hAnsi="Arial"/>
                <w:sz w:val="14"/>
                <w:szCs w:val="14"/>
                <w:color w:val="auto"/>
                <w:w w:val="99"/>
              </w:rPr>
              <w:t>—</w:t>
            </w:r>
          </w:p>
        </w:tc>
        <w:tc>
          <w:tcPr>
            <w:tcW w:w="14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ind w:right="772"/>
              <w:spacing w:after="0"/>
              <w:rPr>
                <w:sz w:val="20"/>
                <w:szCs w:val="20"/>
                <w:color w:val="auto"/>
              </w:rPr>
            </w:pPr>
            <w:r>
              <w:rPr>
                <w:rFonts w:ascii="Arial" w:cs="Arial" w:eastAsia="Arial" w:hAnsi="Arial"/>
                <w:sz w:val="14"/>
                <w:szCs w:val="14"/>
                <w:color w:val="auto"/>
                <w:w w:val="85"/>
              </w:rPr>
              <w:t>—</w:t>
            </w:r>
          </w:p>
        </w:tc>
        <w:tc>
          <w:tcPr>
            <w:tcW w:w="2620" w:type="dxa"/>
            <w:vAlign w:val="bottom"/>
            <w:tcBorders>
              <w:bottom w:val="single" w:sz="8" w:color="auto"/>
            </w:tcBorders>
          </w:tcPr>
          <w:p>
            <w:pPr>
              <w:spacing w:after="0"/>
              <w:rPr>
                <w:sz w:val="15"/>
                <w:szCs w:val="15"/>
                <w:color w:val="auto"/>
              </w:rPr>
            </w:pPr>
          </w:p>
        </w:tc>
      </w:tr>
      <w:tr>
        <w:trPr>
          <w:trHeight w:val="169"/>
        </w:trPr>
        <w:tc>
          <w:tcPr>
            <w:tcW w:w="2400" w:type="dxa"/>
            <w:vAlign w:val="bottom"/>
            <w:gridSpan w:val="2"/>
          </w:tcPr>
          <w:p>
            <w:pPr>
              <w:spacing w:after="0"/>
              <w:rPr>
                <w:sz w:val="20"/>
                <w:szCs w:val="20"/>
                <w:color w:val="auto"/>
              </w:rPr>
            </w:pPr>
            <w:r>
              <w:rPr>
                <w:rFonts w:ascii="Arial" w:cs="Arial" w:eastAsia="Arial" w:hAnsi="Arial"/>
                <w:sz w:val="14"/>
                <w:szCs w:val="14"/>
                <w:color w:val="auto"/>
              </w:rPr>
              <w:t>Debt Securities</w:t>
            </w:r>
          </w:p>
        </w:tc>
        <w:tc>
          <w:tcPr>
            <w:tcW w:w="1680" w:type="dxa"/>
            <w:vAlign w:val="bottom"/>
          </w:tcPr>
          <w:p>
            <w:pPr>
              <w:jc w:val="center"/>
              <w:ind w:right="472"/>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4"/>
                <w:szCs w:val="14"/>
                <w:color w:val="auto"/>
              </w:rPr>
            </w:pPr>
          </w:p>
        </w:tc>
        <w:tc>
          <w:tcPr>
            <w:tcW w:w="1420" w:type="dxa"/>
            <w:vAlign w:val="bottom"/>
          </w:tcPr>
          <w:p>
            <w:pPr>
              <w:jc w:val="center"/>
              <w:ind w:right="212"/>
              <w:spacing w:after="0"/>
              <w:rPr>
                <w:sz w:val="20"/>
                <w:szCs w:val="20"/>
                <w:color w:val="auto"/>
              </w:rPr>
            </w:pPr>
            <w:r>
              <w:rPr>
                <w:rFonts w:ascii="Arial" w:cs="Arial" w:eastAsia="Arial" w:hAnsi="Arial"/>
                <w:sz w:val="14"/>
                <w:szCs w:val="14"/>
                <w:color w:val="auto"/>
                <w:w w:val="99"/>
              </w:rPr>
              <w:t>—</w:t>
            </w:r>
          </w:p>
        </w:tc>
        <w:tc>
          <w:tcPr>
            <w:tcW w:w="1460" w:type="dxa"/>
            <w:vAlign w:val="bottom"/>
          </w:tcPr>
          <w:p>
            <w:pPr>
              <w:spacing w:after="0"/>
              <w:rPr>
                <w:sz w:val="14"/>
                <w:szCs w:val="14"/>
                <w:color w:val="auto"/>
              </w:rPr>
            </w:pPr>
          </w:p>
        </w:tc>
        <w:tc>
          <w:tcPr>
            <w:tcW w:w="1640" w:type="dxa"/>
            <w:vAlign w:val="bottom"/>
          </w:tcPr>
          <w:p>
            <w:pPr>
              <w:jc w:val="center"/>
              <w:ind w:right="772"/>
              <w:spacing w:after="0"/>
              <w:rPr>
                <w:sz w:val="20"/>
                <w:szCs w:val="20"/>
                <w:color w:val="auto"/>
              </w:rPr>
            </w:pPr>
            <w:r>
              <w:rPr>
                <w:rFonts w:ascii="Arial" w:cs="Arial" w:eastAsia="Arial" w:hAnsi="Arial"/>
                <w:sz w:val="14"/>
                <w:szCs w:val="14"/>
                <w:color w:val="auto"/>
                <w:w w:val="85"/>
              </w:rPr>
              <w:t>—</w:t>
            </w:r>
          </w:p>
        </w:tc>
        <w:tc>
          <w:tcPr>
            <w:tcW w:w="26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3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Total(6)</w:t>
            </w:r>
          </w:p>
        </w:tc>
        <w:tc>
          <w:tcPr>
            <w:tcW w:w="1680" w:type="dxa"/>
            <w:vAlign w:val="bottom"/>
            <w:tcBorders>
              <w:top w:val="single" w:sz="8" w:color="auto"/>
              <w:bottom w:val="single" w:sz="8" w:color="auto"/>
            </w:tcBorders>
          </w:tcPr>
          <w:p>
            <w:pPr>
              <w:jc w:val="center"/>
              <w:ind w:right="472"/>
              <w:spacing w:after="0"/>
              <w:rPr>
                <w:sz w:val="20"/>
                <w:szCs w:val="20"/>
                <w:color w:val="auto"/>
              </w:rPr>
            </w:pPr>
            <w:r>
              <w:rPr>
                <w:rFonts w:ascii="Arial" w:cs="Arial" w:eastAsia="Arial" w:hAnsi="Arial"/>
                <w:sz w:val="14"/>
                <w:szCs w:val="14"/>
                <w:color w:val="auto"/>
                <w:w w:val="99"/>
              </w:rPr>
              <w:t>—</w:t>
            </w:r>
          </w:p>
        </w:tc>
        <w:tc>
          <w:tcPr>
            <w:tcW w:w="200" w:type="dxa"/>
            <w:vAlign w:val="bottom"/>
            <w:tcBorders>
              <w:top w:val="single" w:sz="8" w:color="auto"/>
              <w:bottom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center"/>
              <w:ind w:right="212"/>
              <w:spacing w:after="0"/>
              <w:rPr>
                <w:sz w:val="20"/>
                <w:szCs w:val="20"/>
                <w:color w:val="auto"/>
              </w:rPr>
            </w:pPr>
            <w:r>
              <w:rPr>
                <w:rFonts w:ascii="Arial" w:cs="Arial" w:eastAsia="Arial" w:hAnsi="Arial"/>
                <w:sz w:val="14"/>
                <w:szCs w:val="14"/>
                <w:color w:val="auto"/>
                <w:w w:val="99"/>
              </w:rPr>
              <w:t>—</w:t>
            </w:r>
          </w:p>
        </w:tc>
        <w:tc>
          <w:tcPr>
            <w:tcW w:w="146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tcPr>
          <w:p>
            <w:pPr>
              <w:jc w:val="center"/>
              <w:ind w:right="772"/>
              <w:spacing w:after="0"/>
              <w:rPr>
                <w:sz w:val="20"/>
                <w:szCs w:val="20"/>
                <w:color w:val="auto"/>
              </w:rPr>
            </w:pPr>
            <w:r>
              <w:rPr>
                <w:rFonts w:ascii="Arial" w:cs="Arial" w:eastAsia="Arial" w:hAnsi="Arial"/>
                <w:sz w:val="14"/>
                <w:szCs w:val="14"/>
                <w:color w:val="auto"/>
                <w:w w:val="85"/>
              </w:rPr>
              <w:t>—</w:t>
            </w:r>
          </w:p>
        </w:tc>
        <w:tc>
          <w:tcPr>
            <w:tcW w:w="2620" w:type="dxa"/>
            <w:vAlign w:val="bottom"/>
            <w:tcBorders>
              <w:top w:val="single" w:sz="8" w:color="auto"/>
              <w:bottom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 indeterminate number of or aggregate principal amount of the securities of each identified class is being registered as may at various times be issued at indeterminate prices.</w:t>
      </w:r>
    </w:p>
    <w:p>
      <w:pPr>
        <w:spacing w:after="0" w:line="145" w:lineRule="exact"/>
        <w:rPr>
          <w:rFonts w:ascii="Arial" w:cs="Arial" w:eastAsia="Arial" w:hAnsi="Arial"/>
          <w:sz w:val="12"/>
          <w:szCs w:val="12"/>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Not applicable pursuant to General Instruction II.D. of Form S-3 under the Securities Act of 1933.</w:t>
      </w:r>
    </w:p>
    <w:p>
      <w:pPr>
        <w:spacing w:after="0" w:line="122" w:lineRule="exact"/>
        <w:rPr>
          <w:rFonts w:ascii="Arial" w:cs="Arial" w:eastAsia="Arial" w:hAnsi="Arial"/>
          <w:sz w:val="14"/>
          <w:szCs w:val="14"/>
          <w:color w:val="auto"/>
        </w:rPr>
      </w:pPr>
    </w:p>
    <w:p>
      <w:pPr>
        <w:ind w:left="540" w:right="6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Rules 456(b) and 457(r) under the Securities Act, the registrant is deferring payment of all of the registration fee. Any registration fees will be paid subsequently on a pay-as-you-go basis in accordance with Rule 457(r).</w:t>
      </w:r>
    </w:p>
    <w:p>
      <w:pPr>
        <w:spacing w:after="0" w:line="111" w:lineRule="exact"/>
        <w:rPr>
          <w:rFonts w:ascii="Arial" w:cs="Arial" w:eastAsia="Arial" w:hAnsi="Arial"/>
          <w:sz w:val="14"/>
          <w:szCs w:val="14"/>
          <w:color w:val="auto"/>
        </w:rPr>
      </w:pPr>
    </w:p>
    <w:p>
      <w:pPr>
        <w:ind w:left="540" w:right="20" w:hanging="532"/>
        <w:spacing w:after="0" w:line="239"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addition to any securities that may be registered hereunder, we are also registering an indeterminate number of shares of common stock as may be issued upon conversion or exercise of the securities issued directly hereunder. No separate consideration will be received for any shares of common stock so issued upon conversion or exercise.</w:t>
      </w:r>
    </w:p>
    <w:p>
      <w:pPr>
        <w:spacing w:after="0" w:line="111"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warrants to purchase common stock and warrants to purchase debt securities.</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securities registered hereunder may be sold separately, or in a combination with other securities registered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314325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9"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Debt Securities</w:t>
      </w:r>
    </w:p>
    <w:p>
      <w:pPr>
        <w:spacing w:after="0" w:line="219"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We may offer from time to time, in one or more offerings, common stock, warrants, debt securities or any combination thereof. The warrants and debt securities may be convertible into or exercisable for common stock or other securities of our company or debt or equity securities of one or more other entities. We will provide the specific terms of any offering and the offered securities in supplements to this prospectus.</w:t>
      </w:r>
    </w:p>
    <w:p>
      <w:pPr>
        <w:spacing w:after="0" w:line="16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This prospectus may not be used to sell securities unless accompanied by a prospectus supplement which will describe the method and terms of the related offering. The prospectus supplement may also add, update or change information contained in this prospectus. We urge you to carefully read this prospectus, any accompanying prospectus supplement and any documents we incorporate by reference before you make your investment decision.</w:t>
      </w:r>
    </w:p>
    <w:p>
      <w:pPr>
        <w:spacing w:after="0" w:line="16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common stock is listed on the New York Stock Exchange under the symbol "MU." On April 6, 2009, the last reported sale price for our common stock was $4.52 per share. We do not expect our warrants or debt securities to be listed on any securities exchange or over-the-counter market.</w:t>
      </w:r>
    </w:p>
    <w:p>
      <w:pPr>
        <w:spacing w:after="0" w:line="133" w:lineRule="exact"/>
        <w:rPr>
          <w:sz w:val="20"/>
          <w:szCs w:val="20"/>
          <w:color w:val="auto"/>
        </w:rPr>
      </w:pPr>
    </w:p>
    <w:p>
      <w:pPr>
        <w:ind w:right="280" w:firstLine="351"/>
        <w:spacing w:after="0" w:line="339" w:lineRule="auto"/>
        <w:rPr>
          <w:sz w:val="20"/>
          <w:szCs w:val="20"/>
          <w:color w:val="auto"/>
        </w:rPr>
      </w:pPr>
      <w:r>
        <w:rPr>
          <w:rFonts w:ascii="Arial" w:cs="Arial" w:eastAsia="Arial" w:hAnsi="Arial"/>
          <w:sz w:val="16"/>
          <w:szCs w:val="16"/>
          <w:b w:val="1"/>
          <w:bCs w:val="1"/>
          <w:color w:val="auto"/>
        </w:rPr>
        <w:t>Investing in our securities involves risks. See the "Risk Factors" section contained in the applicable prospectus supplement and any related free writing prospectus and under similar headings in the documents we incorporate by reference into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90805</wp:posOffset>
            </wp:positionV>
            <wp:extent cx="1895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8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80"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may sell the securities to or through one or more underwriters, to other purchasers, through dealers or agents, or through a combination of these methods on an immediate, continuous or delayed basis. The names of any underwriters will be stated in the applicable prospectus supplement.</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Prospectus dated 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2540" w:type="dxa"/>
        <w:tblCellMar>
          <w:top w:w="0" w:type="dxa"/>
          <w:left w:w="0" w:type="dxa"/>
          <w:bottom w:w="0" w:type="dxa"/>
          <w:right w:w="0" w:type="dxa"/>
        </w:tblCellMar>
      </w:tblPr>
      <w:tr>
        <w:trPr>
          <w:trHeight w:val="161"/>
        </w:trPr>
        <w:tc>
          <w:tcPr>
            <w:tcW w:w="680" w:type="dxa"/>
            <w:vAlign w:val="bottom"/>
            <w:gridSpan w:val="2"/>
            <w:vMerge w:val="restart"/>
          </w:tcPr>
          <w:p>
            <w:pPr>
              <w:spacing w:after="0"/>
              <w:rPr>
                <w:rFonts w:ascii="Arial" w:cs="Arial" w:eastAsia="Arial" w:hAnsi="Arial"/>
                <w:sz w:val="18"/>
                <w:szCs w:val="18"/>
                <w:color w:val="0000EE"/>
                <w:w w:val="85"/>
              </w:rPr>
            </w:pPr>
            <w:hyperlink w:anchor="page5">
              <w:r>
                <w:rPr>
                  <w:rFonts w:ascii="Arial" w:cs="Arial" w:eastAsia="Arial" w:hAnsi="Arial"/>
                  <w:sz w:val="18"/>
                  <w:szCs w:val="18"/>
                  <w:color w:val="0000EE"/>
                  <w:w w:val="85"/>
                </w:rPr>
                <w:t>Summary</w:t>
              </w:r>
            </w:hyperlink>
          </w:p>
        </w:tc>
        <w:tc>
          <w:tcPr>
            <w:tcW w:w="5400" w:type="dxa"/>
            <w:vAlign w:val="bottom"/>
            <w:gridSpan w:val="8"/>
            <w:vMerge w:val="restart"/>
          </w:tcPr>
          <w:p>
            <w:pPr>
              <w:spacing w:after="0"/>
              <w:rPr>
                <w:sz w:val="14"/>
                <w:szCs w:val="14"/>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680" w:type="dxa"/>
            <w:vAlign w:val="bottom"/>
            <w:tcBorders>
              <w:bottom w:val="single" w:sz="8" w:color="0000EE"/>
            </w:tcBorders>
            <w:gridSpan w:val="2"/>
            <w:vMerge w:val="continue"/>
          </w:tcPr>
          <w:p>
            <w:pPr>
              <w:spacing w:after="0"/>
              <w:rPr>
                <w:sz w:val="14"/>
                <w:szCs w:val="14"/>
                <w:color w:val="auto"/>
              </w:rPr>
            </w:pPr>
          </w:p>
        </w:tc>
        <w:tc>
          <w:tcPr>
            <w:tcW w:w="5400" w:type="dxa"/>
            <w:vAlign w:val="bottom"/>
            <w:gridSpan w:val="8"/>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70"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196"/>
        </w:trPr>
        <w:tc>
          <w:tcPr>
            <w:tcW w:w="24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Ratio of Earnings to Fixed Charges</w:t>
              </w:r>
            </w:hyperlink>
          </w:p>
        </w:tc>
        <w:tc>
          <w:tcPr>
            <w:tcW w:w="3600" w:type="dxa"/>
            <w:vAlign w:val="bottom"/>
            <w:gridSpan w:val="4"/>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2</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Cautionary Note on Forward-Looking Statements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196"/>
        </w:trPr>
        <w:tc>
          <w:tcPr>
            <w:tcW w:w="11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4"/>
              </w:rPr>
            </w:pPr>
            <w:hyperlink w:anchor="page8">
              <w:r>
                <w:rPr>
                  <w:rFonts w:ascii="Arial" w:cs="Arial" w:eastAsia="Arial" w:hAnsi="Arial"/>
                  <w:sz w:val="18"/>
                  <w:szCs w:val="18"/>
                  <w:color w:val="0000EE"/>
                  <w:w w:val="84"/>
                </w:rPr>
                <w:t>Use of Proceeds</w:t>
              </w:r>
            </w:hyperlink>
          </w:p>
        </w:tc>
        <w:tc>
          <w:tcPr>
            <w:tcW w:w="2340" w:type="dxa"/>
            <w:vAlign w:val="bottom"/>
            <w:tcBorders>
              <w:top w:val="single" w:sz="8" w:color="0000EE"/>
            </w:tcBorders>
            <w:gridSpan w:val="4"/>
          </w:tcPr>
          <w:p>
            <w:pPr>
              <w:spacing w:after="0"/>
              <w:rPr>
                <w:sz w:val="17"/>
                <w:szCs w:val="17"/>
                <w:color w:val="auto"/>
              </w:rPr>
            </w:pPr>
          </w:p>
        </w:tc>
        <w:tc>
          <w:tcPr>
            <w:tcW w:w="260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200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Description of the Securities</w:t>
              </w:r>
            </w:hyperlink>
          </w:p>
        </w:tc>
        <w:tc>
          <w:tcPr>
            <w:tcW w:w="4080" w:type="dxa"/>
            <w:vAlign w:val="bottom"/>
            <w:gridSpan w:val="5"/>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98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Legal Matters</w:t>
              </w:r>
            </w:hyperlink>
          </w:p>
        </w:tc>
        <w:tc>
          <w:tcPr>
            <w:tcW w:w="5100" w:type="dxa"/>
            <w:vAlign w:val="bottom"/>
            <w:gridSpan w:val="7"/>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Experts</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260" w:type="dxa"/>
            <w:vAlign w:val="bottom"/>
            <w:gridSpan w:val="6"/>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Incorporation of Certain Information by Reference</w:t>
              </w:r>
            </w:hyperlink>
          </w:p>
        </w:tc>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196"/>
        </w:trPr>
        <w:tc>
          <w:tcPr>
            <w:tcW w:w="6080" w:type="dxa"/>
            <w:vAlign w:val="bottom"/>
            <w:gridSpan w:val="1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Where You Can Find More Information</w:t>
              </w:r>
            </w:hyperlink>
          </w:p>
        </w:tc>
        <w:tc>
          <w:tcPr>
            <w:tcW w:w="280" w:type="dxa"/>
            <w:vAlign w:val="bottom"/>
            <w:gridSpan w:val="2"/>
          </w:tcPr>
          <w:p>
            <w:pPr>
              <w:jc w:val="right"/>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351"/>
        <w:spacing w:after="0" w:line="378" w:lineRule="auto"/>
        <w:rPr>
          <w:sz w:val="20"/>
          <w:szCs w:val="20"/>
          <w:color w:val="auto"/>
        </w:rPr>
      </w:pPr>
      <w:r>
        <w:rPr>
          <w:rFonts w:ascii="Arial" w:cs="Arial" w:eastAsia="Arial" w:hAnsi="Arial"/>
          <w:sz w:val="15"/>
          <w:szCs w:val="15"/>
          <w:b w:val="1"/>
          <w:bCs w:val="1"/>
          <w:color w:val="auto"/>
        </w:rPr>
        <w:t>This prospectus does not constitute an offer to sell, or a solicitation of an offer to purchase, the securities offered by this prospectus in any jurisdiction to or from any person whom or from whom it is unlawful to make such offer or solicitation of an offer in such jurisdiction.</w:t>
      </w:r>
    </w:p>
    <w:p>
      <w:pPr>
        <w:spacing w:after="0" w:line="11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240" w:top="131" w:right="10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in one or more offerings from time to time.</w:t>
      </w:r>
    </w:p>
    <w:p>
      <w:pPr>
        <w:spacing w:after="0" w:line="116" w:lineRule="exact"/>
        <w:rPr>
          <w:sz w:val="20"/>
          <w:szCs w:val="20"/>
          <w:color w:val="auto"/>
        </w:rPr>
      </w:pPr>
    </w:p>
    <w:p>
      <w:pPr>
        <w:jc w:val="both"/>
        <w:ind w:firstLine="348"/>
        <w:spacing w:after="0" w:line="335" w:lineRule="auto"/>
        <w:rPr>
          <w:sz w:val="20"/>
          <w:szCs w:val="20"/>
          <w:color w:val="auto"/>
        </w:rPr>
      </w:pPr>
      <w:r>
        <w:rPr>
          <w:rFonts w:ascii="Arial" w:cs="Arial" w:eastAsia="Arial" w:hAnsi="Arial"/>
          <w:sz w:val="15"/>
          <w:szCs w:val="15"/>
          <w:color w:val="auto"/>
        </w:rPr>
        <w:t>This prospectus provides you with a general description of the securities we may offer. Each time we sell securities, we will provide a prospectus supplement that will contain specific information about the terms of that offering. The prospectus supplement may also add to, update or change information contained in the prospectus and, accordingly, to the extent inconsistent, information in this prospectus is superseded by the information in the prospectus supplement.</w:t>
      </w:r>
    </w:p>
    <w:p>
      <w:pPr>
        <w:spacing w:after="0" w:line="142" w:lineRule="exact"/>
        <w:rPr>
          <w:sz w:val="20"/>
          <w:szCs w:val="20"/>
          <w:color w:val="auto"/>
        </w:rPr>
      </w:pPr>
    </w:p>
    <w:p>
      <w:pPr>
        <w:ind w:right="340" w:firstLine="348"/>
        <w:spacing w:after="0" w:line="332" w:lineRule="auto"/>
        <w:rPr>
          <w:sz w:val="20"/>
          <w:szCs w:val="20"/>
          <w:color w:val="auto"/>
        </w:rPr>
      </w:pPr>
      <w:r>
        <w:rPr>
          <w:rFonts w:ascii="Arial" w:cs="Arial" w:eastAsia="Arial" w:hAnsi="Arial"/>
          <w:sz w:val="16"/>
          <w:szCs w:val="16"/>
          <w:color w:val="auto"/>
        </w:rPr>
        <w:t>The prospectus supplement to be attached to the front of this prospectus may describe, as applicable: the terms of the securities offered, the initial public offering price, the price paid for the securities, net proceeds and the other specific terms related to the offering of these securities.</w:t>
      </w:r>
    </w:p>
    <w:p>
      <w:pPr>
        <w:spacing w:after="0" w:line="139" w:lineRule="exact"/>
        <w:rPr>
          <w:sz w:val="20"/>
          <w:szCs w:val="20"/>
          <w:color w:val="auto"/>
        </w:rPr>
      </w:pPr>
    </w:p>
    <w:p>
      <w:pPr>
        <w:ind w:right="40" w:firstLine="345"/>
        <w:spacing w:after="0" w:line="255" w:lineRule="auto"/>
        <w:rPr>
          <w:sz w:val="20"/>
          <w:szCs w:val="20"/>
          <w:color w:val="auto"/>
        </w:rPr>
      </w:pPr>
      <w:r>
        <w:rPr>
          <w:rFonts w:ascii="Arial" w:cs="Arial" w:eastAsia="Arial" w:hAnsi="Arial"/>
          <w:sz w:val="18"/>
          <w:szCs w:val="18"/>
          <w:color w:val="auto"/>
        </w:rPr>
        <w:t>You should only rely on the information contained or incorporated by reference in this prospectus and any applicable prospectus supplement or free writing prospectus. We have not authorized any other person to provide you with different information. If anyone provides you with different or inconsistent information, you should not rely on it. You should not assume that the information in this prospectus or any applicable prospectus supplement or free writing prospectus is accurate as of any date other than the date on the cover of the applicable document. Our business, financial condition, results of operations and prospects may have changed since that date.</w:t>
      </w:r>
    </w:p>
    <w:p>
      <w:pPr>
        <w:spacing w:after="0" w:line="197"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References in this prospectus to "Micron Technology," the "Company," "we," "us" and "our" refer to Micron Technology, Inc. and its subsidiaries, unless otherwise specified.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Micron Technology</w:t>
      </w:r>
    </w:p>
    <w:p>
      <w:pPr>
        <w:spacing w:after="0" w:line="231" w:lineRule="exact"/>
        <w:rPr>
          <w:sz w:val="20"/>
          <w:szCs w:val="20"/>
          <w:color w:val="auto"/>
        </w:rPr>
      </w:pPr>
    </w:p>
    <w:p>
      <w:pPr>
        <w:ind w:right="60" w:firstLine="348"/>
        <w:spacing w:after="0" w:line="290" w:lineRule="auto"/>
        <w:rPr>
          <w:sz w:val="20"/>
          <w:szCs w:val="20"/>
          <w:color w:val="auto"/>
        </w:rPr>
      </w:pPr>
      <w:r>
        <w:rPr>
          <w:rFonts w:ascii="Arial" w:cs="Arial" w:eastAsia="Arial" w:hAnsi="Arial"/>
          <w:sz w:val="16"/>
          <w:szCs w:val="16"/>
          <w:color w:val="auto"/>
        </w:rPr>
        <w:t>We are a global manufacturer of semiconductor devices, principally semiconductor memory products (including DRAM and NAND Flash) and CMOS image sensors. We operate in two segments: Memory and Imaging. Our products are used in a broad range of electronic applications including personal computers, workstations, network servers, mobile phones and other consumer applications including Flash memory cards, USB storage devices, digital still cameras, MP3/4 players and in automotive applications. We market our products through our internal sales force, independent sales representatives and distributors primarily to original equipment manufacturers and retailers located around the world. Our success is largely dependent on the market acceptance of a diversified portfolio of semiconductor memory products, efficient utilization of our manufacturing infrastructure, successful ongoing development of advanced process technologies and generation of sufficient return on research and development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We were originally incorporated in Idaho in 1978. In 1984, we were reincorporated in Delaware. Our executive offices are located at 8000 South Federal Way, Boise, Idaho 83716-9632 and our telephone number is (208) 368-4000. Information about the Company is available on the internet at </w:t>
      </w:r>
      <w:r>
        <w:rPr>
          <w:rFonts w:ascii="Arial" w:cs="Arial" w:eastAsia="Arial" w:hAnsi="Arial"/>
          <w:sz w:val="18"/>
          <w:szCs w:val="18"/>
          <w:i w:val="1"/>
          <w:iCs w:val="1"/>
          <w:color w:val="auto"/>
        </w:rPr>
        <w:t>www.micron.com</w:t>
      </w:r>
      <w:r>
        <w:rPr>
          <w:rFonts w:ascii="Arial" w:cs="Arial" w:eastAsia="Arial" w:hAnsi="Arial"/>
          <w:sz w:val="18"/>
          <w:szCs w:val="18"/>
          <w:color w:val="auto"/>
        </w:rPr>
        <w:t>. The information contained or incorporated in our website is not part of this prospectus.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RATIO OF EARNINGS TO FIXED CHARGES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ratio of earnings to fixed charges for each of the periods indicated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Six Months</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w w:val="97"/>
              </w:rPr>
              <w:t>Fiscal Year Ended</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Ended</w:t>
            </w:r>
          </w:p>
        </w:tc>
      </w:tr>
      <w:tr>
        <w:trPr>
          <w:trHeight w:val="129"/>
        </w:trPr>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2,</w:t>
            </w:r>
          </w:p>
        </w:tc>
        <w:tc>
          <w:tcPr>
            <w:tcW w:w="96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4"/>
              </w:rPr>
              <w:t>September 1,</w:t>
            </w:r>
          </w:p>
        </w:tc>
        <w:tc>
          <w:tcPr>
            <w:tcW w:w="82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w w:val="83"/>
              </w:rPr>
              <w:t>August 31,</w:t>
            </w: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30,</w:t>
            </w:r>
          </w:p>
        </w:tc>
        <w:tc>
          <w:tcPr>
            <w:tcW w:w="16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August 28,</w:t>
            </w: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March 5,</w:t>
            </w:r>
          </w:p>
        </w:tc>
      </w:tr>
      <w:tr>
        <w:trPr>
          <w:trHeight w:val="161"/>
        </w:trPr>
        <w:tc>
          <w:tcPr>
            <w:tcW w:w="1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ind w:right="16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ind w:right="106"/>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r>
      <w:tr>
        <w:trPr>
          <w:trHeight w:val="210"/>
        </w:trPr>
        <w:tc>
          <w:tcPr>
            <w:tcW w:w="186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Ratio of earnings to fixed charges(1)</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6.3x</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4.5x</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10.4x</w:t>
            </w: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r>
      <w:tr>
        <w:trPr>
          <w:trHeight w:val="108"/>
        </w:trPr>
        <w:tc>
          <w:tcPr>
            <w:tcW w:w="186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line="255"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 the purpose of calculating such ratios, "earnings" consist of income from continuing operations before income taxes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$1,504 million for the six months ended March 5, 2009.</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This prospectus, any prospectus supplement and the documents we incorporate by reference in this prospectus contain forward-looking statements within the meaning of Section 27A of the Securities Act of 1933 and Section 21E of the Securities Exchange Act of 1934. These statements relate to our expectations for future events and time periods. All statements other than statements of historical fact are statements that could be deemed to be forward-looking statements, including, but not limited to, statements regarding:</w:t>
      </w:r>
    </w:p>
    <w:p>
      <w:pPr>
        <w:spacing w:after="0" w:line="211"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DRAM development costs relative to Nanya;</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Inotera's transition to our stack process technology and manufacturing plans for CMOS image sensors;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 levels for the third quarter of 2009 and future increases in NAND production;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production slowdowns on costs for the third quarter of 2009 and future charges for inventory write-downs;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research and development expenses for the third quarter of 2009;</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remaining costs of restructure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capital spending in 2009;</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distributions from IM Flash to Intel and capital contributions to TECH;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from the adoption of new accounting standards.</w:t>
      </w:r>
    </w:p>
    <w:p>
      <w:pPr>
        <w:spacing w:after="0" w:line="225" w:lineRule="exact"/>
        <w:rPr>
          <w:sz w:val="20"/>
          <w:szCs w:val="20"/>
          <w:color w:val="auto"/>
        </w:rPr>
      </w:pPr>
    </w:p>
    <w:p>
      <w:pPr>
        <w:ind w:right="180" w:firstLine="351"/>
        <w:spacing w:after="0" w:line="294" w:lineRule="auto"/>
        <w:rPr>
          <w:sz w:val="20"/>
          <w:szCs w:val="20"/>
          <w:color w:val="auto"/>
        </w:rPr>
      </w:pPr>
      <w:r>
        <w:rPr>
          <w:rFonts w:ascii="Arial" w:cs="Arial" w:eastAsia="Arial" w:hAnsi="Arial"/>
          <w:sz w:val="16"/>
          <w:szCs w:val="16"/>
          <w:color w:val="auto"/>
        </w:rPr>
        <w:t>Generally, the words "anticipate," "believe," "plan," "expect," "future," "intend," "may," "will," "should," "estimate," "predict," "potential," "continue" and similar expressions identify forward-looking statements. Our forward-looking statements are based on current expectations, forecasts and assumptions and are subject to risks, uncertainties and changes in condition, significance, value and effect. As a result of the factors described in this prospectus, any applicable prospectus supplement or free writing prospectus and the documents we incorporate by reference in this prospectus, we undertake no obligation to publicly disclose any revisions to these forward-looking statements to reflect events or circumstances occurring subsequent to the filing of such document.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Unless otherwise indicated in the applicable prospectus supplement, we anticipate that the net proceeds from the sale of the securities that we may offer under this prospectus and any applicable prospectus supplement or free writing prospectus will be used for general corporate purposes. We will have significant discretion in the use of any net proceeds. Investors will be relying on the judgment of our management regarding the application of the proceeds of any sale of the securities. We may invest the net proceeds temporarily until we use them for their stated purpose. If we decide to use the net proceeds from a particular offering of securities for a specific purpose, we will describe that purpose in the applicable prospectus supplement and/or free writing prospectus.</w:t>
      </w:r>
    </w:p>
    <w:p>
      <w:pPr>
        <w:spacing w:after="0" w:line="3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DESCRIPTION OF THE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239"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warrants exercisable for debt securities or common stock;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debt securities, which may be senior or subordinated, and which may be convertible into our common stock or be non-convertible.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the common stock, warrants and debt securities that may be offered under this prospectus. The terms of the offering of securities, the initial offering price and the net proceeds to us will be contained in the prospectus supplement, and other offering material, relating to such offer.</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In connection with offerings of particular securities in the future, and if stated in the appropriate prospectus supplement, the validity of the securities may be passed upon for us by our counsel, Wilson Sonsini Goodrich &amp; Rosati, Professional Corporation, Palo Alto, California.</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August 28, 2008 have been so incorporated in reliance on the report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31" w:lineRule="exact"/>
        <w:rPr>
          <w:sz w:val="20"/>
          <w:szCs w:val="20"/>
          <w:color w:val="auto"/>
        </w:rPr>
      </w:pPr>
    </w:p>
    <w:p>
      <w:pPr>
        <w:ind w:right="80" w:firstLine="348"/>
        <w:spacing w:after="0" w:line="290" w:lineRule="auto"/>
        <w:rPr>
          <w:sz w:val="20"/>
          <w:szCs w:val="20"/>
          <w:color w:val="auto"/>
        </w:rPr>
      </w:pPr>
      <w:r>
        <w:rPr>
          <w:rFonts w:ascii="Arial" w:cs="Arial" w:eastAsia="Arial" w:hAnsi="Arial"/>
          <w:sz w:val="16"/>
          <w:szCs w:val="16"/>
          <w:color w:val="auto"/>
        </w:rPr>
        <w:t>The Securities and Exchange Commission allows us to "incorporate by reference" the information we file with them, which means that we can disclose important information to you by referring you to those documents. The information incorporated by reference is considered to be part of this prospectus, and information that we file later with the Securities and Exchange Commission will automatically update and supersede information included or previously incorporated by reference in this prospectus from the date we file the document containing such information. Except to the extent furnished and not filed with the Securities and Exchange Commission pursuant to Item 2.02 or Item 7.01 of Form 8-K or as otherwise permitted by the Securities and Exchange Commission rules, we incorporate by reference the documents listed below and any future filings we will make with the Securities and Exchange Commission under Sections 13(a), 13(c), 14 or 15(d) of the Securities Exchange Act of 1934, as amended, from the date of this prospectus until the completion of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offering in the relevant prospectus supplement to which this prospectus relates or this offering is terminated.</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documents we incorporate by reference into this prospectus are:</w:t>
      </w:r>
    </w:p>
    <w:p>
      <w:pPr>
        <w:spacing w:after="0" w:line="239" w:lineRule="exact"/>
        <w:rPr>
          <w:sz w:val="20"/>
          <w:szCs w:val="20"/>
          <w:color w:val="auto"/>
        </w:rPr>
      </w:pPr>
    </w:p>
    <w:p>
      <w:pPr>
        <w:ind w:left="1080" w:right="48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August 28, 2008, including portions of our Proxy Statement for our 2008 Annual Meeting of Stockholders held on December 11, 2008 to the extent specifically incorporated by reference into such Form 10-K;</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Reports on Form 10-Q for the fiscal quarters ended December 4, 2008 and March 5, 2009;</w:t>
      </w:r>
    </w:p>
    <w:p>
      <w:pPr>
        <w:spacing w:after="0" w:line="238"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Securities and Exchange Commission on October 14, 2008, October 15, 2008, November 26, 2008, December 3, 2008, December 23, 2008, February 25, 2009 and February 27, 2009, as well as the portion of our Current Report on Form 8-K deemed filed and not furnished on October 1, 2008 and April 2, 2009; and</w:t>
      </w:r>
    </w:p>
    <w:p>
      <w:pPr>
        <w:spacing w:after="0" w:line="207"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$0.10 par value per share, contained in the Registration Statement on Form 8-A (Registration No. 1-10658) declared effective by the Securities and Exchange Commission on November 28, 1990, including any amendments or reports filed for the purpose of updating that description.</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Any statements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or deemed to be incorporated by reference into this prospectus modifies or supersedes the statement. Any statement so modified or superseded will not be deemed, except as so modified or superseded, to constitute a part of this prospectus.</w:t>
      </w:r>
    </w:p>
    <w:p>
      <w:pPr>
        <w:spacing w:after="0" w:line="167" w:lineRule="exact"/>
        <w:rPr>
          <w:sz w:val="20"/>
          <w:szCs w:val="20"/>
          <w:color w:val="auto"/>
        </w:rPr>
      </w:pPr>
    </w:p>
    <w:p>
      <w:pPr>
        <w:ind w:right="700" w:firstLine="345"/>
        <w:spacing w:after="0" w:line="268" w:lineRule="auto"/>
        <w:rPr>
          <w:sz w:val="20"/>
          <w:szCs w:val="20"/>
          <w:color w:val="auto"/>
        </w:rPr>
      </w:pPr>
      <w:r>
        <w:rPr>
          <w:rFonts w:ascii="Arial" w:cs="Arial" w:eastAsia="Arial" w:hAnsi="Arial"/>
          <w:sz w:val="18"/>
          <w:szCs w:val="18"/>
          <w:color w:val="auto"/>
        </w:rPr>
        <w:t>You may request a copy of these filings (excluding exhibits, unless specifically incorporated by reference), at no cost, by writing or calling us at the following address or telephone number:</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Micron Technology, Inc.</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Mail Stop 407</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P.O. Box 6</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Boise, ID 83707-0006</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are subject to the informational requirements of the Securities Exchange Act of 1934. We therefore file periodic reports, current reports, proxy statements and other information with the Securities and Exchange Commission. The public may read and copy any materials filed with the Securities and Exchange Commission at the Securities and Exchange Commission's Public Reference Room at 100 F Street, N.E., Washington, D.C. 20549. Information on the operations of the Public Reference Room may be obtained by calling the Securities and Exchange Commission at 1-800-SEC-0330. In addition, the Securities and Exchange Commission maintains an internet site (</w:t>
      </w:r>
      <w:r>
        <w:rPr>
          <w:rFonts w:ascii="Arial" w:cs="Arial" w:eastAsia="Arial" w:hAnsi="Arial"/>
          <w:sz w:val="18"/>
          <w:szCs w:val="18"/>
          <w:i w:val="1"/>
          <w:iCs w:val="1"/>
          <w:color w:val="auto"/>
        </w:rPr>
        <w:t>http://www.sec.gov</w:t>
      </w:r>
      <w:r>
        <w:rPr>
          <w:rFonts w:ascii="Arial" w:cs="Arial" w:eastAsia="Arial" w:hAnsi="Arial"/>
          <w:sz w:val="18"/>
          <w:szCs w:val="18"/>
          <w:color w:val="auto"/>
        </w:rPr>
        <w:t>) that contains reports, proxy and information statements and other information regarding issuers that file electronically.</w:t>
      </w:r>
    </w:p>
    <w:p>
      <w:pPr>
        <w:spacing w:after="0" w:line="19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 xml:space="preserve">Our Internet address is </w:t>
      </w:r>
      <w:r>
        <w:rPr>
          <w:rFonts w:ascii="Arial" w:cs="Arial" w:eastAsia="Arial" w:hAnsi="Arial"/>
          <w:sz w:val="18"/>
          <w:szCs w:val="18"/>
          <w:i w:val="1"/>
          <w:iCs w:val="1"/>
          <w:color w:val="auto"/>
        </w:rPr>
        <w:t>www.Micron.com</w:t>
      </w:r>
      <w:r>
        <w:rPr>
          <w:rFonts w:ascii="Arial" w:cs="Arial" w:eastAsia="Arial" w:hAnsi="Arial"/>
          <w:sz w:val="18"/>
          <w:szCs w:val="18"/>
          <w:color w:val="auto"/>
        </w:rPr>
        <w:t>. We make available, free of charge, through our Internet website copies of our recent filings with the Securities and Exchange Commission pursuant to Section 13(a) or 15(d) of the Securities Exchange Act of 1934, as soon as reasonably practicable after filing such material electronically or otherwise furnishing it to the Securities and Exchange Commission. Information contained on our website is not incorporated by reference to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common stock is quoted on the New York Stock Exchange under the symbol "MU" and you may inspect reports and other information concerning us at the offices of the New York Stock Exchange, 11 Wall Street, New York, New York 10005.</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have filed a registration statement on Form S-3 regarding this offering with the Securities and Exchange Commission under the Securities Act of 1933. This prospectus, which constitutes a part of the registration statement, does not contain all the information contained in the registration statement, certain items of which are contained in exhibits to the registration statement as permitted by the rules and regulations of the Securities and Exchange Commission. You should refer to the registration statement and its exhibits to read that information. Statements made in this prospectus as to the content of any contract, agreement or other document are not necessarily complete and you should refer to the contracts, agreements and other documents attached exhibits to the registration statement for a more complete description of the agreements, contracts and other documents.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MICRON TECHNOLOGY, INC.</w:t>
      </w:r>
    </w:p>
    <w:p>
      <w:pPr>
        <w:spacing w:after="0" w:line="24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COMMON STOCK</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144145</wp:posOffset>
            </wp:positionV>
            <wp:extent cx="18954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PART II. INFORMATION NOT REQUIRED IN THE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following table sets forth the costs and expenses payable by the registrant in connection with the offerings described in this registration statement. In addition to the costs and expenses set forth below, the registrant will pay any selling commissions and brokerage fees and any applicable taxes, fees and disbursements with respect to securities registered hereby sold by the registrant. Except as to the amount set forth below, the registrant is deferring payment of the registration fee in reliance on Rule 456(b) and Rule 457(r) under the Securities Act of 1933. All of the amounts shown are estimates.</w:t>
      </w:r>
    </w:p>
    <w:p>
      <w:pPr>
        <w:sectPr>
          <w:pgSz w:w="11900" w:h="16838" w:orient="portrait"/>
          <w:cols w:equalWidth="0" w:num="1">
            <w:col w:w="11400"/>
          </w:cols>
          <w:pgMar w:left="240" w:top="131" w:right="259" w:bottom="1440" w:gutter="0" w:footer="0" w:header="0"/>
        </w:sectPr>
      </w:pPr>
    </w:p>
    <w:p>
      <w:pPr>
        <w:spacing w:after="0" w:line="167" w:lineRule="exact"/>
        <w:rPr>
          <w:sz w:val="20"/>
          <w:szCs w:val="20"/>
          <w:color w:val="auto"/>
        </w:rPr>
      </w:pPr>
    </w:p>
    <w:p>
      <w:pPr>
        <w:ind w:left="2600"/>
        <w:spacing w:after="0"/>
        <w:rPr>
          <w:sz w:val="20"/>
          <w:szCs w:val="20"/>
          <w:color w:val="auto"/>
        </w:rPr>
      </w:pPr>
      <w:r>
        <w:rPr>
          <w:rFonts w:ascii="Arial" w:cs="Arial" w:eastAsia="Arial" w:hAnsi="Arial"/>
          <w:sz w:val="15"/>
          <w:szCs w:val="15"/>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-103505</wp:posOffset>
            </wp:positionV>
            <wp:extent cx="3961765"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961765" cy="137160"/>
                    </a:xfrm>
                    <a:prstGeom prst="rect">
                      <a:avLst/>
                    </a:prstGeom>
                    <a:noFill/>
                  </pic:spPr>
                </pic:pic>
              </a:graphicData>
            </a:graphic>
          </wp:anchor>
        </w:drawing>
      </w:r>
    </w:p>
    <w:p>
      <w:pPr>
        <w:spacing w:after="0" w:line="30"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Trustee's and transfer agent's fees and expenses</w:t>
      </w:r>
    </w:p>
    <w:p>
      <w:pPr>
        <w:spacing w:after="0" w:line="32" w:lineRule="exact"/>
        <w:rPr>
          <w:sz w:val="20"/>
          <w:szCs w:val="20"/>
          <w:color w:val="auto"/>
        </w:rPr>
      </w:pPr>
    </w:p>
    <w:p>
      <w:pPr>
        <w:ind w:left="2600"/>
        <w:spacing w:after="0"/>
        <w:rPr>
          <w:sz w:val="20"/>
          <w:szCs w:val="20"/>
          <w:color w:val="auto"/>
        </w:rPr>
      </w:pPr>
      <w:r>
        <w:rPr>
          <w:rFonts w:ascii="Arial" w:cs="Arial" w:eastAsia="Arial" w:hAnsi="Arial"/>
          <w:sz w:val="16"/>
          <w:szCs w:val="16"/>
          <w:color w:val="auto"/>
        </w:rPr>
        <w:t>Legal fees and expenses (including Blue Sky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-114935</wp:posOffset>
            </wp:positionV>
            <wp:extent cx="3961765"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961765" cy="137160"/>
                    </a:xfrm>
                    <a:prstGeom prst="rect">
                      <a:avLst/>
                    </a:prstGeom>
                    <a:noFill/>
                  </pic:spPr>
                </pic:pic>
              </a:graphicData>
            </a:graphic>
          </wp:anchor>
        </w:drawing>
      </w:r>
    </w:p>
    <w:p>
      <w:pPr>
        <w:spacing w:after="0" w:line="1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-129540</wp:posOffset>
            </wp:positionV>
            <wp:extent cx="396176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961765" cy="13716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color w:val="auto"/>
        </w:rPr>
        <w:t>New York Stock Exchange listing fees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Rating agency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-129540</wp:posOffset>
            </wp:positionV>
            <wp:extent cx="3961765"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961765" cy="137160"/>
                    </a:xfrm>
                    <a:prstGeom prst="rect">
                      <a:avLst/>
                    </a:prstGeom>
                    <a:noFill/>
                  </pic:spPr>
                </pic:pic>
              </a:graphicData>
            </a:graphic>
          </wp:anchor>
        </w:drawing>
      </w:r>
    </w:p>
    <w:p>
      <w:pPr>
        <w:ind w:left="2600"/>
        <w:spacing w:after="0"/>
        <w:rPr>
          <w:sz w:val="20"/>
          <w:szCs w:val="20"/>
          <w:color w:val="auto"/>
        </w:rPr>
      </w:pPr>
      <w:r>
        <w:rPr>
          <w:rFonts w:ascii="Arial" w:cs="Arial" w:eastAsia="Arial" w:hAnsi="Arial"/>
          <w:sz w:val="18"/>
          <w:szCs w:val="18"/>
          <w:color w:val="auto"/>
        </w:rPr>
        <w:t>Miscellaneous expenses</w:t>
      </w:r>
    </w:p>
    <w:p>
      <w:pPr>
        <w:spacing w:after="0" w:line="43" w:lineRule="exact"/>
        <w:rPr>
          <w:sz w:val="20"/>
          <w:szCs w:val="20"/>
          <w:color w:val="auto"/>
        </w:rPr>
      </w:pPr>
    </w:p>
    <w:p>
      <w:pPr>
        <w:ind w:left="27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-125730</wp:posOffset>
            </wp:positionV>
            <wp:extent cx="3961765"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961765"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19037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220" w:hanging="170"/>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p>
    <w:p>
      <w:pPr>
        <w:spacing w:after="0" w:line="15"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24130</wp:posOffset>
            </wp:positionV>
            <wp:extent cx="197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27940</wp:posOffset>
            </wp:positionV>
            <wp:extent cx="1974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48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45085</wp:posOffset>
            </wp:positionV>
            <wp:extent cx="1974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800" w:space="720"/>
            <w:col w:w="2880"/>
          </w:cols>
          <w:pgMar w:left="240" w:top="131" w:right="259" w:bottom="1440" w:gutter="0" w:footer="0" w:header="0"/>
          <w:type w:val="continuous"/>
        </w:sectPr>
      </w:pPr>
    </w:p>
    <w:p>
      <w:pPr>
        <w:spacing w:after="0" w:line="228"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 is deferring payment of the registration fee in reliance on Rule 456(b) and Rule 457(r) under the Securities Act,.</w:t>
      </w:r>
    </w:p>
    <w:p>
      <w:pPr>
        <w:spacing w:after="0" w:line="252"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These fees and expenses depend on the securities offered and the number of issuances, and accordingly cannot be estimated at this time.</w:t>
      </w:r>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60" w:firstLine="351"/>
        <w:spacing w:after="0" w:line="254" w:lineRule="auto"/>
        <w:rPr>
          <w:sz w:val="20"/>
          <w:szCs w:val="20"/>
          <w:color w:val="auto"/>
        </w:rPr>
      </w:pPr>
      <w:r>
        <w:rPr>
          <w:rFonts w:ascii="Arial" w:cs="Arial" w:eastAsia="Arial" w:hAnsi="Arial"/>
          <w:sz w:val="18"/>
          <w:szCs w:val="18"/>
          <w:color w:val="auto"/>
        </w:rPr>
        <w:t>Section 145 of the Delaware General Corporation Law ("Delaware Law") authorizes a court to award or a corporation's Board of Directors to grant indemnification to directors and officers in terms sufficiently broad to permit such indemnification under certain circumstances for liabilities (including reimbursement for expenses incurred) arising under the Securities Act of 1933, as amended. Our Bylaws provide for mandatory indemnification of its directors, officers, employees and other agents to the maximum extent permitted by Delaware law. We have entered into indemnification agreements with our directors and certain of our officers. The indemnification agreements provide directors and elected officers with further indemnification to the maximum extent permitted by Delaware law.</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4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ectPr>
          <w:pgSz w:w="11900" w:h="16838" w:orient="portrait"/>
          <w:cols w:equalWidth="0" w:num="1">
            <w:col w:w="11340"/>
          </w:cols>
          <w:pgMar w:left="240" w:top="131" w:right="319" w:bottom="1440" w:gutter="0" w:footer="0" w:header="0"/>
        </w:sectPr>
      </w:pPr>
    </w:p>
    <w:p>
      <w:pPr>
        <w:spacing w:after="0" w:line="227"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2"/>
          <w:szCs w:val="12"/>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jc w:val="center"/>
        <w:ind w:right="4660"/>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14605</wp:posOffset>
            </wp:positionV>
            <wp:extent cx="68262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26250"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680" w:space="720"/>
            <w:col w:w="5940"/>
          </w:cols>
          <w:pgMar w:left="240" w:top="131" w:right="319" w:bottom="1440" w:gutter="0" w:footer="0" w:header="0"/>
          <w:type w:val="continuous"/>
        </w:sectPr>
      </w:pPr>
    </w:p>
    <w:p>
      <w:pPr>
        <w:ind w:left="280"/>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Form of Underwriting Agreement.*</w:t>
      </w:r>
    </w:p>
    <w:p>
      <w:pPr>
        <w:spacing w:after="0" w:line="8"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Form of Subscription Agreement.*</w:t>
      </w:r>
    </w:p>
    <w:p>
      <w:pPr>
        <w:spacing w:after="0" w:line="9" w:lineRule="exact"/>
        <w:rPr>
          <w:sz w:val="20"/>
          <w:szCs w:val="20"/>
          <w:color w:val="auto"/>
        </w:rPr>
      </w:pPr>
    </w:p>
    <w:p>
      <w:pPr>
        <w:ind w:left="660" w:hanging="381"/>
        <w:spacing w:after="0" w:line="250" w:lineRule="auto"/>
        <w:tabs>
          <w:tab w:leader="none" w:pos="640" w:val="left"/>
        </w:tabs>
        <w:rPr>
          <w:sz w:val="20"/>
          <w:szCs w:val="20"/>
          <w:color w:val="auto"/>
        </w:rPr>
      </w:pPr>
      <w:r>
        <w:rPr>
          <w:rFonts w:ascii="Arial" w:cs="Arial" w:eastAsia="Arial" w:hAnsi="Arial"/>
          <w:sz w:val="18"/>
          <w:szCs w:val="18"/>
          <w:color w:val="auto"/>
        </w:rPr>
        <w:t>3.1</w:t>
        <w:tab/>
        <w:t>Restated Certificate of Incorporation of Micron Technology, Inc. (incorporated herein by reference to Exhibit 3.1 to the Company's Quarterly Report on Form 10-Q for the fiscal quarter ended May 31, 2001).</w:t>
      </w:r>
    </w:p>
    <w:p>
      <w:pPr>
        <w:spacing w:after="0" w:line="1" w:lineRule="exact"/>
        <w:rPr>
          <w:sz w:val="20"/>
          <w:szCs w:val="20"/>
          <w:color w:val="auto"/>
        </w:rPr>
      </w:pPr>
    </w:p>
    <w:p>
      <w:pPr>
        <w:ind w:left="660" w:right="100" w:hanging="381"/>
        <w:spacing w:after="0" w:line="250" w:lineRule="auto"/>
        <w:tabs>
          <w:tab w:leader="none" w:pos="640" w:val="left"/>
        </w:tabs>
        <w:rPr>
          <w:sz w:val="20"/>
          <w:szCs w:val="20"/>
          <w:color w:val="auto"/>
        </w:rPr>
      </w:pPr>
      <w:r>
        <w:rPr>
          <w:rFonts w:ascii="Arial" w:cs="Arial" w:eastAsia="Arial" w:hAnsi="Arial"/>
          <w:sz w:val="18"/>
          <w:szCs w:val="18"/>
          <w:color w:val="auto"/>
        </w:rPr>
        <w:t>3.2</w:t>
        <w:tab/>
        <w:t>Bylaws of Micron Technology, Inc., as amended (incorporated herein by reference to Exhibit 99.2 to the Company's Current Report on Form 8-K filed October 1, 2008).</w:t>
      </w:r>
    </w:p>
    <w:p>
      <w:pPr>
        <w:spacing w:after="0" w:line="1"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Form of Senior Indenture.</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Form of Subordinated Indenture.</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Form of Convertible Senior Note Indenture</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Form of Senior Debt Security (included in Exhibit 4.1).</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Form of Subordinated Debt Security (included in Exhibit 4.2).</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Form of Convertible Senior Debt Security (included in Exhibit 4.3)</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Form of Warrant Agreement.*</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Form of Warrant Certificate.*</w:t>
      </w:r>
    </w:p>
    <w:p>
      <w:pPr>
        <w:spacing w:after="0" w:line="9" w:lineRule="exact"/>
        <w:rPr>
          <w:sz w:val="20"/>
          <w:szCs w:val="20"/>
          <w:color w:val="auto"/>
        </w:rPr>
      </w:pPr>
    </w:p>
    <w:p>
      <w:pPr>
        <w:ind w:left="28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Opinion of Wilson Sonsini Goodrich &amp; Rosati, Professional Corporation.</w:t>
      </w:r>
    </w:p>
    <w:p>
      <w:pPr>
        <w:spacing w:after="0" w:line="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Computation of ratio of earnings to fixed charges.</w:t>
      </w:r>
    </w:p>
    <w:p>
      <w:pPr>
        <w:spacing w:after="0" w:line="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Wilson Sonsini Goodrich &amp; Rosati, Professional Corporation (included in the opinion filed as Exhibit 5.1 to this registration statement).</w:t>
      </w:r>
    </w:p>
    <w:p>
      <w:pPr>
        <w:spacing w:after="0" w:line="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(see page II-5 of this Form S-3).</w:t>
      </w:r>
    </w:p>
    <w:p>
      <w:pPr>
        <w:spacing w:after="0" w:line="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25.1</w:t>
      </w:r>
      <w:r>
        <w:rPr>
          <w:sz w:val="20"/>
          <w:szCs w:val="20"/>
          <w:color w:val="auto"/>
        </w:rPr>
        <w:tab/>
      </w:r>
      <w:r>
        <w:rPr>
          <w:rFonts w:ascii="Arial" w:cs="Arial" w:eastAsia="Arial" w:hAnsi="Arial"/>
          <w:sz w:val="16"/>
          <w:szCs w:val="16"/>
          <w:color w:val="auto"/>
        </w:rPr>
        <w:t>Form T-1 Statement of Eligibility of Trustee for Senior Indenture under the Trust Indenture Act of 1939.</w:t>
      </w:r>
    </w:p>
    <w:p>
      <w:pPr>
        <w:spacing w:after="0" w:line="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Form T-1 Statement of Eligibility of Trustee for Subordinated Indenture under the Trust Indenture Act of 1939.</w:t>
      </w:r>
    </w:p>
    <w:p>
      <w:pPr>
        <w:spacing w:after="0" w:line="9" w:lineRule="exact"/>
        <w:rPr>
          <w:sz w:val="20"/>
          <w:szCs w:val="20"/>
          <w:color w:val="auto"/>
        </w:rPr>
      </w:pPr>
    </w:p>
    <w:p>
      <w:pPr>
        <w:ind w:left="200"/>
        <w:spacing w:after="0"/>
        <w:tabs>
          <w:tab w:leader="none" w:pos="640" w:val="left"/>
        </w:tabs>
        <w:rPr>
          <w:sz w:val="20"/>
          <w:szCs w:val="20"/>
          <w:color w:val="auto"/>
        </w:rPr>
      </w:pPr>
      <w:r>
        <w:rPr>
          <w:rFonts w:ascii="Arial" w:cs="Arial" w:eastAsia="Arial" w:hAnsi="Arial"/>
          <w:sz w:val="18"/>
          <w:szCs w:val="18"/>
          <w:color w:val="auto"/>
        </w:rPr>
        <w:t>25.3</w:t>
      </w:r>
      <w:r>
        <w:rPr>
          <w:sz w:val="20"/>
          <w:szCs w:val="20"/>
          <w:color w:val="auto"/>
        </w:rPr>
        <w:tab/>
      </w:r>
      <w:r>
        <w:rPr>
          <w:rFonts w:ascii="Arial" w:cs="Arial" w:eastAsia="Arial" w:hAnsi="Arial"/>
          <w:sz w:val="16"/>
          <w:szCs w:val="16"/>
          <w:color w:val="auto"/>
        </w:rPr>
        <w:t>Form T-1 Statement of Eligibility of Trustee for Convertible Senior Note Indenture under the Trust Indenture Act of 1939.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1903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334" w:lineRule="exact"/>
        <w:rPr>
          <w:sz w:val="20"/>
          <w:szCs w:val="20"/>
          <w:color w:val="auto"/>
        </w:rPr>
      </w:pPr>
    </w:p>
    <w:p>
      <w:pPr>
        <w:ind w:left="540" w:hanging="53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on any other proper form and incorporated by reference, if applicable</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680" w:hanging="321"/>
        <w:spacing w:after="0"/>
        <w:tabs>
          <w:tab w:leader="none" w:pos="6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080" w:right="180" w:firstLine="360"/>
        <w:spacing w:after="0" w:line="254" w:lineRule="auto"/>
        <w:tabs>
          <w:tab w:leader="none" w:pos="1774" w:val="left"/>
        </w:tabs>
        <w:numPr>
          <w:ilvl w:val="2"/>
          <w:numId w:val="10"/>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080" w:right="60"/>
        <w:spacing w:after="0" w:line="268" w:lineRule="auto"/>
        <w:rPr>
          <w:sz w:val="20"/>
          <w:szCs w:val="20"/>
          <w:color w:val="auto"/>
        </w:rPr>
      </w:pPr>
      <w:r>
        <w:rPr>
          <w:rFonts w:ascii="Arial" w:cs="Arial" w:eastAsia="Arial" w:hAnsi="Arial"/>
          <w:sz w:val="18"/>
          <w:szCs w:val="18"/>
          <w:color w:val="auto"/>
        </w:rPr>
        <w:t>represent no more than a 20 percent change in the maximum aggregate offering price set forth in the "Calculation of Registration Fee" table in the effective registration statement; and</w:t>
      </w:r>
    </w:p>
    <w:p>
      <w:pPr>
        <w:spacing w:after="0" w:line="186" w:lineRule="exact"/>
        <w:rPr>
          <w:sz w:val="20"/>
          <w:szCs w:val="20"/>
          <w:color w:val="auto"/>
        </w:rPr>
      </w:pPr>
    </w:p>
    <w:p>
      <w:pPr>
        <w:ind w:left="1080" w:right="120" w:firstLine="360"/>
        <w:spacing w:after="0" w:line="268" w:lineRule="auto"/>
        <w:tabs>
          <w:tab w:leader="none" w:pos="177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paragraphs (i), (ii) and (iii) of this section do not apply if the registration statement is on Form S-3 or Form F-3 and the information</w:t>
      </w:r>
      <w:r>
        <w:rPr>
          <w:rFonts w:ascii="Arial" w:cs="Arial" w:eastAsia="Arial" w:hAnsi="Arial"/>
          <w:sz w:val="16"/>
          <w:szCs w:val="16"/>
          <w:i w:val="1"/>
          <w:iCs w:val="1"/>
          <w:color w:val="auto"/>
        </w:rPr>
        <w:t xml:space="preserve"> </w:t>
      </w:r>
      <w:r>
        <w:rPr>
          <w:rFonts w:ascii="Arial" w:cs="Arial" w:eastAsia="Arial" w:hAnsi="Arial"/>
          <w:sz w:val="16"/>
          <w:szCs w:val="16"/>
          <w:color w:val="auto"/>
        </w:rPr>
        <w:t>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67" w:lineRule="exact"/>
        <w:rPr>
          <w:sz w:val="20"/>
          <w:szCs w:val="20"/>
          <w:color w:val="auto"/>
        </w:rPr>
      </w:pPr>
    </w:p>
    <w:p>
      <w:pPr>
        <w:ind w:left="540" w:right="80" w:firstLine="359"/>
        <w:spacing w:after="0" w:line="259" w:lineRule="auto"/>
        <w:tabs>
          <w:tab w:leader="none" w:pos="12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1080" w:right="140" w:firstLine="360"/>
        <w:spacing w:after="0" w:line="268" w:lineRule="auto"/>
        <w:tabs>
          <w:tab w:leader="none" w:pos="1772" w:val="left"/>
        </w:tabs>
        <w:numPr>
          <w:ilvl w:val="1"/>
          <w:numId w:val="12"/>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Rule 430B relating to an offering made pursuant to Rule 415(a)(1)(i), (vii) or (x) for the purpose of providing the information required by</w:t>
      </w:r>
    </w:p>
    <w:p>
      <w:pPr>
        <w:spacing w:after="0" w:line="32" w:lineRule="exact"/>
        <w:rPr>
          <w:sz w:val="20"/>
          <w:szCs w:val="20"/>
          <w:color w:val="auto"/>
        </w:rPr>
      </w:pPr>
    </w:p>
    <w:p>
      <w:pPr>
        <w:ind w:left="1080"/>
        <w:spacing w:after="0" w:line="287" w:lineRule="auto"/>
        <w:rPr>
          <w:sz w:val="20"/>
          <w:szCs w:val="20"/>
          <w:color w:val="auto"/>
        </w:rPr>
      </w:pPr>
      <w:r>
        <w:rPr>
          <w:rFonts w:ascii="Arial" w:cs="Arial" w:eastAsia="Arial" w:hAnsi="Arial"/>
          <w:sz w:val="16"/>
          <w:szCs w:val="16"/>
          <w:color w:val="auto"/>
        </w:rPr>
        <w:t xml:space="preserve">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the effective date.</w:t>
      </w:r>
    </w:p>
    <w:p>
      <w:pPr>
        <w:spacing w:after="0" w:line="174" w:lineRule="exact"/>
        <w:rPr>
          <w:sz w:val="20"/>
          <w:szCs w:val="20"/>
          <w:color w:val="auto"/>
        </w:rPr>
      </w:pPr>
    </w:p>
    <w:p>
      <w:pPr>
        <w:ind w:left="540" w:right="140" w:firstLine="359"/>
        <w:spacing w:after="0" w:line="256" w:lineRule="auto"/>
        <w:tabs>
          <w:tab w:leader="none" w:pos="12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6"/>
          <w:szCs w:val="16"/>
          <w:color w:val="auto"/>
        </w:rPr>
        <w:t>communications, the undersigned registrant will be a seller to the purchaser and will be considered to offer and sell such securities to such purchaser:</w:t>
      </w:r>
    </w:p>
    <w:p>
      <w:pPr>
        <w:spacing w:after="0" w:line="248" w:lineRule="exact"/>
        <w:rPr>
          <w:sz w:val="20"/>
          <w:szCs w:val="20"/>
          <w:color w:val="auto"/>
        </w:rPr>
      </w:pPr>
    </w:p>
    <w:p>
      <w:pPr>
        <w:ind w:left="1780" w:hanging="340"/>
        <w:spacing w:after="0"/>
        <w:tabs>
          <w:tab w:leader="none" w:pos="17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00" w:firstLine="360"/>
        <w:spacing w:after="0" w:line="268" w:lineRule="auto"/>
        <w:tabs>
          <w:tab w:leader="none" w:pos="176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be the undersigned registrant;</w:t>
      </w:r>
    </w:p>
    <w:p>
      <w:pPr>
        <w:spacing w:after="0" w:line="185" w:lineRule="exact"/>
        <w:rPr>
          <w:rFonts w:ascii="Arial" w:cs="Arial" w:eastAsia="Arial" w:hAnsi="Arial"/>
          <w:sz w:val="18"/>
          <w:szCs w:val="18"/>
          <w:color w:val="auto"/>
        </w:rPr>
      </w:pPr>
    </w:p>
    <w:p>
      <w:pPr>
        <w:ind w:left="1080" w:firstLine="360"/>
        <w:spacing w:after="0" w:line="268" w:lineRule="auto"/>
        <w:tabs>
          <w:tab w:leader="none" w:pos="1779"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80" w:firstLine="359"/>
        <w:spacing w:after="0" w:line="255" w:lineRule="auto"/>
        <w:tabs>
          <w:tab w:leader="none" w:pos="684"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96" w:lineRule="exact"/>
        <w:rPr>
          <w:rFonts w:ascii="Arial" w:cs="Arial" w:eastAsia="Arial" w:hAnsi="Arial"/>
          <w:sz w:val="18"/>
          <w:szCs w:val="18"/>
          <w:color w:val="auto"/>
        </w:rPr>
      </w:pPr>
    </w:p>
    <w:p>
      <w:pPr>
        <w:ind w:right="80" w:firstLine="359"/>
        <w:spacing w:after="0" w:line="289" w:lineRule="auto"/>
        <w:tabs>
          <w:tab w:leader="none" w:pos="678"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Boise, State of Idaho, on the 7th day of April, 2009.</w:t>
      </w:r>
    </w:p>
    <w:p>
      <w:pPr>
        <w:spacing w:after="0" w:line="19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52" w:lineRule="exact"/>
        <w:rPr>
          <w:sz w:val="20"/>
          <w:szCs w:val="20"/>
          <w:color w:val="auto"/>
        </w:rPr>
      </w:pPr>
    </w:p>
    <w:p>
      <w:pPr>
        <w:ind w:left="5720"/>
        <w:spacing w:after="0"/>
        <w:tabs>
          <w:tab w:leader="none" w:pos="7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RONALD C.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71120</wp:posOffset>
            </wp:positionV>
            <wp:extent cx="24098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78" w:lineRule="exact"/>
        <w:rPr>
          <w:sz w:val="20"/>
          <w:szCs w:val="20"/>
          <w:color w:val="auto"/>
        </w:rPr>
      </w:pPr>
    </w:p>
    <w:p>
      <w:pPr>
        <w:jc w:val="center"/>
        <w:ind w:left="4620"/>
        <w:spacing w:after="0"/>
        <w:rPr>
          <w:sz w:val="20"/>
          <w:szCs w:val="20"/>
          <w:color w:val="auto"/>
        </w:rPr>
      </w:pPr>
      <w:r>
        <w:rPr>
          <w:rFonts w:ascii="Arial" w:cs="Arial" w:eastAsia="Arial" w:hAnsi="Arial"/>
          <w:sz w:val="18"/>
          <w:szCs w:val="18"/>
          <w:color w:val="auto"/>
        </w:rPr>
        <w:t>Ronald C. Foster</w:t>
      </w:r>
    </w:p>
    <w:p>
      <w:pPr>
        <w:spacing w:after="0" w:line="15"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Vice President of Finance and</w:t>
      </w:r>
    </w:p>
    <w:p>
      <w:pPr>
        <w:spacing w:after="0" w:line="9" w:lineRule="exact"/>
        <w:rPr>
          <w:sz w:val="20"/>
          <w:szCs w:val="20"/>
          <w:color w:val="auto"/>
        </w:rPr>
      </w:pPr>
    </w:p>
    <w:p>
      <w:pPr>
        <w:jc w:val="center"/>
        <w:ind w:left="462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Steven R. Appleton and Ronald C. Foster, or either of them, his true and lawful attorneys-in-fact and agents, with full power of substitution and resubstitution, for him and in his name, place and stead, in any and all capacities, to sign any and all amendments to the registration statement, including post-effective amendments, and registration statements filed pursuant to Rule 462 under the Securities Act of 1933, and to file the same, with all exhibits thereto, and other documents in connection therewith, with the Securities and Exchange Commission, and does hereby grant unto said attorneys-in-fact and agents, and each of them, full power and authority to do and perform each and every act and thing requisite and necessary to be done in and about the foregoing, as fully to all intents and purposes as he might or could do in person, hereby ratifying and confirming all that said attorneys-in-fact and agents, or any of them, or their or his substitutes, may lawfully do or cause to be done by virtue hereof.</w:t>
      </w:r>
    </w:p>
    <w:p>
      <w:pPr>
        <w:spacing w:after="0" w:line="172"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duly signed by the following persons in the capacities and on the dates indicated.</w:t>
      </w:r>
    </w:p>
    <w:p>
      <w:pPr>
        <w:spacing w:after="0" w:line="182" w:lineRule="exact"/>
        <w:rPr>
          <w:sz w:val="20"/>
          <w:szCs w:val="20"/>
          <w:color w:val="auto"/>
        </w:rPr>
      </w:pPr>
    </w:p>
    <w:p>
      <w:pPr>
        <w:ind w:left="1560"/>
        <w:spacing w:after="0"/>
        <w:tabs>
          <w:tab w:leader="none" w:pos="6540" w:val="left"/>
          <w:tab w:leader="none" w:pos="1040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700" w:type="dxa"/>
            <w:vAlign w:val="bottom"/>
          </w:tcPr>
          <w:p>
            <w:pPr>
              <w:jc w:val="center"/>
              <w:spacing w:after="0"/>
              <w:rPr>
                <w:sz w:val="20"/>
                <w:szCs w:val="20"/>
                <w:color w:val="auto"/>
              </w:rPr>
            </w:pPr>
            <w:r>
              <w:rPr>
                <w:rFonts w:ascii="Arial" w:cs="Arial" w:eastAsia="Arial" w:hAnsi="Arial"/>
                <w:sz w:val="18"/>
                <w:szCs w:val="18"/>
                <w:color w:val="auto"/>
                <w:w w:val="91"/>
              </w:rPr>
              <w:t>/s/ STEVEN R. APPLETON</w:t>
            </w:r>
          </w:p>
        </w:tc>
        <w:tc>
          <w:tcPr>
            <w:tcW w:w="6000" w:type="dxa"/>
            <w:vAlign w:val="bottom"/>
          </w:tcPr>
          <w:p>
            <w:pPr>
              <w:ind w:left="140"/>
              <w:spacing w:after="0"/>
              <w:rPr>
                <w:sz w:val="20"/>
                <w:szCs w:val="20"/>
                <w:color w:val="auto"/>
              </w:rPr>
            </w:pPr>
            <w:r>
              <w:rPr>
                <w:rFonts w:ascii="Arial" w:cs="Arial" w:eastAsia="Arial" w:hAnsi="Arial"/>
                <w:sz w:val="18"/>
                <w:szCs w:val="18"/>
                <w:color w:val="auto"/>
                <w:w w:val="97"/>
              </w:rPr>
              <w:t>Chairman of the Board, Chief Executive Officer (Principal Executive Officer)</w:t>
            </w:r>
          </w:p>
        </w:tc>
        <w:tc>
          <w:tcPr>
            <w:tcW w:w="1720" w:type="dxa"/>
            <w:vAlign w:val="bottom"/>
          </w:tcPr>
          <w:p>
            <w:pPr>
              <w:ind w:left="400"/>
              <w:spacing w:after="0"/>
              <w:rPr>
                <w:sz w:val="20"/>
                <w:szCs w:val="20"/>
                <w:color w:val="auto"/>
              </w:rPr>
            </w:pPr>
            <w:r>
              <w:rPr>
                <w:rFonts w:ascii="Arial" w:cs="Arial" w:eastAsia="Arial" w:hAnsi="Arial"/>
                <w:sz w:val="18"/>
                <w:szCs w:val="18"/>
                <w:color w:val="auto"/>
              </w:rPr>
              <w:t>April 7, 2009</w:t>
            </w:r>
          </w:p>
        </w:tc>
        <w:tc>
          <w:tcPr>
            <w:tcW w:w="0" w:type="dxa"/>
            <w:vAlign w:val="bottom"/>
          </w:tcPr>
          <w:p>
            <w:pPr>
              <w:spacing w:after="0"/>
              <w:rPr>
                <w:sz w:val="1"/>
                <w:szCs w:val="1"/>
                <w:color w:val="auto"/>
              </w:rPr>
            </w:pPr>
          </w:p>
        </w:tc>
      </w:tr>
      <w:tr>
        <w:trPr>
          <w:trHeight w:val="97"/>
        </w:trPr>
        <w:tc>
          <w:tcPr>
            <w:tcW w:w="370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700" w:type="dxa"/>
            <w:vAlign w:val="bottom"/>
          </w:tcPr>
          <w:p>
            <w:pPr>
              <w:jc w:val="center"/>
              <w:spacing w:after="0"/>
              <w:rPr>
                <w:sz w:val="20"/>
                <w:szCs w:val="20"/>
                <w:color w:val="auto"/>
              </w:rPr>
            </w:pPr>
            <w:r>
              <w:rPr>
                <w:rFonts w:ascii="Arial" w:cs="Arial" w:eastAsia="Arial" w:hAnsi="Arial"/>
                <w:sz w:val="18"/>
                <w:szCs w:val="18"/>
                <w:color w:val="auto"/>
                <w:w w:val="88"/>
              </w:rPr>
              <w:t>Steven R. Appleton</w:t>
            </w:r>
          </w:p>
        </w:tc>
        <w:tc>
          <w:tcPr>
            <w:tcW w:w="6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3700" w:type="dxa"/>
            <w:vAlign w:val="bottom"/>
          </w:tcPr>
          <w:p>
            <w:pPr>
              <w:jc w:val="center"/>
              <w:spacing w:after="0"/>
              <w:rPr>
                <w:sz w:val="20"/>
                <w:szCs w:val="20"/>
                <w:color w:val="auto"/>
              </w:rPr>
            </w:pPr>
            <w:r>
              <w:rPr>
                <w:rFonts w:ascii="Arial" w:cs="Arial" w:eastAsia="Arial" w:hAnsi="Arial"/>
                <w:sz w:val="18"/>
                <w:szCs w:val="18"/>
                <w:color w:val="auto"/>
                <w:w w:val="91"/>
              </w:rPr>
              <w:t>/s/ RONALD C. FOSTER</w:t>
            </w:r>
          </w:p>
        </w:tc>
        <w:tc>
          <w:tcPr>
            <w:tcW w:w="6000" w:type="dxa"/>
            <w:vAlign w:val="bottom"/>
          </w:tcPr>
          <w:p>
            <w:pPr>
              <w:ind w:left="140"/>
              <w:spacing w:after="0"/>
              <w:rPr>
                <w:sz w:val="20"/>
                <w:szCs w:val="20"/>
                <w:color w:val="auto"/>
              </w:rPr>
            </w:pPr>
            <w:r>
              <w:rPr>
                <w:rFonts w:ascii="Arial" w:cs="Arial" w:eastAsia="Arial" w:hAnsi="Arial"/>
                <w:sz w:val="18"/>
                <w:szCs w:val="18"/>
                <w:color w:val="auto"/>
                <w:w w:val="99"/>
              </w:rPr>
              <w:t>Vice President of Finance, Chief Financial Officer (Principal Financial and</w:t>
            </w:r>
          </w:p>
        </w:tc>
        <w:tc>
          <w:tcPr>
            <w:tcW w:w="1720" w:type="dxa"/>
            <w:vAlign w:val="bottom"/>
          </w:tcPr>
          <w:p>
            <w:pPr>
              <w:ind w:left="400"/>
              <w:spacing w:after="0"/>
              <w:rPr>
                <w:sz w:val="20"/>
                <w:szCs w:val="20"/>
                <w:color w:val="auto"/>
              </w:rPr>
            </w:pPr>
            <w:r>
              <w:rPr>
                <w:rFonts w:ascii="Arial" w:cs="Arial" w:eastAsia="Arial" w:hAnsi="Arial"/>
                <w:sz w:val="18"/>
                <w:szCs w:val="18"/>
                <w:color w:val="auto"/>
              </w:rPr>
              <w:t>April 7, 2009</w:t>
            </w:r>
          </w:p>
        </w:tc>
        <w:tc>
          <w:tcPr>
            <w:tcW w:w="0" w:type="dxa"/>
            <w:vAlign w:val="bottom"/>
          </w:tcPr>
          <w:p>
            <w:pPr>
              <w:spacing w:after="0"/>
              <w:rPr>
                <w:sz w:val="1"/>
                <w:szCs w:val="1"/>
                <w:color w:val="auto"/>
              </w:rPr>
            </w:pPr>
          </w:p>
        </w:tc>
      </w:tr>
      <w:tr>
        <w:trPr>
          <w:trHeight w:val="103"/>
        </w:trPr>
        <w:tc>
          <w:tcPr>
            <w:tcW w:w="3700" w:type="dxa"/>
            <w:vAlign w:val="bottom"/>
            <w:tcBorders>
              <w:bottom w:val="single" w:sz="8" w:color="auto"/>
            </w:tcBorders>
          </w:tcPr>
          <w:p>
            <w:pPr>
              <w:spacing w:after="0"/>
              <w:rPr>
                <w:sz w:val="8"/>
                <w:szCs w:val="8"/>
                <w:color w:val="auto"/>
              </w:rPr>
            </w:pPr>
          </w:p>
        </w:tc>
        <w:tc>
          <w:tcPr>
            <w:tcW w:w="6000" w:type="dxa"/>
            <w:vAlign w:val="bottom"/>
            <w:vMerge w:val="restart"/>
          </w:tcPr>
          <w:p>
            <w:pPr>
              <w:ind w:left="140"/>
              <w:spacing w:after="0"/>
              <w:rPr>
                <w:sz w:val="20"/>
                <w:szCs w:val="20"/>
                <w:color w:val="auto"/>
              </w:rPr>
            </w:pPr>
            <w:r>
              <w:rPr>
                <w:rFonts w:ascii="Arial" w:cs="Arial" w:eastAsia="Arial" w:hAnsi="Arial"/>
                <w:sz w:val="18"/>
                <w:szCs w:val="18"/>
                <w:color w:val="auto"/>
              </w:rPr>
              <w:t>Accounting Officer)</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700" w:type="dxa"/>
            <w:vAlign w:val="bottom"/>
            <w:vMerge w:val="restart"/>
          </w:tcPr>
          <w:p>
            <w:pPr>
              <w:jc w:val="center"/>
              <w:spacing w:after="0"/>
              <w:rPr>
                <w:sz w:val="20"/>
                <w:szCs w:val="20"/>
                <w:color w:val="auto"/>
              </w:rPr>
            </w:pPr>
            <w:r>
              <w:rPr>
                <w:rFonts w:ascii="Arial" w:cs="Arial" w:eastAsia="Arial" w:hAnsi="Arial"/>
                <w:sz w:val="18"/>
                <w:szCs w:val="18"/>
                <w:color w:val="auto"/>
                <w:w w:val="88"/>
              </w:rPr>
              <w:t>Ronald C. Foster</w:t>
            </w:r>
          </w:p>
        </w:tc>
        <w:tc>
          <w:tcPr>
            <w:tcW w:w="6000" w:type="dxa"/>
            <w:vAlign w:val="bottom"/>
            <w:vMerge w:val="continue"/>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3700" w:type="dxa"/>
            <w:vAlign w:val="bottom"/>
            <w:vMerge w:val="continue"/>
          </w:tcPr>
          <w:p>
            <w:pPr>
              <w:spacing w:after="0"/>
              <w:rPr>
                <w:sz w:val="16"/>
                <w:szCs w:val="16"/>
                <w:color w:val="auto"/>
              </w:rPr>
            </w:pPr>
          </w:p>
        </w:tc>
        <w:tc>
          <w:tcPr>
            <w:tcW w:w="60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3700" w:type="dxa"/>
            <w:vAlign w:val="bottom"/>
          </w:tcPr>
          <w:p>
            <w:pPr>
              <w:jc w:val="center"/>
              <w:spacing w:after="0"/>
              <w:rPr>
                <w:sz w:val="20"/>
                <w:szCs w:val="20"/>
                <w:color w:val="auto"/>
              </w:rPr>
            </w:pPr>
            <w:r>
              <w:rPr>
                <w:rFonts w:ascii="Arial" w:cs="Arial" w:eastAsia="Arial" w:hAnsi="Arial"/>
                <w:sz w:val="18"/>
                <w:szCs w:val="18"/>
                <w:color w:val="auto"/>
                <w:w w:val="97"/>
              </w:rPr>
              <w:t>/s/ TERUAKI AOKI</w:t>
            </w:r>
          </w:p>
        </w:tc>
        <w:tc>
          <w:tcPr>
            <w:tcW w:w="6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70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700" w:type="dxa"/>
            <w:vAlign w:val="bottom"/>
          </w:tcPr>
          <w:p>
            <w:pPr>
              <w:jc w:val="center"/>
              <w:spacing w:after="0"/>
              <w:rPr>
                <w:sz w:val="20"/>
                <w:szCs w:val="20"/>
                <w:color w:val="auto"/>
              </w:rPr>
            </w:pPr>
            <w:r>
              <w:rPr>
                <w:rFonts w:ascii="Arial" w:cs="Arial" w:eastAsia="Arial" w:hAnsi="Arial"/>
                <w:sz w:val="18"/>
                <w:szCs w:val="18"/>
                <w:color w:val="auto"/>
                <w:w w:val="91"/>
              </w:rPr>
              <w:t>Teruaki Aoki</w:t>
            </w:r>
          </w:p>
        </w:tc>
        <w:tc>
          <w:tcPr>
            <w:tcW w:w="60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400"/>
              <w:spacing w:after="0"/>
              <w:rPr>
                <w:sz w:val="20"/>
                <w:szCs w:val="20"/>
                <w:color w:val="auto"/>
              </w:rPr>
            </w:pPr>
            <w:r>
              <w:rPr>
                <w:rFonts w:ascii="Arial" w:cs="Arial" w:eastAsia="Arial" w:hAnsi="Arial"/>
                <w:sz w:val="18"/>
                <w:szCs w:val="18"/>
                <w:color w:val="auto"/>
              </w:rPr>
              <w:t>April 7, 2009</w:t>
            </w:r>
          </w:p>
        </w:tc>
        <w:tc>
          <w:tcPr>
            <w:tcW w:w="0" w:type="dxa"/>
            <w:vAlign w:val="bottom"/>
          </w:tcPr>
          <w:p>
            <w:pPr>
              <w:spacing w:after="0"/>
              <w:rPr>
                <w:sz w:val="1"/>
                <w:szCs w:val="1"/>
                <w:color w:val="auto"/>
              </w:rPr>
            </w:pPr>
          </w:p>
        </w:tc>
      </w:tr>
      <w:tr>
        <w:trPr>
          <w:trHeight w:val="459"/>
        </w:trPr>
        <w:tc>
          <w:tcPr>
            <w:tcW w:w="3700" w:type="dxa"/>
            <w:vAlign w:val="bottom"/>
          </w:tcPr>
          <w:p>
            <w:pPr>
              <w:jc w:val="center"/>
              <w:spacing w:after="0"/>
              <w:rPr>
                <w:sz w:val="20"/>
                <w:szCs w:val="20"/>
                <w:color w:val="auto"/>
              </w:rPr>
            </w:pPr>
            <w:r>
              <w:rPr>
                <w:rFonts w:ascii="Arial" w:cs="Arial" w:eastAsia="Arial" w:hAnsi="Arial"/>
                <w:sz w:val="18"/>
                <w:szCs w:val="18"/>
                <w:color w:val="auto"/>
                <w:w w:val="93"/>
              </w:rPr>
              <w:t>/s/ JAMES W. BAGLEY</w:t>
            </w:r>
          </w:p>
        </w:tc>
        <w:tc>
          <w:tcPr>
            <w:tcW w:w="60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700" w:type="dxa"/>
            <w:vAlign w:val="bottom"/>
            <w:tcBorders>
              <w:bottom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3700" w:type="dxa"/>
            <w:vAlign w:val="bottom"/>
          </w:tcPr>
          <w:p>
            <w:pPr>
              <w:jc w:val="center"/>
              <w:spacing w:after="0"/>
              <w:rPr>
                <w:sz w:val="20"/>
                <w:szCs w:val="20"/>
                <w:color w:val="auto"/>
              </w:rPr>
            </w:pPr>
            <w:r>
              <w:rPr>
                <w:rFonts w:ascii="Arial" w:cs="Arial" w:eastAsia="Arial" w:hAnsi="Arial"/>
                <w:sz w:val="18"/>
                <w:szCs w:val="18"/>
                <w:color w:val="auto"/>
                <w:w w:val="85"/>
              </w:rPr>
              <w:t>James W. Bagley</w:t>
            </w:r>
          </w:p>
        </w:tc>
        <w:tc>
          <w:tcPr>
            <w:tcW w:w="600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720" w:type="dxa"/>
            <w:vAlign w:val="bottom"/>
          </w:tcPr>
          <w:p>
            <w:pPr>
              <w:ind w:left="400"/>
              <w:spacing w:after="0"/>
              <w:rPr>
                <w:sz w:val="20"/>
                <w:szCs w:val="20"/>
                <w:color w:val="auto"/>
              </w:rPr>
            </w:pPr>
            <w:r>
              <w:rPr>
                <w:rFonts w:ascii="Arial" w:cs="Arial" w:eastAsia="Arial" w:hAnsi="Arial"/>
                <w:sz w:val="18"/>
                <w:szCs w:val="18"/>
                <w:color w:val="auto"/>
              </w:rPr>
              <w:t>April 7, 2009</w:t>
            </w:r>
          </w:p>
        </w:tc>
        <w:tc>
          <w:tcPr>
            <w:tcW w:w="0" w:type="dxa"/>
            <w:vAlign w:val="bottom"/>
          </w:tcPr>
          <w:p>
            <w:pPr>
              <w:spacing w:after="0"/>
              <w:rPr>
                <w:sz w:val="1"/>
                <w:szCs w:val="1"/>
                <w:color w:val="auto"/>
              </w:rPr>
            </w:pPr>
          </w:p>
        </w:tc>
      </w:tr>
      <w:tr>
        <w:trPr>
          <w:trHeight w:val="432"/>
        </w:trPr>
        <w:tc>
          <w:tcPr>
            <w:tcW w:w="3700" w:type="dxa"/>
            <w:vAlign w:val="bottom"/>
          </w:tcPr>
          <w:p>
            <w:pPr>
              <w:spacing w:after="0"/>
              <w:rPr>
                <w:sz w:val="24"/>
                <w:szCs w:val="24"/>
                <w:color w:val="auto"/>
              </w:rPr>
            </w:pPr>
          </w:p>
        </w:tc>
        <w:tc>
          <w:tcPr>
            <w:tcW w:w="6000" w:type="dxa"/>
            <w:vAlign w:val="bottom"/>
          </w:tcPr>
          <w:p>
            <w:pPr>
              <w:ind w:left="1880"/>
              <w:spacing w:after="0"/>
              <w:rPr>
                <w:sz w:val="20"/>
                <w:szCs w:val="20"/>
                <w:color w:val="auto"/>
              </w:rPr>
            </w:pPr>
            <w:r>
              <w:rPr>
                <w:rFonts w:ascii="Arial" w:cs="Arial" w:eastAsia="Arial" w:hAnsi="Arial"/>
                <w:sz w:val="18"/>
                <w:szCs w:val="18"/>
                <w:color w:val="auto"/>
              </w:rPr>
              <w:t>II-5</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70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060"/>
        <w:spacing w:after="0"/>
        <w:tabs>
          <w:tab w:leader="none" w:pos="6180" w:val="left"/>
          <w:tab w:leader="none" w:pos="85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24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5"/>
              </w:rPr>
              <w:t>/s/ ROBERT L. BAILEY</w:t>
            </w:r>
          </w:p>
        </w:tc>
        <w:tc>
          <w:tcPr>
            <w:tcW w:w="90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97"/>
        </w:trPr>
        <w:tc>
          <w:tcPr>
            <w:tcW w:w="22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040" w:type="dxa"/>
            <w:vAlign w:val="bottom"/>
          </w:tcPr>
          <w:p>
            <w:pPr>
              <w:spacing w:after="0"/>
              <w:rPr>
                <w:sz w:val="8"/>
                <w:szCs w:val="8"/>
                <w:color w:val="auto"/>
              </w:rPr>
            </w:pPr>
          </w:p>
        </w:tc>
      </w:tr>
      <w:tr>
        <w:trPr>
          <w:trHeight w:val="289"/>
        </w:trPr>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2"/>
              </w:rPr>
              <w:t>Robert L. Bailey</w:t>
            </w:r>
          </w:p>
        </w:tc>
        <w:tc>
          <w:tcPr>
            <w:tcW w:w="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40" w:type="dxa"/>
            <w:vAlign w:val="bottom"/>
          </w:tcPr>
          <w:p>
            <w:pPr>
              <w:ind w:left="2860"/>
              <w:spacing w:after="0"/>
              <w:rPr>
                <w:sz w:val="20"/>
                <w:szCs w:val="20"/>
                <w:color w:val="auto"/>
              </w:rPr>
            </w:pPr>
            <w:r>
              <w:rPr>
                <w:rFonts w:ascii="Arial" w:cs="Arial" w:eastAsia="Arial" w:hAnsi="Arial"/>
                <w:sz w:val="18"/>
                <w:szCs w:val="18"/>
                <w:color w:val="auto"/>
              </w:rPr>
              <w:t>April 7, 2009</w:t>
            </w:r>
          </w:p>
        </w:tc>
      </w:tr>
      <w:tr>
        <w:trPr>
          <w:trHeight w:val="459"/>
        </w:trPr>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/s/ MERCEDES JOHNSON</w:t>
            </w:r>
          </w:p>
        </w:tc>
        <w:tc>
          <w:tcPr>
            <w:tcW w:w="9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97"/>
        </w:trPr>
        <w:tc>
          <w:tcPr>
            <w:tcW w:w="22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040" w:type="dxa"/>
            <w:vAlign w:val="bottom"/>
          </w:tcPr>
          <w:p>
            <w:pPr>
              <w:spacing w:after="0"/>
              <w:rPr>
                <w:sz w:val="8"/>
                <w:szCs w:val="8"/>
                <w:color w:val="auto"/>
              </w:rPr>
            </w:pPr>
          </w:p>
        </w:tc>
      </w:tr>
      <w:tr>
        <w:trPr>
          <w:trHeight w:val="289"/>
        </w:trPr>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5"/>
              </w:rPr>
              <w:t>Mercedes Johnson</w:t>
            </w:r>
          </w:p>
        </w:tc>
        <w:tc>
          <w:tcPr>
            <w:tcW w:w="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40" w:type="dxa"/>
            <w:vAlign w:val="bottom"/>
          </w:tcPr>
          <w:p>
            <w:pPr>
              <w:ind w:left="2860"/>
              <w:spacing w:after="0"/>
              <w:rPr>
                <w:sz w:val="20"/>
                <w:szCs w:val="20"/>
                <w:color w:val="auto"/>
              </w:rPr>
            </w:pPr>
            <w:r>
              <w:rPr>
                <w:rFonts w:ascii="Arial" w:cs="Arial" w:eastAsia="Arial" w:hAnsi="Arial"/>
                <w:sz w:val="18"/>
                <w:szCs w:val="18"/>
                <w:color w:val="auto"/>
              </w:rPr>
              <w:t>April 7, 2009</w:t>
            </w:r>
          </w:p>
        </w:tc>
      </w:tr>
      <w:tr>
        <w:trPr>
          <w:trHeight w:val="459"/>
        </w:trPr>
        <w:tc>
          <w:tcPr>
            <w:tcW w:w="4480" w:type="dxa"/>
            <w:vAlign w:val="bottom"/>
            <w:gridSpan w:val="2"/>
          </w:tcPr>
          <w:p>
            <w:pPr>
              <w:jc w:val="center"/>
              <w:ind w:left="2112"/>
              <w:spacing w:after="0"/>
              <w:rPr>
                <w:sz w:val="20"/>
                <w:szCs w:val="20"/>
                <w:color w:val="auto"/>
              </w:rPr>
            </w:pPr>
            <w:r>
              <w:rPr>
                <w:rFonts w:ascii="Arial" w:cs="Arial" w:eastAsia="Arial" w:hAnsi="Arial"/>
                <w:sz w:val="18"/>
                <w:szCs w:val="18"/>
                <w:color w:val="auto"/>
                <w:w w:val="93"/>
              </w:rPr>
              <w:t>/s/ LAWRENCE N. MONDRY</w:t>
            </w:r>
          </w:p>
        </w:tc>
        <w:tc>
          <w:tcPr>
            <w:tcW w:w="9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97"/>
        </w:trPr>
        <w:tc>
          <w:tcPr>
            <w:tcW w:w="22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040" w:type="dxa"/>
            <w:vAlign w:val="bottom"/>
          </w:tcPr>
          <w:p>
            <w:pPr>
              <w:spacing w:after="0"/>
              <w:rPr>
                <w:sz w:val="8"/>
                <w:szCs w:val="8"/>
                <w:color w:val="auto"/>
              </w:rPr>
            </w:pPr>
          </w:p>
        </w:tc>
      </w:tr>
      <w:tr>
        <w:trPr>
          <w:trHeight w:val="289"/>
        </w:trPr>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Lawrence N. Mondry</w:t>
            </w:r>
          </w:p>
        </w:tc>
        <w:tc>
          <w:tcPr>
            <w:tcW w:w="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40" w:type="dxa"/>
            <w:vAlign w:val="bottom"/>
          </w:tcPr>
          <w:p>
            <w:pPr>
              <w:ind w:left="2860"/>
              <w:spacing w:after="0"/>
              <w:rPr>
                <w:sz w:val="20"/>
                <w:szCs w:val="20"/>
                <w:color w:val="auto"/>
              </w:rPr>
            </w:pPr>
            <w:r>
              <w:rPr>
                <w:rFonts w:ascii="Arial" w:cs="Arial" w:eastAsia="Arial" w:hAnsi="Arial"/>
                <w:sz w:val="18"/>
                <w:szCs w:val="18"/>
                <w:color w:val="auto"/>
              </w:rPr>
              <w:t>April 7, 2009</w:t>
            </w:r>
          </w:p>
        </w:tc>
      </w:tr>
      <w:tr>
        <w:trPr>
          <w:trHeight w:val="459"/>
        </w:trPr>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/s/ ROBERT E. SWITZ</w:t>
            </w:r>
          </w:p>
        </w:tc>
        <w:tc>
          <w:tcPr>
            <w:tcW w:w="900" w:type="dxa"/>
            <w:vAlign w:val="bottom"/>
          </w:tcPr>
          <w:p>
            <w:pPr>
              <w:spacing w:after="0"/>
              <w:rPr>
                <w:sz w:val="24"/>
                <w:szCs w:val="24"/>
                <w:color w:val="auto"/>
              </w:rPr>
            </w:pPr>
          </w:p>
        </w:tc>
        <w:tc>
          <w:tcPr>
            <w:tcW w:w="6040" w:type="dxa"/>
            <w:vAlign w:val="bottom"/>
          </w:tcPr>
          <w:p>
            <w:pPr>
              <w:spacing w:after="0"/>
              <w:rPr>
                <w:sz w:val="24"/>
                <w:szCs w:val="24"/>
                <w:color w:val="auto"/>
              </w:rPr>
            </w:pPr>
          </w:p>
        </w:tc>
      </w:tr>
      <w:tr>
        <w:trPr>
          <w:trHeight w:val="97"/>
        </w:trPr>
        <w:tc>
          <w:tcPr>
            <w:tcW w:w="224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6040" w:type="dxa"/>
            <w:vAlign w:val="bottom"/>
          </w:tcPr>
          <w:p>
            <w:pPr>
              <w:spacing w:after="0"/>
              <w:rPr>
                <w:sz w:val="8"/>
                <w:szCs w:val="8"/>
                <w:color w:val="auto"/>
              </w:rPr>
            </w:pPr>
          </w:p>
        </w:tc>
      </w:tr>
      <w:tr>
        <w:trPr>
          <w:trHeight w:val="289"/>
        </w:trPr>
        <w:tc>
          <w:tcPr>
            <w:tcW w:w="224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90"/>
              </w:rPr>
              <w:t>Robert E. Switz</w:t>
            </w:r>
          </w:p>
        </w:tc>
        <w:tc>
          <w:tcPr>
            <w:tcW w:w="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6040" w:type="dxa"/>
            <w:vAlign w:val="bottom"/>
          </w:tcPr>
          <w:p>
            <w:pPr>
              <w:ind w:left="2860"/>
              <w:spacing w:after="0"/>
              <w:rPr>
                <w:sz w:val="20"/>
                <w:szCs w:val="20"/>
                <w:color w:val="auto"/>
              </w:rPr>
            </w:pPr>
            <w:r>
              <w:rPr>
                <w:rFonts w:ascii="Arial" w:cs="Arial" w:eastAsia="Arial" w:hAnsi="Arial"/>
                <w:sz w:val="18"/>
                <w:szCs w:val="18"/>
                <w:color w:val="auto"/>
              </w:rPr>
              <w:t>April 7, 2009</w:t>
            </w:r>
          </w:p>
        </w:tc>
      </w:tr>
      <w:tr>
        <w:trPr>
          <w:trHeight w:val="432"/>
        </w:trPr>
        <w:tc>
          <w:tcPr>
            <w:tcW w:w="2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II-6</w:t>
            </w:r>
          </w:p>
        </w:tc>
      </w:tr>
      <w:tr>
        <w:trPr>
          <w:trHeight w:val="228"/>
        </w:trPr>
        <w:tc>
          <w:tcPr>
            <w:tcW w:w="224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420" w:type="dxa"/>
            <w:vAlign w:val="bottom"/>
          </w:tcPr>
          <w:p>
            <w:pPr>
              <w:ind w:left="1900"/>
              <w:spacing w:after="0"/>
              <w:rPr>
                <w:sz w:val="20"/>
                <w:szCs w:val="20"/>
                <w:color w:val="auto"/>
              </w:rPr>
            </w:pPr>
            <w:r>
              <w:rPr>
                <w:rFonts w:ascii="Arial" w:cs="Arial" w:eastAsia="Arial" w:hAnsi="Arial"/>
                <w:sz w:val="18"/>
                <w:szCs w:val="18"/>
                <w:b w:val="1"/>
                <w:bCs w:val="1"/>
                <w:color w:val="auto"/>
              </w:rPr>
              <w:t>Index to the Exhibits</w:t>
            </w:r>
          </w:p>
        </w:tc>
      </w:tr>
      <w:tr>
        <w:trPr>
          <w:trHeight w:val="354"/>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420" w:type="dxa"/>
            <w:vAlign w:val="bottom"/>
          </w:tcPr>
          <w:p>
            <w:pPr>
              <w:spacing w:after="0"/>
              <w:rPr>
                <w:sz w:val="24"/>
                <w:szCs w:val="24"/>
                <w:color w:val="auto"/>
              </w:rPr>
            </w:pPr>
          </w:p>
        </w:tc>
      </w:tr>
      <w:tr>
        <w:trPr>
          <w:trHeight w:val="16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160" w:type="dxa"/>
            <w:vAlign w:val="bottom"/>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842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Description of Exhibit</w:t>
            </w:r>
          </w:p>
        </w:tc>
      </w:tr>
      <w:tr>
        <w:trPr>
          <w:trHeight w:val="201"/>
        </w:trPr>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1.1</w:t>
            </w:r>
          </w:p>
        </w:tc>
        <w:tc>
          <w:tcPr>
            <w:tcW w:w="160" w:type="dxa"/>
            <w:vAlign w:val="bottom"/>
          </w:tcPr>
          <w:p>
            <w:pPr>
              <w:spacing w:after="0"/>
              <w:rPr>
                <w:sz w:val="17"/>
                <w:szCs w:val="17"/>
                <w:color w:val="auto"/>
              </w:rPr>
            </w:pPr>
          </w:p>
        </w:tc>
        <w:tc>
          <w:tcPr>
            <w:tcW w:w="10760" w:type="dxa"/>
            <w:vAlign w:val="bottom"/>
            <w:gridSpan w:val="2"/>
          </w:tcPr>
          <w:p>
            <w:pPr>
              <w:spacing w:after="0" w:line="201" w:lineRule="exact"/>
              <w:rPr>
                <w:sz w:val="20"/>
                <w:szCs w:val="20"/>
                <w:color w:val="auto"/>
              </w:rPr>
            </w:pPr>
            <w:r>
              <w:rPr>
                <w:rFonts w:ascii="Arial" w:cs="Arial" w:eastAsia="Arial" w:hAnsi="Arial"/>
                <w:sz w:val="18"/>
                <w:szCs w:val="18"/>
                <w:color w:val="auto"/>
              </w:rPr>
              <w:t>Form of Underwriting Agreement.*</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Subscription Agreement.*</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w w:val="90"/>
              </w:rPr>
              <w:t>Restated Certificate of Incorporation of Micron Technology, Inc. (incorporated herein by reference to Exhibit 3.1 to the Company's Quarterly Report on</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10-Q for the fiscal quarter ended May 31, 2001).</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3.2</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w w:val="90"/>
              </w:rPr>
              <w:t>Bylaws of Micron Technology, Inc., as amended (incorporated herein by reference to Exhibit 99.2 to the Company's Current Report on Form 8-K filed</w:t>
            </w:r>
          </w:p>
        </w:tc>
      </w:tr>
      <w:tr>
        <w:trPr>
          <w:trHeight w:val="216"/>
        </w:trPr>
        <w:tc>
          <w:tcPr>
            <w:tcW w:w="500" w:type="dxa"/>
            <w:vAlign w:val="bottom"/>
          </w:tcPr>
          <w:p>
            <w:pPr>
              <w:spacing w:after="0"/>
              <w:rPr>
                <w:sz w:val="18"/>
                <w:szCs w:val="18"/>
                <w:color w:val="auto"/>
              </w:rPr>
            </w:pP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October 1, 2008).</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Senior Indenture.</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4.2</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Subordinated Indenture.</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Convertible Senior Note Indenture</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4.4</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Senior Debt Security (included in Exhibit 4.1).</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4.5</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Subordinated Debt Security (included in Exhibit 4.2).</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4.6</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Convertible Senior Debt Security (included in Exhibit 4.3)</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Warrant Agreement.*</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4.8</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of Warrant Certificate.*</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5.1</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12.1</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Computation of ratio of earnings to fixed charges.</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Consent of PricewaterhouseCoopers LLP.</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23.2</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w w:val="93"/>
              </w:rPr>
              <w:t>Consent of Wilson Sonsini Goodrich &amp; Rosati, Professional Corporation (included in the opinion filed as Exhibit 5.1 to this registration statement).</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24.1</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Power of Attorney (see page II-5 of this Form S-3).</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25.1</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T-1 Statement of Eligibility of Trustee for Senior Indenture under the Trust Indenture Act of 1939.</w:t>
            </w:r>
          </w:p>
        </w:tc>
      </w:tr>
      <w:tr>
        <w:trPr>
          <w:trHeight w:val="216"/>
        </w:trPr>
        <w:tc>
          <w:tcPr>
            <w:tcW w:w="500" w:type="dxa"/>
            <w:vAlign w:val="bottom"/>
          </w:tcPr>
          <w:p>
            <w:pPr>
              <w:jc w:val="right"/>
              <w:spacing w:after="0"/>
              <w:rPr>
                <w:sz w:val="20"/>
                <w:szCs w:val="20"/>
                <w:color w:val="auto"/>
              </w:rPr>
            </w:pPr>
            <w:r>
              <w:rPr>
                <w:rFonts w:ascii="Arial" w:cs="Arial" w:eastAsia="Arial" w:hAnsi="Arial"/>
                <w:sz w:val="18"/>
                <w:szCs w:val="18"/>
                <w:color w:val="auto"/>
              </w:rPr>
              <w:t>25.2</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T-1 Statement of Eligibility of Trustee for Subordinated Indenture under the Trust Indenture Act of 1939.</w:t>
            </w:r>
          </w:p>
        </w:tc>
      </w:tr>
      <w:tr>
        <w:trPr>
          <w:trHeight w:val="222"/>
        </w:trPr>
        <w:tc>
          <w:tcPr>
            <w:tcW w:w="500" w:type="dxa"/>
            <w:vAlign w:val="bottom"/>
          </w:tcPr>
          <w:p>
            <w:pPr>
              <w:jc w:val="right"/>
              <w:spacing w:after="0"/>
              <w:rPr>
                <w:sz w:val="20"/>
                <w:szCs w:val="20"/>
                <w:color w:val="auto"/>
              </w:rPr>
            </w:pPr>
            <w:r>
              <w:rPr>
                <w:rFonts w:ascii="Arial" w:cs="Arial" w:eastAsia="Arial" w:hAnsi="Arial"/>
                <w:sz w:val="18"/>
                <w:szCs w:val="18"/>
                <w:color w:val="auto"/>
              </w:rPr>
              <w:t>25.3</w:t>
            </w:r>
          </w:p>
        </w:tc>
        <w:tc>
          <w:tcPr>
            <w:tcW w:w="10920" w:type="dxa"/>
            <w:vAlign w:val="bottom"/>
            <w:gridSpan w:val="3"/>
          </w:tcPr>
          <w:p>
            <w:pPr>
              <w:ind w:left="160"/>
              <w:spacing w:after="0"/>
              <w:rPr>
                <w:sz w:val="20"/>
                <w:szCs w:val="20"/>
                <w:color w:val="auto"/>
              </w:rPr>
            </w:pPr>
            <w:r>
              <w:rPr>
                <w:rFonts w:ascii="Arial" w:cs="Arial" w:eastAsia="Arial" w:hAnsi="Arial"/>
                <w:sz w:val="18"/>
                <w:szCs w:val="18"/>
                <w:color w:val="auto"/>
              </w:rPr>
              <w:t>Form T-1 Statement of Eligibility of Trustee for Convertible Senior Note Indenture under the Trust Indenture Act of 1939.</w:t>
            </w:r>
          </w:p>
        </w:tc>
      </w:tr>
      <w:tr>
        <w:trPr>
          <w:trHeight w:val="110"/>
        </w:trPr>
        <w:tc>
          <w:tcPr>
            <w:tcW w:w="5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be filed as an exhibit to a Current Report on Form 8-K or any other proper form and incorporated by reference,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4.1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TRUSTEE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DATED AS OF</w:t>
            </w:r>
          </w:p>
        </w:tc>
        <w:tc>
          <w:tcPr>
            <w:tcW w:w="66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72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Page</w:t>
            </w:r>
          </w:p>
        </w:tc>
      </w:tr>
      <w:tr>
        <w:trPr>
          <w:trHeight w:val="426"/>
        </w:trPr>
        <w:tc>
          <w:tcPr>
            <w:tcW w:w="10700" w:type="dxa"/>
            <w:vAlign w:val="bottom"/>
            <w:gridSpan w:val="2"/>
          </w:tcPr>
          <w:p>
            <w:pPr>
              <w:spacing w:after="0"/>
              <w:rPr>
                <w:sz w:val="20"/>
                <w:szCs w:val="20"/>
                <w:color w:val="auto"/>
              </w:rPr>
            </w:pPr>
            <w:r>
              <w:rPr>
                <w:rFonts w:ascii="Arial" w:cs="Arial" w:eastAsia="Arial" w:hAnsi="Arial"/>
                <w:sz w:val="18"/>
                <w:szCs w:val="18"/>
                <w:color w:val="auto"/>
              </w:rPr>
              <w:t>ARTICLE 1 DEFINITIONS AND OTHER PROVISIONS OF GENERAL APPLICATION</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18"/>
        </w:trPr>
        <w:tc>
          <w:tcPr>
            <w:tcW w:w="2480" w:type="dxa"/>
            <w:vAlign w:val="bottom"/>
          </w:tcPr>
          <w:p>
            <w:pPr>
              <w:ind w:left="660"/>
              <w:spacing w:after="0"/>
              <w:rPr>
                <w:sz w:val="20"/>
                <w:szCs w:val="20"/>
                <w:color w:val="auto"/>
              </w:rPr>
            </w:pPr>
            <w:r>
              <w:rPr>
                <w:rFonts w:ascii="Arial" w:cs="Arial" w:eastAsia="Arial" w:hAnsi="Arial"/>
                <w:sz w:val="18"/>
                <w:szCs w:val="18"/>
                <w:color w:val="auto"/>
              </w:rPr>
              <w:t>Section 1.1</w:t>
            </w:r>
          </w:p>
        </w:tc>
        <w:tc>
          <w:tcPr>
            <w:tcW w:w="8220" w:type="dxa"/>
            <w:vAlign w:val="bottom"/>
          </w:tcPr>
          <w:p>
            <w:pPr>
              <w:ind w:left="20"/>
              <w:spacing w:after="0"/>
              <w:rPr>
                <w:sz w:val="20"/>
                <w:szCs w:val="20"/>
                <w:color w:val="auto"/>
              </w:rPr>
            </w:pPr>
            <w:r>
              <w:rPr>
                <w:rFonts w:ascii="Arial" w:cs="Arial" w:eastAsia="Arial" w:hAnsi="Arial"/>
                <w:sz w:val="18"/>
                <w:szCs w:val="18"/>
                <w:color w:val="auto"/>
              </w:rPr>
              <w:t>Definitions</w:t>
            </w: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1.2</w:t>
            </w:r>
          </w:p>
        </w:tc>
        <w:tc>
          <w:tcPr>
            <w:tcW w:w="8220" w:type="dxa"/>
            <w:vAlign w:val="bottom"/>
          </w:tcPr>
          <w:p>
            <w:pPr>
              <w:ind w:left="20"/>
              <w:spacing w:after="0"/>
              <w:rPr>
                <w:sz w:val="20"/>
                <w:szCs w:val="20"/>
                <w:color w:val="auto"/>
              </w:rPr>
            </w:pPr>
            <w:r>
              <w:rPr>
                <w:rFonts w:ascii="Arial" w:cs="Arial" w:eastAsia="Arial" w:hAnsi="Arial"/>
                <w:sz w:val="18"/>
                <w:szCs w:val="18"/>
                <w:color w:val="auto"/>
              </w:rPr>
              <w:t>Compliance Certificates and Opinions</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1.3</w:t>
            </w:r>
          </w:p>
        </w:tc>
        <w:tc>
          <w:tcPr>
            <w:tcW w:w="8220" w:type="dxa"/>
            <w:vAlign w:val="bottom"/>
          </w:tcPr>
          <w:p>
            <w:pPr>
              <w:ind w:left="20"/>
              <w:spacing w:after="0"/>
              <w:rPr>
                <w:sz w:val="20"/>
                <w:szCs w:val="20"/>
                <w:color w:val="auto"/>
              </w:rPr>
            </w:pPr>
            <w:r>
              <w:rPr>
                <w:rFonts w:ascii="Arial" w:cs="Arial" w:eastAsia="Arial" w:hAnsi="Arial"/>
                <w:sz w:val="18"/>
                <w:szCs w:val="18"/>
                <w:color w:val="auto"/>
              </w:rPr>
              <w:t>Form of Documents Delivered to Trustee</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1.4</w:t>
            </w:r>
          </w:p>
        </w:tc>
        <w:tc>
          <w:tcPr>
            <w:tcW w:w="8220" w:type="dxa"/>
            <w:vAlign w:val="bottom"/>
          </w:tcPr>
          <w:p>
            <w:pPr>
              <w:ind w:left="20"/>
              <w:spacing w:after="0"/>
              <w:rPr>
                <w:sz w:val="20"/>
                <w:szCs w:val="20"/>
                <w:color w:val="auto"/>
              </w:rPr>
            </w:pPr>
            <w:r>
              <w:rPr>
                <w:rFonts w:ascii="Arial" w:cs="Arial" w:eastAsia="Arial" w:hAnsi="Arial"/>
                <w:sz w:val="18"/>
                <w:szCs w:val="18"/>
                <w:color w:val="auto"/>
              </w:rPr>
              <w:t>Acts of Holders; Record Dates</w:t>
            </w: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1.5</w:t>
            </w:r>
          </w:p>
        </w:tc>
        <w:tc>
          <w:tcPr>
            <w:tcW w:w="8220" w:type="dxa"/>
            <w:vAlign w:val="bottom"/>
          </w:tcPr>
          <w:p>
            <w:pPr>
              <w:ind w:left="20"/>
              <w:spacing w:after="0"/>
              <w:rPr>
                <w:sz w:val="20"/>
                <w:szCs w:val="20"/>
                <w:color w:val="auto"/>
              </w:rPr>
            </w:pPr>
            <w:r>
              <w:rPr>
                <w:rFonts w:ascii="Arial" w:cs="Arial" w:eastAsia="Arial" w:hAnsi="Arial"/>
                <w:sz w:val="18"/>
                <w:szCs w:val="18"/>
                <w:color w:val="auto"/>
              </w:rPr>
              <w:t>Notices, etc., to Trustee and Company</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1.6</w:t>
            </w:r>
          </w:p>
        </w:tc>
        <w:tc>
          <w:tcPr>
            <w:tcW w:w="8220" w:type="dxa"/>
            <w:vAlign w:val="bottom"/>
          </w:tcPr>
          <w:p>
            <w:pPr>
              <w:ind w:left="20"/>
              <w:spacing w:after="0"/>
              <w:rPr>
                <w:sz w:val="20"/>
                <w:szCs w:val="20"/>
                <w:color w:val="auto"/>
              </w:rPr>
            </w:pPr>
            <w:r>
              <w:rPr>
                <w:rFonts w:ascii="Arial" w:cs="Arial" w:eastAsia="Arial" w:hAnsi="Arial"/>
                <w:sz w:val="18"/>
                <w:szCs w:val="18"/>
                <w:color w:val="auto"/>
              </w:rPr>
              <w:t>Notice to Holders; Waiver</w:t>
            </w: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1.7</w:t>
            </w:r>
          </w:p>
        </w:tc>
        <w:tc>
          <w:tcPr>
            <w:tcW w:w="8220" w:type="dxa"/>
            <w:vAlign w:val="bottom"/>
          </w:tcPr>
          <w:p>
            <w:pPr>
              <w:ind w:left="20"/>
              <w:spacing w:after="0"/>
              <w:rPr>
                <w:sz w:val="20"/>
                <w:szCs w:val="20"/>
                <w:color w:val="auto"/>
              </w:rPr>
            </w:pPr>
            <w:r>
              <w:rPr>
                <w:rFonts w:ascii="Arial" w:cs="Arial" w:eastAsia="Arial" w:hAnsi="Arial"/>
                <w:sz w:val="18"/>
                <w:szCs w:val="18"/>
                <w:color w:val="auto"/>
              </w:rPr>
              <w:t>Conflict with Trust Indenture Act</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1.8</w:t>
            </w:r>
          </w:p>
        </w:tc>
        <w:tc>
          <w:tcPr>
            <w:tcW w:w="8220" w:type="dxa"/>
            <w:vAlign w:val="bottom"/>
          </w:tcPr>
          <w:p>
            <w:pPr>
              <w:ind w:left="20"/>
              <w:spacing w:after="0"/>
              <w:rPr>
                <w:sz w:val="20"/>
                <w:szCs w:val="20"/>
                <w:color w:val="auto"/>
              </w:rPr>
            </w:pPr>
            <w:r>
              <w:rPr>
                <w:rFonts w:ascii="Arial" w:cs="Arial" w:eastAsia="Arial" w:hAnsi="Arial"/>
                <w:sz w:val="18"/>
                <w:szCs w:val="18"/>
                <w:color w:val="auto"/>
              </w:rPr>
              <w:t>Effect of Headings and Table of Contents</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1.9</w:t>
            </w:r>
          </w:p>
        </w:tc>
        <w:tc>
          <w:tcPr>
            <w:tcW w:w="8220" w:type="dxa"/>
            <w:vAlign w:val="bottom"/>
          </w:tcPr>
          <w:p>
            <w:pPr>
              <w:ind w:left="20"/>
              <w:spacing w:after="0"/>
              <w:rPr>
                <w:sz w:val="20"/>
                <w:szCs w:val="20"/>
                <w:color w:val="auto"/>
              </w:rPr>
            </w:pPr>
            <w:r>
              <w:rPr>
                <w:rFonts w:ascii="Arial" w:cs="Arial" w:eastAsia="Arial" w:hAnsi="Arial"/>
                <w:sz w:val="18"/>
                <w:szCs w:val="18"/>
                <w:color w:val="auto"/>
              </w:rPr>
              <w:t>Successors and Assigns</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1.10</w:t>
            </w:r>
          </w:p>
        </w:tc>
        <w:tc>
          <w:tcPr>
            <w:tcW w:w="8220" w:type="dxa"/>
            <w:vAlign w:val="bottom"/>
          </w:tcPr>
          <w:p>
            <w:pPr>
              <w:ind w:left="20"/>
              <w:spacing w:after="0"/>
              <w:rPr>
                <w:sz w:val="20"/>
                <w:szCs w:val="20"/>
                <w:color w:val="auto"/>
              </w:rPr>
            </w:pPr>
            <w:r>
              <w:rPr>
                <w:rFonts w:ascii="Arial" w:cs="Arial" w:eastAsia="Arial" w:hAnsi="Arial"/>
                <w:sz w:val="18"/>
                <w:szCs w:val="18"/>
                <w:color w:val="auto"/>
              </w:rPr>
              <w:t>Separability Clause</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1.11</w:t>
            </w:r>
          </w:p>
        </w:tc>
        <w:tc>
          <w:tcPr>
            <w:tcW w:w="8220" w:type="dxa"/>
            <w:vAlign w:val="bottom"/>
          </w:tcPr>
          <w:p>
            <w:pPr>
              <w:ind w:left="20"/>
              <w:spacing w:after="0"/>
              <w:rPr>
                <w:sz w:val="20"/>
                <w:szCs w:val="20"/>
                <w:color w:val="auto"/>
              </w:rPr>
            </w:pPr>
            <w:r>
              <w:rPr>
                <w:rFonts w:ascii="Arial" w:cs="Arial" w:eastAsia="Arial" w:hAnsi="Arial"/>
                <w:sz w:val="18"/>
                <w:szCs w:val="18"/>
                <w:color w:val="auto"/>
              </w:rPr>
              <w:t>Benefits of Indenture</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1.12</w:t>
            </w:r>
          </w:p>
        </w:tc>
        <w:tc>
          <w:tcPr>
            <w:tcW w:w="8220" w:type="dxa"/>
            <w:vAlign w:val="bottom"/>
          </w:tcPr>
          <w:p>
            <w:pPr>
              <w:ind w:left="20"/>
              <w:spacing w:after="0"/>
              <w:rPr>
                <w:sz w:val="20"/>
                <w:szCs w:val="20"/>
                <w:color w:val="auto"/>
              </w:rPr>
            </w:pPr>
            <w:r>
              <w:rPr>
                <w:rFonts w:ascii="Arial" w:cs="Arial" w:eastAsia="Arial" w:hAnsi="Arial"/>
                <w:sz w:val="18"/>
                <w:szCs w:val="18"/>
                <w:color w:val="auto"/>
              </w:rPr>
              <w:t>Governing Law</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1.13</w:t>
            </w:r>
          </w:p>
        </w:tc>
        <w:tc>
          <w:tcPr>
            <w:tcW w:w="8220" w:type="dxa"/>
            <w:vAlign w:val="bottom"/>
          </w:tcPr>
          <w:p>
            <w:pPr>
              <w:ind w:left="20"/>
              <w:spacing w:after="0"/>
              <w:rPr>
                <w:sz w:val="20"/>
                <w:szCs w:val="20"/>
                <w:color w:val="auto"/>
              </w:rPr>
            </w:pPr>
            <w:r>
              <w:rPr>
                <w:rFonts w:ascii="Arial" w:cs="Arial" w:eastAsia="Arial" w:hAnsi="Arial"/>
                <w:sz w:val="18"/>
                <w:szCs w:val="18"/>
                <w:color w:val="auto"/>
              </w:rPr>
              <w:t>Legal Holidays</w:t>
            </w: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1.14</w:t>
            </w:r>
          </w:p>
        </w:tc>
        <w:tc>
          <w:tcPr>
            <w:tcW w:w="8220" w:type="dxa"/>
            <w:vAlign w:val="bottom"/>
          </w:tcPr>
          <w:p>
            <w:pPr>
              <w:ind w:left="20"/>
              <w:spacing w:after="0"/>
              <w:rPr>
                <w:sz w:val="20"/>
                <w:szCs w:val="20"/>
                <w:color w:val="auto"/>
              </w:rPr>
            </w:pPr>
            <w:r>
              <w:rPr>
                <w:rFonts w:ascii="Arial" w:cs="Arial" w:eastAsia="Arial" w:hAnsi="Arial"/>
                <w:sz w:val="18"/>
                <w:szCs w:val="18"/>
                <w:color w:val="auto"/>
              </w:rPr>
              <w:t>Indenture and Securities Solely Corporate Obligations</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480" w:type="dxa"/>
            <w:vAlign w:val="bottom"/>
          </w:tcPr>
          <w:p>
            <w:pPr>
              <w:ind w:left="660"/>
              <w:spacing w:after="0"/>
              <w:rPr>
                <w:sz w:val="20"/>
                <w:szCs w:val="20"/>
                <w:color w:val="auto"/>
              </w:rPr>
            </w:pPr>
            <w:r>
              <w:rPr>
                <w:rFonts w:ascii="Arial" w:cs="Arial" w:eastAsia="Arial" w:hAnsi="Arial"/>
                <w:sz w:val="18"/>
                <w:szCs w:val="18"/>
                <w:color w:val="auto"/>
              </w:rPr>
              <w:t>Section 1.15</w:t>
            </w:r>
          </w:p>
        </w:tc>
        <w:tc>
          <w:tcPr>
            <w:tcW w:w="8220" w:type="dxa"/>
            <w:vAlign w:val="bottom"/>
          </w:tcPr>
          <w:p>
            <w:pPr>
              <w:ind w:left="20"/>
              <w:spacing w:after="0"/>
              <w:rPr>
                <w:sz w:val="20"/>
                <w:szCs w:val="20"/>
                <w:color w:val="auto"/>
              </w:rPr>
            </w:pPr>
            <w:r>
              <w:rPr>
                <w:rFonts w:ascii="Arial" w:cs="Arial" w:eastAsia="Arial" w:hAnsi="Arial"/>
                <w:sz w:val="18"/>
                <w:szCs w:val="18"/>
                <w:color w:val="auto"/>
              </w:rPr>
              <w:t>Indenture May be Executed in Counterparts</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w w:val="95"/>
              </w:rPr>
              <w:t>ARTICLE 2 SECURITY FORMS</w:t>
            </w:r>
          </w:p>
        </w:tc>
        <w:tc>
          <w:tcPr>
            <w:tcW w:w="8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18"/>
        </w:trPr>
        <w:tc>
          <w:tcPr>
            <w:tcW w:w="2480" w:type="dxa"/>
            <w:vAlign w:val="bottom"/>
          </w:tcPr>
          <w:p>
            <w:pPr>
              <w:ind w:left="660"/>
              <w:spacing w:after="0"/>
              <w:rPr>
                <w:sz w:val="20"/>
                <w:szCs w:val="20"/>
                <w:color w:val="auto"/>
              </w:rPr>
            </w:pPr>
            <w:r>
              <w:rPr>
                <w:rFonts w:ascii="Arial" w:cs="Arial" w:eastAsia="Arial" w:hAnsi="Arial"/>
                <w:sz w:val="18"/>
                <w:szCs w:val="18"/>
                <w:color w:val="auto"/>
              </w:rPr>
              <w:t>Section 2.1</w:t>
            </w:r>
          </w:p>
        </w:tc>
        <w:tc>
          <w:tcPr>
            <w:tcW w:w="8220" w:type="dxa"/>
            <w:vAlign w:val="bottom"/>
          </w:tcPr>
          <w:p>
            <w:pPr>
              <w:ind w:left="20"/>
              <w:spacing w:after="0"/>
              <w:rPr>
                <w:sz w:val="20"/>
                <w:szCs w:val="20"/>
                <w:color w:val="auto"/>
              </w:rPr>
            </w:pPr>
            <w:r>
              <w:rPr>
                <w:rFonts w:ascii="Arial" w:cs="Arial" w:eastAsia="Arial" w:hAnsi="Arial"/>
                <w:sz w:val="18"/>
                <w:szCs w:val="18"/>
                <w:color w:val="auto"/>
              </w:rPr>
              <w:t>Forms Generally</w:t>
            </w: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2.2</w:t>
            </w:r>
          </w:p>
        </w:tc>
        <w:tc>
          <w:tcPr>
            <w:tcW w:w="8220" w:type="dxa"/>
            <w:vAlign w:val="bottom"/>
          </w:tcPr>
          <w:p>
            <w:pPr>
              <w:ind w:left="20"/>
              <w:spacing w:after="0"/>
              <w:rPr>
                <w:sz w:val="20"/>
                <w:szCs w:val="20"/>
                <w:color w:val="auto"/>
              </w:rPr>
            </w:pPr>
            <w:r>
              <w:rPr>
                <w:rFonts w:ascii="Arial" w:cs="Arial" w:eastAsia="Arial" w:hAnsi="Arial"/>
                <w:sz w:val="18"/>
                <w:szCs w:val="18"/>
                <w:color w:val="auto"/>
              </w:rPr>
              <w:t>Form of Face of Security</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2.3</w:t>
            </w:r>
          </w:p>
        </w:tc>
        <w:tc>
          <w:tcPr>
            <w:tcW w:w="8220" w:type="dxa"/>
            <w:vAlign w:val="bottom"/>
          </w:tcPr>
          <w:p>
            <w:pPr>
              <w:ind w:left="20"/>
              <w:spacing w:after="0"/>
              <w:rPr>
                <w:sz w:val="20"/>
                <w:szCs w:val="20"/>
                <w:color w:val="auto"/>
              </w:rPr>
            </w:pPr>
            <w:r>
              <w:rPr>
                <w:rFonts w:ascii="Arial" w:cs="Arial" w:eastAsia="Arial" w:hAnsi="Arial"/>
                <w:sz w:val="18"/>
                <w:szCs w:val="18"/>
                <w:color w:val="auto"/>
              </w:rPr>
              <w:t>Form of Reverse of Security</w:t>
            </w: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2.4</w:t>
            </w:r>
          </w:p>
        </w:tc>
        <w:tc>
          <w:tcPr>
            <w:tcW w:w="8220" w:type="dxa"/>
            <w:vAlign w:val="bottom"/>
          </w:tcPr>
          <w:p>
            <w:pPr>
              <w:ind w:left="20"/>
              <w:spacing w:after="0"/>
              <w:rPr>
                <w:sz w:val="20"/>
                <w:szCs w:val="20"/>
                <w:color w:val="auto"/>
              </w:rPr>
            </w:pPr>
            <w:r>
              <w:rPr>
                <w:rFonts w:ascii="Arial" w:cs="Arial" w:eastAsia="Arial" w:hAnsi="Arial"/>
                <w:sz w:val="18"/>
                <w:szCs w:val="18"/>
                <w:color w:val="auto"/>
              </w:rPr>
              <w:t>Form of Legend for Global Securities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2.5</w:t>
            </w:r>
          </w:p>
        </w:tc>
        <w:tc>
          <w:tcPr>
            <w:tcW w:w="8220" w:type="dxa"/>
            <w:vAlign w:val="bottom"/>
          </w:tcPr>
          <w:p>
            <w:pPr>
              <w:ind w:left="20"/>
              <w:spacing w:after="0"/>
              <w:rPr>
                <w:sz w:val="20"/>
                <w:szCs w:val="20"/>
                <w:color w:val="auto"/>
              </w:rPr>
            </w:pPr>
            <w:r>
              <w:rPr>
                <w:rFonts w:ascii="Arial" w:cs="Arial" w:eastAsia="Arial" w:hAnsi="Arial"/>
                <w:sz w:val="18"/>
                <w:szCs w:val="18"/>
                <w:color w:val="auto"/>
              </w:rPr>
              <w:t>Form of Trustee’s Certificate of Authentication</w:t>
            </w: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2480" w:type="dxa"/>
            <w:vAlign w:val="bottom"/>
          </w:tcPr>
          <w:p>
            <w:pPr>
              <w:ind w:left="660"/>
              <w:spacing w:after="0"/>
              <w:rPr>
                <w:sz w:val="20"/>
                <w:szCs w:val="20"/>
                <w:color w:val="auto"/>
              </w:rPr>
            </w:pPr>
            <w:r>
              <w:rPr>
                <w:rFonts w:ascii="Arial" w:cs="Arial" w:eastAsia="Arial" w:hAnsi="Arial"/>
                <w:sz w:val="18"/>
                <w:szCs w:val="18"/>
                <w:color w:val="auto"/>
              </w:rPr>
              <w:t>Section 2.6</w:t>
            </w:r>
          </w:p>
        </w:tc>
        <w:tc>
          <w:tcPr>
            <w:tcW w:w="8220" w:type="dxa"/>
            <w:vAlign w:val="bottom"/>
          </w:tcPr>
          <w:p>
            <w:pPr>
              <w:ind w:left="20"/>
              <w:spacing w:after="0"/>
              <w:rPr>
                <w:sz w:val="20"/>
                <w:szCs w:val="20"/>
                <w:color w:val="auto"/>
              </w:rPr>
            </w:pPr>
            <w:r>
              <w:rPr>
                <w:rFonts w:ascii="Arial" w:cs="Arial" w:eastAsia="Arial" w:hAnsi="Arial"/>
                <w:sz w:val="18"/>
                <w:szCs w:val="18"/>
                <w:color w:val="auto"/>
              </w:rPr>
              <w:t>Form of Conversion Notice</w:t>
            </w: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2480" w:type="dxa"/>
            <w:vAlign w:val="bottom"/>
          </w:tcPr>
          <w:p>
            <w:pPr>
              <w:spacing w:after="0"/>
              <w:rPr>
                <w:sz w:val="20"/>
                <w:szCs w:val="20"/>
                <w:color w:val="auto"/>
              </w:rPr>
            </w:pPr>
            <w:r>
              <w:rPr>
                <w:rFonts w:ascii="Arial" w:cs="Arial" w:eastAsia="Arial" w:hAnsi="Arial"/>
                <w:sz w:val="18"/>
                <w:szCs w:val="18"/>
                <w:color w:val="auto"/>
              </w:rPr>
              <w:t>ARTICLE 3 THE SECURITIES</w:t>
            </w:r>
          </w:p>
        </w:tc>
        <w:tc>
          <w:tcPr>
            <w:tcW w:w="8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18"/>
        </w:trPr>
        <w:tc>
          <w:tcPr>
            <w:tcW w:w="2480" w:type="dxa"/>
            <w:vAlign w:val="bottom"/>
          </w:tcPr>
          <w:p>
            <w:pPr>
              <w:ind w:left="660"/>
              <w:spacing w:after="0"/>
              <w:rPr>
                <w:sz w:val="20"/>
                <w:szCs w:val="20"/>
                <w:color w:val="auto"/>
              </w:rPr>
            </w:pPr>
            <w:r>
              <w:rPr>
                <w:rFonts w:ascii="Arial" w:cs="Arial" w:eastAsia="Arial" w:hAnsi="Arial"/>
                <w:sz w:val="18"/>
                <w:szCs w:val="18"/>
                <w:color w:val="auto"/>
              </w:rPr>
              <w:t>Section 3.1</w:t>
            </w:r>
          </w:p>
        </w:tc>
        <w:tc>
          <w:tcPr>
            <w:tcW w:w="8220" w:type="dxa"/>
            <w:vAlign w:val="bottom"/>
          </w:tcPr>
          <w:p>
            <w:pPr>
              <w:ind w:left="20"/>
              <w:spacing w:after="0"/>
              <w:rPr>
                <w:sz w:val="20"/>
                <w:szCs w:val="20"/>
                <w:color w:val="auto"/>
              </w:rPr>
            </w:pPr>
            <w:r>
              <w:rPr>
                <w:rFonts w:ascii="Arial" w:cs="Arial" w:eastAsia="Arial" w:hAnsi="Arial"/>
                <w:sz w:val="18"/>
                <w:szCs w:val="18"/>
                <w:color w:val="auto"/>
              </w:rPr>
              <w:t>Amount Unlimited; Issuable in Series</w:t>
            </w:r>
          </w:p>
        </w:tc>
        <w:tc>
          <w:tcPr>
            <w:tcW w:w="7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3.2</w:t>
            </w:r>
          </w:p>
        </w:tc>
        <w:tc>
          <w:tcPr>
            <w:tcW w:w="8220" w:type="dxa"/>
            <w:vAlign w:val="bottom"/>
          </w:tcPr>
          <w:p>
            <w:pPr>
              <w:ind w:left="20"/>
              <w:spacing w:after="0"/>
              <w:rPr>
                <w:sz w:val="20"/>
                <w:szCs w:val="20"/>
                <w:color w:val="auto"/>
              </w:rPr>
            </w:pPr>
            <w:r>
              <w:rPr>
                <w:rFonts w:ascii="Arial" w:cs="Arial" w:eastAsia="Arial" w:hAnsi="Arial"/>
                <w:sz w:val="18"/>
                <w:szCs w:val="18"/>
                <w:color w:val="auto"/>
              </w:rPr>
              <w:t>Denominations</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3.3</w:t>
            </w:r>
          </w:p>
        </w:tc>
        <w:tc>
          <w:tcPr>
            <w:tcW w:w="8220" w:type="dxa"/>
            <w:vAlign w:val="bottom"/>
          </w:tcPr>
          <w:p>
            <w:pPr>
              <w:ind w:left="20"/>
              <w:spacing w:after="0"/>
              <w:rPr>
                <w:sz w:val="20"/>
                <w:szCs w:val="20"/>
                <w:color w:val="auto"/>
              </w:rPr>
            </w:pPr>
            <w:r>
              <w:rPr>
                <w:rFonts w:ascii="Arial" w:cs="Arial" w:eastAsia="Arial" w:hAnsi="Arial"/>
                <w:sz w:val="18"/>
                <w:szCs w:val="18"/>
                <w:color w:val="auto"/>
              </w:rPr>
              <w:t>Execution, Authentication, Delivery and Dating</w:t>
            </w: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3.4</w:t>
            </w:r>
          </w:p>
        </w:tc>
        <w:tc>
          <w:tcPr>
            <w:tcW w:w="8220" w:type="dxa"/>
            <w:vAlign w:val="bottom"/>
          </w:tcPr>
          <w:p>
            <w:pPr>
              <w:ind w:left="20"/>
              <w:spacing w:after="0"/>
              <w:rPr>
                <w:sz w:val="20"/>
                <w:szCs w:val="20"/>
                <w:color w:val="auto"/>
              </w:rPr>
            </w:pPr>
            <w:r>
              <w:rPr>
                <w:rFonts w:ascii="Arial" w:cs="Arial" w:eastAsia="Arial" w:hAnsi="Arial"/>
                <w:sz w:val="18"/>
                <w:szCs w:val="18"/>
                <w:color w:val="auto"/>
              </w:rPr>
              <w:t>Temporary Securities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3.5</w:t>
            </w:r>
          </w:p>
        </w:tc>
        <w:tc>
          <w:tcPr>
            <w:tcW w:w="8220" w:type="dxa"/>
            <w:vAlign w:val="bottom"/>
          </w:tcPr>
          <w:p>
            <w:pPr>
              <w:ind w:left="20"/>
              <w:spacing w:after="0"/>
              <w:rPr>
                <w:sz w:val="20"/>
                <w:szCs w:val="20"/>
                <w:color w:val="auto"/>
              </w:rPr>
            </w:pPr>
            <w:r>
              <w:rPr>
                <w:rFonts w:ascii="Arial" w:cs="Arial" w:eastAsia="Arial" w:hAnsi="Arial"/>
                <w:sz w:val="18"/>
                <w:szCs w:val="18"/>
                <w:color w:val="auto"/>
              </w:rPr>
              <w:t>Registration; Registration of Transfer and Exchange</w:t>
            </w:r>
          </w:p>
        </w:tc>
        <w:tc>
          <w:tcPr>
            <w:tcW w:w="7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3.6</w:t>
            </w:r>
          </w:p>
        </w:tc>
        <w:tc>
          <w:tcPr>
            <w:tcW w:w="8220" w:type="dxa"/>
            <w:vAlign w:val="bottom"/>
          </w:tcPr>
          <w:p>
            <w:pPr>
              <w:ind w:left="20"/>
              <w:spacing w:after="0"/>
              <w:rPr>
                <w:sz w:val="20"/>
                <w:szCs w:val="20"/>
                <w:color w:val="auto"/>
              </w:rPr>
            </w:pPr>
            <w:r>
              <w:rPr>
                <w:rFonts w:ascii="Arial" w:cs="Arial" w:eastAsia="Arial" w:hAnsi="Arial"/>
                <w:sz w:val="18"/>
                <w:szCs w:val="18"/>
                <w:color w:val="auto"/>
              </w:rPr>
              <w:t>Mutilated, Destroyed, Lost and Stolen Securities</w:t>
            </w:r>
          </w:p>
        </w:tc>
        <w:tc>
          <w:tcPr>
            <w:tcW w:w="7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3.7</w:t>
            </w:r>
          </w:p>
        </w:tc>
        <w:tc>
          <w:tcPr>
            <w:tcW w:w="8220" w:type="dxa"/>
            <w:vAlign w:val="bottom"/>
          </w:tcPr>
          <w:p>
            <w:pPr>
              <w:ind w:left="20"/>
              <w:spacing w:after="0"/>
              <w:rPr>
                <w:sz w:val="20"/>
                <w:szCs w:val="20"/>
                <w:color w:val="auto"/>
              </w:rPr>
            </w:pPr>
            <w:r>
              <w:rPr>
                <w:rFonts w:ascii="Arial" w:cs="Arial" w:eastAsia="Arial" w:hAnsi="Arial"/>
                <w:sz w:val="18"/>
                <w:szCs w:val="18"/>
                <w:color w:val="auto"/>
              </w:rPr>
              <w:t>Payment of Interest; Interest Rights Preserved</w:t>
            </w: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3.8</w:t>
            </w:r>
          </w:p>
        </w:tc>
        <w:tc>
          <w:tcPr>
            <w:tcW w:w="8220" w:type="dxa"/>
            <w:vAlign w:val="bottom"/>
          </w:tcPr>
          <w:p>
            <w:pPr>
              <w:ind w:left="20"/>
              <w:spacing w:after="0"/>
              <w:rPr>
                <w:sz w:val="20"/>
                <w:szCs w:val="20"/>
                <w:color w:val="auto"/>
              </w:rPr>
            </w:pPr>
            <w:r>
              <w:rPr>
                <w:rFonts w:ascii="Arial" w:cs="Arial" w:eastAsia="Arial" w:hAnsi="Arial"/>
                <w:sz w:val="18"/>
                <w:szCs w:val="18"/>
                <w:color w:val="auto"/>
              </w:rPr>
              <w:t>Persons Deemed Owners</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2480" w:type="dxa"/>
            <w:vAlign w:val="bottom"/>
          </w:tcPr>
          <w:p>
            <w:pPr>
              <w:ind w:left="660"/>
              <w:spacing w:after="0"/>
              <w:rPr>
                <w:sz w:val="20"/>
                <w:szCs w:val="20"/>
                <w:color w:val="auto"/>
              </w:rPr>
            </w:pPr>
            <w:r>
              <w:rPr>
                <w:rFonts w:ascii="Arial" w:cs="Arial" w:eastAsia="Arial" w:hAnsi="Arial"/>
                <w:sz w:val="18"/>
                <w:szCs w:val="18"/>
                <w:color w:val="auto"/>
              </w:rPr>
              <w:t>Section 3.9</w:t>
            </w:r>
          </w:p>
        </w:tc>
        <w:tc>
          <w:tcPr>
            <w:tcW w:w="8220" w:type="dxa"/>
            <w:vAlign w:val="bottom"/>
          </w:tcPr>
          <w:p>
            <w:pPr>
              <w:ind w:left="20"/>
              <w:spacing w:after="0"/>
              <w:rPr>
                <w:sz w:val="20"/>
                <w:szCs w:val="20"/>
                <w:color w:val="auto"/>
              </w:rPr>
            </w:pPr>
            <w:r>
              <w:rPr>
                <w:rFonts w:ascii="Arial" w:cs="Arial" w:eastAsia="Arial" w:hAnsi="Arial"/>
                <w:sz w:val="18"/>
                <w:szCs w:val="18"/>
                <w:color w:val="auto"/>
              </w:rPr>
              <w:t>Cancellation</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2480" w:type="dxa"/>
            <w:vAlign w:val="bottom"/>
          </w:tcPr>
          <w:p>
            <w:pPr>
              <w:ind w:left="660"/>
              <w:spacing w:after="0"/>
              <w:rPr>
                <w:sz w:val="20"/>
                <w:szCs w:val="20"/>
                <w:color w:val="auto"/>
              </w:rPr>
            </w:pPr>
            <w:r>
              <w:rPr>
                <w:rFonts w:ascii="Arial" w:cs="Arial" w:eastAsia="Arial" w:hAnsi="Arial"/>
                <w:sz w:val="18"/>
                <w:szCs w:val="18"/>
                <w:color w:val="auto"/>
              </w:rPr>
              <w:t>Section 3.10</w:t>
            </w:r>
          </w:p>
        </w:tc>
        <w:tc>
          <w:tcPr>
            <w:tcW w:w="8220" w:type="dxa"/>
            <w:vAlign w:val="bottom"/>
          </w:tcPr>
          <w:p>
            <w:pPr>
              <w:ind w:left="20"/>
              <w:spacing w:after="0"/>
              <w:rPr>
                <w:sz w:val="20"/>
                <w:szCs w:val="20"/>
                <w:color w:val="auto"/>
              </w:rPr>
            </w:pPr>
            <w:r>
              <w:rPr>
                <w:rFonts w:ascii="Arial" w:cs="Arial" w:eastAsia="Arial" w:hAnsi="Arial"/>
                <w:sz w:val="18"/>
                <w:szCs w:val="18"/>
                <w:color w:val="auto"/>
              </w:rPr>
              <w:t>Computation of Interest</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4 SATISFACTION AND DISCHARGE</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2480" w:type="dxa"/>
            <w:vAlign w:val="bottom"/>
          </w:tcPr>
          <w:p>
            <w:pPr>
              <w:ind w:left="660"/>
              <w:spacing w:after="0"/>
              <w:rPr>
                <w:sz w:val="20"/>
                <w:szCs w:val="20"/>
                <w:color w:val="auto"/>
              </w:rPr>
            </w:pPr>
            <w:r>
              <w:rPr>
                <w:rFonts w:ascii="Arial" w:cs="Arial" w:eastAsia="Arial" w:hAnsi="Arial"/>
                <w:sz w:val="18"/>
                <w:szCs w:val="18"/>
                <w:color w:val="auto"/>
              </w:rPr>
              <w:t>Section 4.1</w:t>
            </w:r>
          </w:p>
        </w:tc>
        <w:tc>
          <w:tcPr>
            <w:tcW w:w="8220" w:type="dxa"/>
            <w:vAlign w:val="bottom"/>
          </w:tcPr>
          <w:p>
            <w:pPr>
              <w:ind w:left="20"/>
              <w:spacing w:after="0"/>
              <w:rPr>
                <w:sz w:val="20"/>
                <w:szCs w:val="20"/>
                <w:color w:val="auto"/>
              </w:rPr>
            </w:pPr>
            <w:r>
              <w:rPr>
                <w:rFonts w:ascii="Arial" w:cs="Arial" w:eastAsia="Arial" w:hAnsi="Arial"/>
                <w:sz w:val="18"/>
                <w:szCs w:val="18"/>
                <w:color w:val="auto"/>
              </w:rPr>
              <w:t>Satisfaction and Discharge of Indenture</w:t>
            </w:r>
          </w:p>
        </w:tc>
        <w:tc>
          <w:tcPr>
            <w:tcW w:w="7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ectPr>
          <w:pgSz w:w="11900" w:h="16838" w:orient="portrait"/>
          <w:cols w:equalWidth="0" w:num="1">
            <w:col w:w="11420"/>
          </w:cols>
          <w:pgMar w:left="240" w:top="364" w:right="239" w:bottom="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71"/>
        </w:trPr>
        <w:tc>
          <w:tcPr>
            <w:tcW w:w="23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2320" w:type="dxa"/>
            <w:vAlign w:val="bottom"/>
          </w:tcPr>
          <w:p>
            <w:pPr>
              <w:ind w:left="660"/>
              <w:spacing w:after="0"/>
              <w:rPr>
                <w:sz w:val="20"/>
                <w:szCs w:val="20"/>
                <w:color w:val="auto"/>
              </w:rPr>
            </w:pPr>
            <w:r>
              <w:rPr>
                <w:rFonts w:ascii="Arial" w:cs="Arial" w:eastAsia="Arial" w:hAnsi="Arial"/>
                <w:sz w:val="18"/>
                <w:szCs w:val="18"/>
                <w:color w:val="auto"/>
              </w:rPr>
              <w:t>Section 4.2</w:t>
            </w:r>
          </w:p>
        </w:tc>
        <w:tc>
          <w:tcPr>
            <w:tcW w:w="8380" w:type="dxa"/>
            <w:vAlign w:val="bottom"/>
          </w:tcPr>
          <w:p>
            <w:pPr>
              <w:ind w:left="180"/>
              <w:spacing w:after="0"/>
              <w:rPr>
                <w:sz w:val="20"/>
                <w:szCs w:val="20"/>
                <w:color w:val="auto"/>
              </w:rPr>
            </w:pPr>
            <w:r>
              <w:rPr>
                <w:rFonts w:ascii="Arial" w:cs="Arial" w:eastAsia="Arial" w:hAnsi="Arial"/>
                <w:sz w:val="18"/>
                <w:szCs w:val="18"/>
                <w:color w:val="auto"/>
              </w:rPr>
              <w:t>Application of Trust Money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34</w:t>
            </w: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ARTICLE 5 REMEDIES</w:t>
            </w:r>
          </w:p>
        </w:tc>
        <w:tc>
          <w:tcPr>
            <w:tcW w:w="83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418"/>
        </w:trPr>
        <w:tc>
          <w:tcPr>
            <w:tcW w:w="2320" w:type="dxa"/>
            <w:vAlign w:val="bottom"/>
          </w:tcPr>
          <w:p>
            <w:pPr>
              <w:ind w:left="660"/>
              <w:spacing w:after="0"/>
              <w:rPr>
                <w:sz w:val="20"/>
                <w:szCs w:val="20"/>
                <w:color w:val="auto"/>
              </w:rPr>
            </w:pPr>
            <w:r>
              <w:rPr>
                <w:rFonts w:ascii="Arial" w:cs="Arial" w:eastAsia="Arial" w:hAnsi="Arial"/>
                <w:sz w:val="18"/>
                <w:szCs w:val="18"/>
                <w:color w:val="auto"/>
              </w:rPr>
              <w:t>Section 5.1</w:t>
            </w:r>
          </w:p>
        </w:tc>
        <w:tc>
          <w:tcPr>
            <w:tcW w:w="8380" w:type="dxa"/>
            <w:vAlign w:val="bottom"/>
          </w:tcPr>
          <w:p>
            <w:pPr>
              <w:ind w:left="180"/>
              <w:spacing w:after="0"/>
              <w:rPr>
                <w:sz w:val="20"/>
                <w:szCs w:val="20"/>
                <w:color w:val="auto"/>
              </w:rPr>
            </w:pPr>
            <w:r>
              <w:rPr>
                <w:rFonts w:ascii="Arial" w:cs="Arial" w:eastAsia="Arial" w:hAnsi="Arial"/>
                <w:sz w:val="18"/>
                <w:szCs w:val="18"/>
                <w:color w:val="auto"/>
              </w:rPr>
              <w:t>Events of Default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5.2</w:t>
            </w:r>
          </w:p>
        </w:tc>
        <w:tc>
          <w:tcPr>
            <w:tcW w:w="8380" w:type="dxa"/>
            <w:vAlign w:val="bottom"/>
          </w:tcPr>
          <w:p>
            <w:pPr>
              <w:ind w:left="180"/>
              <w:spacing w:after="0"/>
              <w:rPr>
                <w:sz w:val="20"/>
                <w:szCs w:val="20"/>
                <w:color w:val="auto"/>
              </w:rPr>
            </w:pPr>
            <w:r>
              <w:rPr>
                <w:rFonts w:ascii="Arial" w:cs="Arial" w:eastAsia="Arial" w:hAnsi="Arial"/>
                <w:sz w:val="18"/>
                <w:szCs w:val="18"/>
                <w:color w:val="auto"/>
              </w:rPr>
              <w:t>Acceleration of Maturity; Rescission and Annulment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5.3</w:t>
            </w:r>
          </w:p>
        </w:tc>
        <w:tc>
          <w:tcPr>
            <w:tcW w:w="8380" w:type="dxa"/>
            <w:vAlign w:val="bottom"/>
          </w:tcPr>
          <w:p>
            <w:pPr>
              <w:ind w:left="180"/>
              <w:spacing w:after="0"/>
              <w:rPr>
                <w:sz w:val="20"/>
                <w:szCs w:val="20"/>
                <w:color w:val="auto"/>
              </w:rPr>
            </w:pPr>
            <w:r>
              <w:rPr>
                <w:rFonts w:ascii="Arial" w:cs="Arial" w:eastAsia="Arial" w:hAnsi="Arial"/>
                <w:sz w:val="18"/>
                <w:szCs w:val="18"/>
                <w:color w:val="auto"/>
              </w:rPr>
              <w:t>Collection of Indebtedness and Suits for Enforcement by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5.4</w:t>
            </w:r>
          </w:p>
        </w:tc>
        <w:tc>
          <w:tcPr>
            <w:tcW w:w="8380" w:type="dxa"/>
            <w:vAlign w:val="bottom"/>
          </w:tcPr>
          <w:p>
            <w:pPr>
              <w:ind w:left="180"/>
              <w:spacing w:after="0"/>
              <w:rPr>
                <w:sz w:val="20"/>
                <w:szCs w:val="20"/>
                <w:color w:val="auto"/>
              </w:rPr>
            </w:pPr>
            <w:r>
              <w:rPr>
                <w:rFonts w:ascii="Arial" w:cs="Arial" w:eastAsia="Arial" w:hAnsi="Arial"/>
                <w:sz w:val="18"/>
                <w:szCs w:val="18"/>
                <w:color w:val="auto"/>
              </w:rPr>
              <w:t>Trustee May File Proofs of Claim</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5.5</w:t>
            </w:r>
          </w:p>
        </w:tc>
        <w:tc>
          <w:tcPr>
            <w:tcW w:w="8380" w:type="dxa"/>
            <w:vAlign w:val="bottom"/>
          </w:tcPr>
          <w:p>
            <w:pPr>
              <w:ind w:left="180"/>
              <w:spacing w:after="0"/>
              <w:rPr>
                <w:sz w:val="20"/>
                <w:szCs w:val="20"/>
                <w:color w:val="auto"/>
              </w:rPr>
            </w:pPr>
            <w:r>
              <w:rPr>
                <w:rFonts w:ascii="Arial" w:cs="Arial" w:eastAsia="Arial" w:hAnsi="Arial"/>
                <w:sz w:val="18"/>
                <w:szCs w:val="18"/>
                <w:color w:val="auto"/>
              </w:rPr>
              <w:t>Trustee May Enforce Claims Without Possession of Securities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5.6</w:t>
            </w:r>
          </w:p>
        </w:tc>
        <w:tc>
          <w:tcPr>
            <w:tcW w:w="8380" w:type="dxa"/>
            <w:vAlign w:val="bottom"/>
          </w:tcPr>
          <w:p>
            <w:pPr>
              <w:ind w:left="180"/>
              <w:spacing w:after="0"/>
              <w:rPr>
                <w:sz w:val="20"/>
                <w:szCs w:val="20"/>
                <w:color w:val="auto"/>
              </w:rPr>
            </w:pPr>
            <w:r>
              <w:rPr>
                <w:rFonts w:ascii="Arial" w:cs="Arial" w:eastAsia="Arial" w:hAnsi="Arial"/>
                <w:sz w:val="18"/>
                <w:szCs w:val="18"/>
                <w:color w:val="auto"/>
              </w:rPr>
              <w:t>Application of Money Collected</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5.7</w:t>
            </w:r>
          </w:p>
        </w:tc>
        <w:tc>
          <w:tcPr>
            <w:tcW w:w="8380" w:type="dxa"/>
            <w:vAlign w:val="bottom"/>
          </w:tcPr>
          <w:p>
            <w:pPr>
              <w:ind w:left="180"/>
              <w:spacing w:after="0"/>
              <w:rPr>
                <w:sz w:val="20"/>
                <w:szCs w:val="20"/>
                <w:color w:val="auto"/>
              </w:rPr>
            </w:pPr>
            <w:r>
              <w:rPr>
                <w:rFonts w:ascii="Arial" w:cs="Arial" w:eastAsia="Arial" w:hAnsi="Arial"/>
                <w:sz w:val="18"/>
                <w:szCs w:val="18"/>
                <w:color w:val="auto"/>
              </w:rPr>
              <w:t>Limitation on Suits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5.8</w:t>
            </w:r>
          </w:p>
        </w:tc>
        <w:tc>
          <w:tcPr>
            <w:tcW w:w="8380" w:type="dxa"/>
            <w:vAlign w:val="bottom"/>
          </w:tcPr>
          <w:p>
            <w:pPr>
              <w:ind w:left="18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5.9</w:t>
            </w:r>
          </w:p>
        </w:tc>
        <w:tc>
          <w:tcPr>
            <w:tcW w:w="8380" w:type="dxa"/>
            <w:vAlign w:val="bottom"/>
          </w:tcPr>
          <w:p>
            <w:pPr>
              <w:ind w:left="180"/>
              <w:spacing w:after="0"/>
              <w:rPr>
                <w:sz w:val="20"/>
                <w:szCs w:val="20"/>
                <w:color w:val="auto"/>
              </w:rPr>
            </w:pPr>
            <w:r>
              <w:rPr>
                <w:rFonts w:ascii="Arial" w:cs="Arial" w:eastAsia="Arial" w:hAnsi="Arial"/>
                <w:sz w:val="18"/>
                <w:szCs w:val="18"/>
                <w:color w:val="auto"/>
              </w:rPr>
              <w:t>Restoration of Rights and Remedies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5.10</w:t>
            </w:r>
          </w:p>
        </w:tc>
        <w:tc>
          <w:tcPr>
            <w:tcW w:w="8380" w:type="dxa"/>
            <w:vAlign w:val="bottom"/>
          </w:tcPr>
          <w:p>
            <w:pPr>
              <w:ind w:left="180"/>
              <w:spacing w:after="0"/>
              <w:rPr>
                <w:sz w:val="20"/>
                <w:szCs w:val="20"/>
                <w:color w:val="auto"/>
              </w:rPr>
            </w:pPr>
            <w:r>
              <w:rPr>
                <w:rFonts w:ascii="Arial" w:cs="Arial" w:eastAsia="Arial" w:hAnsi="Arial"/>
                <w:sz w:val="18"/>
                <w:szCs w:val="18"/>
                <w:color w:val="auto"/>
              </w:rPr>
              <w:t>Rights and Remedies Cumulative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5.11</w:t>
            </w:r>
          </w:p>
        </w:tc>
        <w:tc>
          <w:tcPr>
            <w:tcW w:w="8380" w:type="dxa"/>
            <w:vAlign w:val="bottom"/>
          </w:tcPr>
          <w:p>
            <w:pPr>
              <w:ind w:left="180"/>
              <w:spacing w:after="0"/>
              <w:rPr>
                <w:sz w:val="20"/>
                <w:szCs w:val="20"/>
                <w:color w:val="auto"/>
              </w:rPr>
            </w:pPr>
            <w:r>
              <w:rPr>
                <w:rFonts w:ascii="Arial" w:cs="Arial" w:eastAsia="Arial" w:hAnsi="Arial"/>
                <w:sz w:val="18"/>
                <w:szCs w:val="18"/>
                <w:color w:val="auto"/>
              </w:rPr>
              <w:t>Delay or Omission Not Waiver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5.12</w:t>
            </w:r>
          </w:p>
        </w:tc>
        <w:tc>
          <w:tcPr>
            <w:tcW w:w="8380" w:type="dxa"/>
            <w:vAlign w:val="bottom"/>
          </w:tcPr>
          <w:p>
            <w:pPr>
              <w:ind w:left="180"/>
              <w:spacing w:after="0"/>
              <w:rPr>
                <w:sz w:val="20"/>
                <w:szCs w:val="20"/>
                <w:color w:val="auto"/>
              </w:rPr>
            </w:pPr>
            <w:r>
              <w:rPr>
                <w:rFonts w:ascii="Arial" w:cs="Arial" w:eastAsia="Arial" w:hAnsi="Arial"/>
                <w:sz w:val="18"/>
                <w:szCs w:val="18"/>
                <w:color w:val="auto"/>
              </w:rPr>
              <w:t>Control by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5.13</w:t>
            </w:r>
          </w:p>
        </w:tc>
        <w:tc>
          <w:tcPr>
            <w:tcW w:w="8380" w:type="dxa"/>
            <w:vAlign w:val="bottom"/>
          </w:tcPr>
          <w:p>
            <w:pPr>
              <w:ind w:left="180"/>
              <w:spacing w:after="0"/>
              <w:rPr>
                <w:sz w:val="20"/>
                <w:szCs w:val="20"/>
                <w:color w:val="auto"/>
              </w:rPr>
            </w:pPr>
            <w:r>
              <w:rPr>
                <w:rFonts w:ascii="Arial" w:cs="Arial" w:eastAsia="Arial" w:hAnsi="Arial"/>
                <w:sz w:val="18"/>
                <w:szCs w:val="18"/>
                <w:color w:val="auto"/>
              </w:rPr>
              <w:t>Waiver of Past Defaults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5.14</w:t>
            </w:r>
          </w:p>
        </w:tc>
        <w:tc>
          <w:tcPr>
            <w:tcW w:w="8380" w:type="dxa"/>
            <w:vAlign w:val="bottom"/>
          </w:tcPr>
          <w:p>
            <w:pPr>
              <w:ind w:left="180"/>
              <w:spacing w:after="0"/>
              <w:rPr>
                <w:sz w:val="20"/>
                <w:szCs w:val="20"/>
                <w:color w:val="auto"/>
              </w:rPr>
            </w:pPr>
            <w:r>
              <w:rPr>
                <w:rFonts w:ascii="Arial" w:cs="Arial" w:eastAsia="Arial" w:hAnsi="Arial"/>
                <w:sz w:val="18"/>
                <w:szCs w:val="18"/>
                <w:color w:val="auto"/>
              </w:rPr>
              <w:t>Undertaking for Costs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30"/>
        </w:trPr>
        <w:tc>
          <w:tcPr>
            <w:tcW w:w="2320" w:type="dxa"/>
            <w:vAlign w:val="bottom"/>
          </w:tcPr>
          <w:p>
            <w:pPr>
              <w:ind w:left="660"/>
              <w:spacing w:after="0"/>
              <w:rPr>
                <w:sz w:val="20"/>
                <w:szCs w:val="20"/>
                <w:color w:val="auto"/>
              </w:rPr>
            </w:pPr>
            <w:r>
              <w:rPr>
                <w:rFonts w:ascii="Arial" w:cs="Arial" w:eastAsia="Arial" w:hAnsi="Arial"/>
                <w:sz w:val="18"/>
                <w:szCs w:val="18"/>
                <w:color w:val="auto"/>
              </w:rPr>
              <w:t>Section 5.15</w:t>
            </w:r>
          </w:p>
        </w:tc>
        <w:tc>
          <w:tcPr>
            <w:tcW w:w="8380" w:type="dxa"/>
            <w:vAlign w:val="bottom"/>
          </w:tcPr>
          <w:p>
            <w:pPr>
              <w:ind w:left="180"/>
              <w:spacing w:after="0"/>
              <w:rPr>
                <w:sz w:val="20"/>
                <w:szCs w:val="20"/>
                <w:color w:val="auto"/>
              </w:rPr>
            </w:pPr>
            <w:r>
              <w:rPr>
                <w:rFonts w:ascii="Arial" w:cs="Arial" w:eastAsia="Arial" w:hAnsi="Arial"/>
                <w:sz w:val="18"/>
                <w:szCs w:val="18"/>
                <w:color w:val="auto"/>
              </w:rPr>
              <w:t>Waiver of Usury, Stay or Extension Laws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ARTICLE 6 THE TRUSTEE</w:t>
            </w:r>
          </w:p>
        </w:tc>
        <w:tc>
          <w:tcPr>
            <w:tcW w:w="83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418"/>
        </w:trPr>
        <w:tc>
          <w:tcPr>
            <w:tcW w:w="2320" w:type="dxa"/>
            <w:vAlign w:val="bottom"/>
          </w:tcPr>
          <w:p>
            <w:pPr>
              <w:ind w:left="660"/>
              <w:spacing w:after="0"/>
              <w:rPr>
                <w:sz w:val="20"/>
                <w:szCs w:val="20"/>
                <w:color w:val="auto"/>
              </w:rPr>
            </w:pPr>
            <w:r>
              <w:rPr>
                <w:rFonts w:ascii="Arial" w:cs="Arial" w:eastAsia="Arial" w:hAnsi="Arial"/>
                <w:sz w:val="18"/>
                <w:szCs w:val="18"/>
                <w:color w:val="auto"/>
              </w:rPr>
              <w:t>Section 6.1</w:t>
            </w:r>
          </w:p>
        </w:tc>
        <w:tc>
          <w:tcPr>
            <w:tcW w:w="8380" w:type="dxa"/>
            <w:vAlign w:val="bottom"/>
          </w:tcPr>
          <w:p>
            <w:pPr>
              <w:ind w:left="180"/>
              <w:spacing w:after="0"/>
              <w:rPr>
                <w:sz w:val="20"/>
                <w:szCs w:val="20"/>
                <w:color w:val="auto"/>
              </w:rPr>
            </w:pPr>
            <w:r>
              <w:rPr>
                <w:rFonts w:ascii="Arial" w:cs="Arial" w:eastAsia="Arial" w:hAnsi="Arial"/>
                <w:sz w:val="18"/>
                <w:szCs w:val="18"/>
                <w:color w:val="auto"/>
              </w:rPr>
              <w:t>Certain Duties and Responsibilities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6.2</w:t>
            </w:r>
          </w:p>
        </w:tc>
        <w:tc>
          <w:tcPr>
            <w:tcW w:w="8380" w:type="dxa"/>
            <w:vAlign w:val="bottom"/>
          </w:tcPr>
          <w:p>
            <w:pPr>
              <w:ind w:left="180"/>
              <w:spacing w:after="0"/>
              <w:rPr>
                <w:sz w:val="20"/>
                <w:szCs w:val="20"/>
                <w:color w:val="auto"/>
              </w:rPr>
            </w:pPr>
            <w:r>
              <w:rPr>
                <w:rFonts w:ascii="Arial" w:cs="Arial" w:eastAsia="Arial" w:hAnsi="Arial"/>
                <w:sz w:val="18"/>
                <w:szCs w:val="18"/>
                <w:color w:val="auto"/>
              </w:rPr>
              <w:t>Notice of Defaults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6.3</w:t>
            </w:r>
          </w:p>
        </w:tc>
        <w:tc>
          <w:tcPr>
            <w:tcW w:w="8380" w:type="dxa"/>
            <w:vAlign w:val="bottom"/>
          </w:tcPr>
          <w:p>
            <w:pPr>
              <w:ind w:left="180"/>
              <w:spacing w:after="0"/>
              <w:rPr>
                <w:sz w:val="20"/>
                <w:szCs w:val="20"/>
                <w:color w:val="auto"/>
              </w:rPr>
            </w:pPr>
            <w:r>
              <w:rPr>
                <w:rFonts w:ascii="Arial" w:cs="Arial" w:eastAsia="Arial" w:hAnsi="Arial"/>
                <w:sz w:val="18"/>
                <w:szCs w:val="18"/>
                <w:color w:val="auto"/>
              </w:rPr>
              <w:t>Certain Rights of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6.4</w:t>
            </w:r>
          </w:p>
        </w:tc>
        <w:tc>
          <w:tcPr>
            <w:tcW w:w="8380" w:type="dxa"/>
            <w:vAlign w:val="bottom"/>
          </w:tcPr>
          <w:p>
            <w:pPr>
              <w:ind w:left="180"/>
              <w:spacing w:after="0"/>
              <w:rPr>
                <w:sz w:val="20"/>
                <w:szCs w:val="20"/>
                <w:color w:val="auto"/>
              </w:rPr>
            </w:pPr>
            <w:r>
              <w:rPr>
                <w:rFonts w:ascii="Arial" w:cs="Arial" w:eastAsia="Arial" w:hAnsi="Arial"/>
                <w:sz w:val="18"/>
                <w:szCs w:val="18"/>
                <w:color w:val="auto"/>
              </w:rPr>
              <w:t>Not Responsible for Recitals or Issuance of Securities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6.5</w:t>
            </w:r>
          </w:p>
        </w:tc>
        <w:tc>
          <w:tcPr>
            <w:tcW w:w="8380" w:type="dxa"/>
            <w:vAlign w:val="bottom"/>
          </w:tcPr>
          <w:p>
            <w:pPr>
              <w:ind w:left="180"/>
              <w:spacing w:after="0"/>
              <w:rPr>
                <w:sz w:val="20"/>
                <w:szCs w:val="20"/>
                <w:color w:val="auto"/>
              </w:rPr>
            </w:pPr>
            <w:r>
              <w:rPr>
                <w:rFonts w:ascii="Arial" w:cs="Arial" w:eastAsia="Arial" w:hAnsi="Arial"/>
                <w:sz w:val="18"/>
                <w:szCs w:val="18"/>
                <w:color w:val="auto"/>
              </w:rPr>
              <w:t>May Hold Securities and Act as Trustee under Other Indentures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6.6</w:t>
            </w:r>
          </w:p>
        </w:tc>
        <w:tc>
          <w:tcPr>
            <w:tcW w:w="8380" w:type="dxa"/>
            <w:vAlign w:val="bottom"/>
          </w:tcPr>
          <w:p>
            <w:pPr>
              <w:ind w:left="180"/>
              <w:spacing w:after="0"/>
              <w:rPr>
                <w:sz w:val="20"/>
                <w:szCs w:val="20"/>
                <w:color w:val="auto"/>
              </w:rPr>
            </w:pPr>
            <w:r>
              <w:rPr>
                <w:rFonts w:ascii="Arial" w:cs="Arial" w:eastAsia="Arial" w:hAnsi="Arial"/>
                <w:sz w:val="18"/>
                <w:szCs w:val="18"/>
                <w:color w:val="auto"/>
              </w:rPr>
              <w:t>Money Held in Trust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6.7</w:t>
            </w:r>
          </w:p>
        </w:tc>
        <w:tc>
          <w:tcPr>
            <w:tcW w:w="8380" w:type="dxa"/>
            <w:vAlign w:val="bottom"/>
          </w:tcPr>
          <w:p>
            <w:pPr>
              <w:ind w:left="180"/>
              <w:spacing w:after="0"/>
              <w:rPr>
                <w:sz w:val="20"/>
                <w:szCs w:val="20"/>
                <w:color w:val="auto"/>
              </w:rPr>
            </w:pPr>
            <w:r>
              <w:rPr>
                <w:rFonts w:ascii="Arial" w:cs="Arial" w:eastAsia="Arial" w:hAnsi="Arial"/>
                <w:sz w:val="18"/>
                <w:szCs w:val="18"/>
                <w:color w:val="auto"/>
              </w:rPr>
              <w:t>Compensation and Reimbursement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6.8</w:t>
            </w:r>
          </w:p>
        </w:tc>
        <w:tc>
          <w:tcPr>
            <w:tcW w:w="8380" w:type="dxa"/>
            <w:vAlign w:val="bottom"/>
          </w:tcPr>
          <w:p>
            <w:pPr>
              <w:ind w:left="180"/>
              <w:spacing w:after="0"/>
              <w:rPr>
                <w:sz w:val="20"/>
                <w:szCs w:val="20"/>
                <w:color w:val="auto"/>
              </w:rPr>
            </w:pPr>
            <w:r>
              <w:rPr>
                <w:rFonts w:ascii="Arial" w:cs="Arial" w:eastAsia="Arial" w:hAnsi="Arial"/>
                <w:sz w:val="18"/>
                <w:szCs w:val="18"/>
                <w:color w:val="auto"/>
              </w:rPr>
              <w:t>Conflicting Interests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6.9</w:t>
            </w:r>
          </w:p>
        </w:tc>
        <w:tc>
          <w:tcPr>
            <w:tcW w:w="8380" w:type="dxa"/>
            <w:vAlign w:val="bottom"/>
          </w:tcPr>
          <w:p>
            <w:pPr>
              <w:ind w:left="180"/>
              <w:spacing w:after="0"/>
              <w:rPr>
                <w:sz w:val="20"/>
                <w:szCs w:val="20"/>
                <w:color w:val="auto"/>
              </w:rPr>
            </w:pPr>
            <w:r>
              <w:rPr>
                <w:rFonts w:ascii="Arial" w:cs="Arial" w:eastAsia="Arial" w:hAnsi="Arial"/>
                <w:sz w:val="18"/>
                <w:szCs w:val="18"/>
                <w:color w:val="auto"/>
              </w:rPr>
              <w:t>Corporate Trustee Required; Eligibility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6.10</w:t>
            </w:r>
          </w:p>
        </w:tc>
        <w:tc>
          <w:tcPr>
            <w:tcW w:w="8380" w:type="dxa"/>
            <w:vAlign w:val="bottom"/>
          </w:tcPr>
          <w:p>
            <w:pPr>
              <w:ind w:left="180"/>
              <w:spacing w:after="0"/>
              <w:rPr>
                <w:sz w:val="20"/>
                <w:szCs w:val="20"/>
                <w:color w:val="auto"/>
              </w:rPr>
            </w:pPr>
            <w:r>
              <w:rPr>
                <w:rFonts w:ascii="Arial" w:cs="Arial" w:eastAsia="Arial" w:hAnsi="Arial"/>
                <w:sz w:val="18"/>
                <w:szCs w:val="18"/>
                <w:color w:val="auto"/>
              </w:rPr>
              <w:t>Resignation and Removal; Appointment of Successor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6.11</w:t>
            </w:r>
          </w:p>
        </w:tc>
        <w:tc>
          <w:tcPr>
            <w:tcW w:w="8380" w:type="dxa"/>
            <w:vAlign w:val="bottom"/>
          </w:tcPr>
          <w:p>
            <w:pPr>
              <w:ind w:left="180"/>
              <w:spacing w:after="0"/>
              <w:rPr>
                <w:sz w:val="20"/>
                <w:szCs w:val="20"/>
                <w:color w:val="auto"/>
              </w:rPr>
            </w:pPr>
            <w:r>
              <w:rPr>
                <w:rFonts w:ascii="Arial" w:cs="Arial" w:eastAsia="Arial" w:hAnsi="Arial"/>
                <w:sz w:val="18"/>
                <w:szCs w:val="18"/>
                <w:color w:val="auto"/>
              </w:rPr>
              <w:t>Acceptance of Appointment by Successor</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6.12</w:t>
            </w:r>
          </w:p>
        </w:tc>
        <w:tc>
          <w:tcPr>
            <w:tcW w:w="8380" w:type="dxa"/>
            <w:vAlign w:val="bottom"/>
          </w:tcPr>
          <w:p>
            <w:pPr>
              <w:ind w:left="180"/>
              <w:spacing w:after="0"/>
              <w:rPr>
                <w:sz w:val="20"/>
                <w:szCs w:val="20"/>
                <w:color w:val="auto"/>
              </w:rPr>
            </w:pPr>
            <w:r>
              <w:rPr>
                <w:rFonts w:ascii="Arial" w:cs="Arial" w:eastAsia="Arial" w:hAnsi="Arial"/>
                <w:sz w:val="18"/>
                <w:szCs w:val="18"/>
                <w:color w:val="auto"/>
              </w:rPr>
              <w:t>Merger, Conversion, Consolidation or Succession to Business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6.13</w:t>
            </w:r>
          </w:p>
        </w:tc>
        <w:tc>
          <w:tcPr>
            <w:tcW w:w="8380" w:type="dxa"/>
            <w:vAlign w:val="bottom"/>
          </w:tcPr>
          <w:p>
            <w:pPr>
              <w:ind w:left="180"/>
              <w:spacing w:after="0"/>
              <w:rPr>
                <w:sz w:val="20"/>
                <w:szCs w:val="20"/>
                <w:color w:val="auto"/>
              </w:rPr>
            </w:pPr>
            <w:r>
              <w:rPr>
                <w:rFonts w:ascii="Arial" w:cs="Arial" w:eastAsia="Arial" w:hAnsi="Arial"/>
                <w:sz w:val="18"/>
                <w:szCs w:val="18"/>
                <w:color w:val="auto"/>
              </w:rPr>
              <w:t>Preferential Collection of Claims Against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230"/>
        </w:trPr>
        <w:tc>
          <w:tcPr>
            <w:tcW w:w="2320" w:type="dxa"/>
            <w:vAlign w:val="bottom"/>
          </w:tcPr>
          <w:p>
            <w:pPr>
              <w:ind w:left="660"/>
              <w:spacing w:after="0"/>
              <w:rPr>
                <w:sz w:val="20"/>
                <w:szCs w:val="20"/>
                <w:color w:val="auto"/>
              </w:rPr>
            </w:pPr>
            <w:r>
              <w:rPr>
                <w:rFonts w:ascii="Arial" w:cs="Arial" w:eastAsia="Arial" w:hAnsi="Arial"/>
                <w:sz w:val="18"/>
                <w:szCs w:val="18"/>
                <w:color w:val="auto"/>
              </w:rPr>
              <w:t>Section 6.14</w:t>
            </w:r>
          </w:p>
        </w:tc>
        <w:tc>
          <w:tcPr>
            <w:tcW w:w="8380" w:type="dxa"/>
            <w:vAlign w:val="bottom"/>
          </w:tcPr>
          <w:p>
            <w:pPr>
              <w:ind w:left="180"/>
              <w:spacing w:after="0"/>
              <w:rPr>
                <w:sz w:val="20"/>
                <w:szCs w:val="20"/>
                <w:color w:val="auto"/>
              </w:rPr>
            </w:pPr>
            <w:r>
              <w:rPr>
                <w:rFonts w:ascii="Arial" w:cs="Arial" w:eastAsia="Arial" w:hAnsi="Arial"/>
                <w:sz w:val="18"/>
                <w:szCs w:val="18"/>
                <w:color w:val="auto"/>
              </w:rPr>
              <w:t>Appointment of Authenticating Agent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49</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7 HOLDERS’ LISTS AND REPORTS BY TRUSTEE AND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418"/>
        </w:trPr>
        <w:tc>
          <w:tcPr>
            <w:tcW w:w="2320" w:type="dxa"/>
            <w:vAlign w:val="bottom"/>
          </w:tcPr>
          <w:p>
            <w:pPr>
              <w:ind w:left="660"/>
              <w:spacing w:after="0"/>
              <w:rPr>
                <w:sz w:val="20"/>
                <w:szCs w:val="20"/>
                <w:color w:val="auto"/>
              </w:rPr>
            </w:pPr>
            <w:r>
              <w:rPr>
                <w:rFonts w:ascii="Arial" w:cs="Arial" w:eastAsia="Arial" w:hAnsi="Arial"/>
                <w:sz w:val="18"/>
                <w:szCs w:val="18"/>
                <w:color w:val="auto"/>
              </w:rPr>
              <w:t>Section 7.1</w:t>
            </w:r>
          </w:p>
        </w:tc>
        <w:tc>
          <w:tcPr>
            <w:tcW w:w="8380" w:type="dxa"/>
            <w:vAlign w:val="bottom"/>
          </w:tcPr>
          <w:p>
            <w:pPr>
              <w:ind w:left="180"/>
              <w:spacing w:after="0"/>
              <w:rPr>
                <w:sz w:val="20"/>
                <w:szCs w:val="20"/>
                <w:color w:val="auto"/>
              </w:rPr>
            </w:pPr>
            <w:r>
              <w:rPr>
                <w:rFonts w:ascii="Arial" w:cs="Arial" w:eastAsia="Arial" w:hAnsi="Arial"/>
                <w:sz w:val="18"/>
                <w:szCs w:val="18"/>
                <w:color w:val="auto"/>
              </w:rPr>
              <w:t>Company to Furnish Trustee Names and Addresses of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7.2</w:t>
            </w:r>
          </w:p>
        </w:tc>
        <w:tc>
          <w:tcPr>
            <w:tcW w:w="8380" w:type="dxa"/>
            <w:vAlign w:val="bottom"/>
          </w:tcPr>
          <w:p>
            <w:pPr>
              <w:ind w:left="180"/>
              <w:spacing w:after="0"/>
              <w:rPr>
                <w:sz w:val="20"/>
                <w:szCs w:val="20"/>
                <w:color w:val="auto"/>
              </w:rPr>
            </w:pPr>
            <w:r>
              <w:rPr>
                <w:rFonts w:ascii="Arial" w:cs="Arial" w:eastAsia="Arial" w:hAnsi="Arial"/>
                <w:sz w:val="18"/>
                <w:szCs w:val="18"/>
                <w:color w:val="auto"/>
              </w:rPr>
              <w:t>Preservation of Information; Communications to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2320" w:type="dxa"/>
            <w:vAlign w:val="bottom"/>
          </w:tcPr>
          <w:p>
            <w:pPr>
              <w:ind w:left="660"/>
              <w:spacing w:after="0"/>
              <w:rPr>
                <w:sz w:val="20"/>
                <w:szCs w:val="20"/>
                <w:color w:val="auto"/>
              </w:rPr>
            </w:pPr>
            <w:r>
              <w:rPr>
                <w:rFonts w:ascii="Arial" w:cs="Arial" w:eastAsia="Arial" w:hAnsi="Arial"/>
                <w:sz w:val="18"/>
                <w:szCs w:val="18"/>
                <w:color w:val="auto"/>
              </w:rPr>
              <w:t>Section 7.3</w:t>
            </w:r>
          </w:p>
        </w:tc>
        <w:tc>
          <w:tcPr>
            <w:tcW w:w="8380" w:type="dxa"/>
            <w:vAlign w:val="bottom"/>
          </w:tcPr>
          <w:p>
            <w:pPr>
              <w:ind w:left="180"/>
              <w:spacing w:after="0"/>
              <w:rPr>
                <w:sz w:val="20"/>
                <w:szCs w:val="20"/>
                <w:color w:val="auto"/>
              </w:rPr>
            </w:pPr>
            <w:r>
              <w:rPr>
                <w:rFonts w:ascii="Arial" w:cs="Arial" w:eastAsia="Arial" w:hAnsi="Arial"/>
                <w:sz w:val="18"/>
                <w:szCs w:val="18"/>
                <w:color w:val="auto"/>
              </w:rPr>
              <w:t>Reports by Trustee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2320" w:type="dxa"/>
            <w:vAlign w:val="bottom"/>
          </w:tcPr>
          <w:p>
            <w:pPr>
              <w:spacing w:after="0"/>
              <w:rPr>
                <w:sz w:val="24"/>
                <w:szCs w:val="24"/>
                <w:color w:val="auto"/>
              </w:rPr>
            </w:pPr>
          </w:p>
        </w:tc>
        <w:tc>
          <w:tcPr>
            <w:tcW w:w="8380" w:type="dxa"/>
            <w:vAlign w:val="bottom"/>
          </w:tcPr>
          <w:p>
            <w:pPr>
              <w:jc w:val="center"/>
              <w:ind w:right="1510"/>
              <w:spacing w:after="0"/>
              <w:rPr>
                <w:sz w:val="20"/>
                <w:szCs w:val="20"/>
                <w:color w:val="auto"/>
              </w:rPr>
            </w:pPr>
            <w:r>
              <w:rPr>
                <w:rFonts w:ascii="Arial" w:cs="Arial" w:eastAsia="Arial" w:hAnsi="Arial"/>
                <w:sz w:val="18"/>
                <w:szCs w:val="18"/>
                <w:color w:val="auto"/>
              </w:rPr>
              <w:t>ii</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320" w:type="dxa"/>
            <w:vAlign w:val="bottom"/>
            <w:tcBorders>
              <w:bottom w:val="single" w:sz="8" w:color="010101"/>
            </w:tcBorders>
          </w:tcPr>
          <w:p>
            <w:pPr>
              <w:spacing w:after="0"/>
              <w:rPr>
                <w:sz w:val="11"/>
                <w:szCs w:val="11"/>
                <w:color w:val="auto"/>
              </w:rPr>
            </w:pPr>
          </w:p>
        </w:tc>
        <w:tc>
          <w:tcPr>
            <w:tcW w:w="83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2320" w:type="dxa"/>
            <w:vAlign w:val="bottom"/>
          </w:tcPr>
          <w:p>
            <w:pPr>
              <w:spacing w:after="0"/>
              <w:rPr>
                <w:sz w:val="24"/>
                <w:szCs w:val="24"/>
                <w:color w:val="auto"/>
              </w:rPr>
            </w:pPr>
          </w:p>
        </w:tc>
        <w:tc>
          <w:tcPr>
            <w:tcW w:w="83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2320" w:type="dxa"/>
            <w:vAlign w:val="bottom"/>
          </w:tcPr>
          <w:p>
            <w:pPr>
              <w:spacing w:after="0"/>
              <w:rPr>
                <w:sz w:val="20"/>
                <w:szCs w:val="20"/>
                <w:color w:val="auto"/>
              </w:rPr>
            </w:pPr>
          </w:p>
        </w:tc>
        <w:tc>
          <w:tcPr>
            <w:tcW w:w="8380" w:type="dxa"/>
            <w:vAlign w:val="bottom"/>
          </w:tcPr>
          <w:p>
            <w:pPr>
              <w:jc w:val="center"/>
              <w:ind w:right="1490"/>
              <w:spacing w:after="0"/>
              <w:rPr>
                <w:sz w:val="20"/>
                <w:szCs w:val="20"/>
                <w:color w:val="auto"/>
              </w:rPr>
            </w:pPr>
            <w:r>
              <w:rPr>
                <w:rFonts w:ascii="Arial" w:cs="Arial" w:eastAsia="Arial" w:hAnsi="Arial"/>
                <w:sz w:val="18"/>
                <w:szCs w:val="18"/>
                <w:b w:val="1"/>
                <w:bCs w:val="1"/>
                <w:color w:val="auto"/>
                <w:w w:val="89"/>
              </w:rPr>
              <w:t>(continued)</w:t>
            </w: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23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26"/>
        </w:trPr>
        <w:tc>
          <w:tcPr>
            <w:tcW w:w="232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8380" w:type="dxa"/>
            <w:vAlign w:val="bottom"/>
          </w:tcPr>
          <w:p>
            <w:pPr>
              <w:ind w:left="180"/>
              <w:spacing w:after="0"/>
              <w:rPr>
                <w:sz w:val="20"/>
                <w:szCs w:val="20"/>
                <w:color w:val="auto"/>
              </w:rPr>
            </w:pPr>
            <w:r>
              <w:rPr>
                <w:rFonts w:ascii="Arial" w:cs="Arial" w:eastAsia="Arial" w:hAnsi="Arial"/>
                <w:sz w:val="18"/>
                <w:szCs w:val="18"/>
                <w:color w:val="auto"/>
              </w:rPr>
              <w:t>Reports by Company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8 CONSOLIDATION, MERGER, CONVEYANCE, TRANSFER OR LEASE</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418"/>
        </w:trPr>
        <w:tc>
          <w:tcPr>
            <w:tcW w:w="2320" w:type="dxa"/>
            <w:vAlign w:val="bottom"/>
          </w:tcPr>
          <w:p>
            <w:pPr>
              <w:ind w:left="660"/>
              <w:spacing w:after="0"/>
              <w:rPr>
                <w:sz w:val="20"/>
                <w:szCs w:val="20"/>
                <w:color w:val="auto"/>
              </w:rPr>
            </w:pPr>
            <w:r>
              <w:rPr>
                <w:rFonts w:ascii="Arial" w:cs="Arial" w:eastAsia="Arial" w:hAnsi="Arial"/>
                <w:sz w:val="18"/>
                <w:szCs w:val="18"/>
                <w:color w:val="auto"/>
              </w:rPr>
              <w:t>Section 8.1</w:t>
            </w:r>
          </w:p>
        </w:tc>
        <w:tc>
          <w:tcPr>
            <w:tcW w:w="8380" w:type="dxa"/>
            <w:vAlign w:val="bottom"/>
          </w:tcPr>
          <w:p>
            <w:pPr>
              <w:ind w:left="180"/>
              <w:spacing w:after="0"/>
              <w:rPr>
                <w:sz w:val="20"/>
                <w:szCs w:val="20"/>
                <w:color w:val="auto"/>
              </w:rPr>
            </w:pPr>
            <w:r>
              <w:rPr>
                <w:rFonts w:ascii="Arial" w:cs="Arial" w:eastAsia="Arial" w:hAnsi="Arial"/>
                <w:sz w:val="18"/>
                <w:szCs w:val="18"/>
                <w:color w:val="auto"/>
              </w:rPr>
              <w:t>Company May Consolidate, etc., Only on Certain Terms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r>
      <w:tr>
        <w:trPr>
          <w:trHeight w:val="230"/>
        </w:trPr>
        <w:tc>
          <w:tcPr>
            <w:tcW w:w="2320" w:type="dxa"/>
            <w:vAlign w:val="bottom"/>
          </w:tcPr>
          <w:p>
            <w:pPr>
              <w:ind w:left="660"/>
              <w:spacing w:after="0"/>
              <w:rPr>
                <w:sz w:val="20"/>
                <w:szCs w:val="20"/>
                <w:color w:val="auto"/>
              </w:rPr>
            </w:pPr>
            <w:r>
              <w:rPr>
                <w:rFonts w:ascii="Arial" w:cs="Arial" w:eastAsia="Arial" w:hAnsi="Arial"/>
                <w:sz w:val="18"/>
                <w:szCs w:val="18"/>
                <w:color w:val="auto"/>
              </w:rPr>
              <w:t>Section 8.2</w:t>
            </w:r>
          </w:p>
        </w:tc>
        <w:tc>
          <w:tcPr>
            <w:tcW w:w="8380" w:type="dxa"/>
            <w:vAlign w:val="bottom"/>
          </w:tcPr>
          <w:p>
            <w:pPr>
              <w:ind w:left="180"/>
              <w:spacing w:after="0"/>
              <w:rPr>
                <w:sz w:val="20"/>
                <w:szCs w:val="20"/>
                <w:color w:val="auto"/>
              </w:rPr>
            </w:pPr>
            <w:r>
              <w:rPr>
                <w:rFonts w:ascii="Arial" w:cs="Arial" w:eastAsia="Arial" w:hAnsi="Arial"/>
                <w:sz w:val="18"/>
                <w:szCs w:val="18"/>
                <w:color w:val="auto"/>
              </w:rPr>
              <w:t>Successor Substituted</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432"/>
        </w:trPr>
        <w:tc>
          <w:tcPr>
            <w:tcW w:w="10700" w:type="dxa"/>
            <w:vAlign w:val="bottom"/>
            <w:gridSpan w:val="2"/>
          </w:tcPr>
          <w:p>
            <w:pPr>
              <w:spacing w:after="0"/>
              <w:rPr>
                <w:sz w:val="20"/>
                <w:szCs w:val="20"/>
                <w:color w:val="auto"/>
              </w:rPr>
            </w:pPr>
            <w:r>
              <w:rPr>
                <w:rFonts w:ascii="Arial" w:cs="Arial" w:eastAsia="Arial" w:hAnsi="Arial"/>
                <w:sz w:val="18"/>
                <w:szCs w:val="18"/>
                <w:color w:val="auto"/>
              </w:rPr>
              <w:t>ARTICLE 9 SUPPLEMENTAL INDENTURES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418"/>
        </w:trPr>
        <w:tc>
          <w:tcPr>
            <w:tcW w:w="2320" w:type="dxa"/>
            <w:vAlign w:val="bottom"/>
          </w:tcPr>
          <w:p>
            <w:pPr>
              <w:ind w:left="660"/>
              <w:spacing w:after="0"/>
              <w:rPr>
                <w:sz w:val="20"/>
                <w:szCs w:val="20"/>
                <w:color w:val="auto"/>
              </w:rPr>
            </w:pPr>
            <w:r>
              <w:rPr>
                <w:rFonts w:ascii="Arial" w:cs="Arial" w:eastAsia="Arial" w:hAnsi="Arial"/>
                <w:sz w:val="18"/>
                <w:szCs w:val="18"/>
                <w:color w:val="auto"/>
              </w:rPr>
              <w:t>Section 9.1</w:t>
            </w:r>
          </w:p>
        </w:tc>
        <w:tc>
          <w:tcPr>
            <w:tcW w:w="8380" w:type="dxa"/>
            <w:vAlign w:val="bottom"/>
          </w:tcPr>
          <w:p>
            <w:pPr>
              <w:ind w:left="180"/>
              <w:spacing w:after="0"/>
              <w:rPr>
                <w:sz w:val="20"/>
                <w:szCs w:val="20"/>
                <w:color w:val="auto"/>
              </w:rPr>
            </w:pPr>
            <w:r>
              <w:rPr>
                <w:rFonts w:ascii="Arial" w:cs="Arial" w:eastAsia="Arial" w:hAnsi="Arial"/>
                <w:sz w:val="18"/>
                <w:szCs w:val="18"/>
                <w:color w:val="auto"/>
              </w:rPr>
              <w:t>Supplemental Indentures Without Consent of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9.2</w:t>
            </w:r>
          </w:p>
        </w:tc>
        <w:tc>
          <w:tcPr>
            <w:tcW w:w="8380" w:type="dxa"/>
            <w:vAlign w:val="bottom"/>
          </w:tcPr>
          <w:p>
            <w:pPr>
              <w:ind w:left="180"/>
              <w:spacing w:after="0"/>
              <w:rPr>
                <w:sz w:val="20"/>
                <w:szCs w:val="20"/>
                <w:color w:val="auto"/>
              </w:rPr>
            </w:pPr>
            <w:r>
              <w:rPr>
                <w:rFonts w:ascii="Arial" w:cs="Arial" w:eastAsia="Arial" w:hAnsi="Arial"/>
                <w:sz w:val="18"/>
                <w:szCs w:val="18"/>
                <w:color w:val="auto"/>
              </w:rPr>
              <w:t>Supplemental Indentures with Consent of Holders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9.3</w:t>
            </w:r>
          </w:p>
        </w:tc>
        <w:tc>
          <w:tcPr>
            <w:tcW w:w="8380" w:type="dxa"/>
            <w:vAlign w:val="bottom"/>
          </w:tcPr>
          <w:p>
            <w:pPr>
              <w:ind w:left="180"/>
              <w:spacing w:after="0"/>
              <w:rPr>
                <w:sz w:val="20"/>
                <w:szCs w:val="20"/>
                <w:color w:val="auto"/>
              </w:rPr>
            </w:pPr>
            <w:r>
              <w:rPr>
                <w:rFonts w:ascii="Arial" w:cs="Arial" w:eastAsia="Arial" w:hAnsi="Arial"/>
                <w:sz w:val="18"/>
                <w:szCs w:val="18"/>
                <w:color w:val="auto"/>
              </w:rPr>
              <w:t>Execution of Supplemental Indentures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9.4</w:t>
            </w:r>
          </w:p>
        </w:tc>
        <w:tc>
          <w:tcPr>
            <w:tcW w:w="8380" w:type="dxa"/>
            <w:vAlign w:val="bottom"/>
          </w:tcPr>
          <w:p>
            <w:pPr>
              <w:ind w:left="180"/>
              <w:spacing w:after="0"/>
              <w:rPr>
                <w:sz w:val="20"/>
                <w:szCs w:val="20"/>
                <w:color w:val="auto"/>
              </w:rPr>
            </w:pPr>
            <w:r>
              <w:rPr>
                <w:rFonts w:ascii="Arial" w:cs="Arial" w:eastAsia="Arial" w:hAnsi="Arial"/>
                <w:sz w:val="18"/>
                <w:szCs w:val="18"/>
                <w:color w:val="auto"/>
              </w:rPr>
              <w:t>Effect of Supplemental Indentures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9.5</w:t>
            </w:r>
          </w:p>
        </w:tc>
        <w:tc>
          <w:tcPr>
            <w:tcW w:w="8380" w:type="dxa"/>
            <w:vAlign w:val="bottom"/>
          </w:tcPr>
          <w:p>
            <w:pPr>
              <w:ind w:left="180"/>
              <w:spacing w:after="0"/>
              <w:rPr>
                <w:sz w:val="20"/>
                <w:szCs w:val="20"/>
                <w:color w:val="auto"/>
              </w:rPr>
            </w:pPr>
            <w:r>
              <w:rPr>
                <w:rFonts w:ascii="Arial" w:cs="Arial" w:eastAsia="Arial" w:hAnsi="Arial"/>
                <w:sz w:val="18"/>
                <w:szCs w:val="18"/>
                <w:color w:val="auto"/>
              </w:rPr>
              <w:t>Conformity with Trust Indenture Act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30"/>
        </w:trPr>
        <w:tc>
          <w:tcPr>
            <w:tcW w:w="2320" w:type="dxa"/>
            <w:vAlign w:val="bottom"/>
          </w:tcPr>
          <w:p>
            <w:pPr>
              <w:ind w:left="660"/>
              <w:spacing w:after="0"/>
              <w:rPr>
                <w:sz w:val="20"/>
                <w:szCs w:val="20"/>
                <w:color w:val="auto"/>
              </w:rPr>
            </w:pPr>
            <w:r>
              <w:rPr>
                <w:rFonts w:ascii="Arial" w:cs="Arial" w:eastAsia="Arial" w:hAnsi="Arial"/>
                <w:sz w:val="18"/>
                <w:szCs w:val="18"/>
                <w:color w:val="auto"/>
              </w:rPr>
              <w:t>Section 9.6</w:t>
            </w:r>
          </w:p>
        </w:tc>
        <w:tc>
          <w:tcPr>
            <w:tcW w:w="8380" w:type="dxa"/>
            <w:vAlign w:val="bottom"/>
          </w:tcPr>
          <w:p>
            <w:pPr>
              <w:ind w:left="180"/>
              <w:spacing w:after="0"/>
              <w:rPr>
                <w:sz w:val="20"/>
                <w:szCs w:val="20"/>
                <w:color w:val="auto"/>
              </w:rPr>
            </w:pPr>
            <w:r>
              <w:rPr>
                <w:rFonts w:ascii="Arial" w:cs="Arial" w:eastAsia="Arial" w:hAnsi="Arial"/>
                <w:sz w:val="18"/>
                <w:szCs w:val="18"/>
                <w:color w:val="auto"/>
              </w:rPr>
              <w:t>Reference in Securities to Supplemental Indentures</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432"/>
        </w:trPr>
        <w:tc>
          <w:tcPr>
            <w:tcW w:w="2320" w:type="dxa"/>
            <w:vAlign w:val="bottom"/>
          </w:tcPr>
          <w:p>
            <w:pPr>
              <w:spacing w:after="0"/>
              <w:rPr>
                <w:sz w:val="20"/>
                <w:szCs w:val="20"/>
                <w:color w:val="auto"/>
              </w:rPr>
            </w:pPr>
            <w:r>
              <w:rPr>
                <w:rFonts w:ascii="Arial" w:cs="Arial" w:eastAsia="Arial" w:hAnsi="Arial"/>
                <w:sz w:val="18"/>
                <w:szCs w:val="18"/>
                <w:color w:val="auto"/>
              </w:rPr>
              <w:t>ARTICLE 10 COVENANTS</w:t>
            </w:r>
          </w:p>
        </w:tc>
        <w:tc>
          <w:tcPr>
            <w:tcW w:w="838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418"/>
        </w:trPr>
        <w:tc>
          <w:tcPr>
            <w:tcW w:w="2320" w:type="dxa"/>
            <w:vAlign w:val="bottom"/>
          </w:tcPr>
          <w:p>
            <w:pPr>
              <w:ind w:left="660"/>
              <w:spacing w:after="0"/>
              <w:rPr>
                <w:sz w:val="20"/>
                <w:szCs w:val="20"/>
                <w:color w:val="auto"/>
              </w:rPr>
            </w:pPr>
            <w:r>
              <w:rPr>
                <w:rFonts w:ascii="Arial" w:cs="Arial" w:eastAsia="Arial" w:hAnsi="Arial"/>
                <w:sz w:val="18"/>
                <w:szCs w:val="18"/>
                <w:color w:val="auto"/>
              </w:rPr>
              <w:t>Section 10.1</w:t>
            </w:r>
          </w:p>
        </w:tc>
        <w:tc>
          <w:tcPr>
            <w:tcW w:w="8380" w:type="dxa"/>
            <w:vAlign w:val="bottom"/>
          </w:tcPr>
          <w:p>
            <w:pPr>
              <w:ind w:left="180"/>
              <w:spacing w:after="0"/>
              <w:rPr>
                <w:sz w:val="20"/>
                <w:szCs w:val="20"/>
                <w:color w:val="auto"/>
              </w:rPr>
            </w:pPr>
            <w:r>
              <w:rPr>
                <w:rFonts w:ascii="Arial" w:cs="Arial" w:eastAsia="Arial" w:hAnsi="Arial"/>
                <w:sz w:val="18"/>
                <w:szCs w:val="18"/>
                <w:color w:val="auto"/>
              </w:rPr>
              <w:t>Payment of Principal, Premium and Interest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10.2</w:t>
            </w:r>
          </w:p>
        </w:tc>
        <w:tc>
          <w:tcPr>
            <w:tcW w:w="8380" w:type="dxa"/>
            <w:vAlign w:val="bottom"/>
          </w:tcPr>
          <w:p>
            <w:pPr>
              <w:ind w:left="180"/>
              <w:spacing w:after="0"/>
              <w:rPr>
                <w:sz w:val="20"/>
                <w:szCs w:val="20"/>
                <w:color w:val="auto"/>
              </w:rPr>
            </w:pPr>
            <w:r>
              <w:rPr>
                <w:rFonts w:ascii="Arial" w:cs="Arial" w:eastAsia="Arial" w:hAnsi="Arial"/>
                <w:sz w:val="18"/>
                <w:szCs w:val="18"/>
                <w:color w:val="auto"/>
              </w:rPr>
              <w:t>Maintenance of Office or Agency</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r>
      <w:tr>
        <w:trPr>
          <w:trHeight w:val="216"/>
        </w:trPr>
        <w:tc>
          <w:tcPr>
            <w:tcW w:w="2320" w:type="dxa"/>
            <w:vAlign w:val="bottom"/>
          </w:tcPr>
          <w:p>
            <w:pPr>
              <w:ind w:left="660"/>
              <w:spacing w:after="0"/>
              <w:rPr>
                <w:sz w:val="20"/>
                <w:szCs w:val="20"/>
                <w:color w:val="auto"/>
              </w:rPr>
            </w:pPr>
            <w:r>
              <w:rPr>
                <w:rFonts w:ascii="Arial" w:cs="Arial" w:eastAsia="Arial" w:hAnsi="Arial"/>
                <w:sz w:val="18"/>
                <w:szCs w:val="18"/>
                <w:color w:val="auto"/>
              </w:rPr>
              <w:t>Section 10.3</w:t>
            </w:r>
          </w:p>
        </w:tc>
        <w:tc>
          <w:tcPr>
            <w:tcW w:w="8380" w:type="dxa"/>
            <w:vAlign w:val="bottom"/>
          </w:tcPr>
          <w:p>
            <w:pPr>
              <w:ind w:left="180"/>
              <w:spacing w:after="0"/>
              <w:rPr>
                <w:sz w:val="20"/>
                <w:szCs w:val="20"/>
                <w:color w:val="auto"/>
              </w:rPr>
            </w:pPr>
            <w:r>
              <w:rPr>
                <w:rFonts w:ascii="Arial" w:cs="Arial" w:eastAsia="Arial" w:hAnsi="Arial"/>
                <w:sz w:val="18"/>
                <w:szCs w:val="18"/>
                <w:color w:val="auto"/>
              </w:rPr>
              <w:t>Money for Securities Payments To Be Held in Trust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w:t>
            </w:r>
          </w:p>
        </w:tc>
      </w:tr>
      <w:tr>
        <w:trPr>
          <w:trHeight w:val="230"/>
        </w:trPr>
        <w:tc>
          <w:tcPr>
            <w:tcW w:w="2320" w:type="dxa"/>
            <w:vAlign w:val="bottom"/>
          </w:tcPr>
          <w:p>
            <w:pPr>
              <w:ind w:left="660"/>
              <w:spacing w:after="0"/>
              <w:rPr>
                <w:sz w:val="20"/>
                <w:szCs w:val="20"/>
                <w:color w:val="auto"/>
              </w:rPr>
            </w:pPr>
            <w:r>
              <w:rPr>
                <w:rFonts w:ascii="Arial" w:cs="Arial" w:eastAsia="Arial" w:hAnsi="Arial"/>
                <w:sz w:val="18"/>
                <w:szCs w:val="18"/>
                <w:color w:val="auto"/>
              </w:rPr>
              <w:t>Section 10.4</w:t>
            </w:r>
          </w:p>
        </w:tc>
        <w:tc>
          <w:tcPr>
            <w:tcW w:w="8380" w:type="dxa"/>
            <w:vAlign w:val="bottom"/>
          </w:tcPr>
          <w:p>
            <w:pPr>
              <w:ind w:left="180"/>
              <w:spacing w:after="0"/>
              <w:rPr>
                <w:sz w:val="20"/>
                <w:szCs w:val="20"/>
                <w:color w:val="auto"/>
              </w:rPr>
            </w:pPr>
            <w:r>
              <w:rPr>
                <w:rFonts w:ascii="Arial" w:cs="Arial" w:eastAsia="Arial" w:hAnsi="Arial"/>
                <w:sz w:val="18"/>
                <w:szCs w:val="18"/>
                <w:color w:val="auto"/>
              </w:rPr>
              <w:t>Statement by Officers as to Default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-4057650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-4057650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0" w:gutter="0" w:footer="0" w:header="0"/>
        </w:sectPr>
      </w:pPr>
    </w:p>
    <w:bookmarkStart w:id="21" w:name="page22"/>
    <w:bookmarkEnd w:id="21"/>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10.5</w:t>
            </w:r>
          </w:p>
        </w:tc>
        <w:tc>
          <w:tcPr>
            <w:tcW w:w="7800" w:type="dxa"/>
            <w:vAlign w:val="bottom"/>
          </w:tcPr>
          <w:p>
            <w:pPr>
              <w:ind w:left="40"/>
              <w:spacing w:after="0"/>
              <w:rPr>
                <w:sz w:val="20"/>
                <w:szCs w:val="20"/>
                <w:color w:val="auto"/>
              </w:rPr>
            </w:pPr>
            <w:r>
              <w:rPr>
                <w:rFonts w:ascii="Arial" w:cs="Arial" w:eastAsia="Arial" w:hAnsi="Arial"/>
                <w:sz w:val="18"/>
                <w:szCs w:val="18"/>
                <w:color w:val="auto"/>
              </w:rPr>
              <w:t>Existence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10.6</w:t>
            </w:r>
          </w:p>
        </w:tc>
        <w:tc>
          <w:tcPr>
            <w:tcW w:w="7800" w:type="dxa"/>
            <w:vAlign w:val="bottom"/>
          </w:tcPr>
          <w:p>
            <w:pPr>
              <w:ind w:left="40"/>
              <w:spacing w:after="0"/>
              <w:rPr>
                <w:sz w:val="20"/>
                <w:szCs w:val="20"/>
                <w:color w:val="auto"/>
              </w:rPr>
            </w:pPr>
            <w:r>
              <w:rPr>
                <w:rFonts w:ascii="Arial" w:cs="Arial" w:eastAsia="Arial" w:hAnsi="Arial"/>
                <w:sz w:val="18"/>
                <w:szCs w:val="18"/>
                <w:color w:val="auto"/>
              </w:rPr>
              <w:t>Maintenance of Properties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10.7</w:t>
            </w:r>
          </w:p>
        </w:tc>
        <w:tc>
          <w:tcPr>
            <w:tcW w:w="7800" w:type="dxa"/>
            <w:vAlign w:val="bottom"/>
          </w:tcPr>
          <w:p>
            <w:pPr>
              <w:ind w:left="40"/>
              <w:spacing w:after="0"/>
              <w:rPr>
                <w:sz w:val="20"/>
                <w:szCs w:val="20"/>
                <w:color w:val="auto"/>
              </w:rPr>
            </w:pPr>
            <w:r>
              <w:rPr>
                <w:rFonts w:ascii="Arial" w:cs="Arial" w:eastAsia="Arial" w:hAnsi="Arial"/>
                <w:sz w:val="18"/>
                <w:szCs w:val="18"/>
                <w:color w:val="auto"/>
              </w:rPr>
              <w:t>Payment of Taxes and Other Claims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10.8</w:t>
            </w:r>
          </w:p>
        </w:tc>
        <w:tc>
          <w:tcPr>
            <w:tcW w:w="7800" w:type="dxa"/>
            <w:vAlign w:val="bottom"/>
          </w:tcPr>
          <w:p>
            <w:pPr>
              <w:ind w:left="40"/>
              <w:spacing w:after="0"/>
              <w:rPr>
                <w:sz w:val="20"/>
                <w:szCs w:val="20"/>
                <w:color w:val="auto"/>
              </w:rPr>
            </w:pPr>
            <w:r>
              <w:rPr>
                <w:rFonts w:ascii="Arial" w:cs="Arial" w:eastAsia="Arial" w:hAnsi="Arial"/>
                <w:sz w:val="18"/>
                <w:szCs w:val="18"/>
                <w:color w:val="auto"/>
              </w:rPr>
              <w:t>Waiver of Certain Covenants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32"/>
        </w:trPr>
        <w:tc>
          <w:tcPr>
            <w:tcW w:w="10260" w:type="dxa"/>
            <w:vAlign w:val="bottom"/>
            <w:gridSpan w:val="3"/>
          </w:tcPr>
          <w:p>
            <w:pPr>
              <w:spacing w:after="0"/>
              <w:rPr>
                <w:sz w:val="20"/>
                <w:szCs w:val="20"/>
                <w:color w:val="auto"/>
              </w:rPr>
            </w:pPr>
            <w:r>
              <w:rPr>
                <w:rFonts w:ascii="Arial" w:cs="Arial" w:eastAsia="Arial" w:hAnsi="Arial"/>
                <w:sz w:val="18"/>
                <w:szCs w:val="18"/>
                <w:color w:val="auto"/>
              </w:rPr>
              <w:t>ARTICLE 11 REDEMPTION OF SECURITIES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11.1</w:t>
            </w:r>
          </w:p>
        </w:tc>
        <w:tc>
          <w:tcPr>
            <w:tcW w:w="7800" w:type="dxa"/>
            <w:vAlign w:val="bottom"/>
          </w:tcPr>
          <w:p>
            <w:pPr>
              <w:ind w:left="40"/>
              <w:spacing w:after="0"/>
              <w:rPr>
                <w:sz w:val="20"/>
                <w:szCs w:val="20"/>
                <w:color w:val="auto"/>
              </w:rPr>
            </w:pPr>
            <w:r>
              <w:rPr>
                <w:rFonts w:ascii="Arial" w:cs="Arial" w:eastAsia="Arial" w:hAnsi="Arial"/>
                <w:sz w:val="18"/>
                <w:szCs w:val="18"/>
                <w:color w:val="auto"/>
              </w:rPr>
              <w:t>Applicability of Article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11.2</w:t>
            </w:r>
          </w:p>
        </w:tc>
        <w:tc>
          <w:tcPr>
            <w:tcW w:w="7800" w:type="dxa"/>
            <w:vAlign w:val="bottom"/>
          </w:tcPr>
          <w:p>
            <w:pPr>
              <w:ind w:left="40"/>
              <w:spacing w:after="0"/>
              <w:rPr>
                <w:sz w:val="20"/>
                <w:szCs w:val="20"/>
                <w:color w:val="auto"/>
              </w:rPr>
            </w:pPr>
            <w:r>
              <w:rPr>
                <w:rFonts w:ascii="Arial" w:cs="Arial" w:eastAsia="Arial" w:hAnsi="Arial"/>
                <w:sz w:val="18"/>
                <w:szCs w:val="18"/>
                <w:color w:val="auto"/>
              </w:rPr>
              <w:t>Election to Redeem; Notice to Trustee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11.3</w:t>
            </w:r>
          </w:p>
        </w:tc>
        <w:tc>
          <w:tcPr>
            <w:tcW w:w="7800" w:type="dxa"/>
            <w:vAlign w:val="bottom"/>
          </w:tcPr>
          <w:p>
            <w:pPr>
              <w:ind w:left="40"/>
              <w:spacing w:after="0"/>
              <w:rPr>
                <w:sz w:val="20"/>
                <w:szCs w:val="20"/>
                <w:color w:val="auto"/>
              </w:rPr>
            </w:pPr>
            <w:r>
              <w:rPr>
                <w:rFonts w:ascii="Arial" w:cs="Arial" w:eastAsia="Arial" w:hAnsi="Arial"/>
                <w:sz w:val="18"/>
                <w:szCs w:val="18"/>
                <w:color w:val="auto"/>
              </w:rPr>
              <w:t>Selection by Trustee of Securities to Be Redeemed</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11.4</w:t>
            </w:r>
          </w:p>
        </w:tc>
        <w:tc>
          <w:tcPr>
            <w:tcW w:w="7800" w:type="dxa"/>
            <w:vAlign w:val="bottom"/>
          </w:tcPr>
          <w:p>
            <w:pPr>
              <w:ind w:left="40"/>
              <w:spacing w:after="0"/>
              <w:rPr>
                <w:sz w:val="20"/>
                <w:szCs w:val="20"/>
                <w:color w:val="auto"/>
              </w:rPr>
            </w:pPr>
            <w:r>
              <w:rPr>
                <w:rFonts w:ascii="Arial" w:cs="Arial" w:eastAsia="Arial" w:hAnsi="Arial"/>
                <w:sz w:val="18"/>
                <w:szCs w:val="18"/>
                <w:color w:val="auto"/>
              </w:rPr>
              <w:t>Notice of Redemption</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11.5</w:t>
            </w:r>
          </w:p>
        </w:tc>
        <w:tc>
          <w:tcPr>
            <w:tcW w:w="7800" w:type="dxa"/>
            <w:vAlign w:val="bottom"/>
          </w:tcPr>
          <w:p>
            <w:pPr>
              <w:ind w:left="40"/>
              <w:spacing w:after="0"/>
              <w:rPr>
                <w:sz w:val="20"/>
                <w:szCs w:val="20"/>
                <w:color w:val="auto"/>
              </w:rPr>
            </w:pPr>
            <w:r>
              <w:rPr>
                <w:rFonts w:ascii="Arial" w:cs="Arial" w:eastAsia="Arial" w:hAnsi="Arial"/>
                <w:sz w:val="18"/>
                <w:szCs w:val="18"/>
                <w:color w:val="auto"/>
              </w:rPr>
              <w:t>Deposit of Redemption Price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11.6</w:t>
            </w:r>
          </w:p>
        </w:tc>
        <w:tc>
          <w:tcPr>
            <w:tcW w:w="7800" w:type="dxa"/>
            <w:vAlign w:val="bottom"/>
          </w:tcPr>
          <w:p>
            <w:pPr>
              <w:ind w:left="40"/>
              <w:spacing w:after="0"/>
              <w:rPr>
                <w:sz w:val="20"/>
                <w:szCs w:val="20"/>
                <w:color w:val="auto"/>
              </w:rPr>
            </w:pPr>
            <w:r>
              <w:rPr>
                <w:rFonts w:ascii="Arial" w:cs="Arial" w:eastAsia="Arial" w:hAnsi="Arial"/>
                <w:sz w:val="18"/>
                <w:szCs w:val="18"/>
                <w:color w:val="auto"/>
              </w:rPr>
              <w:t>Securities Payable on Redemption Date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11.7</w:t>
            </w:r>
          </w:p>
        </w:tc>
        <w:tc>
          <w:tcPr>
            <w:tcW w:w="7800" w:type="dxa"/>
            <w:vAlign w:val="bottom"/>
          </w:tcPr>
          <w:p>
            <w:pPr>
              <w:ind w:left="40"/>
              <w:spacing w:after="0"/>
              <w:rPr>
                <w:sz w:val="20"/>
                <w:szCs w:val="20"/>
                <w:color w:val="auto"/>
              </w:rPr>
            </w:pPr>
            <w:r>
              <w:rPr>
                <w:rFonts w:ascii="Arial" w:cs="Arial" w:eastAsia="Arial" w:hAnsi="Arial"/>
                <w:sz w:val="18"/>
                <w:szCs w:val="18"/>
                <w:color w:val="auto"/>
              </w:rPr>
              <w:t>Securities Redeemed in Part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32"/>
        </w:trPr>
        <w:tc>
          <w:tcPr>
            <w:tcW w:w="2460" w:type="dxa"/>
            <w:vAlign w:val="bottom"/>
            <w:gridSpan w:val="2"/>
          </w:tcPr>
          <w:p>
            <w:pPr>
              <w:spacing w:after="0"/>
              <w:rPr>
                <w:sz w:val="20"/>
                <w:szCs w:val="20"/>
                <w:color w:val="auto"/>
              </w:rPr>
            </w:pPr>
            <w:r>
              <w:rPr>
                <w:rFonts w:ascii="Arial" w:cs="Arial" w:eastAsia="Arial" w:hAnsi="Arial"/>
                <w:sz w:val="18"/>
                <w:szCs w:val="18"/>
                <w:color w:val="auto"/>
                <w:w w:val="98"/>
              </w:rPr>
              <w:t>ARTICLE 12 SINKING FUNDS</w:t>
            </w:r>
          </w:p>
        </w:tc>
        <w:tc>
          <w:tcPr>
            <w:tcW w:w="7800" w:type="dxa"/>
            <w:vAlign w:val="bottom"/>
          </w:tcPr>
          <w:p>
            <w:pPr>
              <w:spacing w:after="0"/>
              <w:rPr>
                <w:sz w:val="24"/>
                <w:szCs w:val="24"/>
                <w:color w:val="auto"/>
              </w:rPr>
            </w:pP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12.1</w:t>
            </w:r>
          </w:p>
        </w:tc>
        <w:tc>
          <w:tcPr>
            <w:tcW w:w="7800" w:type="dxa"/>
            <w:vAlign w:val="bottom"/>
          </w:tcPr>
          <w:p>
            <w:pPr>
              <w:ind w:left="40"/>
              <w:spacing w:after="0"/>
              <w:rPr>
                <w:sz w:val="20"/>
                <w:szCs w:val="20"/>
                <w:color w:val="auto"/>
              </w:rPr>
            </w:pPr>
            <w:r>
              <w:rPr>
                <w:rFonts w:ascii="Arial" w:cs="Arial" w:eastAsia="Arial" w:hAnsi="Arial"/>
                <w:sz w:val="18"/>
                <w:szCs w:val="18"/>
                <w:color w:val="auto"/>
              </w:rPr>
              <w:t>Applicability of Article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12.2</w:t>
            </w:r>
          </w:p>
        </w:tc>
        <w:tc>
          <w:tcPr>
            <w:tcW w:w="7800" w:type="dxa"/>
            <w:vAlign w:val="bottom"/>
          </w:tcPr>
          <w:p>
            <w:pPr>
              <w:ind w:left="40"/>
              <w:spacing w:after="0"/>
              <w:rPr>
                <w:sz w:val="20"/>
                <w:szCs w:val="20"/>
                <w:color w:val="auto"/>
              </w:rPr>
            </w:pPr>
            <w:r>
              <w:rPr>
                <w:rFonts w:ascii="Arial" w:cs="Arial" w:eastAsia="Arial" w:hAnsi="Arial"/>
                <w:sz w:val="18"/>
                <w:szCs w:val="18"/>
                <w:color w:val="auto"/>
              </w:rPr>
              <w:t>Satisfaction of Sinking Fund Payments with Securities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12.3</w:t>
            </w:r>
          </w:p>
        </w:tc>
        <w:tc>
          <w:tcPr>
            <w:tcW w:w="7800" w:type="dxa"/>
            <w:vAlign w:val="bottom"/>
          </w:tcPr>
          <w:p>
            <w:pPr>
              <w:ind w:left="40"/>
              <w:spacing w:after="0"/>
              <w:rPr>
                <w:sz w:val="20"/>
                <w:szCs w:val="20"/>
                <w:color w:val="auto"/>
              </w:rPr>
            </w:pPr>
            <w:r>
              <w:rPr>
                <w:rFonts w:ascii="Arial" w:cs="Arial" w:eastAsia="Arial" w:hAnsi="Arial"/>
                <w:sz w:val="18"/>
                <w:szCs w:val="18"/>
                <w:color w:val="auto"/>
              </w:rPr>
              <w:t>Redemption of Securities for Sinking Fund</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32"/>
        </w:trPr>
        <w:tc>
          <w:tcPr>
            <w:tcW w:w="10260" w:type="dxa"/>
            <w:vAlign w:val="bottom"/>
            <w:gridSpan w:val="3"/>
          </w:tcPr>
          <w:p>
            <w:pPr>
              <w:spacing w:after="0"/>
              <w:rPr>
                <w:sz w:val="20"/>
                <w:szCs w:val="20"/>
                <w:color w:val="auto"/>
              </w:rPr>
            </w:pPr>
            <w:r>
              <w:rPr>
                <w:rFonts w:ascii="Arial" w:cs="Arial" w:eastAsia="Arial" w:hAnsi="Arial"/>
                <w:sz w:val="18"/>
                <w:szCs w:val="18"/>
                <w:color w:val="auto"/>
              </w:rPr>
              <w:t>ARTICLE 13 DEFEASANCE AND COVENANT DEFEASANCE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13.1</w:t>
            </w:r>
          </w:p>
        </w:tc>
        <w:tc>
          <w:tcPr>
            <w:tcW w:w="7800" w:type="dxa"/>
            <w:vAlign w:val="bottom"/>
          </w:tcPr>
          <w:p>
            <w:pPr>
              <w:ind w:left="40"/>
              <w:spacing w:after="0"/>
              <w:rPr>
                <w:sz w:val="20"/>
                <w:szCs w:val="20"/>
                <w:color w:val="auto"/>
              </w:rPr>
            </w:pPr>
            <w:r>
              <w:rPr>
                <w:rFonts w:ascii="Arial" w:cs="Arial" w:eastAsia="Arial" w:hAnsi="Arial"/>
                <w:sz w:val="18"/>
                <w:szCs w:val="18"/>
                <w:color w:val="auto"/>
              </w:rPr>
              <w:t>Company’s Option to Effect Defeasance or Covenant Defeasance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13.2</w:t>
            </w:r>
          </w:p>
        </w:tc>
        <w:tc>
          <w:tcPr>
            <w:tcW w:w="7800" w:type="dxa"/>
            <w:vAlign w:val="bottom"/>
          </w:tcPr>
          <w:p>
            <w:pPr>
              <w:ind w:left="40"/>
              <w:spacing w:after="0"/>
              <w:rPr>
                <w:sz w:val="20"/>
                <w:szCs w:val="20"/>
                <w:color w:val="auto"/>
              </w:rPr>
            </w:pPr>
            <w:r>
              <w:rPr>
                <w:rFonts w:ascii="Arial" w:cs="Arial" w:eastAsia="Arial" w:hAnsi="Arial"/>
                <w:sz w:val="18"/>
                <w:szCs w:val="18"/>
                <w:color w:val="auto"/>
              </w:rPr>
              <w:t>Defeasance and Discharge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00" w:type="dxa"/>
            <w:vAlign w:val="bottom"/>
          </w:tcPr>
          <w:p>
            <w:pPr>
              <w:jc w:val="center"/>
              <w:ind w:right="1210"/>
              <w:spacing w:after="0"/>
              <w:rPr>
                <w:sz w:val="20"/>
                <w:szCs w:val="20"/>
                <w:color w:val="auto"/>
              </w:rPr>
            </w:pPr>
            <w:r>
              <w:rPr>
                <w:rFonts w:ascii="Arial" w:cs="Arial" w:eastAsia="Arial" w:hAnsi="Arial"/>
                <w:sz w:val="18"/>
                <w:szCs w:val="18"/>
                <w:color w:val="auto"/>
              </w:rPr>
              <w:t>iii</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7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00" w:type="dxa"/>
            <w:vAlign w:val="bottom"/>
          </w:tcPr>
          <w:p>
            <w:pPr>
              <w:jc w:val="center"/>
              <w:ind w:right="1190"/>
              <w:spacing w:after="0"/>
              <w:rPr>
                <w:sz w:val="20"/>
                <w:szCs w:val="20"/>
                <w:color w:val="auto"/>
              </w:rPr>
            </w:pPr>
            <w:r>
              <w:rPr>
                <w:rFonts w:ascii="Arial" w:cs="Arial" w:eastAsia="Arial" w:hAnsi="Arial"/>
                <w:sz w:val="18"/>
                <w:szCs w:val="18"/>
                <w:b w:val="1"/>
                <w:bCs w:val="1"/>
                <w:color w:val="auto"/>
                <w:w w:val="98"/>
              </w:rPr>
              <w:t>TABLE OF CONTENTS</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7800" w:type="dxa"/>
            <w:vAlign w:val="bottom"/>
          </w:tcPr>
          <w:p>
            <w:pPr>
              <w:jc w:val="center"/>
              <w:ind w:right="1190"/>
              <w:spacing w:after="0"/>
              <w:rPr>
                <w:sz w:val="20"/>
                <w:szCs w:val="20"/>
                <w:color w:val="auto"/>
              </w:rPr>
            </w:pPr>
            <w:r>
              <w:rPr>
                <w:rFonts w:ascii="Arial" w:cs="Arial" w:eastAsia="Arial" w:hAnsi="Arial"/>
                <w:sz w:val="18"/>
                <w:szCs w:val="18"/>
                <w:b w:val="1"/>
                <w:bCs w:val="1"/>
                <w:color w:val="auto"/>
                <w:w w:val="89"/>
              </w:rPr>
              <w:t>(continued)</w:t>
            </w: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13.3</w:t>
            </w:r>
          </w:p>
        </w:tc>
        <w:tc>
          <w:tcPr>
            <w:tcW w:w="7800" w:type="dxa"/>
            <w:vAlign w:val="bottom"/>
          </w:tcPr>
          <w:p>
            <w:pPr>
              <w:ind w:left="40"/>
              <w:spacing w:after="0"/>
              <w:rPr>
                <w:sz w:val="20"/>
                <w:szCs w:val="20"/>
                <w:color w:val="auto"/>
              </w:rPr>
            </w:pPr>
            <w:r>
              <w:rPr>
                <w:rFonts w:ascii="Arial" w:cs="Arial" w:eastAsia="Arial" w:hAnsi="Arial"/>
                <w:sz w:val="18"/>
                <w:szCs w:val="18"/>
                <w:color w:val="auto"/>
              </w:rPr>
              <w:t>Covenant Defeasance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13.4</w:t>
            </w:r>
          </w:p>
        </w:tc>
        <w:tc>
          <w:tcPr>
            <w:tcW w:w="7800" w:type="dxa"/>
            <w:vAlign w:val="bottom"/>
          </w:tcPr>
          <w:p>
            <w:pPr>
              <w:ind w:left="40"/>
              <w:spacing w:after="0"/>
              <w:rPr>
                <w:sz w:val="20"/>
                <w:szCs w:val="20"/>
                <w:color w:val="auto"/>
              </w:rPr>
            </w:pPr>
            <w:r>
              <w:rPr>
                <w:rFonts w:ascii="Arial" w:cs="Arial" w:eastAsia="Arial" w:hAnsi="Arial"/>
                <w:sz w:val="18"/>
                <w:szCs w:val="18"/>
                <w:color w:val="auto"/>
              </w:rPr>
              <w:t>Conditions to Defeasance or Covenant Defeasance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13.5</w:t>
            </w:r>
          </w:p>
        </w:tc>
        <w:tc>
          <w:tcPr>
            <w:tcW w:w="7800" w:type="dxa"/>
            <w:vAlign w:val="bottom"/>
          </w:tcPr>
          <w:p>
            <w:pPr>
              <w:ind w:left="40"/>
              <w:spacing w:after="0"/>
              <w:rPr>
                <w:sz w:val="20"/>
                <w:szCs w:val="20"/>
                <w:color w:val="auto"/>
              </w:rPr>
            </w:pPr>
            <w:r>
              <w:rPr>
                <w:rFonts w:ascii="Arial" w:cs="Arial" w:eastAsia="Arial" w:hAnsi="Arial"/>
                <w:sz w:val="18"/>
                <w:szCs w:val="18"/>
                <w:color w:val="auto"/>
                <w:w w:val="91"/>
              </w:rPr>
              <w:t>Deposited Money, U.S. Government Obligations and Foreign Government Obligations to be Held in Trust;</w:t>
            </w: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800" w:type="dxa"/>
            <w:vAlign w:val="bottom"/>
          </w:tcPr>
          <w:p>
            <w:pPr>
              <w:ind w:left="40"/>
              <w:spacing w:after="0"/>
              <w:rPr>
                <w:sz w:val="20"/>
                <w:szCs w:val="20"/>
                <w:color w:val="auto"/>
              </w:rPr>
            </w:pPr>
            <w:r>
              <w:rPr>
                <w:rFonts w:ascii="Arial" w:cs="Arial" w:eastAsia="Arial" w:hAnsi="Arial"/>
                <w:sz w:val="18"/>
                <w:szCs w:val="18"/>
                <w:color w:val="auto"/>
              </w:rPr>
              <w:t>Miscellaneous Provisions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13.6</w:t>
            </w:r>
          </w:p>
        </w:tc>
        <w:tc>
          <w:tcPr>
            <w:tcW w:w="7800" w:type="dxa"/>
            <w:vAlign w:val="bottom"/>
          </w:tcPr>
          <w:p>
            <w:pPr>
              <w:ind w:left="40"/>
              <w:spacing w:after="0"/>
              <w:rPr>
                <w:sz w:val="20"/>
                <w:szCs w:val="20"/>
                <w:color w:val="auto"/>
              </w:rPr>
            </w:pPr>
            <w:r>
              <w:rPr>
                <w:rFonts w:ascii="Arial" w:cs="Arial" w:eastAsia="Arial" w:hAnsi="Arial"/>
                <w:sz w:val="18"/>
                <w:szCs w:val="18"/>
                <w:color w:val="auto"/>
              </w:rPr>
              <w:t>Reinstatement</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32"/>
        </w:trPr>
        <w:tc>
          <w:tcPr>
            <w:tcW w:w="10260" w:type="dxa"/>
            <w:vAlign w:val="bottom"/>
            <w:gridSpan w:val="3"/>
          </w:tcPr>
          <w:p>
            <w:pPr>
              <w:spacing w:after="0"/>
              <w:rPr>
                <w:sz w:val="20"/>
                <w:szCs w:val="20"/>
                <w:color w:val="auto"/>
              </w:rPr>
            </w:pPr>
            <w:r>
              <w:rPr>
                <w:rFonts w:ascii="Arial" w:cs="Arial" w:eastAsia="Arial" w:hAnsi="Arial"/>
                <w:sz w:val="18"/>
                <w:szCs w:val="18"/>
                <w:color w:val="auto"/>
              </w:rPr>
              <w:t>ARTICLE 14 CONVERSION OF SECURITIES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14.1</w:t>
            </w:r>
          </w:p>
        </w:tc>
        <w:tc>
          <w:tcPr>
            <w:tcW w:w="7800" w:type="dxa"/>
            <w:vAlign w:val="bottom"/>
          </w:tcPr>
          <w:p>
            <w:pPr>
              <w:ind w:left="40"/>
              <w:spacing w:after="0"/>
              <w:rPr>
                <w:sz w:val="20"/>
                <w:szCs w:val="20"/>
                <w:color w:val="auto"/>
              </w:rPr>
            </w:pPr>
            <w:r>
              <w:rPr>
                <w:rFonts w:ascii="Arial" w:cs="Arial" w:eastAsia="Arial" w:hAnsi="Arial"/>
                <w:sz w:val="18"/>
                <w:szCs w:val="18"/>
                <w:color w:val="auto"/>
              </w:rPr>
              <w:t>Applicability of Article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14.2</w:t>
            </w:r>
          </w:p>
        </w:tc>
        <w:tc>
          <w:tcPr>
            <w:tcW w:w="7800" w:type="dxa"/>
            <w:vAlign w:val="bottom"/>
          </w:tcPr>
          <w:p>
            <w:pPr>
              <w:ind w:left="40"/>
              <w:spacing w:after="0"/>
              <w:rPr>
                <w:sz w:val="20"/>
                <w:szCs w:val="20"/>
                <w:color w:val="auto"/>
              </w:rPr>
            </w:pPr>
            <w:r>
              <w:rPr>
                <w:rFonts w:ascii="Arial" w:cs="Arial" w:eastAsia="Arial" w:hAnsi="Arial"/>
                <w:sz w:val="18"/>
                <w:szCs w:val="18"/>
                <w:color w:val="auto"/>
              </w:rPr>
              <w:t>Exercise of Conversion Privilege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14.3</w:t>
            </w:r>
          </w:p>
        </w:tc>
        <w:tc>
          <w:tcPr>
            <w:tcW w:w="7800" w:type="dxa"/>
            <w:vAlign w:val="bottom"/>
          </w:tcPr>
          <w:p>
            <w:pPr>
              <w:ind w:left="40"/>
              <w:spacing w:after="0"/>
              <w:rPr>
                <w:sz w:val="20"/>
                <w:szCs w:val="20"/>
                <w:color w:val="auto"/>
              </w:rPr>
            </w:pPr>
            <w:r>
              <w:rPr>
                <w:rFonts w:ascii="Arial" w:cs="Arial" w:eastAsia="Arial" w:hAnsi="Arial"/>
                <w:sz w:val="18"/>
                <w:szCs w:val="18"/>
                <w:color w:val="auto"/>
              </w:rPr>
              <w:t>No Fractional Shares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14.4</w:t>
            </w:r>
          </w:p>
        </w:tc>
        <w:tc>
          <w:tcPr>
            <w:tcW w:w="7800" w:type="dxa"/>
            <w:vAlign w:val="bottom"/>
          </w:tcPr>
          <w:p>
            <w:pPr>
              <w:ind w:left="40"/>
              <w:spacing w:after="0"/>
              <w:rPr>
                <w:sz w:val="20"/>
                <w:szCs w:val="20"/>
                <w:color w:val="auto"/>
              </w:rPr>
            </w:pPr>
            <w:r>
              <w:rPr>
                <w:rFonts w:ascii="Arial" w:cs="Arial" w:eastAsia="Arial" w:hAnsi="Arial"/>
                <w:sz w:val="18"/>
                <w:szCs w:val="18"/>
                <w:color w:val="auto"/>
              </w:rPr>
              <w:t>Adjustment of Conversion Price or Conversion Rate</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14.5</w:t>
            </w:r>
          </w:p>
        </w:tc>
        <w:tc>
          <w:tcPr>
            <w:tcW w:w="7800" w:type="dxa"/>
            <w:vAlign w:val="bottom"/>
          </w:tcPr>
          <w:p>
            <w:pPr>
              <w:ind w:left="40"/>
              <w:spacing w:after="0"/>
              <w:rPr>
                <w:sz w:val="20"/>
                <w:szCs w:val="20"/>
                <w:color w:val="auto"/>
              </w:rPr>
            </w:pPr>
            <w:r>
              <w:rPr>
                <w:rFonts w:ascii="Arial" w:cs="Arial" w:eastAsia="Arial" w:hAnsi="Arial"/>
                <w:sz w:val="18"/>
                <w:szCs w:val="18"/>
                <w:color w:val="auto"/>
              </w:rPr>
              <w:t>Notice of Certain Corporate Actions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14.6</w:t>
            </w:r>
          </w:p>
        </w:tc>
        <w:tc>
          <w:tcPr>
            <w:tcW w:w="7800" w:type="dxa"/>
            <w:vAlign w:val="bottom"/>
          </w:tcPr>
          <w:p>
            <w:pPr>
              <w:ind w:left="40"/>
              <w:spacing w:after="0"/>
              <w:rPr>
                <w:sz w:val="20"/>
                <w:szCs w:val="20"/>
                <w:color w:val="auto"/>
              </w:rPr>
            </w:pPr>
            <w:r>
              <w:rPr>
                <w:rFonts w:ascii="Arial" w:cs="Arial" w:eastAsia="Arial" w:hAnsi="Arial"/>
                <w:sz w:val="18"/>
                <w:szCs w:val="18"/>
                <w:color w:val="auto"/>
              </w:rPr>
              <w:t>Reservation of Shares of Common Stock</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14.7</w:t>
            </w:r>
          </w:p>
        </w:tc>
        <w:tc>
          <w:tcPr>
            <w:tcW w:w="7800" w:type="dxa"/>
            <w:vAlign w:val="bottom"/>
          </w:tcPr>
          <w:p>
            <w:pPr>
              <w:ind w:left="40"/>
              <w:spacing w:after="0"/>
              <w:rPr>
                <w:sz w:val="20"/>
                <w:szCs w:val="20"/>
                <w:color w:val="auto"/>
              </w:rPr>
            </w:pPr>
            <w:r>
              <w:rPr>
                <w:rFonts w:ascii="Arial" w:cs="Arial" w:eastAsia="Arial" w:hAnsi="Arial"/>
                <w:sz w:val="18"/>
                <w:szCs w:val="18"/>
                <w:color w:val="auto"/>
              </w:rPr>
              <w:t>Payment of Certain Taxes upon Conversion</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14.8</w:t>
            </w:r>
          </w:p>
        </w:tc>
        <w:tc>
          <w:tcPr>
            <w:tcW w:w="7800" w:type="dxa"/>
            <w:vAlign w:val="bottom"/>
          </w:tcPr>
          <w:p>
            <w:pPr>
              <w:ind w:left="40"/>
              <w:spacing w:after="0"/>
              <w:rPr>
                <w:sz w:val="20"/>
                <w:szCs w:val="20"/>
                <w:color w:val="auto"/>
              </w:rPr>
            </w:pPr>
            <w:r>
              <w:rPr>
                <w:rFonts w:ascii="Arial" w:cs="Arial" w:eastAsia="Arial" w:hAnsi="Arial"/>
                <w:sz w:val="18"/>
                <w:szCs w:val="18"/>
                <w:color w:val="auto"/>
              </w:rPr>
              <w:t>Nonassessability</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14.9</w:t>
            </w:r>
          </w:p>
        </w:tc>
        <w:tc>
          <w:tcPr>
            <w:tcW w:w="7800" w:type="dxa"/>
            <w:vAlign w:val="bottom"/>
          </w:tcPr>
          <w:p>
            <w:pPr>
              <w:ind w:left="40"/>
              <w:spacing w:after="0"/>
              <w:rPr>
                <w:sz w:val="20"/>
                <w:szCs w:val="20"/>
                <w:color w:val="auto"/>
              </w:rPr>
            </w:pPr>
            <w:r>
              <w:rPr>
                <w:rFonts w:ascii="Arial" w:cs="Arial" w:eastAsia="Arial" w:hAnsi="Arial"/>
                <w:sz w:val="18"/>
                <w:szCs w:val="18"/>
                <w:color w:val="auto"/>
              </w:rPr>
              <w:t>Provision in Case of Consolidation, Merger or Sale of Assets</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14.10</w:t>
            </w:r>
          </w:p>
        </w:tc>
        <w:tc>
          <w:tcPr>
            <w:tcW w:w="7800" w:type="dxa"/>
            <w:vAlign w:val="bottom"/>
          </w:tcPr>
          <w:p>
            <w:pPr>
              <w:ind w:left="40"/>
              <w:spacing w:after="0"/>
              <w:rPr>
                <w:sz w:val="20"/>
                <w:szCs w:val="20"/>
                <w:color w:val="auto"/>
              </w:rPr>
            </w:pPr>
            <w:r>
              <w:rPr>
                <w:rFonts w:ascii="Arial" w:cs="Arial" w:eastAsia="Arial" w:hAnsi="Arial"/>
                <w:sz w:val="18"/>
                <w:szCs w:val="18"/>
                <w:color w:val="auto"/>
              </w:rPr>
              <w:t>Duties of Trustee Regarding Conversion</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40" w:type="dxa"/>
            <w:vAlign w:val="bottom"/>
          </w:tcPr>
          <w:p>
            <w:pPr>
              <w:ind w:left="640"/>
              <w:spacing w:after="0"/>
              <w:rPr>
                <w:sz w:val="20"/>
                <w:szCs w:val="20"/>
                <w:color w:val="auto"/>
              </w:rPr>
            </w:pPr>
            <w:r>
              <w:rPr>
                <w:rFonts w:ascii="Arial" w:cs="Arial" w:eastAsia="Arial" w:hAnsi="Arial"/>
                <w:sz w:val="18"/>
                <w:szCs w:val="18"/>
                <w:color w:val="auto"/>
              </w:rPr>
              <w:t>Section 14.11</w:t>
            </w:r>
          </w:p>
        </w:tc>
        <w:tc>
          <w:tcPr>
            <w:tcW w:w="7800" w:type="dxa"/>
            <w:vAlign w:val="bottom"/>
          </w:tcPr>
          <w:p>
            <w:pPr>
              <w:ind w:left="40"/>
              <w:spacing w:after="0"/>
              <w:rPr>
                <w:sz w:val="20"/>
                <w:szCs w:val="20"/>
                <w:color w:val="auto"/>
              </w:rPr>
            </w:pPr>
            <w:r>
              <w:rPr>
                <w:rFonts w:ascii="Arial" w:cs="Arial" w:eastAsia="Arial" w:hAnsi="Arial"/>
                <w:sz w:val="18"/>
                <w:szCs w:val="18"/>
                <w:color w:val="auto"/>
              </w:rPr>
              <w:t>Repayment of Certain Funds upon Conversion</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00" w:type="dxa"/>
            <w:vAlign w:val="bottom"/>
          </w:tcPr>
          <w:p>
            <w:pPr>
              <w:jc w:val="center"/>
              <w:ind w:right="1210"/>
              <w:spacing w:after="0"/>
              <w:rPr>
                <w:sz w:val="20"/>
                <w:szCs w:val="20"/>
                <w:color w:val="auto"/>
              </w:rPr>
            </w:pPr>
            <w:r>
              <w:rPr>
                <w:rFonts w:ascii="Arial" w:cs="Arial" w:eastAsia="Arial" w:hAnsi="Arial"/>
                <w:sz w:val="18"/>
                <w:szCs w:val="18"/>
                <w:color w:val="auto"/>
              </w:rPr>
              <w:t>iv</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2440" w:type="dxa"/>
            <w:vAlign w:val="bottom"/>
            <w:tcBorders>
              <w:bottom w:val="single" w:sz="8" w:color="010101"/>
            </w:tcBorders>
          </w:tcPr>
          <w:p>
            <w:pPr>
              <w:spacing w:after="0"/>
              <w:rPr>
                <w:sz w:val="11"/>
                <w:szCs w:val="11"/>
                <w:color w:val="auto"/>
              </w:rPr>
            </w:pPr>
          </w:p>
        </w:tc>
        <w:tc>
          <w:tcPr>
            <w:tcW w:w="780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7800" w:type="dxa"/>
            <w:vAlign w:val="bottom"/>
          </w:tcPr>
          <w:p>
            <w:pPr>
              <w:jc w:val="center"/>
              <w:ind w:right="1210"/>
              <w:spacing w:after="0"/>
              <w:rPr>
                <w:sz w:val="20"/>
                <w:szCs w:val="20"/>
                <w:color w:val="auto"/>
              </w:rPr>
            </w:pPr>
            <w:r>
              <w:rPr>
                <w:rFonts w:ascii="Arial" w:cs="Arial" w:eastAsia="Arial" w:hAnsi="Arial"/>
                <w:sz w:val="18"/>
                <w:szCs w:val="18"/>
                <w:color w:val="auto"/>
                <w:w w:val="93"/>
              </w:rPr>
              <w:t>Micron Technology, Inc.</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40" w:type="dxa"/>
            <w:vAlign w:val="bottom"/>
            <w:gridSpan w:val="2"/>
          </w:tcPr>
          <w:p>
            <w:pPr>
              <w:ind w:left="640"/>
              <w:spacing w:after="0"/>
              <w:rPr>
                <w:sz w:val="20"/>
                <w:szCs w:val="20"/>
                <w:color w:val="auto"/>
              </w:rPr>
            </w:pPr>
            <w:r>
              <w:rPr>
                <w:rFonts w:ascii="Arial" w:cs="Arial" w:eastAsia="Arial" w:hAnsi="Arial"/>
                <w:sz w:val="18"/>
                <w:szCs w:val="18"/>
                <w:color w:val="auto"/>
              </w:rPr>
              <w:t>Certain Sections of this Indenture relating to Sections 310 through 318, inclusive, of the Trust Indenture Act of 1939:</w:t>
            </w: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Section 310(a)(1)</w:t>
            </w:r>
          </w:p>
        </w:tc>
        <w:tc>
          <w:tcPr>
            <w:tcW w:w="7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40"/>
              <w:spacing w:after="0"/>
              <w:rPr>
                <w:sz w:val="20"/>
                <w:szCs w:val="20"/>
                <w:color w:val="auto"/>
              </w:rPr>
            </w:pPr>
            <w:r>
              <w:rPr>
                <w:rFonts w:ascii="Arial" w:cs="Arial" w:eastAsia="Arial" w:hAnsi="Arial"/>
                <w:sz w:val="18"/>
                <w:szCs w:val="18"/>
                <w:color w:val="auto"/>
              </w:rPr>
              <w:t>(a)(2)</w:t>
            </w:r>
          </w:p>
        </w:tc>
        <w:tc>
          <w:tcPr>
            <w:tcW w:w="7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(a)(3)</w:t>
            </w:r>
          </w:p>
        </w:tc>
        <w:tc>
          <w:tcPr>
            <w:tcW w:w="7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40"/>
              <w:spacing w:after="0"/>
              <w:rPr>
                <w:sz w:val="20"/>
                <w:szCs w:val="20"/>
                <w:color w:val="auto"/>
              </w:rPr>
            </w:pPr>
            <w:r>
              <w:rPr>
                <w:rFonts w:ascii="Arial" w:cs="Arial" w:eastAsia="Arial" w:hAnsi="Arial"/>
                <w:sz w:val="18"/>
                <w:szCs w:val="18"/>
                <w:color w:val="auto"/>
              </w:rPr>
              <w:t>(a)(4)</w:t>
            </w:r>
          </w:p>
        </w:tc>
        <w:tc>
          <w:tcPr>
            <w:tcW w:w="7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w w:val="98"/>
              </w:rPr>
              <w:t>Not Applicable</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w:t>
            </w:r>
          </w:p>
        </w:tc>
        <w:tc>
          <w:tcPr>
            <w:tcW w:w="7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6.8, 6.10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Section 311(a)</w:t>
            </w:r>
          </w:p>
        </w:tc>
        <w:tc>
          <w:tcPr>
            <w:tcW w:w="7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w:t>
            </w:r>
          </w:p>
        </w:tc>
        <w:tc>
          <w:tcPr>
            <w:tcW w:w="7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Section 312(a)</w:t>
            </w:r>
          </w:p>
        </w:tc>
        <w:tc>
          <w:tcPr>
            <w:tcW w:w="7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7.1, 7.2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(b)</w:t>
            </w:r>
          </w:p>
        </w:tc>
        <w:tc>
          <w:tcPr>
            <w:tcW w:w="7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40"/>
              <w:spacing w:after="0"/>
              <w:rPr>
                <w:sz w:val="20"/>
                <w:szCs w:val="20"/>
                <w:color w:val="auto"/>
              </w:rPr>
            </w:pPr>
            <w:r>
              <w:rPr>
                <w:rFonts w:ascii="Arial" w:cs="Arial" w:eastAsia="Arial" w:hAnsi="Arial"/>
                <w:sz w:val="18"/>
                <w:szCs w:val="18"/>
                <w:color w:val="auto"/>
              </w:rPr>
              <w:t>(c)</w:t>
            </w:r>
          </w:p>
        </w:tc>
        <w:tc>
          <w:tcPr>
            <w:tcW w:w="7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Section 313(a)</w:t>
            </w:r>
          </w:p>
        </w:tc>
        <w:tc>
          <w:tcPr>
            <w:tcW w:w="7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ind w:left="840"/>
              <w:spacing w:after="0"/>
              <w:rPr>
                <w:sz w:val="20"/>
                <w:szCs w:val="20"/>
                <w:color w:val="auto"/>
              </w:rPr>
            </w:pPr>
            <w:r>
              <w:rPr>
                <w:rFonts w:ascii="Arial" w:cs="Arial" w:eastAsia="Arial" w:hAnsi="Arial"/>
                <w:sz w:val="18"/>
                <w:szCs w:val="18"/>
                <w:color w:val="auto"/>
              </w:rPr>
              <w:t>(b)</w:t>
            </w:r>
          </w:p>
        </w:tc>
        <w:tc>
          <w:tcPr>
            <w:tcW w:w="7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w:t>
            </w:r>
          </w:p>
        </w:tc>
        <w:tc>
          <w:tcPr>
            <w:tcW w:w="78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-6707505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-6707505</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-2719705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-2719705</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43" w:orient="portrait"/>
          <w:cols w:equalWidth="0" w:num="1">
            <w:col w:w="11460"/>
          </w:cols>
          <w:pgMar w:left="240" w:top="125" w:right="199" w:bottom="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5920" w:type="dxa"/>
            <w:vAlign w:val="bottom"/>
          </w:tcPr>
          <w:p>
            <w:pPr>
              <w:ind w:left="860"/>
              <w:spacing w:after="0"/>
              <w:rPr>
                <w:sz w:val="20"/>
                <w:szCs w:val="20"/>
                <w:color w:val="auto"/>
              </w:rPr>
            </w:pPr>
            <w:r>
              <w:rPr>
                <w:rFonts w:ascii="Arial" w:cs="Arial" w:eastAsia="Arial" w:hAnsi="Arial"/>
                <w:sz w:val="18"/>
                <w:szCs w:val="18"/>
                <w:color w:val="auto"/>
              </w:rPr>
              <w:t>(d)</w:t>
            </w:r>
          </w:p>
        </w:tc>
        <w:tc>
          <w:tcPr>
            <w:tcW w:w="55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Section 314(a)</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(a)(4)</w:t>
            </w:r>
          </w:p>
        </w:tc>
        <w:tc>
          <w:tcPr>
            <w:tcW w:w="5500" w:type="dxa"/>
            <w:vAlign w:val="bottom"/>
          </w:tcPr>
          <w:p>
            <w:pPr>
              <w:jc w:val="right"/>
              <w:spacing w:after="0"/>
              <w:rPr>
                <w:sz w:val="20"/>
                <w:szCs w:val="20"/>
                <w:color w:val="auto"/>
              </w:rPr>
            </w:pPr>
            <w:r>
              <w:rPr>
                <w:rFonts w:ascii="Arial" w:cs="Arial" w:eastAsia="Arial" w:hAnsi="Arial"/>
                <w:sz w:val="18"/>
                <w:szCs w:val="18"/>
                <w:color w:val="auto"/>
              </w:rPr>
              <w:t>10.1, 10.4</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(c)(1)</w:t>
            </w:r>
          </w:p>
        </w:tc>
        <w:tc>
          <w:tcPr>
            <w:tcW w:w="5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(c)(2)</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(c)(3)</w:t>
            </w:r>
          </w:p>
        </w:tc>
        <w:tc>
          <w:tcPr>
            <w:tcW w:w="550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(e)</w:t>
            </w:r>
          </w:p>
        </w:tc>
        <w:tc>
          <w:tcPr>
            <w:tcW w:w="55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Section 315(a)</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(b)</w:t>
            </w:r>
          </w:p>
        </w:tc>
        <w:tc>
          <w:tcPr>
            <w:tcW w:w="55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(d)</w:t>
            </w:r>
          </w:p>
        </w:tc>
        <w:tc>
          <w:tcPr>
            <w:tcW w:w="5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(e)</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316(a)</w:t>
            </w:r>
          </w:p>
        </w:tc>
        <w:tc>
          <w:tcPr>
            <w:tcW w:w="55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(a)(1)(A)</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5.2, 5.12</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(a)(1)(B)</w:t>
            </w:r>
          </w:p>
        </w:tc>
        <w:tc>
          <w:tcPr>
            <w:tcW w:w="5500" w:type="dxa"/>
            <w:vAlign w:val="bottom"/>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(a)(2)</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(b)</w:t>
            </w:r>
          </w:p>
        </w:tc>
        <w:tc>
          <w:tcPr>
            <w:tcW w:w="5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Section 317(a)(1)</w:t>
            </w:r>
          </w:p>
        </w:tc>
        <w:tc>
          <w:tcPr>
            <w:tcW w:w="55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5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(a)(2)</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5920" w:type="dxa"/>
            <w:vAlign w:val="bottom"/>
          </w:tcPr>
          <w:p>
            <w:pPr>
              <w:ind w:left="860"/>
              <w:spacing w:after="0"/>
              <w:rPr>
                <w:sz w:val="20"/>
                <w:szCs w:val="20"/>
                <w:color w:val="auto"/>
              </w:rPr>
            </w:pPr>
            <w:r>
              <w:rPr>
                <w:rFonts w:ascii="Arial" w:cs="Arial" w:eastAsia="Arial" w:hAnsi="Arial"/>
                <w:sz w:val="18"/>
                <w:szCs w:val="18"/>
                <w:color w:val="auto"/>
              </w:rPr>
              <w:t>(b)</w:t>
            </w:r>
          </w:p>
        </w:tc>
        <w:tc>
          <w:tcPr>
            <w:tcW w:w="550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Section 318(a)</w:t>
            </w:r>
          </w:p>
        </w:tc>
        <w:tc>
          <w:tcPr>
            <w:tcW w:w="5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NOTE:</w:t>
            </w:r>
          </w:p>
        </w:tc>
        <w:tc>
          <w:tcPr>
            <w:tcW w:w="10860" w:type="dxa"/>
            <w:vAlign w:val="bottom"/>
            <w:gridSpan w:val="2"/>
          </w:tcPr>
          <w:p>
            <w:pPr>
              <w:ind w:left="260"/>
              <w:spacing w:after="0"/>
              <w:rPr>
                <w:sz w:val="20"/>
                <w:szCs w:val="20"/>
                <w:color w:val="auto"/>
              </w:rPr>
            </w:pPr>
            <w:r>
              <w:rPr>
                <w:rFonts w:ascii="Arial" w:cs="Arial" w:eastAsia="Arial" w:hAnsi="Arial"/>
                <w:sz w:val="18"/>
                <w:szCs w:val="18"/>
                <w:color w:val="auto"/>
              </w:rPr>
              <w:t>This reconciliation and tie shall not, for any purpose, be deemed to be a part of the Indenture.</w:t>
            </w:r>
          </w:p>
        </w:tc>
      </w:tr>
      <w:tr>
        <w:trPr>
          <w:trHeight w:val="432"/>
        </w:trPr>
        <w:tc>
          <w:tcPr>
            <w:tcW w:w="6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8340" w:type="dxa"/>
            <w:vAlign w:val="bottom"/>
          </w:tcPr>
          <w:p>
            <w:pPr>
              <w:ind w:left="2540"/>
              <w:spacing w:after="0"/>
              <w:rPr>
                <w:sz w:val="20"/>
                <w:szCs w:val="20"/>
                <w:color w:val="auto"/>
              </w:rPr>
            </w:pPr>
            <w:r>
              <w:rPr>
                <w:rFonts w:ascii="Arial" w:cs="Arial" w:eastAsia="Arial" w:hAnsi="Arial"/>
                <w:sz w:val="18"/>
                <w:szCs w:val="18"/>
                <w:color w:val="auto"/>
              </w:rPr>
              <w:t>v</w:t>
            </w:r>
          </w:p>
        </w:tc>
      </w:tr>
      <w:tr>
        <w:trPr>
          <w:trHeight w:val="132"/>
        </w:trPr>
        <w:tc>
          <w:tcPr>
            <w:tcW w:w="600" w:type="dxa"/>
            <w:vAlign w:val="bottom"/>
            <w:tcBorders>
              <w:bottom w:val="single" w:sz="8" w:color="010101"/>
            </w:tcBorders>
          </w:tcPr>
          <w:p>
            <w:pPr>
              <w:spacing w:after="0"/>
              <w:rPr>
                <w:sz w:val="11"/>
                <w:szCs w:val="11"/>
                <w:color w:val="auto"/>
              </w:rPr>
            </w:pPr>
          </w:p>
        </w:tc>
        <w:tc>
          <w:tcPr>
            <w:tcW w:w="2520" w:type="dxa"/>
            <w:vAlign w:val="bottom"/>
            <w:tcBorders>
              <w:bottom w:val="single" w:sz="8" w:color="010101"/>
            </w:tcBorders>
          </w:tcPr>
          <w:p>
            <w:pPr>
              <w:spacing w:after="0"/>
              <w:rPr>
                <w:sz w:val="11"/>
                <w:szCs w:val="11"/>
                <w:color w:val="auto"/>
              </w:rPr>
            </w:pPr>
          </w:p>
        </w:tc>
        <w:tc>
          <w:tcPr>
            <w:tcW w:w="8340" w:type="dxa"/>
            <w:vAlign w:val="bottom"/>
            <w:tcBorders>
              <w:bottom w:val="single" w:sz="8" w:color="010101"/>
            </w:tcBorders>
          </w:tcPr>
          <w:p>
            <w:pPr>
              <w:spacing w:after="0"/>
              <w:rPr>
                <w:sz w:val="11"/>
                <w:szCs w:val="11"/>
                <w:color w:val="auto"/>
              </w:rPr>
            </w:pPr>
          </w:p>
        </w:tc>
      </w:tr>
      <w:tr>
        <w:trPr>
          <w:trHeight w:val="780"/>
        </w:trPr>
        <w:tc>
          <w:tcPr>
            <w:tcW w:w="600" w:type="dxa"/>
            <w:vAlign w:val="bottom"/>
          </w:tcPr>
          <w:p>
            <w:pPr>
              <w:spacing w:after="0"/>
              <w:rPr>
                <w:sz w:val="24"/>
                <w:szCs w:val="24"/>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auto"/>
              </w:rPr>
              <w:t>INDENTURE, dated as of</w:t>
            </w:r>
          </w:p>
        </w:tc>
        <w:tc>
          <w:tcPr>
            <w:tcW w:w="8340" w:type="dxa"/>
            <w:vAlign w:val="bottom"/>
          </w:tcPr>
          <w:p>
            <w:pPr>
              <w:ind w:left="560"/>
              <w:spacing w:after="0"/>
              <w:rPr>
                <w:sz w:val="20"/>
                <w:szCs w:val="20"/>
                <w:color w:val="auto"/>
              </w:rPr>
            </w:pPr>
            <w:r>
              <w:rPr>
                <w:rFonts w:ascii="Arial" w:cs="Arial" w:eastAsia="Arial" w:hAnsi="Arial"/>
                <w:sz w:val="18"/>
                <w:szCs w:val="18"/>
                <w:color w:val="auto"/>
                <w:w w:val="94"/>
              </w:rPr>
              <w:t>, 20  , between Micron Technology, Inc., a corporation duly organized and existing under the laws of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480"/>
        <w:spacing w:after="0" w:line="261" w:lineRule="auto"/>
        <w:rPr>
          <w:sz w:val="20"/>
          <w:szCs w:val="20"/>
          <w:color w:val="auto"/>
        </w:rPr>
      </w:pPr>
      <w:r>
        <w:rPr>
          <w:rFonts w:ascii="Arial" w:cs="Arial" w:eastAsia="Arial" w:hAnsi="Arial"/>
          <w:sz w:val="18"/>
          <w:szCs w:val="18"/>
          <w:color w:val="auto"/>
        </w:rPr>
        <w:t>State of Delaware (herein called the “Company”), having its principal executive office at 8000 South Federal Way, Boise, Idaho 83707, and Wells Fargo Bank, National Association, as Trustee (herein called the “Trustee”).</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700" w:firstLine="648"/>
        <w:spacing w:after="0" w:line="342"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from time to time of its unsecured debentures, notes or other evidences of indebtedness (herein called the “Securities”), to be issued in one or more series as provided in this Indenture.</w:t>
      </w:r>
    </w:p>
    <w:p>
      <w:pPr>
        <w:spacing w:after="0" w:line="124"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All things necessary to make this Indenture a valid and binding agreement of the Company, in accordance with its terms, have been done.</w:t>
      </w:r>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NOW, THEREFORE, THIS INDENTURE WITNESSETH:</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980" w:hanging="675"/>
        <w:spacing w:after="0"/>
        <w:tabs>
          <w:tab w:leader="none" w:pos="1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auto"/>
        </w:rPr>
      </w:pPr>
    </w:p>
    <w:p>
      <w:pPr>
        <w:ind w:left="660" w:right="140" w:firstLine="645"/>
        <w:spacing w:after="0" w:line="277" w:lineRule="auto"/>
        <w:tabs>
          <w:tab w:leader="none" w:pos="1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pacing w:after="0" w:line="170" w:lineRule="exact"/>
        <w:rPr>
          <w:rFonts w:ascii="Arial" w:cs="Arial" w:eastAsia="Arial" w:hAnsi="Arial"/>
          <w:sz w:val="18"/>
          <w:szCs w:val="18"/>
          <w:color w:val="auto"/>
        </w:rPr>
      </w:pPr>
    </w:p>
    <w:p>
      <w:pPr>
        <w:ind w:left="660" w:right="200" w:firstLine="645"/>
        <w:spacing w:after="0" w:line="259" w:lineRule="auto"/>
        <w:tabs>
          <w:tab w:leader="none" w:pos="1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accounting terms not otherwise defined herein have the meanings assigned to them in accordance with generally accepted accounting principles in the United States of America, and, except as otherwise herein expressly provided,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60" w:right="80" w:firstLine="645"/>
        <w:spacing w:after="0" w:line="277" w:lineRule="auto"/>
        <w:tabs>
          <w:tab w:leader="none" w:pos="1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right="240" w:firstLine="645"/>
        <w:spacing w:after="0" w:line="277" w:lineRule="auto"/>
        <w:tabs>
          <w:tab w:leader="none" w:pos="19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-1093470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3" w:name="page24"/>
    <w:bookmarkEnd w:id="23"/>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Holder, has the meaning specified in Section 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Interest” has the meaning specified in Section 5.2(b).</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right="240" w:firstLine="648"/>
        <w:spacing w:after="0" w:line="308" w:lineRule="auto"/>
        <w:rPr>
          <w:sz w:val="20"/>
          <w:szCs w:val="20"/>
          <w:color w:val="auto"/>
        </w:rPr>
      </w:pPr>
      <w:r>
        <w:rPr>
          <w:rFonts w:ascii="Arial" w:cs="Arial" w:eastAsia="Arial" w:hAnsi="Arial"/>
          <w:sz w:val="17"/>
          <w:szCs w:val="17"/>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47"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shall be more than one such resulting class, the shares of each such class then so issuable shall be substantially in the proportion which the total number of shares of such class resulting from all such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bears to the total number of shares of all such classes resulting from all such reclassifications.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1"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“Corporate Trust Office” means the corporate trust office of the Trustee at Wells Fargo Bank, N.A., MAC N9311-110, 625 Marquette Avenue South, Minneapolis, MN 55479, Attention: Corporate Trust Services, or such other office, designated by the Trustee by written notice to the Company, at which at any particular time its corporate trust business shall be administered.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“Defeasance” has the meaning specified in Section 13.2.</w:t>
      </w:r>
    </w:p>
    <w:p>
      <w:pPr>
        <w:spacing w:after="0" w:line="225"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4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2, 1992, which amended the Treaty of Rome establishing the European Community.</w:t>
      </w:r>
    </w:p>
    <w:p>
      <w:pPr>
        <w:sectPr>
          <w:pgSz w:w="11900" w:h="16929" w:orient="portrait"/>
          <w:cols w:equalWidth="0" w:num="1">
            <w:col w:w="11380"/>
          </w:cols>
          <w:pgMar w:left="240" w:top="125" w:right="279" w:bottom="0" w:gutter="0" w:footer="0" w:header="0"/>
        </w:sectPr>
      </w:pPr>
    </w:p>
    <w:bookmarkStart w:id="24" w:name="page25"/>
    <w:bookmarkEnd w:id="24"/>
    <w:p>
      <w:pPr>
        <w:spacing w:after="0" w:line="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 has the meaning specified in Section 1.4.</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timely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ind w:right="260" w:firstLine="648"/>
        <w:spacing w:after="0" w:line="257" w:lineRule="auto"/>
        <w:rPr>
          <w:sz w:val="20"/>
          <w:szCs w:val="20"/>
          <w:color w:val="auto"/>
        </w:rPr>
      </w:pPr>
      <w:r>
        <w:rPr>
          <w:rFonts w:ascii="Arial" w:cs="Arial" w:eastAsia="Arial" w:hAnsi="Arial"/>
          <w:sz w:val="18"/>
          <w:szCs w:val="18"/>
          <w:color w:val="auto"/>
        </w:rPr>
        <w:t xml:space="preserve">“Indenture”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 respectively. The term “Indenture” shall also include the terms of particular series of Securities established as contemplated by Section 3.1;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more than one Person is acting as Trustee under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82"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“Maturity,” when used with respect to any Security, means the date on which the principal of such Security or an installment of principal becomes due and payable as therein or herein provided, whether at the Stated Maturity or by declaration of acceleration, repurchase at the option of the Holder, upon redemption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ectPr>
          <w:pgSz w:w="11900" w:h="16902" w:orient="portrait"/>
          <w:cols w:equalWidth="0" w:num="1">
            <w:col w:w="11400"/>
          </w:cols>
          <w:pgMar w:left="240" w:top="341" w:right="259" w:bottom="0" w:gutter="0" w:footer="0" w:header="0"/>
        </w:sectPr>
      </w:pPr>
    </w:p>
    <w:bookmarkStart w:id="25" w:name="page26"/>
    <w:bookmarkEnd w:id="25"/>
    <w:p>
      <w:pPr>
        <w:ind w:left="1980" w:hanging="675"/>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225" w:lineRule="exact"/>
        <w:rPr>
          <w:rFonts w:ascii="Arial" w:cs="Arial" w:eastAsia="Arial" w:hAnsi="Arial"/>
          <w:sz w:val="18"/>
          <w:szCs w:val="18"/>
          <w:color w:val="auto"/>
        </w:rPr>
      </w:pPr>
    </w:p>
    <w:p>
      <w:pPr>
        <w:ind w:left="660" w:right="80" w:firstLine="645"/>
        <w:spacing w:after="0" w:line="259" w:lineRule="auto"/>
        <w:tabs>
          <w:tab w:leader="none" w:pos="19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225" w:lineRule="exact"/>
        <w:rPr>
          <w:rFonts w:ascii="Arial" w:cs="Arial" w:eastAsia="Arial" w:hAnsi="Arial"/>
          <w:sz w:val="18"/>
          <w:szCs w:val="18"/>
          <w:color w:val="auto"/>
        </w:rPr>
      </w:pPr>
    </w:p>
    <w:p>
      <w:pPr>
        <w:ind w:left="660" w:right="440" w:firstLine="645"/>
        <w:spacing w:after="0" w:line="259" w:lineRule="auto"/>
        <w:tabs>
          <w:tab w:leader="none" w:pos="1977"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non-U.S. dollar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 so to act with respect to such Securities and that the pledgee is not the Company or any other obligor upon the Securities or any Affiliate of the Company or of such other obligor.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“Responsible Officer” means any officer or authorized representative of the Trustee within the Corporate Trust Office of the Trustee with direct responsibility for the administration of this Indenture and also, with respect to a particular matter, any other officer of the Trustee to whom such matter is referred because of such officer’s knowledge and familiarity with the particular subject.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26" w:name="page27"/>
    <w:bookmarkEnd w:id="26"/>
    <w:p>
      <w:pPr>
        <w:ind w:right="40"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 for the election of directors, or persons performing similar functions, whether at all times or only so long as no senior class of stock or other interests has or have such voting power by reason of any contingency.</w:t>
      </w:r>
    </w:p>
    <w:p>
      <w:pPr>
        <w:spacing w:after="0" w:line="193"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Compliance Certificates and Opinions.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1980" w:hanging="675"/>
        <w:spacing w:after="0"/>
        <w:tabs>
          <w:tab w:leader="none" w:pos="1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6"/>
          <w:szCs w:val="16"/>
          <w:color w:val="auto"/>
        </w:rPr>
      </w:pPr>
    </w:p>
    <w:p>
      <w:pPr>
        <w:ind w:left="660" w:right="40" w:firstLine="645"/>
        <w:spacing w:after="0" w:line="277" w:lineRule="auto"/>
        <w:tabs>
          <w:tab w:leader="none" w:pos="19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80" w:firstLine="645"/>
        <w:spacing w:after="0" w:line="342" w:lineRule="auto"/>
        <w:tabs>
          <w:tab w:leader="none" w:pos="1977"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Form of Documents Delivered to Trustee.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532" w:gutter="0" w:footer="0" w:header="0"/>
        </w:sectPr>
      </w:pPr>
    </w:p>
    <w:bookmarkStart w:id="27" w:name="page28"/>
    <w:bookmarkEnd w:id="27"/>
    <w:p>
      <w:pPr>
        <w:spacing w:after="0" w:line="32"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Acts of Holders; Record Dates.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 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7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 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6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Notices, etc., to Trustee and Company.</w:t>
      </w:r>
    </w:p>
    <w:p>
      <w:pPr>
        <w:sectPr>
          <w:pgSz w:w="11900" w:h="16870" w:orient="portrait"/>
          <w:cols w:equalWidth="0" w:num="1">
            <w:col w:w="11400"/>
          </w:cols>
          <w:pgMar w:left="240" w:top="125" w:right="259" w:bottom="0" w:gutter="0" w:footer="0" w:header="0"/>
        </w:sectPr>
      </w:pPr>
    </w:p>
    <w:bookmarkStart w:id="28" w:name="page29"/>
    <w:bookmarkEnd w:id="28"/>
    <w:p>
      <w:pPr>
        <w:ind w:right="140" w:firstLine="648"/>
        <w:spacing w:after="0" w:line="277"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 provided or permitted by this Indenture to be made upon, given or furnished to, or filed with,</w:t>
      </w:r>
    </w:p>
    <w:p>
      <w:pPr>
        <w:spacing w:after="0" w:line="170" w:lineRule="exact"/>
        <w:rPr>
          <w:sz w:val="20"/>
          <w:szCs w:val="20"/>
          <w:color w:val="auto"/>
        </w:rPr>
      </w:pPr>
    </w:p>
    <w:p>
      <w:pPr>
        <w:ind w:left="660" w:right="120" w:firstLine="645"/>
        <w:spacing w:after="0" w:line="264" w:lineRule="auto"/>
        <w:tabs>
          <w:tab w:leader="none" w:pos="19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the Trustee by any Holder or by the Company shall be sufficient for every purpose hereunder if made, given, furnished or filed in writing (or by facsimile transmissions,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oral confirmation of receipt shall have been received) to or with the Trustee at its Corporate Trust Office, Attention: Corporate Trust Services, or</w:t>
      </w:r>
    </w:p>
    <w:p>
      <w:pPr>
        <w:spacing w:after="0" w:line="181" w:lineRule="exact"/>
        <w:rPr>
          <w:rFonts w:ascii="Arial" w:cs="Arial" w:eastAsia="Arial" w:hAnsi="Arial"/>
          <w:sz w:val="18"/>
          <w:szCs w:val="18"/>
          <w:color w:val="auto"/>
        </w:rPr>
      </w:pPr>
    </w:p>
    <w:p>
      <w:pPr>
        <w:jc w:val="both"/>
        <w:ind w:left="660" w:right="200" w:firstLine="645"/>
        <w:spacing w:after="0" w:line="259" w:lineRule="auto"/>
        <w:tabs>
          <w:tab w:leader="none" w:pos="19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Notice to Holders; Waiver.</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ind w:right="80"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Whenever under this Indenture the Trustee is required to provide any notice by mail, in all cases the Trustee may alternatively provide notice by overnight courier, electronic transmission or by facsimile, with confirmation of transmission.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Conflict with Trust Indenture Act.</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color w:val="auto"/>
        </w:rPr>
        <w:t>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b w:val="1"/>
          <w:bCs w:val="1"/>
          <w:color w:val="auto"/>
        </w:rPr>
        <w:t>Separability Clause.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Benefits of Indenture.</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and their successors hereunder and the Holders, any benefit or any legal or equitable right, remedy or claim under this Indenture.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6"/>
          <w:szCs w:val="16"/>
          <w:b w:val="1"/>
          <w:bCs w:val="1"/>
          <w:color w:val="auto"/>
        </w:rPr>
        <w:t>Governing Law.</w:t>
      </w:r>
    </w:p>
    <w:p>
      <w:pPr>
        <w:spacing w:after="0" w:line="225"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b w:val="1"/>
          <w:bCs w:val="1"/>
          <w:color w:val="auto"/>
        </w:rPr>
        <w:t>Legal Holidays.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00" w:gutter="0" w:footer="0" w:header="0"/>
        </w:sectPr>
      </w:pPr>
    </w:p>
    <w:bookmarkStart w:id="29" w:name="page30"/>
    <w:bookmarkEnd w:id="29"/>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made on the Interest Payment Date or Redemption Date, at the Stated Maturity or on such last day for conversion, as the case may be.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1.14</w:t>
      </w:r>
      <w:r>
        <w:rPr>
          <w:sz w:val="20"/>
          <w:szCs w:val="20"/>
          <w:color w:val="auto"/>
        </w:rPr>
        <w:tab/>
      </w:r>
      <w:r>
        <w:rPr>
          <w:rFonts w:ascii="Arial" w:cs="Arial" w:eastAsia="Arial" w:hAnsi="Arial"/>
          <w:sz w:val="16"/>
          <w:szCs w:val="16"/>
          <w:b w:val="1"/>
          <w:bCs w:val="1"/>
          <w:color w:val="auto"/>
        </w:rPr>
        <w:t>Indenture and Securities Solely Corporate Obligations.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issue of the Securities.</w:t>
      </w:r>
    </w:p>
    <w:p>
      <w:pPr>
        <w:spacing w:after="0" w:line="18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Indenture May be Executed in Counterparts.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Forms Generally.</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Form of Face of Security.</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MICRON TECHNOLOGY, INC.</w:t>
      </w:r>
    </w:p>
    <w:p>
      <w:pPr>
        <w:sectPr>
          <w:pgSz w:w="11900" w:h="16948" w:orient="portrait"/>
          <w:cols w:equalWidth="0" w:num="1">
            <w:col w:w="11400"/>
          </w:cols>
          <w:pgMar w:left="240" w:top="341" w:right="259" w:bottom="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34" w:lineRule="exact"/>
        <w:rPr>
          <w:sz w:val="20"/>
          <w:szCs w:val="20"/>
          <w:color w:val="auto"/>
        </w:rPr>
      </w:pPr>
    </w:p>
    <w:p>
      <w:pPr>
        <w:sectPr>
          <w:pgSz w:w="11900" w:h="16948" w:orient="portrait"/>
          <w:cols w:equalWidth="0" w:num="2">
            <w:col w:w="9140" w:space="720"/>
            <w:col w:w="1540"/>
          </w:cols>
          <w:pgMar w:left="240" w:top="341" w:right="259" w:bottom="0" w:gutter="0" w:footer="0" w:header="0"/>
          <w:type w:val="continuous"/>
        </w:sectPr>
      </w:pPr>
    </w:p>
    <w:p>
      <w:pPr>
        <w:spacing w:after="0" w:line="37"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Micron Technology, Inc., a corporation duly organized and existing under the laws of Delaware (herein called the “Company,” which term includes any successor Person under the Indenture hereinafter referred to), for value received, hereby promises to pay to , or registered assigns, the principal sum of dollars on [</w:t>
      </w:r>
      <w:r>
        <w:rPr>
          <w:rFonts w:ascii="Arial" w:cs="Arial" w:eastAsia="Arial" w:hAnsi="Arial"/>
          <w:sz w:val="18"/>
          <w:szCs w:val="18"/>
          <w:b w:val="1"/>
          <w:bCs w:val="1"/>
          <w:color w:val="auto"/>
        </w:rPr>
        <w:t>if the Security is to bear interest prior to Maturity, insert —</w:t>
      </w:r>
      <w:r>
        <w:rPr>
          <w:rFonts w:ascii="Arial" w:cs="Arial" w:eastAsia="Arial" w:hAnsi="Arial"/>
          <w:sz w:val="18"/>
          <w:szCs w:val="18"/>
          <w:color w:val="auto"/>
        </w:rPr>
        <w:t xml:space="preserve"> , and to pay interest thereon from or from the most recent Interest Payment Date to which interest has been paid or duly provided for, semi-annually on and in each year, commencing , at the rate of % per annum, until the principal hereof is paid or made available for</w:t>
      </w:r>
    </w:p>
    <w:p>
      <w:pPr>
        <w:sectPr>
          <w:pgSz w:w="11900" w:h="16948" w:orient="portrait"/>
          <w:cols w:equalWidth="0" w:num="1">
            <w:col w:w="11400"/>
          </w:cols>
          <w:pgMar w:left="240" w:top="341" w:right="259" w:bottom="0" w:gutter="0" w:footer="0" w:header="0"/>
          <w:type w:val="continuous"/>
        </w:sectPr>
      </w:pPr>
    </w:p>
    <w:p>
      <w:pPr>
        <w:spacing w:after="0" w:line="4"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payment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 Securities) is</w:t>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89"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not to bear interest prior to Maturity, insert —</w:t>
      </w:r>
      <w:r>
        <w:rPr>
          <w:rFonts w:ascii="Arial" w:cs="Arial" w:eastAsia="Arial" w:hAnsi="Arial"/>
          <w:sz w:val="18"/>
          <w:szCs w:val="18"/>
          <w:color w:val="auto"/>
        </w:rPr>
        <w:t xml:space="preserve"> The principal of this Security shall not bear interest except in the case of a default in payment of principal upon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948" w:orient="portrait"/>
          <w:cols w:equalWidth="0" w:num="1">
            <w:col w:w="11400"/>
          </w:cols>
          <w:pgMar w:left="240" w:top="341" w:right="25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acceleration, upon redemption or at Stated Maturity and in such case the overdue principal and any overdue premium shall bear interest at the rate of per annum (to the extent that the payment of such interest shall be legally enforceable), from the dates such amounts are due until they are paid or made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ectPr>
          <w:pgSz w:w="11900" w:h="16948" w:orient="portrait"/>
          <w:cols w:equalWidth="0" w:num="2">
            <w:col w:w="10940" w:space="100"/>
            <w:col w:w="360"/>
          </w:cols>
          <w:pgMar w:left="240" w:top="341" w:right="259" w:bottom="0" w:gutter="0" w:footer="0" w:header="0"/>
          <w:type w:val="continuous"/>
        </w:sectPr>
      </w:pPr>
    </w:p>
    <w:bookmarkStart w:id="30" w:name="page31"/>
    <w:bookmarkEnd w:id="30"/>
    <w:p>
      <w:pPr>
        <w:spacing w:after="0" w:line="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Payment of the principal of (and premium, if any) and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any such] interest on this Security will be made at the office or</w:t>
      </w:r>
    </w:p>
    <w:p>
      <w:pPr>
        <w:spacing w:after="0" w:line="39" w:lineRule="exact"/>
        <w:rPr>
          <w:sz w:val="20"/>
          <w:szCs w:val="20"/>
          <w:color w:val="auto"/>
        </w:rPr>
      </w:pPr>
    </w:p>
    <w:p>
      <w:pPr>
        <w:jc w:val="both"/>
        <w:ind w:right="240"/>
        <w:spacing w:after="0" w:line="277" w:lineRule="auto"/>
        <w:rPr>
          <w:sz w:val="20"/>
          <w:szCs w:val="20"/>
          <w:color w:val="auto"/>
        </w:rPr>
      </w:pPr>
      <w:r>
        <w:rPr>
          <w:rFonts w:ascii="Arial" w:cs="Arial" w:eastAsia="Arial" w:hAnsi="Arial"/>
          <w:sz w:val="17"/>
          <w:szCs w:val="17"/>
          <w:color w:val="auto"/>
        </w:rPr>
        <w:t>agency of the Company maintained for that purpose in , in such coin or currency of the United States of America as at the time of payment is legal tender for payment of public and private debts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 option of the Company payment of interest may be made by check mailed to the address of the Person entitled thereto as such address shall appear in the Security Register].</w:t>
      </w:r>
    </w:p>
    <w:p>
      <w:pPr>
        <w:spacing w:after="0" w:line="173"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p>
      <w:pPr>
        <w:spacing w:after="0"/>
        <w:tabs>
          <w:tab w:leader="none" w:pos="59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14605</wp:posOffset>
            </wp:positionV>
            <wp:extent cx="30099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09900" cy="8890"/>
                    </a:xfrm>
                    <a:prstGeom prst="rect">
                      <a:avLst/>
                    </a:prstGeom>
                    <a:noFill/>
                  </pic:spPr>
                </pic:pic>
              </a:graphicData>
            </a:graphic>
          </wp:anchor>
        </w:drawing>
      </w:r>
    </w:p>
    <w:p>
      <w:pPr>
        <w:spacing w:after="0" w:line="20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14605</wp:posOffset>
            </wp:positionV>
            <wp:extent cx="30784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Form of Reverse of Security.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Security is one of a duly authorized issue of securities of the Company (herein called the “Securities”), issued and to be issued in one or more</w:t>
      </w:r>
    </w:p>
    <w:p>
      <w:pPr>
        <w:spacing w:after="0" w:line="4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series under an Indenture, dated as of , 20 (herein called the “Indenture,” which term shall have the meaning assigned to it in such instrument), between the Company and Wells Fargo Bank,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Trustee and the Holders of the Securities and of the terms upon which the Securities are, and are to be, authenticated and delivered. This Security is one of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gridSpan w:val="8"/>
          </w:tcPr>
          <w:p>
            <w:pPr>
              <w:spacing w:after="0"/>
              <w:rPr>
                <w:sz w:val="20"/>
                <w:szCs w:val="20"/>
                <w:color w:val="auto"/>
              </w:rPr>
            </w:pPr>
            <w:r>
              <w:rPr>
                <w:rFonts w:ascii="Arial" w:cs="Arial" w:eastAsia="Arial" w:hAnsi="Arial"/>
                <w:sz w:val="18"/>
                <w:szCs w:val="18"/>
                <w:color w:val="auto"/>
                <w:w w:val="99"/>
              </w:rPr>
              <w:t xml:space="preserve">series designated on the face hereof </w:t>
            </w:r>
            <w:r>
              <w:rPr>
                <w:rFonts w:ascii="Arial" w:cs="Arial" w:eastAsia="Arial" w:hAnsi="Arial"/>
                <w:sz w:val="18"/>
                <w:szCs w:val="18"/>
                <w:b w:val="1"/>
                <w:bCs w:val="1"/>
                <w:color w:val="auto"/>
                <w:w w:val="99"/>
              </w:rPr>
              <w:t>[if applicable, insert —</w:t>
            </w:r>
            <w:r>
              <w:rPr>
                <w:rFonts w:ascii="Arial" w:cs="Arial" w:eastAsia="Arial" w:hAnsi="Arial"/>
                <w:sz w:val="18"/>
                <w:szCs w:val="18"/>
                <w:color w:val="auto"/>
                <w:w w:val="99"/>
              </w:rPr>
              <w:t xml:space="preserve"> , limited in aggregate principal amount to $</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96"/>
        </w:trPr>
        <w:tc>
          <w:tcPr>
            <w:tcW w:w="11420" w:type="dxa"/>
            <w:vAlign w:val="bottom"/>
            <w:gridSpan w:val="12"/>
          </w:tcPr>
          <w:p>
            <w:pPr>
              <w:ind w:left="66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If applicable, insert —</w:t>
            </w:r>
            <w:r>
              <w:rPr>
                <w:rFonts w:ascii="Arial" w:cs="Arial" w:eastAsia="Arial" w:hAnsi="Arial"/>
                <w:sz w:val="18"/>
                <w:szCs w:val="18"/>
                <w:color w:val="auto"/>
                <w:w w:val="91"/>
              </w:rPr>
              <w:t xml:space="preserve"> The Securities of this series are subject to redemption upon not less than [</w:t>
            </w:r>
            <w:r>
              <w:rPr>
                <w:rFonts w:ascii="Arial" w:cs="Arial" w:eastAsia="Arial" w:hAnsi="Arial"/>
                <w:sz w:val="18"/>
                <w:szCs w:val="18"/>
                <w:b w:val="1"/>
                <w:bCs w:val="1"/>
                <w:color w:val="auto"/>
                <w:w w:val="91"/>
              </w:rPr>
              <w:t>if applicable, insert —</w:t>
            </w:r>
            <w:r>
              <w:rPr>
                <w:rFonts w:ascii="Arial" w:cs="Arial" w:eastAsia="Arial" w:hAnsi="Arial"/>
                <w:sz w:val="18"/>
                <w:szCs w:val="18"/>
                <w:color w:val="auto"/>
                <w:w w:val="91"/>
              </w:rPr>
              <w:t xml:space="preserve"> 30] days’ notice by mail,</w:t>
            </w:r>
          </w:p>
        </w:tc>
      </w:tr>
      <w:tr>
        <w:trPr>
          <w:trHeight w:val="216"/>
        </w:trPr>
        <w:tc>
          <w:tcPr>
            <w:tcW w:w="2520" w:type="dxa"/>
            <w:vAlign w:val="bottom"/>
            <w:gridSpan w:val="3"/>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(1) on</w:t>
            </w:r>
          </w:p>
        </w:tc>
        <w:tc>
          <w:tcPr>
            <w:tcW w:w="3600" w:type="dxa"/>
            <w:vAlign w:val="bottom"/>
            <w:gridSpan w:val="3"/>
          </w:tcPr>
          <w:p>
            <w:pPr>
              <w:ind w:left="680"/>
              <w:spacing w:after="0"/>
              <w:rPr>
                <w:sz w:val="20"/>
                <w:szCs w:val="20"/>
                <w:color w:val="auto"/>
              </w:rPr>
            </w:pPr>
            <w:r>
              <w:rPr>
                <w:rFonts w:ascii="Arial" w:cs="Arial" w:eastAsia="Arial" w:hAnsi="Arial"/>
                <w:sz w:val="18"/>
                <w:szCs w:val="18"/>
                <w:color w:val="auto"/>
                <w:w w:val="95"/>
              </w:rPr>
              <w:t>in any year commencing with the year</w:t>
            </w:r>
          </w:p>
        </w:tc>
        <w:tc>
          <w:tcPr>
            <w:tcW w:w="2620" w:type="dxa"/>
            <w:vAlign w:val="bottom"/>
            <w:gridSpan w:val="3"/>
          </w:tcPr>
          <w:p>
            <w:pPr>
              <w:jc w:val="right"/>
              <w:ind w:right="110"/>
              <w:spacing w:after="0"/>
              <w:rPr>
                <w:sz w:val="20"/>
                <w:szCs w:val="20"/>
                <w:color w:val="auto"/>
              </w:rPr>
            </w:pPr>
            <w:r>
              <w:rPr>
                <w:rFonts w:ascii="Arial" w:cs="Arial" w:eastAsia="Arial" w:hAnsi="Arial"/>
                <w:sz w:val="18"/>
                <w:szCs w:val="18"/>
                <w:color w:val="auto"/>
              </w:rPr>
              <w:t>and ending with the year</w:t>
            </w:r>
          </w:p>
        </w:tc>
        <w:tc>
          <w:tcPr>
            <w:tcW w:w="2680" w:type="dxa"/>
            <w:vAlign w:val="bottom"/>
            <w:gridSpan w:val="3"/>
          </w:tcPr>
          <w:p>
            <w:pPr>
              <w:ind w:left="620"/>
              <w:spacing w:after="0"/>
              <w:rPr>
                <w:sz w:val="20"/>
                <w:szCs w:val="20"/>
                <w:color w:val="auto"/>
              </w:rPr>
            </w:pPr>
            <w:r>
              <w:rPr>
                <w:rFonts w:ascii="Arial" w:cs="Arial" w:eastAsia="Arial" w:hAnsi="Arial"/>
                <w:sz w:val="18"/>
                <w:szCs w:val="18"/>
                <w:color w:val="auto"/>
              </w:rPr>
              <w:t>through operation of the</w:t>
            </w:r>
          </w:p>
        </w:tc>
      </w:tr>
      <w:tr>
        <w:trPr>
          <w:trHeight w:val="220"/>
        </w:trPr>
        <w:tc>
          <w:tcPr>
            <w:tcW w:w="10960" w:type="dxa"/>
            <w:vAlign w:val="bottom"/>
            <w:gridSpan w:val="11"/>
          </w:tcPr>
          <w:p>
            <w:pPr>
              <w:spacing w:after="0"/>
              <w:rPr>
                <w:sz w:val="20"/>
                <w:szCs w:val="20"/>
                <w:color w:val="auto"/>
              </w:rPr>
            </w:pPr>
            <w:r>
              <w:rPr>
                <w:rFonts w:ascii="Arial" w:cs="Arial" w:eastAsia="Arial" w:hAnsi="Arial"/>
                <w:sz w:val="18"/>
                <w:szCs w:val="18"/>
                <w:color w:val="auto"/>
                <w:w w:val="95"/>
              </w:rPr>
              <w:t>sinking fund for this series at a Redemption Price equal to 100% of the principal amount, and (2)] at any time [</w:t>
            </w:r>
            <w:r>
              <w:rPr>
                <w:rFonts w:ascii="Arial" w:cs="Arial" w:eastAsia="Arial" w:hAnsi="Arial"/>
                <w:sz w:val="18"/>
                <w:szCs w:val="18"/>
                <w:b w:val="1"/>
                <w:bCs w:val="1"/>
                <w:color w:val="auto"/>
                <w:w w:val="95"/>
              </w:rPr>
              <w:t>if applicable, insert—</w:t>
            </w:r>
            <w:r>
              <w:rPr>
                <w:rFonts w:ascii="Arial" w:cs="Arial" w:eastAsia="Arial" w:hAnsi="Arial"/>
                <w:sz w:val="18"/>
                <w:szCs w:val="18"/>
                <w:color w:val="auto"/>
                <w:w w:val="95"/>
              </w:rPr>
              <w:t xml:space="preserve"> on or after</w:t>
            </w:r>
          </w:p>
        </w:tc>
        <w:tc>
          <w:tcPr>
            <w:tcW w:w="460" w:type="dxa"/>
            <w:vAlign w:val="bottom"/>
          </w:tcPr>
          <w:p>
            <w:pPr>
              <w:spacing w:after="0"/>
              <w:rPr>
                <w:sz w:val="19"/>
                <w:szCs w:val="19"/>
                <w:color w:val="auto"/>
              </w:rPr>
            </w:pPr>
          </w:p>
        </w:tc>
      </w:tr>
      <w:tr>
        <w:trPr>
          <w:trHeight w:val="212"/>
        </w:trPr>
        <w:tc>
          <w:tcPr>
            <w:tcW w:w="10960" w:type="dxa"/>
            <w:vAlign w:val="bottom"/>
            <w:gridSpan w:val="11"/>
          </w:tcPr>
          <w:p>
            <w:pPr>
              <w:ind w:left="900"/>
              <w:spacing w:after="0"/>
              <w:rPr>
                <w:sz w:val="20"/>
                <w:szCs w:val="20"/>
                <w:color w:val="auto"/>
              </w:rPr>
            </w:pPr>
            <w:r>
              <w:rPr>
                <w:rFonts w:ascii="Arial" w:cs="Arial" w:eastAsia="Arial" w:hAnsi="Arial"/>
                <w:sz w:val="18"/>
                <w:szCs w:val="18"/>
                <w:color w:val="auto"/>
                <w:w w:val="91"/>
              </w:rPr>
              <w:t>, 20  ], as a whole or in part, at the election of the Company, at the following Redemption Prices (expressed as percentages of the principal</w:t>
            </w:r>
          </w:p>
        </w:tc>
        <w:tc>
          <w:tcPr>
            <w:tcW w:w="460" w:type="dxa"/>
            <w:vAlign w:val="bottom"/>
          </w:tcPr>
          <w:p>
            <w:pPr>
              <w:spacing w:after="0"/>
              <w:rPr>
                <w:sz w:val="18"/>
                <w:szCs w:val="18"/>
                <w:color w:val="auto"/>
              </w:rPr>
            </w:pPr>
          </w:p>
        </w:tc>
      </w:tr>
      <w:tr>
        <w:trPr>
          <w:trHeight w:val="220"/>
        </w:trPr>
        <w:tc>
          <w:tcPr>
            <w:tcW w:w="4580" w:type="dxa"/>
            <w:vAlign w:val="bottom"/>
            <w:gridSpan w:val="4"/>
          </w:tcPr>
          <w:p>
            <w:pPr>
              <w:spacing w:after="0"/>
              <w:rPr>
                <w:sz w:val="20"/>
                <w:szCs w:val="20"/>
                <w:color w:val="auto"/>
              </w:rPr>
            </w:pPr>
            <w:r>
              <w:rPr>
                <w:rFonts w:ascii="Arial" w:cs="Arial" w:eastAsia="Arial" w:hAnsi="Arial"/>
                <w:sz w:val="18"/>
                <w:szCs w:val="18"/>
                <w:color w:val="auto"/>
                <w:w w:val="98"/>
              </w:rPr>
              <w:t>amount): If redeemed [</w:t>
            </w:r>
            <w:r>
              <w:rPr>
                <w:rFonts w:ascii="Arial" w:cs="Arial" w:eastAsia="Arial" w:hAnsi="Arial"/>
                <w:sz w:val="18"/>
                <w:szCs w:val="18"/>
                <w:b w:val="1"/>
                <w:bCs w:val="1"/>
                <w:color w:val="auto"/>
                <w:w w:val="98"/>
              </w:rPr>
              <w:t>if applicable, insert—</w:t>
            </w:r>
            <w:r>
              <w:rPr>
                <w:rFonts w:ascii="Arial" w:cs="Arial" w:eastAsia="Arial" w:hAnsi="Arial"/>
                <w:sz w:val="18"/>
                <w:szCs w:val="18"/>
                <w:color w:val="auto"/>
                <w:w w:val="98"/>
              </w:rPr>
              <w:t xml:space="preserve"> on or before</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680" w:type="dxa"/>
            <w:vAlign w:val="bottom"/>
            <w:gridSpan w:val="6"/>
          </w:tcPr>
          <w:p>
            <w:pPr>
              <w:ind w:left="280"/>
              <w:spacing w:after="0"/>
              <w:rPr>
                <w:sz w:val="20"/>
                <w:szCs w:val="20"/>
                <w:color w:val="auto"/>
              </w:rPr>
            </w:pPr>
            <w:r>
              <w:rPr>
                <w:rFonts w:ascii="Arial" w:cs="Arial" w:eastAsia="Arial" w:hAnsi="Arial"/>
                <w:sz w:val="18"/>
                <w:szCs w:val="18"/>
                <w:color w:val="auto"/>
              </w:rPr>
              <w:t>%, and if redeemed] during the 12-month period beginning</w:t>
            </w:r>
          </w:p>
        </w:tc>
        <w:tc>
          <w:tcPr>
            <w:tcW w:w="460" w:type="dxa"/>
            <w:vAlign w:val="bottom"/>
          </w:tcPr>
          <w:p>
            <w:pPr>
              <w:ind w:left="20"/>
              <w:spacing w:after="0"/>
              <w:rPr>
                <w:sz w:val="20"/>
                <w:szCs w:val="20"/>
                <w:color w:val="auto"/>
              </w:rPr>
            </w:pPr>
            <w:r>
              <w:rPr>
                <w:rFonts w:ascii="Arial" w:cs="Arial" w:eastAsia="Arial" w:hAnsi="Arial"/>
                <w:sz w:val="18"/>
                <w:szCs w:val="18"/>
                <w:color w:val="auto"/>
                <w:w w:val="93"/>
              </w:rPr>
              <w:t>of the</w:t>
            </w:r>
          </w:p>
        </w:tc>
      </w:tr>
      <w:tr>
        <w:trPr>
          <w:trHeight w:val="230"/>
        </w:trPr>
        <w:tc>
          <w:tcPr>
            <w:tcW w:w="2520" w:type="dxa"/>
            <w:vAlign w:val="bottom"/>
            <w:gridSpan w:val="3"/>
          </w:tcPr>
          <w:p>
            <w:pPr>
              <w:spacing w:after="0"/>
              <w:rPr>
                <w:sz w:val="20"/>
                <w:szCs w:val="20"/>
                <w:color w:val="auto"/>
              </w:rPr>
            </w:pPr>
            <w:r>
              <w:rPr>
                <w:rFonts w:ascii="Arial" w:cs="Arial" w:eastAsia="Arial" w:hAnsi="Arial"/>
                <w:sz w:val="18"/>
                <w:szCs w:val="18"/>
                <w:color w:val="auto"/>
              </w:rPr>
              <w:t>years indicated,</w:t>
            </w:r>
          </w:p>
        </w:tc>
        <w:tc>
          <w:tcPr>
            <w:tcW w:w="2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365"/>
        </w:trPr>
        <w:tc>
          <w:tcPr>
            <w:tcW w:w="252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2060" w:type="dxa"/>
            <w:vAlign w:val="bottom"/>
          </w:tcPr>
          <w:p>
            <w:pPr>
              <w:ind w:left="320"/>
              <w:spacing w:after="0"/>
              <w:rPr>
                <w:sz w:val="20"/>
                <w:szCs w:val="20"/>
                <w:color w:val="auto"/>
              </w:rPr>
            </w:pPr>
            <w:r>
              <w:rPr>
                <w:rFonts w:ascii="Arial" w:cs="Arial" w:eastAsia="Arial" w:hAnsi="Arial"/>
                <w:sz w:val="14"/>
                <w:szCs w:val="14"/>
                <w:b w:val="1"/>
                <w:bCs w:val="1"/>
                <w:color w:val="auto"/>
              </w:rPr>
              <w:t>Redemption Price</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80" w:type="dxa"/>
            <w:vAlign w:val="bottom"/>
            <w:gridSpan w:val="2"/>
          </w:tcPr>
          <w:p>
            <w:pPr>
              <w:ind w:left="180"/>
              <w:spacing w:after="0"/>
              <w:rPr>
                <w:sz w:val="20"/>
                <w:szCs w:val="20"/>
                <w:color w:val="auto"/>
              </w:rPr>
            </w:pPr>
            <w:r>
              <w:rPr>
                <w:rFonts w:ascii="Arial" w:cs="Arial" w:eastAsia="Arial" w:hAnsi="Arial"/>
                <w:sz w:val="14"/>
                <w:szCs w:val="14"/>
                <w:b w:val="1"/>
                <w:bCs w:val="1"/>
                <w:color w:val="auto"/>
              </w:rPr>
              <w:t>Year</w:t>
            </w:r>
          </w:p>
        </w:tc>
        <w:tc>
          <w:tcPr>
            <w:tcW w:w="440" w:type="dxa"/>
            <w:vAlign w:val="bottom"/>
          </w:tcPr>
          <w:p>
            <w:pPr>
              <w:spacing w:after="0"/>
              <w:rPr>
                <w:sz w:val="24"/>
                <w:szCs w:val="24"/>
                <w:color w:val="auto"/>
              </w:rPr>
            </w:pPr>
          </w:p>
        </w:tc>
        <w:tc>
          <w:tcPr>
            <w:tcW w:w="2220" w:type="dxa"/>
            <w:vAlign w:val="bottom"/>
            <w:gridSpan w:val="2"/>
          </w:tcPr>
          <w:p>
            <w:pPr>
              <w:ind w:left="220"/>
              <w:spacing w:after="0"/>
              <w:rPr>
                <w:sz w:val="20"/>
                <w:szCs w:val="20"/>
                <w:color w:val="auto"/>
              </w:rPr>
            </w:pPr>
            <w:r>
              <w:rPr>
                <w:rFonts w:ascii="Arial" w:cs="Arial" w:eastAsia="Arial" w:hAnsi="Arial"/>
                <w:sz w:val="14"/>
                <w:szCs w:val="14"/>
                <w:b w:val="1"/>
                <w:bCs w:val="1"/>
                <w:color w:val="auto"/>
              </w:rPr>
              <w:t>Redemption Price</w:t>
            </w:r>
          </w:p>
        </w:tc>
        <w:tc>
          <w:tcPr>
            <w:tcW w:w="460" w:type="dxa"/>
            <w:vAlign w:val="bottom"/>
          </w:tcPr>
          <w:p>
            <w:pPr>
              <w:spacing w:after="0"/>
              <w:rPr>
                <w:sz w:val="24"/>
                <w:szCs w:val="24"/>
                <w:color w:val="auto"/>
              </w:rPr>
            </w:pPr>
          </w:p>
        </w:tc>
      </w:tr>
      <w:tr>
        <w:trPr>
          <w:trHeight w:val="210"/>
        </w:trPr>
        <w:tc>
          <w:tcPr>
            <w:tcW w:w="1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0"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The Securities of this series are subject to redemption upon not less than [if applicable, insert 30] days’ notice by mail, (1) on in any year commencing with the year and ending with the year through operation of the sinking fund for this series at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Prices for redemption through operation of the sinking fund (expressed as percentages of the principal amount) set forth in the table below, and</w:t>
      </w:r>
    </w:p>
    <w:p>
      <w:pPr>
        <w:spacing w:after="0" w:line="32" w:lineRule="exact"/>
        <w:rPr>
          <w:sz w:val="20"/>
          <w:szCs w:val="20"/>
          <w:color w:val="auto"/>
        </w:rPr>
      </w:pPr>
    </w:p>
    <w:p>
      <w:pPr>
        <w:ind w:right="140"/>
        <w:spacing w:after="0" w:line="265" w:lineRule="auto"/>
        <w:rPr>
          <w:sz w:val="20"/>
          <w:szCs w:val="20"/>
          <w:color w:val="auto"/>
        </w:rPr>
      </w:pPr>
      <w:r>
        <w:rPr>
          <w:rFonts w:ascii="Arial" w:cs="Arial" w:eastAsia="Arial" w:hAnsi="Arial"/>
          <w:sz w:val="17"/>
          <w:szCs w:val="17"/>
          <w:color w:val="auto"/>
        </w:rPr>
        <w:t>(2) at any time [</w:t>
      </w:r>
      <w:r>
        <w:rPr>
          <w:rFonts w:ascii="Arial" w:cs="Arial" w:eastAsia="Arial" w:hAnsi="Arial"/>
          <w:sz w:val="17"/>
          <w:szCs w:val="17"/>
          <w:b w:val="1"/>
          <w:bCs w:val="1"/>
          <w:color w:val="auto"/>
        </w:rPr>
        <w:t>if applicable, insert—</w:t>
      </w:r>
      <w:r>
        <w:rPr>
          <w:rFonts w:ascii="Arial" w:cs="Arial" w:eastAsia="Arial" w:hAnsi="Arial"/>
          <w:sz w:val="17"/>
          <w:szCs w:val="17"/>
          <w:color w:val="auto"/>
        </w:rPr>
        <w:t xml:space="preserve"> on or after ], as a whole or in part, at the election of the Company, at the Redemption Prices for redemption otherwise than through operation of the sinking fund (expressed as percentages of the principal amount) set forth in the table below: If redeemed</w:t>
      </w:r>
    </w:p>
    <w:tbl>
      <w:tblPr>
        <w:tblLayout w:type="fixed"/>
        <w:tblInd w:w="0" w:type="dxa"/>
        <w:tblCellMar>
          <w:top w:w="0" w:type="dxa"/>
          <w:left w:w="0" w:type="dxa"/>
          <w:bottom w:w="0" w:type="dxa"/>
          <w:right w:w="0" w:type="dxa"/>
        </w:tblCellMar>
      </w:tblPr>
      <w:tr>
        <w:trPr>
          <w:trHeight w:val="230"/>
        </w:trPr>
        <w:tc>
          <w:tcPr>
            <w:tcW w:w="3260" w:type="dxa"/>
            <w:vAlign w:val="bottom"/>
          </w:tcPr>
          <w:p>
            <w:pPr>
              <w:spacing w:after="0"/>
              <w:rPr>
                <w:sz w:val="20"/>
                <w:szCs w:val="20"/>
                <w:color w:val="auto"/>
              </w:rPr>
            </w:pPr>
            <w:r>
              <w:rPr>
                <w:rFonts w:ascii="Arial" w:cs="Arial" w:eastAsia="Arial" w:hAnsi="Arial"/>
                <w:sz w:val="18"/>
                <w:szCs w:val="18"/>
                <w:color w:val="auto"/>
              </w:rPr>
              <w:t>during the 12-month period beginning</w:t>
            </w:r>
          </w:p>
        </w:tc>
        <w:tc>
          <w:tcPr>
            <w:tcW w:w="4160" w:type="dxa"/>
            <w:vAlign w:val="bottom"/>
          </w:tcPr>
          <w:p>
            <w:pPr>
              <w:ind w:left="480"/>
              <w:spacing w:after="0"/>
              <w:rPr>
                <w:sz w:val="20"/>
                <w:szCs w:val="20"/>
                <w:color w:val="auto"/>
              </w:rPr>
            </w:pPr>
            <w:r>
              <w:rPr>
                <w:rFonts w:ascii="Arial" w:cs="Arial" w:eastAsia="Arial" w:hAnsi="Arial"/>
                <w:sz w:val="18"/>
                <w:szCs w:val="18"/>
                <w:color w:val="auto"/>
              </w:rPr>
              <w:t>of the years indicated,</w:t>
            </w: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260" w:type="dxa"/>
            <w:vAlign w:val="bottom"/>
          </w:tcPr>
          <w:p>
            <w:pPr>
              <w:spacing w:after="0"/>
              <w:rPr>
                <w:sz w:val="24"/>
                <w:szCs w:val="24"/>
                <w:color w:val="auto"/>
              </w:rPr>
            </w:pPr>
          </w:p>
        </w:tc>
        <w:tc>
          <w:tcPr>
            <w:tcW w:w="4160" w:type="dxa"/>
            <w:vAlign w:val="bottom"/>
            <w:vMerge w:val="restart"/>
          </w:tcPr>
          <w:p>
            <w:pPr>
              <w:jc w:val="center"/>
              <w:ind w:left="364"/>
              <w:spacing w:after="0"/>
              <w:rPr>
                <w:sz w:val="20"/>
                <w:szCs w:val="20"/>
                <w:color w:val="auto"/>
              </w:rPr>
            </w:pPr>
            <w:r>
              <w:rPr>
                <w:rFonts w:ascii="Arial" w:cs="Arial" w:eastAsia="Arial" w:hAnsi="Arial"/>
                <w:sz w:val="14"/>
                <w:szCs w:val="14"/>
                <w:b w:val="1"/>
                <w:bCs w:val="1"/>
                <w:color w:val="auto"/>
                <w:w w:val="93"/>
              </w:rPr>
              <w:t>Redemption Price For</w:t>
            </w:r>
          </w:p>
        </w:tc>
        <w:tc>
          <w:tcPr>
            <w:tcW w:w="2960" w:type="dxa"/>
            <w:vAlign w:val="bottom"/>
          </w:tcPr>
          <w:p>
            <w:pPr>
              <w:jc w:val="center"/>
              <w:ind w:left="1108"/>
              <w:spacing w:after="0"/>
              <w:rPr>
                <w:sz w:val="20"/>
                <w:szCs w:val="20"/>
                <w:color w:val="auto"/>
              </w:rPr>
            </w:pPr>
            <w:r>
              <w:rPr>
                <w:rFonts w:ascii="Arial" w:cs="Arial" w:eastAsia="Arial" w:hAnsi="Arial"/>
                <w:sz w:val="14"/>
                <w:szCs w:val="14"/>
                <w:b w:val="1"/>
                <w:bCs w:val="1"/>
                <w:color w:val="auto"/>
                <w:w w:val="94"/>
              </w:rPr>
              <w:t>Redemption Price For</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4160" w:type="dxa"/>
            <w:vAlign w:val="bottom"/>
            <w:vMerge w:val="continue"/>
          </w:tcPr>
          <w:p>
            <w:pPr>
              <w:spacing w:after="0"/>
              <w:rPr>
                <w:sz w:val="12"/>
                <w:szCs w:val="12"/>
                <w:color w:val="auto"/>
              </w:rPr>
            </w:pPr>
          </w:p>
        </w:tc>
        <w:tc>
          <w:tcPr>
            <w:tcW w:w="296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w w:val="93"/>
              </w:rPr>
              <w:t>Redemption Otherwise Than</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416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3"/>
              </w:rPr>
              <w:t>Redemption Through</w:t>
            </w:r>
          </w:p>
        </w:tc>
        <w:tc>
          <w:tcPr>
            <w:tcW w:w="296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9"/>
        </w:trPr>
        <w:tc>
          <w:tcPr>
            <w:tcW w:w="326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4160" w:type="dxa"/>
            <w:vAlign w:val="bottom"/>
          </w:tcPr>
          <w:p>
            <w:pPr>
              <w:jc w:val="center"/>
              <w:ind w:left="364"/>
              <w:spacing w:after="0" w:line="149" w:lineRule="exact"/>
              <w:rPr>
                <w:sz w:val="20"/>
                <w:szCs w:val="20"/>
                <w:color w:val="auto"/>
              </w:rPr>
            </w:pPr>
            <w:r>
              <w:rPr>
                <w:rFonts w:ascii="Arial" w:cs="Arial" w:eastAsia="Arial" w:hAnsi="Arial"/>
                <w:sz w:val="14"/>
                <w:szCs w:val="14"/>
                <w:b w:val="1"/>
                <w:bCs w:val="1"/>
                <w:color w:val="auto"/>
                <w:w w:val="92"/>
              </w:rPr>
              <w:t>Operation of the</w:t>
            </w:r>
          </w:p>
        </w:tc>
        <w:tc>
          <w:tcPr>
            <w:tcW w:w="2960" w:type="dxa"/>
            <w:vAlign w:val="bottom"/>
          </w:tcPr>
          <w:p>
            <w:pPr>
              <w:jc w:val="center"/>
              <w:ind w:left="1108"/>
              <w:spacing w:after="0" w:line="149" w:lineRule="exact"/>
              <w:rPr>
                <w:sz w:val="20"/>
                <w:szCs w:val="20"/>
                <w:color w:val="auto"/>
              </w:rPr>
            </w:pPr>
            <w:r>
              <w:rPr>
                <w:rFonts w:ascii="Arial" w:cs="Arial" w:eastAsia="Arial" w:hAnsi="Arial"/>
                <w:sz w:val="14"/>
                <w:szCs w:val="14"/>
                <w:b w:val="1"/>
                <w:bCs w:val="1"/>
                <w:color w:val="auto"/>
                <w:w w:val="94"/>
              </w:rPr>
              <w:t>Operation of the</w:t>
            </w:r>
          </w:p>
        </w:tc>
        <w:tc>
          <w:tcPr>
            <w:tcW w:w="0" w:type="dxa"/>
            <w:vAlign w:val="bottom"/>
          </w:tcPr>
          <w:p>
            <w:pPr>
              <w:spacing w:after="0"/>
              <w:rPr>
                <w:sz w:val="1"/>
                <w:szCs w:val="1"/>
                <w:color w:val="auto"/>
              </w:rPr>
            </w:pPr>
          </w:p>
        </w:tc>
      </w:tr>
      <w:tr>
        <w:trPr>
          <w:trHeight w:val="186"/>
        </w:trPr>
        <w:tc>
          <w:tcPr>
            <w:tcW w:w="3260" w:type="dxa"/>
            <w:vAlign w:val="bottom"/>
            <w:vMerge w:val="continue"/>
          </w:tcPr>
          <w:p>
            <w:pPr>
              <w:spacing w:after="0"/>
              <w:rPr>
                <w:sz w:val="16"/>
                <w:szCs w:val="16"/>
                <w:color w:val="auto"/>
              </w:rPr>
            </w:pPr>
          </w:p>
        </w:tc>
        <w:tc>
          <w:tcPr>
            <w:tcW w:w="4160" w:type="dxa"/>
            <w:vAlign w:val="bottom"/>
          </w:tcPr>
          <w:p>
            <w:pPr>
              <w:jc w:val="center"/>
              <w:ind w:left="364"/>
              <w:spacing w:after="0"/>
              <w:rPr>
                <w:sz w:val="20"/>
                <w:szCs w:val="20"/>
                <w:color w:val="auto"/>
              </w:rPr>
            </w:pPr>
            <w:r>
              <w:rPr>
                <w:rFonts w:ascii="Arial" w:cs="Arial" w:eastAsia="Arial" w:hAnsi="Arial"/>
                <w:sz w:val="14"/>
                <w:szCs w:val="14"/>
                <w:b w:val="1"/>
                <w:bCs w:val="1"/>
                <w:color w:val="auto"/>
                <w:w w:val="94"/>
              </w:rPr>
              <w:t>Sinking Fund</w:t>
            </w:r>
          </w:p>
        </w:tc>
        <w:tc>
          <w:tcPr>
            <w:tcW w:w="2960" w:type="dxa"/>
            <w:vAlign w:val="bottom"/>
          </w:tcPr>
          <w:p>
            <w:pPr>
              <w:jc w:val="center"/>
              <w:ind w:left="1108"/>
              <w:spacing w:after="0"/>
              <w:rPr>
                <w:sz w:val="20"/>
                <w:szCs w:val="20"/>
                <w:color w:val="auto"/>
              </w:rPr>
            </w:pPr>
            <w:r>
              <w:rPr>
                <w:rFonts w:ascii="Arial" w:cs="Arial" w:eastAsia="Arial" w:hAnsi="Arial"/>
                <w:sz w:val="14"/>
                <w:szCs w:val="14"/>
                <w:b w:val="1"/>
                <w:bCs w:val="1"/>
                <w:color w:val="auto"/>
                <w:w w:val="92"/>
              </w:rPr>
              <w:t>Sinking Fund</w:t>
            </w:r>
          </w:p>
        </w:tc>
        <w:tc>
          <w:tcPr>
            <w:tcW w:w="0" w:type="dxa"/>
            <w:vAlign w:val="bottom"/>
          </w:tcPr>
          <w:p>
            <w:pPr>
              <w:spacing w:after="0"/>
              <w:rPr>
                <w:sz w:val="1"/>
                <w:szCs w:val="1"/>
                <w:color w:val="auto"/>
              </w:rPr>
            </w:pPr>
          </w:p>
        </w:tc>
      </w:tr>
    </w:tbl>
    <w:p>
      <w:pPr>
        <w:sectPr>
          <w:pgSz w:w="11900" w:h="16926" w:orient="portrait"/>
          <w:cols w:equalWidth="0" w:num="1">
            <w:col w:w="11420"/>
          </w:cols>
          <w:pgMar w:left="240" w:top="125" w:right="239" w:bottom="0" w:gutter="0" w:footer="0" w:header="0"/>
        </w:sectPr>
      </w:pPr>
    </w:p>
    <w:bookmarkStart w:id="31" w:name="page32"/>
    <w:bookmarkEnd w:id="31"/>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3460" w:type="dxa"/>
            <w:vAlign w:val="bottom"/>
          </w:tcPr>
          <w:p>
            <w:pPr>
              <w:spacing w:after="0"/>
              <w:rPr>
                <w:sz w:val="20"/>
                <w:szCs w:val="20"/>
                <w:color w:val="auto"/>
              </w:rPr>
            </w:pPr>
            <w:r>
              <w:rPr>
                <w:rFonts w:ascii="Arial" w:cs="Arial" w:eastAsia="Arial" w:hAnsi="Arial"/>
                <w:sz w:val="18"/>
                <w:szCs w:val="18"/>
                <w:color w:val="auto"/>
                <w:w w:val="94"/>
              </w:rPr>
              <w:t>and thereafter at a Redemption Price equal to</w:t>
            </w:r>
          </w:p>
        </w:tc>
        <w:tc>
          <w:tcPr>
            <w:tcW w:w="8000" w:type="dxa"/>
            <w:vAlign w:val="bottom"/>
          </w:tcPr>
          <w:p>
            <w:pPr>
              <w:jc w:val="right"/>
              <w:ind w:right="130"/>
              <w:spacing w:after="0"/>
              <w:rPr>
                <w:sz w:val="20"/>
                <w:szCs w:val="20"/>
                <w:color w:val="auto"/>
              </w:rPr>
            </w:pPr>
            <w:r>
              <w:rPr>
                <w:rFonts w:ascii="Arial" w:cs="Arial" w:eastAsia="Arial" w:hAnsi="Arial"/>
                <w:sz w:val="18"/>
                <w:szCs w:val="18"/>
                <w:color w:val="auto"/>
                <w:w w:val="92"/>
              </w:rPr>
              <w:t>% of the principal amount, together in the case of any such redemption (whether through operation of the</w:t>
            </w:r>
          </w:p>
        </w:tc>
      </w:t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sinking fund or otherwise) with accrued</w:t>
            </w:r>
          </w:p>
        </w:tc>
        <w:tc>
          <w:tcPr>
            <w:tcW w:w="8000" w:type="dxa"/>
            <w:vAlign w:val="bottom"/>
          </w:tcPr>
          <w:p>
            <w:pPr>
              <w:spacing w:after="0"/>
              <w:rPr>
                <w:sz w:val="20"/>
                <w:szCs w:val="20"/>
                <w:color w:val="auto"/>
              </w:rPr>
            </w:pPr>
          </w:p>
        </w:tc>
      </w:tr>
      <w:tr>
        <w:trPr>
          <w:trHeight w:val="432"/>
        </w:trPr>
        <w:tc>
          <w:tcPr>
            <w:tcW w:w="3460" w:type="dxa"/>
            <w:vAlign w:val="bottom"/>
          </w:tcPr>
          <w:p>
            <w:pPr>
              <w:spacing w:after="0"/>
              <w:rPr>
                <w:sz w:val="24"/>
                <w:szCs w:val="24"/>
                <w:color w:val="auto"/>
              </w:rPr>
            </w:pPr>
          </w:p>
        </w:tc>
        <w:tc>
          <w:tcPr>
            <w:tcW w:w="8000" w:type="dxa"/>
            <w:vAlign w:val="bottom"/>
          </w:tcPr>
          <w:p>
            <w:pPr>
              <w:jc w:val="right"/>
              <w:ind w:right="5570"/>
              <w:spacing w:after="0"/>
              <w:rPr>
                <w:sz w:val="20"/>
                <w:szCs w:val="20"/>
                <w:color w:val="auto"/>
              </w:rPr>
            </w:pPr>
            <w:r>
              <w:rPr>
                <w:rFonts w:ascii="Arial" w:cs="Arial" w:eastAsia="Arial" w:hAnsi="Arial"/>
                <w:sz w:val="18"/>
                <w:szCs w:val="18"/>
                <w:color w:val="auto"/>
              </w:rPr>
              <w:t>17</w:t>
            </w:r>
          </w:p>
        </w:tc>
      </w:tr>
      <w:tr>
        <w:trPr>
          <w:trHeight w:val="132"/>
        </w:trPr>
        <w:tc>
          <w:tcPr>
            <w:tcW w:w="3460" w:type="dxa"/>
            <w:vAlign w:val="bottom"/>
            <w:tcBorders>
              <w:bottom w:val="single" w:sz="8" w:color="010101"/>
            </w:tcBorders>
          </w:tcPr>
          <w:p>
            <w:pPr>
              <w:spacing w:after="0"/>
              <w:rPr>
                <w:sz w:val="11"/>
                <w:szCs w:val="11"/>
                <w:color w:val="auto"/>
              </w:rPr>
            </w:pPr>
          </w:p>
        </w:tc>
        <w:tc>
          <w:tcPr>
            <w:tcW w:w="800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77"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Notwithstanding the foregoing, the Company may not, prior to , redeem any Securities of this series as contemplated by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clause (2) of] the preceding paragraph as a part of, or in anticipation of, any refunding operation by the application, directly or indirectly, of moneys borrowed having an interest cost to the Company (calculated in accordance with generally accepted financial practice) of less than % per annum.]</w:t>
      </w:r>
    </w:p>
    <w:p>
      <w:pPr>
        <w:spacing w:after="0" w:line="180" w:lineRule="exact"/>
        <w:rPr>
          <w:sz w:val="20"/>
          <w:szCs w:val="20"/>
          <w:color w:val="auto"/>
        </w:rPr>
      </w:pPr>
    </w:p>
    <w:p>
      <w:pPr>
        <w:ind w:left="660"/>
        <w:spacing w:after="0"/>
        <w:tabs>
          <w:tab w:leader="none" w:pos="79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The sinking fund for this series provides for the redemption on</w:t>
      </w:r>
      <w:r>
        <w:rPr>
          <w:sz w:val="20"/>
          <w:szCs w:val="20"/>
          <w:color w:val="auto"/>
        </w:rPr>
        <w:tab/>
      </w:r>
      <w:r>
        <w:rPr>
          <w:rFonts w:ascii="Arial" w:cs="Arial" w:eastAsia="Arial" w:hAnsi="Arial"/>
          <w:sz w:val="16"/>
          <w:szCs w:val="16"/>
          <w:color w:val="auto"/>
        </w:rPr>
        <w:t>in each year beginning with the year</w:t>
      </w:r>
    </w:p>
    <w:p>
      <w:pPr>
        <w:spacing w:after="0" w:line="27" w:lineRule="exact"/>
        <w:rPr>
          <w:sz w:val="20"/>
          <w:szCs w:val="20"/>
          <w:color w:val="auto"/>
        </w:rPr>
      </w:pPr>
    </w:p>
    <w:p>
      <w:pPr>
        <w:spacing w:after="0"/>
        <w:tabs>
          <w:tab w:leader="none" w:pos="2400" w:val="left"/>
          <w:tab w:leader="none" w:pos="6060" w:val="left"/>
          <w:tab w:leader="none" w:pos="10280" w:val="left"/>
        </w:tabs>
        <w:rPr>
          <w:sz w:val="20"/>
          <w:szCs w:val="20"/>
          <w:color w:val="auto"/>
        </w:rPr>
      </w:pPr>
      <w:r>
        <w:rPr>
          <w:rFonts w:ascii="Arial" w:cs="Arial" w:eastAsia="Arial" w:hAnsi="Arial"/>
          <w:sz w:val="18"/>
          <w:szCs w:val="18"/>
          <w:color w:val="auto"/>
        </w:rPr>
        <w:t>and ending with the year</w:t>
      </w:r>
      <w:r>
        <w:rPr>
          <w:sz w:val="20"/>
          <w:szCs w:val="20"/>
          <w:color w:val="auto"/>
        </w:rPr>
        <w:tab/>
      </w:r>
      <w:r>
        <w:rPr>
          <w:rFonts w:ascii="Arial" w:cs="Arial" w:eastAsia="Arial" w:hAnsi="Arial"/>
          <w:sz w:val="18"/>
          <w:szCs w:val="18"/>
          <w:color w:val="auto"/>
        </w:rPr>
        <w:t>of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not less than $</w:t>
      </w:r>
      <w:r>
        <w:rPr>
          <w:sz w:val="20"/>
          <w:szCs w:val="20"/>
          <w:color w:val="auto"/>
        </w:rPr>
        <w:tab/>
      </w:r>
      <w:r>
        <w:rPr>
          <w:rFonts w:ascii="Arial" w:cs="Arial" w:eastAsia="Arial" w:hAnsi="Arial"/>
          <w:sz w:val="18"/>
          <w:szCs w:val="18"/>
          <w:color w:val="auto"/>
        </w:rPr>
        <w:t>(“mandatory sinking fund”) and not more than] $</w:t>
      </w:r>
      <w:r>
        <w:rPr>
          <w:sz w:val="20"/>
          <w:szCs w:val="20"/>
          <w:color w:val="auto"/>
        </w:rPr>
        <w:tab/>
      </w:r>
      <w:r>
        <w:rPr>
          <w:rFonts w:ascii="Arial" w:cs="Arial" w:eastAsia="Arial" w:hAnsi="Arial"/>
          <w:sz w:val="15"/>
          <w:szCs w:val="15"/>
          <w:color w:val="auto"/>
        </w:rPr>
        <w:t>aggregate</w:t>
      </w:r>
    </w:p>
    <w:p>
      <w:pPr>
        <w:spacing w:after="0" w:line="9"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principal amount of Securities of this series. Securities of this series acquired or redeemed by the Company otherwise than through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mandatory] sinking fund payments may be credited against subsequent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mandatory] sinking fund payments otherwise required to be made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 in the inverse order in which they become due].]</w:t>
      </w:r>
    </w:p>
    <w:p>
      <w:pPr>
        <w:spacing w:after="0" w:line="186" w:lineRule="exact"/>
        <w:rPr>
          <w:sz w:val="20"/>
          <w:szCs w:val="20"/>
          <w:color w:val="auto"/>
        </w:rPr>
      </w:pPr>
    </w:p>
    <w:p>
      <w:pPr>
        <w:ind w:right="4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16" w:lineRule="exact"/>
        <w:rPr>
          <w:sz w:val="20"/>
          <w:szCs w:val="20"/>
          <w:color w:val="auto"/>
        </w:rPr>
      </w:pPr>
    </w:p>
    <w:p>
      <w:pPr>
        <w:ind w:right="2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w:t>
      </w:r>
      <w:r>
        <w:rPr>
          <w:rFonts w:ascii="Arial" w:cs="Arial" w:eastAsia="Arial" w:hAnsi="Arial"/>
          <w:sz w:val="16"/>
          <w:szCs w:val="16"/>
          <w:color w:val="auto"/>
        </w:rPr>
        <w:t xml:space="preserve">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16"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convertible into Common Stock of the Company, insert —</w:t>
      </w:r>
      <w:r>
        <w:rPr>
          <w:rFonts w:ascii="Arial" w:cs="Arial" w:eastAsia="Arial" w:hAnsi="Arial"/>
          <w:sz w:val="16"/>
          <w:szCs w:val="16"/>
          <w:color w:val="auto"/>
        </w:rPr>
        <w:t xml:space="preserve"> Subject to the provisions of the Indenture, the Holder of this Security is entitled, at its option, at any time on or before </w:t>
      </w:r>
      <w:r>
        <w:rPr>
          <w:rFonts w:ascii="Arial" w:cs="Arial" w:eastAsia="Arial" w:hAnsi="Arial"/>
          <w:sz w:val="16"/>
          <w:szCs w:val="16"/>
          <w:b w:val="1"/>
          <w:bCs w:val="1"/>
          <w:color w:val="auto"/>
        </w:rPr>
        <w:t>[insert date</w:t>
      </w:r>
      <w:r>
        <w:rPr>
          <w:rFonts w:ascii="Arial" w:cs="Arial" w:eastAsia="Arial" w:hAnsi="Arial"/>
          <w:sz w:val="16"/>
          <w:szCs w:val="16"/>
          <w:color w:val="auto"/>
        </w:rPr>
        <w:t>] (except that, in case this Security or any portion hereof shall be called for redemption, such right shall terminate with respect to this Security or portion hereof, as the case may be, so called for redemption at the close of business on the first Business Day next preceding the date fixed for redemption as provided in the Indenture unless the Company defaults in making the payment due upon redemption), to convert the principal amount of this Security (or any portion hereof which is $1,000 or an integral multiple thereof), into fully paid and non-assessable shares (calculated as to each conversion to the nearest 1/100th of a share) of the Common Stock of the Company, as said shares shall be constituted</w:t>
      </w:r>
    </w:p>
    <w:p>
      <w:pPr>
        <w:spacing w:after="0" w:line="4"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at the date of conversion, at the conversion price of $ principal amount of Securities for each share of Common Stock, or at the adjusted conversion price in effect at the date of conversion determined as provided in the Indenture, upon surrender of this Security, together with the conversion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tcPr>
          <w:p>
            <w:pPr>
              <w:jc w:val="right"/>
              <w:ind w:right="470"/>
              <w:spacing w:after="0"/>
              <w:rPr>
                <w:sz w:val="20"/>
                <w:szCs w:val="20"/>
                <w:color w:val="auto"/>
              </w:rPr>
            </w:pPr>
            <w:r>
              <w:rPr>
                <w:rFonts w:ascii="Arial" w:cs="Arial" w:eastAsia="Arial" w:hAnsi="Arial"/>
                <w:sz w:val="18"/>
                <w:szCs w:val="18"/>
                <w:color w:val="auto"/>
                <w:w w:val="90"/>
              </w:rPr>
              <w:t>notice hereon duly executed, to the Company at the designated office or agency of the Company in</w:t>
            </w:r>
          </w:p>
        </w:tc>
        <w:tc>
          <w:tcPr>
            <w:tcW w:w="3780" w:type="dxa"/>
            <w:vAlign w:val="bottom"/>
          </w:tcPr>
          <w:p>
            <w:pPr>
              <w:ind w:left="580"/>
              <w:spacing w:after="0"/>
              <w:rPr>
                <w:sz w:val="20"/>
                <w:szCs w:val="20"/>
                <w:color w:val="auto"/>
              </w:rPr>
            </w:pPr>
            <w:r>
              <w:rPr>
                <w:rFonts w:ascii="Arial" w:cs="Arial" w:eastAsia="Arial" w:hAnsi="Arial"/>
                <w:sz w:val="18"/>
                <w:szCs w:val="18"/>
                <w:color w:val="auto"/>
              </w:rPr>
              <w:t>, accompanied (if so required by</w:t>
            </w:r>
          </w:p>
        </w:tc>
      </w:tr>
      <w:tr>
        <w:trPr>
          <w:trHeight w:val="418"/>
        </w:trPr>
        <w:tc>
          <w:tcPr>
            <w:tcW w:w="7680" w:type="dxa"/>
            <w:vAlign w:val="bottom"/>
          </w:tcPr>
          <w:p>
            <w:pPr>
              <w:jc w:val="right"/>
              <w:ind w:right="1790"/>
              <w:spacing w:after="0"/>
              <w:rPr>
                <w:sz w:val="20"/>
                <w:szCs w:val="20"/>
                <w:color w:val="auto"/>
              </w:rPr>
            </w:pPr>
            <w:r>
              <w:rPr>
                <w:rFonts w:ascii="Arial" w:cs="Arial" w:eastAsia="Arial" w:hAnsi="Arial"/>
                <w:sz w:val="18"/>
                <w:szCs w:val="18"/>
                <w:color w:val="auto"/>
              </w:rPr>
              <w:t>18</w:t>
            </w:r>
          </w:p>
        </w:tc>
        <w:tc>
          <w:tcPr>
            <w:tcW w:w="3780" w:type="dxa"/>
            <w:vAlign w:val="bottom"/>
          </w:tcPr>
          <w:p>
            <w:pPr>
              <w:spacing w:after="0"/>
              <w:rPr>
                <w:sz w:val="24"/>
                <w:szCs w:val="24"/>
                <w:color w:val="auto"/>
              </w:rPr>
            </w:pPr>
          </w:p>
        </w:tc>
      </w:tr>
      <w:tr>
        <w:trPr>
          <w:trHeight w:val="132"/>
        </w:trPr>
        <w:tc>
          <w:tcPr>
            <w:tcW w:w="7680" w:type="dxa"/>
            <w:vAlign w:val="bottom"/>
            <w:tcBorders>
              <w:bottom w:val="single" w:sz="8" w:color="010101"/>
            </w:tcBorders>
          </w:tcPr>
          <w:p>
            <w:pPr>
              <w:spacing w:after="0"/>
              <w:rPr>
                <w:sz w:val="11"/>
                <w:szCs w:val="11"/>
                <w:color w:val="auto"/>
              </w:rPr>
            </w:pPr>
          </w:p>
        </w:tc>
        <w:tc>
          <w:tcPr>
            <w:tcW w:w="378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by instruments of transfer, in form satisfactory to the Company and to the Trustee, duly executed by the Holder or by its duly authorized attorney in writing.</w:t>
      </w:r>
    </w:p>
    <w:p>
      <w:pPr>
        <w:spacing w:after="0" w:line="170" w:lineRule="exact"/>
        <w:rPr>
          <w:sz w:val="20"/>
          <w:szCs w:val="20"/>
          <w:color w:val="auto"/>
        </w:rPr>
      </w:pPr>
    </w:p>
    <w:p>
      <w:pPr>
        <w:ind w:right="60" w:firstLine="648"/>
        <w:spacing w:after="0" w:line="285" w:lineRule="auto"/>
        <w:rPr>
          <w:sz w:val="20"/>
          <w:szCs w:val="20"/>
          <w:color w:val="auto"/>
        </w:rPr>
      </w:pPr>
      <w:r>
        <w:rPr>
          <w:rFonts w:ascii="Arial" w:cs="Arial" w:eastAsia="Arial" w:hAnsi="Arial"/>
          <w:sz w:val="16"/>
          <w:szCs w:val="16"/>
          <w:color w:val="auto"/>
        </w:rPr>
        <w:t>Such surrender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 interest accrued hereon or for dividends on shares of Common Stock issued on conversion. The Company is not required to issue fractional shares upon any such conversion, but shall make adjustment therefor in cash on the basis of the current market value of such fractional interest as provided in the Indenture. The conversion price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convertible into other securities of the Company, specify the conversion features.</w:t>
      </w:r>
      <w:r>
        <w:rPr>
          <w:rFonts w:ascii="Arial" w:cs="Arial" w:eastAsia="Arial" w:hAnsi="Arial"/>
          <w:sz w:val="18"/>
          <w:szCs w:val="18"/>
          <w:color w:val="auto"/>
        </w:rPr>
        <w:t>]</w:t>
      </w:r>
    </w:p>
    <w:p>
      <w:pPr>
        <w:spacing w:after="0" w:line="225" w:lineRule="exact"/>
        <w:rPr>
          <w:sz w:val="20"/>
          <w:szCs w:val="20"/>
          <w:color w:val="auto"/>
        </w:rPr>
      </w:pPr>
    </w:p>
    <w:p>
      <w:pPr>
        <w:ind w:right="10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an Original Issue Discount Security, insert —</w:t>
      </w:r>
      <w:r>
        <w:rPr>
          <w:rFonts w:ascii="Arial" w:cs="Arial" w:eastAsia="Arial" w:hAnsi="Arial"/>
          <w:sz w:val="16"/>
          <w:szCs w:val="16"/>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pacing w:after="0" w:line="116"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 </w:t>
      </w:r>
      <w:r>
        <w:rPr>
          <w:rFonts w:ascii="Arial" w:cs="Arial" w:eastAsia="Arial" w:hAnsi="Arial"/>
          <w:sz w:val="18"/>
          <w:szCs w:val="18"/>
          <w:b w:val="1"/>
          <w:bCs w:val="1"/>
          <w:color w:val="auto"/>
        </w:rPr>
        <w:t>insert formula for determining the amount</w:t>
      </w:r>
      <w:r>
        <w:rPr>
          <w:rFonts w:ascii="Arial" w:cs="Arial" w:eastAsia="Arial" w:hAnsi="Arial"/>
          <w:sz w:val="18"/>
          <w:szCs w:val="18"/>
          <w:color w:val="auto"/>
        </w:rPr>
        <w:t>.</w:t>
      </w:r>
    </w:p>
    <w:p>
      <w:pPr>
        <w:sectPr>
          <w:pgSz w:w="11900" w:h="16933" w:orient="portrait"/>
          <w:cols w:equalWidth="0" w:num="1">
            <w:col w:w="11460"/>
          </w:cols>
          <w:pgMar w:left="240" w:top="1003" w:right="199" w:bottom="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81"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7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ind w:right="260" w:firstLine="648"/>
        <w:spacing w:after="0" w:line="302"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of this series and of like tenor, of authorized denominations and for the same aggregate principal amount, will be issued to the designated transferee or transferees.</w:t>
      </w:r>
    </w:p>
    <w:p>
      <w:pPr>
        <w:spacing w:after="0" w:line="170"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w:t>
      </w:r>
    </w:p>
    <w:p>
      <w:pPr>
        <w:spacing w:after="0" w:line="1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Security is registered as the owner hereof for all purposes, whether or not this Security be overdue, and neither the Company, the Trustee nor any such agent shall be affected by notice to the contrary.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that are defined in the Indenture shall have the meanings assigned to them in the Indenture.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Form of Legend for Global Securities.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Reserved.</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464" w:gutter="0" w:footer="0" w:header="0"/>
        </w:sectPr>
      </w:pPr>
    </w:p>
    <w:bookmarkStart w:id="33" w:name="page34"/>
    <w:bookmarkEnd w:id="33"/>
    <w:p>
      <w:pPr>
        <w:spacing w:after="0"/>
        <w:tabs>
          <w:tab w:leader="none" w:pos="13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Form of 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notices shall be in substantially the following 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 Micron Technology, Inc.:</w:t>
      </w:r>
    </w:p>
    <w:p>
      <w:pPr>
        <w:spacing w:after="0" w:line="211"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14605</wp:posOffset>
            </wp:positionV>
            <wp:extent cx="310451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205"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Signature(s) must be guaranteed by an eligible guarantor institution (banks,</w:t>
      </w:r>
    </w:p>
    <w:p>
      <w:pPr>
        <w:spacing w:after="0" w:line="4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stock brokers, savings and loan associations and credit unions with</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membership in an approved signature guarantee medallion program)</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pursuant to Securities and Exchange Commission Rule 17Ad-15.</w:t>
      </w:r>
    </w:p>
    <w:p>
      <w:pPr>
        <w:spacing w:after="0" w:line="200" w:lineRule="exact"/>
        <w:rPr>
          <w:sz w:val="20"/>
          <w:szCs w:val="20"/>
          <w:color w:val="auto"/>
        </w:rPr>
      </w:pPr>
    </w:p>
    <w:p>
      <w:pPr>
        <w:spacing w:after="0" w:line="24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Signature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8"/>
                <w:szCs w:val="18"/>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Social Security or Other Taxpayer Identification</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Number</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5"/>
          <w:szCs w:val="15"/>
          <w:b w:val="1"/>
          <w:bCs w:val="1"/>
          <w:color w:val="auto"/>
        </w:rPr>
        <w:t>Amount Unlimited; Issuable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aggregate principal amount of Securities that may be authenticated and delivered under this Indenture is unlimited.</w:t>
      </w:r>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81" w:lineRule="exact"/>
        <w:rPr>
          <w:sz w:val="20"/>
          <w:szCs w:val="20"/>
          <w:color w:val="auto"/>
        </w:rPr>
      </w:pPr>
    </w:p>
    <w:p>
      <w:pPr>
        <w:ind w:left="2000" w:hanging="695"/>
        <w:spacing w:after="0"/>
        <w:tabs>
          <w:tab w:leader="none" w:pos="20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Securities of any other series);</w:t>
      </w:r>
    </w:p>
    <w:p>
      <w:pPr>
        <w:spacing w:after="0" w:line="236" w:lineRule="exact"/>
        <w:rPr>
          <w:rFonts w:ascii="Arial" w:cs="Arial" w:eastAsia="Arial" w:hAnsi="Arial"/>
          <w:sz w:val="17"/>
          <w:szCs w:val="17"/>
          <w:color w:val="auto"/>
        </w:rPr>
      </w:pPr>
    </w:p>
    <w:p>
      <w:pPr>
        <w:ind w:left="660" w:right="120" w:firstLine="645"/>
        <w:spacing w:after="0" w:line="259" w:lineRule="auto"/>
        <w:tabs>
          <w:tab w:leader="none" w:pos="2013"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left="660" w:right="120" w:firstLine="645"/>
        <w:spacing w:after="0" w:line="308" w:lineRule="auto"/>
        <w:tabs>
          <w:tab w:leader="none" w:pos="2013"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ectPr>
          <w:pgSz w:w="11900" w:h="16838" w:orient="portrait"/>
          <w:cols w:equalWidth="0" w:num="1">
            <w:col w:w="11420"/>
          </w:cols>
          <w:pgMar w:left="240" w:top="121" w:right="239" w:bottom="0" w:gutter="0" w:footer="0" w:header="0"/>
        </w:sectPr>
      </w:pPr>
    </w:p>
    <w:bookmarkStart w:id="34" w:name="page35"/>
    <w:bookmarkEnd w:id="34"/>
    <w:p>
      <w:pPr>
        <w:ind w:left="1340" w:hanging="695"/>
        <w:spacing w:after="0"/>
        <w:tabs>
          <w:tab w:leader="none" w:pos="1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right="120" w:firstLine="645"/>
        <w:spacing w:after="0" w:line="286" w:lineRule="auto"/>
        <w:tabs>
          <w:tab w:leader="none" w:pos="1353"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65" w:lineRule="exact"/>
        <w:rPr>
          <w:rFonts w:ascii="Arial" w:cs="Arial" w:eastAsia="Arial" w:hAnsi="Arial"/>
          <w:sz w:val="17"/>
          <w:szCs w:val="17"/>
          <w:color w:val="auto"/>
        </w:rPr>
      </w:pPr>
    </w:p>
    <w:p>
      <w:pPr>
        <w:ind w:left="1340" w:hanging="695"/>
        <w:spacing w:after="0"/>
        <w:tabs>
          <w:tab w:leader="none" w:pos="1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and interest on any Securities of the series shall be payable;</w:t>
      </w:r>
    </w:p>
    <w:p>
      <w:pPr>
        <w:spacing w:after="0" w:line="236" w:lineRule="exact"/>
        <w:rPr>
          <w:rFonts w:ascii="Arial" w:cs="Arial" w:eastAsia="Arial" w:hAnsi="Arial"/>
          <w:sz w:val="17"/>
          <w:szCs w:val="17"/>
          <w:color w:val="auto"/>
        </w:rPr>
      </w:pPr>
    </w:p>
    <w:p>
      <w:pPr>
        <w:ind w:right="300" w:firstLine="645"/>
        <w:spacing w:after="0" w:line="277" w:lineRule="auto"/>
        <w:tabs>
          <w:tab w:leader="none" w:pos="1353"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at the option of the Company and, if other than by a Board Resolution, the manner in which any election by the Company to redeem the Securities shall be evidenced;</w:t>
      </w:r>
    </w:p>
    <w:p>
      <w:pPr>
        <w:spacing w:after="0" w:line="170" w:lineRule="exact"/>
        <w:rPr>
          <w:sz w:val="20"/>
          <w:szCs w:val="20"/>
          <w:color w:val="auto"/>
        </w:rPr>
      </w:pPr>
    </w:p>
    <w:p>
      <w:pPr>
        <w:ind w:right="280" w:firstLine="645"/>
        <w:spacing w:after="0" w:line="312" w:lineRule="auto"/>
        <w:tabs>
          <w:tab w:leader="none" w:pos="13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46" w:lineRule="exact"/>
        <w:rPr>
          <w:rFonts w:ascii="Arial" w:cs="Arial" w:eastAsia="Arial" w:hAnsi="Arial"/>
          <w:sz w:val="16"/>
          <w:szCs w:val="16"/>
          <w:color w:val="auto"/>
        </w:rPr>
      </w:pPr>
    </w:p>
    <w:p>
      <w:pPr>
        <w:ind w:left="1340" w:hanging="695"/>
        <w:spacing w:after="0"/>
        <w:tabs>
          <w:tab w:leader="none" w:pos="1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issuable;</w:t>
      </w:r>
    </w:p>
    <w:p>
      <w:pPr>
        <w:spacing w:after="0" w:line="210" w:lineRule="exact"/>
        <w:rPr>
          <w:rFonts w:ascii="Arial" w:cs="Arial" w:eastAsia="Arial" w:hAnsi="Arial"/>
          <w:sz w:val="16"/>
          <w:szCs w:val="16"/>
          <w:color w:val="auto"/>
        </w:rPr>
      </w:pPr>
    </w:p>
    <w:p>
      <w:pPr>
        <w:ind w:right="240" w:firstLine="645"/>
        <w:spacing w:after="0" w:line="277"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right="120" w:firstLine="645"/>
        <w:spacing w:after="0" w:line="286" w:lineRule="auto"/>
        <w:tabs>
          <w:tab w:leader="none" w:pos="1347" w:val="left"/>
        </w:tabs>
        <w:numPr>
          <w:ilvl w:val="0"/>
          <w:numId w:val="23"/>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65" w:lineRule="exact"/>
        <w:rPr>
          <w:rFonts w:ascii="Arial" w:cs="Arial" w:eastAsia="Arial" w:hAnsi="Arial"/>
          <w:sz w:val="17"/>
          <w:szCs w:val="17"/>
          <w:color w:val="auto"/>
        </w:rPr>
      </w:pPr>
    </w:p>
    <w:p>
      <w:pPr>
        <w:ind w:firstLine="645"/>
        <w:spacing w:after="0" w:line="257"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8" w:lineRule="exact"/>
        <w:rPr>
          <w:rFonts w:ascii="Arial" w:cs="Arial" w:eastAsia="Arial" w:hAnsi="Arial"/>
          <w:sz w:val="18"/>
          <w:szCs w:val="18"/>
          <w:color w:val="auto"/>
        </w:rPr>
      </w:pPr>
    </w:p>
    <w:p>
      <w:pPr>
        <w:ind w:right="60" w:firstLine="645"/>
        <w:spacing w:after="0" w:line="277"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rFonts w:ascii="Arial" w:cs="Arial" w:eastAsia="Arial" w:hAnsi="Arial"/>
          <w:sz w:val="18"/>
          <w:szCs w:val="18"/>
          <w:color w:val="auto"/>
        </w:rPr>
      </w:pPr>
    </w:p>
    <w:p>
      <w:pPr>
        <w:ind w:right="100" w:firstLine="645"/>
        <w:spacing w:after="0" w:line="257" w:lineRule="auto"/>
        <w:tabs>
          <w:tab w:leader="none" w:pos="1353"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rFonts w:ascii="Arial" w:cs="Arial" w:eastAsia="Arial" w:hAnsi="Arial"/>
          <w:sz w:val="18"/>
          <w:szCs w:val="18"/>
          <w:color w:val="auto"/>
        </w:rPr>
      </w:pPr>
    </w:p>
    <w:p>
      <w:pPr>
        <w:ind w:right="520" w:firstLine="645"/>
        <w:spacing w:after="0" w:line="342" w:lineRule="auto"/>
        <w:tabs>
          <w:tab w:leader="none" w:pos="1353"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Board Resolution, the manner in which any election by the Company to defease such Securities shall be evidenced;</w:t>
      </w:r>
    </w:p>
    <w:p>
      <w:pPr>
        <w:spacing w:after="0" w:line="225" w:lineRule="exact"/>
        <w:rPr>
          <w:sz w:val="20"/>
          <w:szCs w:val="20"/>
          <w:color w:val="auto"/>
        </w:rPr>
      </w:pPr>
    </w:p>
    <w:p>
      <w:pPr>
        <w:ind w:right="60" w:firstLine="645"/>
        <w:spacing w:after="0" w:line="277" w:lineRule="auto"/>
        <w:tabs>
          <w:tab w:leader="none" w:pos="1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ind w:right="40" w:firstLine="645"/>
        <w:spacing w:after="0" w:line="255" w:lineRule="auto"/>
        <w:tabs>
          <w:tab w:leader="none" w:pos="1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93" w:lineRule="exact"/>
        <w:rPr>
          <w:rFonts w:ascii="Arial" w:cs="Arial" w:eastAsia="Arial" w:hAnsi="Arial"/>
          <w:sz w:val="18"/>
          <w:szCs w:val="18"/>
          <w:color w:val="auto"/>
        </w:rPr>
      </w:pPr>
    </w:p>
    <w:p>
      <w:pPr>
        <w:ind w:right="100" w:firstLine="645"/>
        <w:spacing w:after="0" w:line="308" w:lineRule="auto"/>
        <w:tabs>
          <w:tab w:leader="none" w:pos="1353"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340" w:hanging="695"/>
        <w:spacing w:after="0"/>
        <w:tabs>
          <w:tab w:leader="none" w:pos="1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right="80" w:firstLine="645"/>
        <w:spacing w:after="0" w:line="277" w:lineRule="auto"/>
        <w:tabs>
          <w:tab w:leader="none" w:pos="1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ectPr>
          <w:pgSz w:w="11900" w:h="16838" w:orient="portrait"/>
          <w:cols w:equalWidth="0" w:num="1">
            <w:col w:w="10700"/>
          </w:cols>
          <w:pgMar w:left="900" w:top="341" w:right="299" w:bottom="0" w:gutter="0" w:footer="0" w:header="0"/>
        </w:sectPr>
      </w:pPr>
    </w:p>
    <w:bookmarkStart w:id="35" w:name="page36"/>
    <w:bookmarkEnd w:id="35"/>
    <w:p>
      <w:pPr>
        <w:spacing w:after="0" w:line="114" w:lineRule="exact"/>
        <w:rPr>
          <w:sz w:val="20"/>
          <w:szCs w:val="20"/>
          <w:color w:val="auto"/>
        </w:rPr>
      </w:pPr>
    </w:p>
    <w:p>
      <w:pPr>
        <w:ind w:left="660" w:right="460" w:firstLine="645"/>
        <w:spacing w:after="0" w:line="277" w:lineRule="auto"/>
        <w:tabs>
          <w:tab w:leader="none" w:pos="20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660" w:right="220" w:firstLine="645"/>
        <w:spacing w:after="0" w:line="277" w:lineRule="auto"/>
        <w:tabs>
          <w:tab w:leader="none" w:pos="2013"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applicable, the terms of any guaranties for the Securities and any circumstances under which there may be additional obligors on the Securities; and</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9.1(5)).</w:t>
      </w:r>
    </w:p>
    <w:p>
      <w:pPr>
        <w:spacing w:after="0" w:line="211"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Assistant Secretary of the Company and delivered to the Trustee at or prior to the delivery of the Officers’ Certificate setting forth the terms of the series.</w:t>
      </w:r>
    </w:p>
    <w:p>
      <w:pPr>
        <w:spacing w:after="0" w:line="24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Denominations.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5"/>
          <w:szCs w:val="15"/>
          <w:b w:val="1"/>
          <w:bCs w:val="1"/>
          <w:color w:val="auto"/>
        </w:rPr>
        <w:t>Execution, Authentication, Delivery and Dating.</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89" w:lineRule="exact"/>
        <w:rPr>
          <w:sz w:val="20"/>
          <w:szCs w:val="20"/>
          <w:color w:val="auto"/>
        </w:rPr>
      </w:pPr>
    </w:p>
    <w:p>
      <w:pPr>
        <w:ind w:left="660" w:right="80" w:firstLine="645"/>
        <w:spacing w:after="0" w:line="277" w:lineRule="auto"/>
        <w:tabs>
          <w:tab w:leader="none" w:pos="2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right="320" w:firstLine="645"/>
        <w:spacing w:after="0" w:line="277" w:lineRule="auto"/>
        <w:tabs>
          <w:tab w:leader="none" w:pos="2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2013"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 Opinion of Counsel, will constitute valid and legally binding obligations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spacing w:after="0" w:line="277" w:lineRule="auto"/>
        <w:rPr>
          <w:sz w:val="20"/>
          <w:szCs w:val="20"/>
          <w:color w:val="auto"/>
        </w:rPr>
      </w:pPr>
      <w:r>
        <w:rPr>
          <w:rFonts w:ascii="Arial" w:cs="Arial" w:eastAsia="Arial" w:hAnsi="Arial"/>
          <w:sz w:val="18"/>
          <w:szCs w:val="18"/>
          <w:color w:val="auto"/>
        </w:rPr>
        <w:t>enforceable in accordance with their terms, subject to bankruptcy, insolvency, fraudulent transfer, reorganization, moratorium and similar laws of general applicability relating to or affecting creditors’ rights and to general equity principles.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w:t>
      </w:r>
    </w:p>
    <w:p>
      <w:pPr>
        <w:sectPr>
          <w:pgSz w:w="11900" w:h="16952" w:orient="portrait"/>
          <w:cols w:equalWidth="0" w:num="1">
            <w:col w:w="11420"/>
          </w:cols>
          <w:pgMar w:left="240" w:top="125" w:right="239" w:bottom="0" w:gutter="0" w:footer="0" w:header="0"/>
        </w:sectPr>
      </w:pPr>
    </w:p>
    <w:bookmarkStart w:id="36" w:name="page37"/>
    <w:bookmarkEnd w:id="36"/>
    <w:p>
      <w:pPr>
        <w:spacing w:after="0" w:line="10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81"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pacing w:after="0" w:line="1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5"/>
          <w:szCs w:val="15"/>
          <w:b w:val="1"/>
          <w:bCs w:val="1"/>
          <w:color w:val="auto"/>
        </w:rPr>
        <w:t>Temporary Securities.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9"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5"/>
          <w:szCs w:val="15"/>
          <w:b w:val="1"/>
          <w:bCs w:val="1"/>
          <w:color w:val="auto"/>
        </w:rPr>
        <w:t>Registration; Registration of Transfer and Exchange.</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w:t>
      </w:r>
    </w:p>
    <w:p>
      <w:pPr>
        <w:spacing w:after="0" w:line="187"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4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ind w:left="660" w:right="320" w:firstLine="645"/>
        <w:spacing w:after="0" w:line="264" w:lineRule="auto"/>
        <w:tabs>
          <w:tab w:leader="none" w:pos="2013" w:val="left"/>
        </w:tabs>
        <w:numPr>
          <w:ilvl w:val="0"/>
          <w:numId w:val="27"/>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ind w:left="660" w:right="20" w:firstLine="645"/>
        <w:spacing w:after="0" w:line="302" w:lineRule="auto"/>
        <w:tabs>
          <w:tab w:leader="none" w:pos="2013" w:val="left"/>
        </w:tabs>
        <w:numPr>
          <w:ilvl w:val="0"/>
          <w:numId w:val="27"/>
        </w:numPr>
        <w:rPr>
          <w:rFonts w:ascii="Arial" w:cs="Arial" w:eastAsia="Arial" w:hAnsi="Arial"/>
          <w:sz w:val="16"/>
          <w:szCs w:val="16"/>
          <w:color w:val="auto"/>
        </w:rPr>
      </w:pPr>
      <w:r>
        <w:rPr>
          <w:rFonts w:ascii="Arial" w:cs="Arial" w:eastAsia="Arial" w:hAnsi="Arial"/>
          <w:sz w:val="16"/>
          <w:szCs w:val="16"/>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w:t>
      </w:r>
    </w:p>
    <w:p>
      <w:pPr>
        <w:sectPr>
          <w:pgSz w:w="11900" w:h="16945" w:orient="portrait"/>
          <w:cols w:equalWidth="0" w:num="1">
            <w:col w:w="11420"/>
          </w:cols>
          <w:pgMar w:left="240" w:top="125" w:right="239" w:bottom="0" w:gutter="0" w:footer="0" w:header="0"/>
        </w:sectPr>
      </w:pPr>
    </w:p>
    <w:bookmarkStart w:id="37" w:name="page38"/>
    <w:bookmarkEnd w:id="37"/>
    <w:p>
      <w:pPr>
        <w:spacing w:after="0" w:line="74"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continuing an Event of Default with respect to such Global Security or (C) there shall exist such circumstances, if any, in addition to or in lieu of the foregoing as have been specified for this purpose as contemplated by Section 3.1.</w:t>
      </w:r>
    </w:p>
    <w:p>
      <w:pPr>
        <w:spacing w:after="0" w:line="170" w:lineRule="exact"/>
        <w:rPr>
          <w:sz w:val="20"/>
          <w:szCs w:val="20"/>
          <w:color w:val="auto"/>
        </w:rPr>
      </w:pPr>
    </w:p>
    <w:p>
      <w:pPr>
        <w:ind w:left="660" w:right="500" w:firstLine="645"/>
        <w:spacing w:after="0" w:line="264" w:lineRule="auto"/>
        <w:tabs>
          <w:tab w:leader="none" w:pos="2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1" w:lineRule="exact"/>
        <w:rPr>
          <w:rFonts w:ascii="Arial" w:cs="Arial" w:eastAsia="Arial" w:hAnsi="Arial"/>
          <w:sz w:val="18"/>
          <w:szCs w:val="18"/>
          <w:color w:val="auto"/>
        </w:rPr>
      </w:pPr>
    </w:p>
    <w:p>
      <w:pPr>
        <w:jc w:val="both"/>
        <w:ind w:left="660" w:right="200" w:firstLine="645"/>
        <w:spacing w:after="0" w:line="259" w:lineRule="auto"/>
        <w:tabs>
          <w:tab w:leader="none" w:pos="201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5"/>
          <w:szCs w:val="15"/>
          <w:b w:val="1"/>
          <w:bCs w:val="1"/>
          <w:color w:val="auto"/>
        </w:rPr>
        <w:t>Mutilated, Destroyed, Lost and Stolen Securities.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w:t>
      </w:r>
    </w:p>
    <w:p>
      <w:pPr>
        <w:spacing w:after="0" w:line="35" w:lineRule="exact"/>
        <w:rPr>
          <w:sz w:val="20"/>
          <w:szCs w:val="20"/>
          <w:color w:val="auto"/>
        </w:rPr>
      </w:pPr>
    </w:p>
    <w:p>
      <w:pPr>
        <w:ind w:left="280" w:hanging="272"/>
        <w:spacing w:after="0"/>
        <w:tabs>
          <w:tab w:leader="none" w:pos="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such security or indemnity as may be required by them to save each of them and any agent of either of them harmless, then, in the absence of notice</w:t>
      </w:r>
    </w:p>
    <w:p>
      <w:pPr>
        <w:spacing w:after="0" w:line="233"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5"/>
          <w:szCs w:val="15"/>
          <w:b w:val="1"/>
          <w:bCs w:val="1"/>
          <w:color w:val="auto"/>
        </w:rPr>
        <w:t>Payment of Interest; Interest Rights Preserved.</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 Holder, and such Defaulted Interest may be paid by the Company, at its election in each case, as provided in clause (1) or (2) below:</w:t>
      </w:r>
    </w:p>
    <w:p>
      <w:pPr>
        <w:spacing w:after="0" w:line="166" w:lineRule="exact"/>
        <w:rPr>
          <w:sz w:val="20"/>
          <w:szCs w:val="20"/>
          <w:color w:val="auto"/>
        </w:rPr>
      </w:pPr>
    </w:p>
    <w:p>
      <w:pPr>
        <w:ind w:left="660" w:right="20" w:firstLine="645"/>
        <w:spacing w:after="0" w:line="257" w:lineRule="auto"/>
        <w:tabs>
          <w:tab w:leader="none" w:pos="201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0" w:lineRule="auto"/>
        <w:rPr>
          <w:sz w:val="20"/>
          <w:szCs w:val="20"/>
          <w:color w:val="auto"/>
        </w:rPr>
      </w:pPr>
      <w:r>
        <w:rPr>
          <w:rFonts w:ascii="Arial" w:cs="Arial" w:eastAsia="Arial" w:hAnsi="Arial"/>
          <w:sz w:val="17"/>
          <w:szCs w:val="17"/>
          <w:color w:val="auto"/>
        </w:rPr>
        <w:t>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8" w:lineRule="exact"/>
        <w:rPr>
          <w:sz w:val="20"/>
          <w:szCs w:val="20"/>
          <w:color w:val="auto"/>
        </w:rPr>
      </w:pPr>
    </w:p>
    <w:p>
      <w:pPr>
        <w:ind w:left="660" w:right="160" w:firstLine="645"/>
        <w:spacing w:after="0" w:line="259" w:lineRule="auto"/>
        <w:tabs>
          <w:tab w:leader="none" w:pos="20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ectPr>
          <w:pgSz w:w="11900" w:h="16912" w:orient="portrait"/>
          <w:cols w:equalWidth="0" w:num="1">
            <w:col w:w="11420"/>
          </w:cols>
          <w:pgMar w:left="240" w:top="125" w:right="239" w:bottom="0" w:gutter="0" w:footer="0" w:header="0"/>
        </w:sectPr>
      </w:pPr>
    </w:p>
    <w:bookmarkStart w:id="38" w:name="page39"/>
    <w:bookmarkEnd w:id="38"/>
    <w:p>
      <w:pPr>
        <w:spacing w:after="0" w:line="36"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 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5"/>
          <w:szCs w:val="15"/>
          <w:b w:val="1"/>
          <w:bCs w:val="1"/>
          <w:color w:val="auto"/>
        </w:rPr>
        <w:t>Persons Deemed Owners.</w:t>
      </w:r>
    </w:p>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5"/>
          <w:szCs w:val="15"/>
          <w:b w:val="1"/>
          <w:bCs w:val="1"/>
          <w:color w:val="auto"/>
        </w:rPr>
        <w:t>Cancellation.</w:t>
      </w:r>
    </w:p>
    <w:p>
      <w:pPr>
        <w:spacing w:after="0" w:line="229"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cancelled and disposed of in accordance with its customary procedures.</w:t>
      </w:r>
    </w:p>
    <w:p>
      <w:pPr>
        <w:spacing w:after="0" w:line="1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5"/>
          <w:szCs w:val="15"/>
          <w:b w:val="1"/>
          <w:bCs w:val="1"/>
          <w:color w:val="auto"/>
        </w:rPr>
        <w:t>Computation of Interest.</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5"/>
          <w:szCs w:val="15"/>
          <w:b w:val="1"/>
          <w:bCs w:val="1"/>
          <w:color w:val="auto"/>
        </w:rPr>
        <w:t>Satisfaction and Discharge of Indenture.</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 and the Trustee, at the expense of the Company, shall execute proper instruments acknowledging satisfaction and discharge of this Indenture, when</w:t>
      </w:r>
    </w:p>
    <w:p>
      <w:pPr>
        <w:spacing w:after="0" w:line="181" w:lineRule="exact"/>
        <w:rPr>
          <w:sz w:val="20"/>
          <w:szCs w:val="20"/>
          <w:color w:val="auto"/>
        </w:rPr>
      </w:pPr>
    </w:p>
    <w:p>
      <w:pPr>
        <w:ind w:left="2000" w:hanging="695"/>
        <w:spacing w:after="0"/>
        <w:tabs>
          <w:tab w:leader="none" w:pos="2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right="140" w:firstLine="1953"/>
        <w:spacing w:after="0" w:line="277" w:lineRule="auto"/>
        <w:tabs>
          <w:tab w:leader="none" w:pos="2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all Securities theretofore authenticated and delivered (other than (i) Securities which have been destroyed, lost or stolen and which have been replaced or paid as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81" w:lineRule="exact"/>
        <w:rPr>
          <w:sz w:val="20"/>
          <w:szCs w:val="20"/>
          <w:color w:val="auto"/>
        </w:rPr>
      </w:pPr>
    </w:p>
    <w:p>
      <w:pPr>
        <w:ind w:left="2680" w:hanging="727"/>
        <w:spacing w:after="0"/>
        <w:tabs>
          <w:tab w:leader="none" w:pos="2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right="100" w:firstLine="2601"/>
        <w:spacing w:after="0" w:line="277" w:lineRule="auto"/>
        <w:tabs>
          <w:tab w:leader="none" w:pos="3313" w:val="left"/>
        </w:tabs>
        <w:numPr>
          <w:ilvl w:val="1"/>
          <w:numId w:val="33"/>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87" w:lineRule="exact"/>
        <w:rPr>
          <w:sz w:val="20"/>
          <w:szCs w:val="20"/>
          <w:color w:val="auto"/>
        </w:rPr>
      </w:pPr>
    </w:p>
    <w:p>
      <w:pPr>
        <w:ind w:left="2000" w:hanging="695"/>
        <w:spacing w:after="0"/>
        <w:tabs>
          <w:tab w:leader="none" w:pos="2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ectPr>
          <w:pgSz w:w="11900" w:h="16874" w:orient="portrait"/>
          <w:cols w:equalWidth="0" w:num="1">
            <w:col w:w="11400"/>
          </w:cols>
          <w:pgMar w:left="240" w:top="341" w:right="259" w:bottom="0" w:gutter="0" w:footer="0" w:header="0"/>
        </w:sectPr>
      </w:pPr>
    </w:p>
    <w:bookmarkStart w:id="39" w:name="page40"/>
    <w:bookmarkEnd w:id="39"/>
    <w:p>
      <w:pPr>
        <w:spacing w:after="0" w:line="69" w:lineRule="exact"/>
        <w:rPr>
          <w:sz w:val="20"/>
          <w:szCs w:val="20"/>
          <w:color w:val="auto"/>
        </w:rPr>
      </w:pPr>
    </w:p>
    <w:p>
      <w:pPr>
        <w:ind w:right="440" w:firstLine="1305"/>
        <w:spacing w:after="0" w:line="277" w:lineRule="auto"/>
        <w:tabs>
          <w:tab w:leader="none" w:pos="2001"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62"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Application of Trust Money.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Events of Default.</w:t>
      </w:r>
    </w:p>
    <w:p>
      <w:pPr>
        <w:spacing w:after="0" w:line="229"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“Event of Default,”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provided that such series shall not have the benefit of said Event of Default:</w:t>
      </w:r>
    </w:p>
    <w:p>
      <w:pPr>
        <w:spacing w:after="0" w:line="171" w:lineRule="exact"/>
        <w:rPr>
          <w:sz w:val="20"/>
          <w:szCs w:val="20"/>
          <w:color w:val="auto"/>
        </w:rPr>
      </w:pPr>
    </w:p>
    <w:p>
      <w:pPr>
        <w:ind w:left="660" w:right="100" w:firstLine="645"/>
        <w:spacing w:after="0" w:line="277" w:lineRule="auto"/>
        <w:tabs>
          <w:tab w:leader="none" w:pos="20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90 days; or</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ind w:left="660" w:right="20" w:firstLine="645"/>
        <w:spacing w:after="0" w:line="273" w:lineRule="auto"/>
        <w:tabs>
          <w:tab w:leader="none" w:pos="2013" w:val="left"/>
        </w:tabs>
        <w:numPr>
          <w:ilvl w:val="0"/>
          <w:numId w:val="36"/>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ind w:left="660" w:right="60" w:firstLine="645"/>
        <w:spacing w:after="0" w:line="255" w:lineRule="auto"/>
        <w:tabs>
          <w:tab w:leader="none" w:pos="201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53" w:lineRule="auto"/>
        <w:tabs>
          <w:tab w:leader="none" w:pos="20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7" w:lineRule="exact"/>
        <w:rPr>
          <w:rFonts w:ascii="Arial" w:cs="Arial" w:eastAsia="Arial" w:hAnsi="Arial"/>
          <w:sz w:val="18"/>
          <w:szCs w:val="18"/>
          <w:color w:val="auto"/>
        </w:rPr>
      </w:pPr>
    </w:p>
    <w:p>
      <w:pPr>
        <w:ind w:left="660" w:right="260" w:firstLine="645"/>
        <w:spacing w:after="0" w:line="277" w:lineRule="auto"/>
        <w:tabs>
          <w:tab w:leader="none" w:pos="20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Acceleration of Maturity; Rescission and Annulment.</w:t>
      </w:r>
    </w:p>
    <w:p>
      <w:pPr>
        <w:spacing w:after="0" w:line="229" w:lineRule="exact"/>
        <w:rPr>
          <w:sz w:val="20"/>
          <w:szCs w:val="20"/>
          <w:color w:val="auto"/>
        </w:rPr>
      </w:pPr>
    </w:p>
    <w:p>
      <w:pPr>
        <w:ind w:right="80" w:firstLine="656"/>
        <w:spacing w:after="0" w:line="293" w:lineRule="auto"/>
        <w:tabs>
          <w:tab w:leader="none" w:pos="1343" w:val="left"/>
        </w:tabs>
        <w:numPr>
          <w:ilvl w:val="0"/>
          <w:numId w:val="38"/>
        </w:numPr>
        <w:rPr>
          <w:rFonts w:ascii="Arial" w:cs="Arial" w:eastAsia="Arial" w:hAnsi="Arial"/>
          <w:sz w:val="16"/>
          <w:szCs w:val="16"/>
          <w:color w:val="auto"/>
        </w:rPr>
      </w:pPr>
      <w:r>
        <w:rPr>
          <w:rFonts w:ascii="Arial" w:cs="Arial" w:eastAsia="Arial" w:hAnsi="Arial"/>
          <w:sz w:val="16"/>
          <w:szCs w:val="16"/>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w:t>
      </w:r>
    </w:p>
    <w:p>
      <w:pPr>
        <w:sectPr>
          <w:pgSz w:w="11900" w:h="16907" w:orient="portrait"/>
          <w:cols w:equalWidth="0" w:num="1">
            <w:col w:w="11420"/>
          </w:cols>
          <w:pgMar w:left="240" w:top="341" w:right="239" w:bottom="0" w:gutter="0" w:footer="0" w:header="0"/>
        </w:sectPr>
      </w:pPr>
    </w:p>
    <w:bookmarkStart w:id="40" w:name="page41"/>
    <w:bookmarkEnd w:id="40"/>
    <w:p>
      <w:pPr>
        <w:spacing w:after="0" w:line="3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 other action on the part of the Trustee or any Holder, become immediately due and payable.</w:t>
      </w:r>
    </w:p>
    <w:p>
      <w:pPr>
        <w:spacing w:after="0" w:line="158" w:lineRule="exact"/>
        <w:rPr>
          <w:sz w:val="20"/>
          <w:szCs w:val="20"/>
          <w:color w:val="auto"/>
        </w:rPr>
      </w:pPr>
    </w:p>
    <w:p>
      <w:pPr>
        <w:ind w:right="80" w:firstLine="656"/>
        <w:spacing w:after="0" w:line="279" w:lineRule="auto"/>
        <w:tabs>
          <w:tab w:leader="none" w:pos="1353"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37" w:lineRule="auto"/>
        <w:rPr>
          <w:sz w:val="20"/>
          <w:szCs w:val="20"/>
          <w:color w:val="auto"/>
        </w:rPr>
      </w:pPr>
      <w:r>
        <w:rPr>
          <w:rFonts w:ascii="Arial" w:cs="Arial" w:eastAsia="Arial" w:hAnsi="Arial"/>
          <w:sz w:val="17"/>
          <w:szCs w:val="17"/>
          <w:color w:val="auto"/>
        </w:rPr>
        <w:t>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to, and including, the 180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day after such Reporting Default (if such violation is not cured or waived prior to such 181</w:t>
      </w:r>
      <w:r>
        <w:rPr>
          <w:rFonts w:ascii="Arial" w:cs="Arial" w:eastAsia="Arial" w:hAnsi="Arial"/>
          <w:sz w:val="22"/>
          <w:szCs w:val="22"/>
          <w:color w:val="auto"/>
          <w:vertAlign w:val="superscript"/>
        </w:rPr>
        <w:t>st</w:t>
      </w:r>
      <w:r>
        <w:rPr>
          <w:rFonts w:ascii="Arial" w:cs="Arial" w:eastAsia="Arial" w:hAnsi="Arial"/>
          <w:sz w:val="17"/>
          <w:szCs w:val="17"/>
          <w:color w:val="auto"/>
        </w:rPr>
        <w:t xml:space="preserve"> calendar day), then the Trustee or the Holders of not less than 25% in principal amount of the Outstanding securities may declare the principal of and accrued and unpaid interest on all such Securities to be due and payable immediately.</w:t>
      </w:r>
    </w:p>
    <w:p>
      <w:pPr>
        <w:spacing w:after="0" w:line="20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3" w:lineRule="exact"/>
        <w:rPr>
          <w:sz w:val="20"/>
          <w:szCs w:val="20"/>
          <w:color w:val="auto"/>
        </w:rPr>
      </w:pPr>
    </w:p>
    <w:p>
      <w:pPr>
        <w:ind w:right="100" w:firstLine="656"/>
        <w:spacing w:after="0" w:line="312" w:lineRule="auto"/>
        <w:tabs>
          <w:tab w:leader="none" w:pos="13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6" w:lineRule="exact"/>
        <w:rPr>
          <w:rFonts w:ascii="Arial" w:cs="Arial" w:eastAsia="Arial" w:hAnsi="Arial"/>
          <w:sz w:val="16"/>
          <w:szCs w:val="16"/>
          <w:color w:val="auto"/>
        </w:rPr>
      </w:pPr>
    </w:p>
    <w:p>
      <w:pPr>
        <w:ind w:left="2000" w:hanging="695"/>
        <w:spacing w:after="0"/>
        <w:tabs>
          <w:tab w:leader="none" w:pos="20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660" w:hanging="707"/>
        <w:spacing w:after="0"/>
        <w:tabs>
          <w:tab w:leader="none" w:pos="2660" w:val="left"/>
        </w:tabs>
        <w:numPr>
          <w:ilvl w:val="2"/>
          <w:numId w:val="40"/>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660" w:right="240" w:firstLine="1293"/>
        <w:spacing w:after="0" w:line="277" w:lineRule="auto"/>
        <w:tabs>
          <w:tab w:leader="none" w:pos="2692" w:val="left"/>
        </w:tabs>
        <w:numPr>
          <w:ilvl w:val="2"/>
          <w:numId w:val="40"/>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rFonts w:ascii="Arial" w:cs="Arial" w:eastAsia="Arial" w:hAnsi="Arial"/>
          <w:sz w:val="18"/>
          <w:szCs w:val="18"/>
          <w:color w:val="auto"/>
        </w:rPr>
      </w:pPr>
    </w:p>
    <w:p>
      <w:pPr>
        <w:ind w:left="2680" w:hanging="727"/>
        <w:spacing w:after="0"/>
        <w:tabs>
          <w:tab w:leader="none" w:pos="2680" w:val="left"/>
        </w:tabs>
        <w:numPr>
          <w:ilvl w:val="2"/>
          <w:numId w:val="40"/>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or rates prescribed therefor</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such Securities, and</w:t>
      </w:r>
    </w:p>
    <w:p>
      <w:pPr>
        <w:spacing w:after="0" w:line="210" w:lineRule="exact"/>
        <w:rPr>
          <w:rFonts w:ascii="Arial" w:cs="Arial" w:eastAsia="Arial" w:hAnsi="Arial"/>
          <w:sz w:val="16"/>
          <w:szCs w:val="16"/>
          <w:color w:val="auto"/>
        </w:rPr>
      </w:pPr>
    </w:p>
    <w:p>
      <w:pPr>
        <w:ind w:left="660" w:right="480" w:firstLine="1293"/>
        <w:spacing w:after="0" w:line="277" w:lineRule="auto"/>
        <w:tabs>
          <w:tab w:leader="none" w:pos="2656" w:val="left"/>
        </w:tabs>
        <w:numPr>
          <w:ilvl w:val="2"/>
          <w:numId w:val="40"/>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firstLine="645"/>
        <w:spacing w:after="0" w:line="308" w:lineRule="auto"/>
        <w:tabs>
          <w:tab w:leader="none" w:pos="2013" w:val="left"/>
        </w:tabs>
        <w:numPr>
          <w:ilvl w:val="0"/>
          <w:numId w:val="41"/>
        </w:numPr>
        <w:rPr>
          <w:rFonts w:ascii="Arial" w:cs="Arial" w:eastAsia="Arial" w:hAnsi="Arial"/>
          <w:sz w:val="17"/>
          <w:szCs w:val="17"/>
          <w:color w:val="auto"/>
        </w:rPr>
      </w:pPr>
      <w:r>
        <w:rPr>
          <w:rFonts w:ascii="Arial" w:cs="Arial" w:eastAsia="Arial" w:hAnsi="Arial"/>
          <w:sz w:val="17"/>
          <w:szCs w:val="17"/>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right="440" w:firstLine="645"/>
        <w:spacing w:after="0" w:line="277" w:lineRule="auto"/>
        <w:tabs>
          <w:tab w:leader="none" w:pos="20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660" w:firstLine="645"/>
        <w:spacing w:after="0" w:line="255" w:lineRule="auto"/>
        <w:tabs>
          <w:tab w:leader="none" w:pos="201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Trustee May File Proofs of Claim.</w:t>
      </w:r>
    </w:p>
    <w:p>
      <w:pPr>
        <w:sectPr>
          <w:pgSz w:w="11900" w:h="16870" w:orient="portrait"/>
          <w:cols w:equalWidth="0" w:num="1">
            <w:col w:w="11420"/>
          </w:cols>
          <w:pgMar w:left="240" w:top="125" w:right="239" w:bottom="0" w:gutter="0" w:footer="0" w:header="0"/>
        </w:sectPr>
      </w:pPr>
    </w:p>
    <w:bookmarkStart w:id="41" w:name="page42"/>
    <w:bookmarkEnd w:id="41"/>
    <w:p>
      <w:pPr>
        <w:spacing w:after="0" w:line="7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 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color w:val="auto"/>
        </w:rPr>
        <w:t>Trustee May Enforce Claims Without Possession of Securities.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6"/>
          <w:szCs w:val="16"/>
          <w:b w:val="1"/>
          <w:bCs w:val="1"/>
          <w:color w:val="auto"/>
        </w:rPr>
        <w:t>Application of Money Collected.</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SECOND: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6"/>
          <w:szCs w:val="16"/>
          <w:b w:val="1"/>
          <w:bCs w:val="1"/>
          <w:color w:val="auto"/>
        </w:rPr>
        <w:t>Limitation on Suits.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2000" w:hanging="695"/>
        <w:spacing w:after="0"/>
        <w:tabs>
          <w:tab w:leader="none" w:pos="20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that series;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0" w:firstLine="645"/>
        <w:spacing w:after="0" w:line="308" w:lineRule="auto"/>
        <w:tabs>
          <w:tab w:leader="none" w:pos="2013"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46" w:lineRule="exact"/>
        <w:rPr>
          <w:rFonts w:ascii="Arial" w:cs="Arial" w:eastAsia="Arial" w:hAnsi="Arial"/>
          <w:sz w:val="17"/>
          <w:szCs w:val="17"/>
          <w:color w:val="auto"/>
        </w:rPr>
      </w:pPr>
    </w:p>
    <w:p>
      <w:pPr>
        <w:ind w:left="660" w:right="140" w:firstLine="645"/>
        <w:spacing w:after="0" w:line="277" w:lineRule="auto"/>
        <w:tabs>
          <w:tab w:leader="none" w:pos="20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280" w:firstLine="645"/>
        <w:spacing w:after="0" w:line="277" w:lineRule="auto"/>
        <w:tabs>
          <w:tab w:leader="none" w:pos="2013"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6"/>
          <w:szCs w:val="16"/>
          <w:b w:val="1"/>
          <w:bCs w:val="1"/>
          <w:color w:val="auto"/>
        </w:rPr>
        <w:t>Unconditional Right of Holders to Receive Principal, Premium and Interest and to Convert.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ectPr>
          <w:pgSz w:w="11900" w:h="16911" w:orient="portrait"/>
          <w:cols w:equalWidth="0" w:num="1">
            <w:col w:w="11420"/>
          </w:cols>
          <w:pgMar w:left="240" w:top="341" w:right="239" w:bottom="0" w:gutter="0" w:footer="0" w:header="0"/>
        </w:sectPr>
      </w:pPr>
    </w:p>
    <w:bookmarkStart w:id="42" w:name="page43"/>
    <w:bookmarkEnd w:id="42"/>
    <w:p>
      <w:pPr>
        <w:spacing w:after="0"/>
        <w:tabs>
          <w:tab w:leader="none" w:pos="1360" w:val="left"/>
        </w:tabs>
        <w:rPr>
          <w:sz w:val="20"/>
          <w:szCs w:val="20"/>
          <w:color w:val="auto"/>
        </w:rPr>
      </w:pPr>
      <w:r>
        <w:rPr>
          <w:rFonts w:ascii="Arial" w:cs="Arial" w:eastAsia="Arial" w:hAnsi="Arial"/>
          <w:sz w:val="18"/>
          <w:szCs w:val="18"/>
          <w:b w:val="1"/>
          <w:bCs w:val="1"/>
          <w:color w:val="auto"/>
        </w:rPr>
        <w:t>Section 5.9</w:t>
      </w:r>
      <w:r>
        <w:rPr>
          <w:sz w:val="20"/>
          <w:szCs w:val="20"/>
          <w:color w:val="auto"/>
        </w:rPr>
        <w:tab/>
      </w:r>
      <w:r>
        <w:rPr>
          <w:rFonts w:ascii="Arial" w:cs="Arial" w:eastAsia="Arial" w:hAnsi="Arial"/>
          <w:sz w:val="15"/>
          <w:szCs w:val="15"/>
          <w:b w:val="1"/>
          <w:bCs w:val="1"/>
          <w:color w:val="auto"/>
        </w:rPr>
        <w:t>Restoration of Rights and Remedies.</w:t>
      </w:r>
    </w:p>
    <w:p>
      <w:pPr>
        <w:spacing w:after="0" w:line="229" w:lineRule="exact"/>
        <w:rPr>
          <w:sz w:val="20"/>
          <w:szCs w:val="20"/>
          <w:color w:val="auto"/>
        </w:rPr>
      </w:pPr>
    </w:p>
    <w:p>
      <w:pPr>
        <w:ind w:right="200" w:firstLine="648"/>
        <w:spacing w:after="0" w:line="30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50"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6"/>
          <w:szCs w:val="16"/>
          <w:b w:val="1"/>
          <w:bCs w:val="1"/>
          <w:color w:val="auto"/>
        </w:rPr>
        <w:t>Rights and Remedies Cumulative.</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color w:val="auto"/>
        </w:rPr>
        <w:t>Delay or Omission Not Waiver.</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color w:val="auto"/>
        </w:rPr>
        <w:t>Control by Holders.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 xml:space="preserve">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81" w:lineRule="exact"/>
        <w:rPr>
          <w:sz w:val="20"/>
          <w:szCs w:val="20"/>
          <w:color w:val="auto"/>
        </w:rPr>
      </w:pPr>
    </w:p>
    <w:p>
      <w:pPr>
        <w:ind w:left="660" w:right="20" w:firstLine="645"/>
        <w:spacing w:after="0" w:line="342" w:lineRule="auto"/>
        <w:tabs>
          <w:tab w:leader="none" w:pos="2013" w:val="left"/>
        </w:tabs>
        <w:numPr>
          <w:ilvl w:val="0"/>
          <w:numId w:val="45"/>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Trustee may take any other action deemed proper by the Trustee that is not inconsistent with such direction or this Indenture.</w:t>
      </w:r>
    </w:p>
    <w:p>
      <w:pPr>
        <w:spacing w:after="0" w:line="24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6"/>
          <w:szCs w:val="16"/>
          <w:b w:val="1"/>
          <w:bCs w:val="1"/>
          <w:color w:val="auto"/>
        </w:rPr>
        <w:t>Waiver of Past Defaults.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ind w:left="660" w:right="160" w:firstLine="645"/>
        <w:spacing w:after="0" w:line="286" w:lineRule="auto"/>
        <w:tabs>
          <w:tab w:leader="none" w:pos="2013" w:val="left"/>
        </w:tabs>
        <w:numPr>
          <w:ilvl w:val="0"/>
          <w:numId w:val="46"/>
        </w:numPr>
        <w:rPr>
          <w:rFonts w:ascii="Arial" w:cs="Arial" w:eastAsia="Arial" w:hAnsi="Arial"/>
          <w:sz w:val="17"/>
          <w:szCs w:val="17"/>
          <w:color w:val="auto"/>
        </w:rPr>
      </w:pPr>
      <w:r>
        <w:rPr>
          <w:rFonts w:ascii="Arial" w:cs="Arial" w:eastAsia="Arial" w:hAnsi="Arial"/>
          <w:sz w:val="17"/>
          <w:szCs w:val="17"/>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Stock;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20" w:firstLine="645"/>
        <w:spacing w:after="0" w:line="277" w:lineRule="auto"/>
        <w:tabs>
          <w:tab w:leader="none" w:pos="2013"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color w:val="auto"/>
        </w:rPr>
        <w:t>Undertaking for Costs.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6"/>
          <w:szCs w:val="16"/>
          <w:b w:val="1"/>
          <w:bCs w:val="1"/>
          <w:color w:val="auto"/>
        </w:rPr>
        <w:t>Waiver of Usury, Stay or Extension Laws.</w:t>
      </w:r>
    </w:p>
    <w:p>
      <w:pPr>
        <w:spacing w:after="0" w:line="229"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w:t>
      </w:r>
    </w:p>
    <w:p>
      <w:pPr>
        <w:sectPr>
          <w:pgSz w:w="11900" w:h="16838" w:orient="portrait"/>
          <w:cols w:equalWidth="0" w:num="1">
            <w:col w:w="11420"/>
          </w:cols>
          <w:pgMar w:left="240" w:top="337" w:right="239" w:bottom="0" w:gutter="0" w:footer="0" w:header="0"/>
        </w:sectPr>
      </w:pPr>
    </w:p>
    <w:bookmarkStart w:id="43" w:name="page44"/>
    <w:bookmarkEnd w:id="43"/>
    <w:p>
      <w:pPr>
        <w:spacing w:after="0" w:line="5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of any such law and covenants that it will not hinder, delay or impede the execution of any power herein granted to the Trustee, but will suffer and permit the execution of every such power as though no such law had been enacted.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color w:val="auto"/>
        </w:rPr>
        <w:t>Certain Duties and Responsibilities.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Notice of Defaults.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that is, or after notice or lapse of time or both would become, an Event of Default with respect to Securities of such series.</w:t>
      </w:r>
    </w:p>
    <w:p>
      <w:pPr>
        <w:spacing w:after="0" w:line="17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color w:val="auto"/>
        </w:rPr>
        <w:t>Certain Rights of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ind w:left="660" w:firstLine="645"/>
        <w:spacing w:after="0" w:line="312" w:lineRule="auto"/>
        <w:tabs>
          <w:tab w:leader="none" w:pos="2013" w:val="left"/>
        </w:tabs>
        <w:numPr>
          <w:ilvl w:val="0"/>
          <w:numId w:val="48"/>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280" w:firstLine="645"/>
        <w:spacing w:after="0" w:line="277" w:lineRule="auto"/>
        <w:tabs>
          <w:tab w:leader="none" w:pos="20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ind w:left="660" w:right="100" w:firstLine="645"/>
        <w:spacing w:after="0" w:line="277" w:lineRule="auto"/>
        <w:tabs>
          <w:tab w:leader="none" w:pos="2013"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action hereunder, the Trustee (unless other evidence be herein specifically prescribed) is entitled to and may, in the absence of bad faith on its part, rely upon an Officers’ Certificate;</w:t>
      </w:r>
    </w:p>
    <w:p>
      <w:pPr>
        <w:spacing w:after="0" w:line="170" w:lineRule="exact"/>
        <w:rPr>
          <w:sz w:val="20"/>
          <w:szCs w:val="20"/>
          <w:color w:val="auto"/>
        </w:rPr>
      </w:pPr>
    </w:p>
    <w:p>
      <w:pPr>
        <w:ind w:left="660" w:right="40" w:firstLine="645"/>
        <w:spacing w:after="0" w:line="308" w:lineRule="auto"/>
        <w:tabs>
          <w:tab w:leader="none" w:pos="201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left="660" w:right="360" w:firstLine="645"/>
        <w:spacing w:after="0" w:line="286" w:lineRule="auto"/>
        <w:tabs>
          <w:tab w:leader="none" w:pos="201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ind w:left="660" w:firstLine="645"/>
        <w:spacing w:after="0" w:line="255" w:lineRule="auto"/>
        <w:tabs>
          <w:tab w:leader="none" w:pos="20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reasonable expense of the Company and shall incur no liability of any kind by reason of such inquiry or investigation);</w:t>
      </w:r>
    </w:p>
    <w:p>
      <w:pPr>
        <w:spacing w:after="0" w:line="193" w:lineRule="exact"/>
        <w:rPr>
          <w:rFonts w:ascii="Arial" w:cs="Arial" w:eastAsia="Arial" w:hAnsi="Arial"/>
          <w:sz w:val="18"/>
          <w:szCs w:val="18"/>
          <w:color w:val="auto"/>
        </w:rPr>
      </w:pPr>
    </w:p>
    <w:p>
      <w:pPr>
        <w:ind w:left="660" w:right="40" w:firstLine="645"/>
        <w:spacing w:after="0" w:line="264" w:lineRule="auto"/>
        <w:tabs>
          <w:tab w:leader="none" w:pos="201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ectPr>
          <w:pgSz w:w="11900" w:h="16891" w:orient="portrait"/>
          <w:cols w:equalWidth="0" w:num="1">
            <w:col w:w="11400"/>
          </w:cols>
          <w:pgMar w:left="240" w:top="125" w:right="259" w:bottom="0" w:gutter="0" w:footer="0" w:header="0"/>
        </w:sectPr>
      </w:pPr>
    </w:p>
    <w:bookmarkStart w:id="44" w:name="page45"/>
    <w:bookmarkEnd w:id="44"/>
    <w:p>
      <w:pPr>
        <w:spacing w:after="0" w:line="74" w:lineRule="exact"/>
        <w:rPr>
          <w:sz w:val="20"/>
          <w:szCs w:val="20"/>
          <w:color w:val="auto"/>
        </w:rPr>
      </w:pPr>
    </w:p>
    <w:p>
      <w:pPr>
        <w:ind w:left="660" w:right="100" w:firstLine="645"/>
        <w:spacing w:after="0" w:line="277" w:lineRule="auto"/>
        <w:tabs>
          <w:tab w:leader="none" w:pos="20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660" w:right="80" w:firstLine="645"/>
        <w:spacing w:after="0" w:line="264" w:lineRule="auto"/>
        <w:tabs>
          <w:tab w:leader="none" w:pos="20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81" w:lineRule="exact"/>
        <w:rPr>
          <w:rFonts w:ascii="Arial" w:cs="Arial" w:eastAsia="Arial" w:hAnsi="Arial"/>
          <w:sz w:val="18"/>
          <w:szCs w:val="18"/>
          <w:color w:val="auto"/>
        </w:rPr>
      </w:pPr>
    </w:p>
    <w:p>
      <w:pPr>
        <w:jc w:val="both"/>
        <w:ind w:left="660" w:right="60" w:firstLine="645"/>
        <w:spacing w:after="0" w:line="264" w:lineRule="auto"/>
        <w:tabs>
          <w:tab w:leader="none" w:pos="201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the Indenture; and</w:t>
      </w:r>
    </w:p>
    <w:p>
      <w:pPr>
        <w:spacing w:after="0" w:line="181" w:lineRule="exact"/>
        <w:rPr>
          <w:rFonts w:ascii="Arial" w:cs="Arial" w:eastAsia="Arial" w:hAnsi="Arial"/>
          <w:sz w:val="18"/>
          <w:szCs w:val="18"/>
          <w:color w:val="auto"/>
        </w:rPr>
      </w:pPr>
    </w:p>
    <w:p>
      <w:pPr>
        <w:ind w:left="660" w:right="540" w:firstLine="645"/>
        <w:spacing w:after="0" w:line="277" w:lineRule="auto"/>
        <w:tabs>
          <w:tab w:leader="none" w:pos="20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 enforceable by, the Trustee in each of its capacities hereunder, and each agent, custodian and other Person employed to act hereunder.</w:t>
      </w:r>
    </w:p>
    <w:p>
      <w:pPr>
        <w:spacing w:after="0" w:line="23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5"/>
          <w:szCs w:val="15"/>
          <w:b w:val="1"/>
          <w:bCs w:val="1"/>
          <w:color w:val="auto"/>
        </w:rPr>
        <w:t>Not Responsible for Recitals or Issuance of Securities.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color w:val="auto"/>
        </w:rPr>
        <w:t>May Hold Securities and Act as Trustee under Other Indentures.</w:t>
      </w:r>
    </w:p>
    <w:p>
      <w:pPr>
        <w:spacing w:after="0" w:line="229" w:lineRule="exact"/>
        <w:rPr>
          <w:sz w:val="20"/>
          <w:szCs w:val="20"/>
          <w:color w:val="auto"/>
        </w:rPr>
      </w:pPr>
    </w:p>
    <w:p>
      <w:pPr>
        <w:jc w:val="both"/>
        <w:ind w:right="100" w:firstLine="648"/>
        <w:spacing w:after="0" w:line="286" w:lineRule="auto"/>
        <w:rPr>
          <w:sz w:val="20"/>
          <w:szCs w:val="20"/>
          <w:color w:val="auto"/>
        </w:rPr>
      </w:pPr>
      <w:r>
        <w:rPr>
          <w:rFonts w:ascii="Arial" w:cs="Arial" w:eastAsia="Arial" w:hAnsi="Arial"/>
          <w:sz w:val="17"/>
          <w:szCs w:val="17"/>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color w:val="auto"/>
        </w:rPr>
        <w:t>Money Held in Trust.</w:t>
      </w:r>
    </w:p>
    <w:p>
      <w:pPr>
        <w:spacing w:after="0" w:line="22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color w:val="auto"/>
        </w:rPr>
        <w:t>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right="240" w:firstLine="645"/>
        <w:spacing w:after="0" w:line="277" w:lineRule="auto"/>
        <w:tabs>
          <w:tab w:leader="none" w:pos="20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ind w:left="660" w:right="720" w:firstLine="645"/>
        <w:spacing w:after="0" w:line="259" w:lineRule="auto"/>
        <w:tabs>
          <w:tab w:leader="none" w:pos="2013"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645"/>
        <w:spacing w:after="0" w:line="293" w:lineRule="auto"/>
        <w:tabs>
          <w:tab w:leader="none" w:pos="2013"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The obligations of the Company under this Section 6.7 to compensate or indemnify the Trustee and to pay or reimburse the Trustee for expenses, disbursements and advances shall be secured by a lien prior to that of the Securities upon all property and funds held or collected by the Trustee as such. The obligation of the Company under this Section shall survive the satisfaction and discharge of this Indenture.</w:t>
      </w:r>
    </w:p>
    <w:p>
      <w:pPr>
        <w:spacing w:after="0" w:line="165"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6.8</w:t>
      </w:r>
      <w:r>
        <w:rPr>
          <w:sz w:val="20"/>
          <w:szCs w:val="20"/>
          <w:color w:val="auto"/>
        </w:rPr>
        <w:tab/>
      </w:r>
      <w:r>
        <w:rPr>
          <w:rFonts w:ascii="Arial" w:cs="Arial" w:eastAsia="Arial" w:hAnsi="Arial"/>
          <w:sz w:val="16"/>
          <w:szCs w:val="16"/>
          <w:b w:val="1"/>
          <w:bCs w:val="1"/>
          <w:color w:val="auto"/>
        </w:rPr>
        <w:t>Conflicting Interests.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ectPr>
          <w:pgSz w:w="11900" w:h="16912" w:orient="portrait"/>
          <w:cols w:equalWidth="0" w:num="1">
            <w:col w:w="11400"/>
          </w:cols>
          <w:pgMar w:left="240" w:top="341" w:right="259" w:bottom="0" w:gutter="0" w:footer="0" w:header="0"/>
        </w:sectPr>
      </w:pPr>
    </w:p>
    <w:bookmarkStart w:id="45" w:name="page46"/>
    <w:bookmarkEnd w:id="45"/>
    <w:p>
      <w:pPr>
        <w:spacing w:after="0" w:line="9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6.9</w:t>
      </w:r>
      <w:r>
        <w:rPr>
          <w:sz w:val="20"/>
          <w:szCs w:val="20"/>
          <w:color w:val="auto"/>
        </w:rPr>
        <w:tab/>
      </w:r>
      <w:r>
        <w:rPr>
          <w:rFonts w:ascii="Arial" w:cs="Arial" w:eastAsia="Arial" w:hAnsi="Arial"/>
          <w:sz w:val="16"/>
          <w:szCs w:val="16"/>
          <w:b w:val="1"/>
          <w:bCs w:val="1"/>
          <w:color w:val="auto"/>
        </w:rPr>
        <w:t>Corporate Trustee Required; Eligibility.</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 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5"/>
          <w:szCs w:val="15"/>
          <w:b w:val="1"/>
          <w:bCs w:val="1"/>
          <w:color w:val="auto"/>
        </w:rPr>
        <w:t>Resignation and Removal; Appointment of Successor.</w:t>
      </w:r>
    </w:p>
    <w:p>
      <w:pPr>
        <w:spacing w:after="0" w:line="229" w:lineRule="exact"/>
        <w:rPr>
          <w:sz w:val="20"/>
          <w:szCs w:val="20"/>
          <w:color w:val="auto"/>
        </w:rPr>
      </w:pPr>
    </w:p>
    <w:p>
      <w:pPr>
        <w:ind w:right="720" w:firstLine="648"/>
        <w:spacing w:after="0" w:line="308" w:lineRule="auto"/>
        <w:rPr>
          <w:sz w:val="20"/>
          <w:szCs w:val="20"/>
          <w:color w:val="auto"/>
        </w:rPr>
      </w:pPr>
      <w:r>
        <w:rPr>
          <w:rFonts w:ascii="Arial" w:cs="Arial" w:eastAsia="Arial" w:hAnsi="Arial"/>
          <w:sz w:val="17"/>
          <w:szCs w:val="17"/>
          <w:color w:val="auto"/>
        </w:rPr>
        <w:t>No resignation or removal of the Trustee and no appointment of a successor Trustee pursuant to this Article shall become effective until the acceptance of appointment by the successor Trustee in accordance with the applicable requirements of Section 6.11.</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Trustee may resign at any time 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right="180" w:firstLine="645"/>
        <w:spacing w:after="0" w:line="277" w:lineRule="auto"/>
        <w:tabs>
          <w:tab w:leader="none" w:pos="20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right="80" w:firstLine="645"/>
        <w:spacing w:after="0" w:line="277" w:lineRule="auto"/>
        <w:tabs>
          <w:tab w:leader="none" w:pos="20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ind w:left="660" w:right="420" w:firstLine="645"/>
        <w:spacing w:after="0" w:line="264" w:lineRule="auto"/>
        <w:tabs>
          <w:tab w:leader="none" w:pos="201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5"/>
          <w:szCs w:val="15"/>
          <w:b w:val="1"/>
          <w:bCs w:val="1"/>
          <w:color w:val="auto"/>
        </w:rPr>
        <w:t>Acceptance of Appointment by Successor.</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ectPr>
          <w:pgSz w:w="11900" w:h="16934" w:orient="portrait"/>
          <w:cols w:equalWidth="0" w:num="1">
            <w:col w:w="11420"/>
          </w:cols>
          <w:pgMar w:left="240" w:top="337" w:right="239" w:bottom="0" w:gutter="0" w:footer="0" w:header="0"/>
        </w:sectPr>
      </w:pPr>
    </w:p>
    <w:bookmarkStart w:id="46" w:name="page47"/>
    <w:bookmarkEnd w:id="46"/>
    <w:p>
      <w:pPr>
        <w:spacing w:after="0" w:line="114"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71"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6.12</w:t>
      </w:r>
      <w:r>
        <w:rPr>
          <w:sz w:val="20"/>
          <w:szCs w:val="20"/>
          <w:color w:val="auto"/>
        </w:rPr>
        <w:tab/>
      </w:r>
      <w:r>
        <w:rPr>
          <w:rFonts w:ascii="Arial" w:cs="Arial" w:eastAsia="Arial" w:hAnsi="Arial"/>
          <w:sz w:val="15"/>
          <w:szCs w:val="15"/>
          <w:b w:val="1"/>
          <w:bCs w:val="1"/>
          <w:color w:val="auto"/>
        </w:rPr>
        <w:t>Merger, Conversion, Consolidation or Succession to Business.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such predecessor Trustee, with the full force and effect which this Indenture provides for the certificate of authentication of the Trustee.</w:t>
      </w:r>
    </w:p>
    <w:p>
      <w:pPr>
        <w:spacing w:after="0" w:line="17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6"/>
          <w:szCs w:val="16"/>
          <w:b w:val="1"/>
          <w:bCs w:val="1"/>
          <w:color w:val="auto"/>
        </w:rPr>
        <w:t>Preferential Collection of Claims Against Company.</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6"/>
          <w:szCs w:val="16"/>
          <w:b w:val="1"/>
          <w:bCs w:val="1"/>
          <w:color w:val="auto"/>
        </w:rPr>
        <w:t>Appointment of Authenticating Agent.</w:t>
      </w:r>
    </w:p>
    <w:p>
      <w:pPr>
        <w:spacing w:after="0" w:line="229" w:lineRule="exact"/>
        <w:rPr>
          <w:sz w:val="20"/>
          <w:szCs w:val="20"/>
          <w:color w:val="auto"/>
        </w:rPr>
      </w:pPr>
    </w:p>
    <w:p>
      <w:pPr>
        <w:ind w:right="300" w:firstLine="648"/>
        <w:spacing w:after="0" w:line="255" w:lineRule="auto"/>
        <w:rPr>
          <w:sz w:val="20"/>
          <w:szCs w:val="20"/>
          <w:color w:val="auto"/>
        </w:rPr>
      </w:pPr>
      <w:r>
        <w:rPr>
          <w:rFonts w:ascii="Arial" w:cs="Arial" w:eastAsia="Arial" w:hAnsi="Arial"/>
          <w:sz w:val="18"/>
          <w:szCs w:val="18"/>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jc w:val="both"/>
        <w:ind w:right="80" w:firstLine="648"/>
        <w:spacing w:after="0" w:line="312" w:lineRule="auto"/>
        <w:rPr>
          <w:sz w:val="20"/>
          <w:szCs w:val="20"/>
          <w:color w:val="auto"/>
        </w:rPr>
      </w:pPr>
      <w:r>
        <w:rPr>
          <w:rFonts w:ascii="Arial" w:cs="Arial" w:eastAsia="Arial" w:hAnsi="Arial"/>
          <w:sz w:val="16"/>
          <w:szCs w:val="16"/>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w:t>
      </w:r>
    </w:p>
    <w:p>
      <w:pPr>
        <w:sectPr>
          <w:pgSz w:w="11900" w:h="16952" w:orient="portrait"/>
          <w:cols w:equalWidth="0" w:num="1">
            <w:col w:w="11400"/>
          </w:cols>
          <w:pgMar w:left="240" w:top="341" w:right="259" w:bottom="0" w:gutter="0" w:footer="0" w:header="0"/>
        </w:sectPr>
      </w:pPr>
    </w:p>
    <w:bookmarkStart w:id="47" w:name="page48"/>
    <w:bookmarkEnd w:id="47"/>
    <w:p>
      <w:pPr>
        <w:spacing w:after="0" w:line="257" w:lineRule="auto"/>
        <w:rPr>
          <w:sz w:val="20"/>
          <w:szCs w:val="20"/>
          <w:color w:val="auto"/>
        </w:rPr>
      </w:pPr>
      <w:r>
        <w:rPr>
          <w:rFonts w:ascii="Arial" w:cs="Arial" w:eastAsia="Arial" w:hAnsi="Arial"/>
          <w:sz w:val="18"/>
          <w:szCs w:val="18"/>
          <w:color w:val="auto"/>
        </w:rPr>
        <w:t>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agrees to pay to each Authenticating Agent from time to time reasonable compensation for its services under this Section.</w:t>
      </w:r>
    </w:p>
    <w:p>
      <w:pPr>
        <w:spacing w:after="0" w:line="23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6.12,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As Trustee</w:t>
      </w:r>
    </w:p>
    <w:p>
      <w:pPr>
        <w:spacing w:after="0" w:line="200" w:lineRule="exact"/>
        <w:rPr>
          <w:sz w:val="20"/>
          <w:szCs w:val="20"/>
          <w:color w:val="auto"/>
        </w:rPr>
      </w:pPr>
    </w:p>
    <w:p>
      <w:pPr>
        <w:spacing w:after="0" w:line="22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-130810</wp:posOffset>
            </wp:positionV>
            <wp:extent cx="327596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ind w:left="660" w:right="60" w:firstLine="645"/>
        <w:spacing w:after="0" w:line="264" w:lineRule="auto"/>
        <w:tabs>
          <w:tab w:leader="none" w:pos="20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2013"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list need be furnished by the Company to the Trustee so long as the Trustee is acting as Security Registrar.</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6"/>
          <w:szCs w:val="16"/>
          <w:b w:val="1"/>
          <w:bCs w:val="1"/>
          <w:color w:val="auto"/>
        </w:rPr>
        <w:t>Preservation of Information; Communications to Holders.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w:t>
      </w:r>
    </w:p>
    <w:p>
      <w:pPr>
        <w:spacing w:after="0" w:line="170"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Every Holder of Securities, by receiving and holding the same, agrees with the Company and the Trustee that neither the Company nor the Trustee nor any agent of either of them shall be held accountable by reason of any disclosure of information as to names and addresses of Holders made pursuant to the Trust Indenture Act.</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5"/>
          <w:szCs w:val="15"/>
          <w:b w:val="1"/>
          <w:bCs w:val="1"/>
          <w:color w:val="auto"/>
        </w:rPr>
        <w:t>Reports by Trustee.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ind w:right="420" w:firstLine="648"/>
        <w:spacing w:after="0" w:line="264"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color w:val="auto"/>
        </w:rPr>
        <w:t>Reports by Company.</w:t>
      </w:r>
    </w:p>
    <w:p>
      <w:pPr>
        <w:sectPr>
          <w:pgSz w:w="11900" w:h="16838" w:orient="portrait"/>
          <w:cols w:equalWidth="0" w:num="1">
            <w:col w:w="11360"/>
          </w:cols>
          <w:pgMar w:left="240" w:top="125" w:right="299" w:bottom="9" w:gutter="0" w:footer="0" w:header="0"/>
        </w:sectPr>
      </w:pPr>
    </w:p>
    <w:bookmarkStart w:id="48" w:name="page49"/>
    <w:bookmarkEnd w:id="48"/>
    <w:p>
      <w:pPr>
        <w:spacing w:after="0" w:line="110"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Company May Consolidate, etc., Only on Certain Terms.</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firstLine="645"/>
        <w:spacing w:after="0" w:line="269" w:lineRule="auto"/>
        <w:tabs>
          <w:tab w:leader="none" w:pos="2013"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 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82" w:lineRule="exact"/>
        <w:rPr>
          <w:rFonts w:ascii="Arial" w:cs="Arial" w:eastAsia="Arial" w:hAnsi="Arial"/>
          <w:sz w:val="17"/>
          <w:szCs w:val="17"/>
          <w:color w:val="auto"/>
        </w:rPr>
      </w:pPr>
    </w:p>
    <w:p>
      <w:pPr>
        <w:jc w:val="both"/>
        <w:ind w:left="660" w:firstLine="645"/>
        <w:spacing w:after="0" w:line="312" w:lineRule="auto"/>
        <w:tabs>
          <w:tab w:leader="none" w:pos="20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6" w:lineRule="exact"/>
        <w:rPr>
          <w:rFonts w:ascii="Arial" w:cs="Arial" w:eastAsia="Arial" w:hAnsi="Arial"/>
          <w:sz w:val="16"/>
          <w:szCs w:val="16"/>
          <w:color w:val="auto"/>
        </w:rPr>
      </w:pPr>
    </w:p>
    <w:p>
      <w:pPr>
        <w:ind w:left="660" w:right="40" w:firstLine="645"/>
        <w:spacing w:after="0" w:line="312" w:lineRule="auto"/>
        <w:tabs>
          <w:tab w:leader="none" w:pos="201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5"/>
          <w:szCs w:val="15"/>
          <w:b w:val="1"/>
          <w:bCs w:val="1"/>
          <w:color w:val="auto"/>
        </w:rPr>
        <w:t>Successor Substituted.</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color w:val="auto"/>
        </w:rPr>
        <w:t>Supplemental Indentures Without Consent of Holders.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ind w:left="660" w:right="700" w:firstLine="645"/>
        <w:spacing w:after="0" w:line="308" w:lineRule="auto"/>
        <w:tabs>
          <w:tab w:leader="none" w:pos="2013" w:val="left"/>
        </w:tabs>
        <w:numPr>
          <w:ilvl w:val="0"/>
          <w:numId w:val="56"/>
        </w:numPr>
        <w:rPr>
          <w:rFonts w:ascii="Arial" w:cs="Arial" w:eastAsia="Arial" w:hAnsi="Arial"/>
          <w:sz w:val="17"/>
          <w:szCs w:val="17"/>
          <w:color w:val="auto"/>
        </w:rPr>
      </w:pPr>
      <w:r>
        <w:rPr>
          <w:rFonts w:ascii="Arial" w:cs="Arial" w:eastAsia="Arial" w:hAnsi="Arial"/>
          <w:sz w:val="17"/>
          <w:szCs w:val="17"/>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46" w:lineRule="exact"/>
        <w:rPr>
          <w:rFonts w:ascii="Arial" w:cs="Arial" w:eastAsia="Arial" w:hAnsi="Arial"/>
          <w:sz w:val="17"/>
          <w:szCs w:val="17"/>
          <w:color w:val="auto"/>
        </w:rPr>
      </w:pPr>
    </w:p>
    <w:p>
      <w:pPr>
        <w:jc w:val="both"/>
        <w:ind w:left="660" w:right="100" w:firstLine="645"/>
        <w:spacing w:after="0" w:line="264" w:lineRule="auto"/>
        <w:tabs>
          <w:tab w:leader="none" w:pos="20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jc w:val="both"/>
        <w:ind w:left="660" w:right="460" w:firstLine="645"/>
        <w:spacing w:after="0" w:line="264" w:lineRule="auto"/>
        <w:tabs>
          <w:tab w:leader="none" w:pos="20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jc w:val="both"/>
        <w:ind w:left="660" w:right="140" w:firstLine="645"/>
        <w:spacing w:after="0" w:line="264" w:lineRule="auto"/>
        <w:tabs>
          <w:tab w:leader="none" w:pos="2013"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jc w:val="both"/>
        <w:ind w:left="660" w:right="140" w:firstLine="645"/>
        <w:spacing w:after="0" w:line="342" w:lineRule="auto"/>
        <w:tabs>
          <w:tab w:leader="none" w:pos="2013" w:val="left"/>
        </w:tabs>
        <w:numPr>
          <w:ilvl w:val="0"/>
          <w:numId w:val="56"/>
        </w:numPr>
        <w:rPr>
          <w:rFonts w:ascii="Arial" w:cs="Arial" w:eastAsia="Arial" w:hAnsi="Arial"/>
          <w:sz w:val="16"/>
          <w:szCs w:val="16"/>
          <w:color w:val="auto"/>
        </w:rPr>
      </w:pPr>
      <w:r>
        <w:rPr>
          <w:rFonts w:ascii="Arial" w:cs="Arial" w:eastAsia="Arial" w:hAnsi="Arial"/>
          <w:sz w:val="16"/>
          <w:szCs w:val="16"/>
          <w:color w:val="auto"/>
        </w:rPr>
        <w:t xml:space="preserve">to add to, change or eliminate any of the provisions of this Indenture in respect of one or more series of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addition, change or elimination (A) shall neither (i) apply to any Security of any series created prior to the execution of such supplemental</w:t>
      </w:r>
    </w:p>
    <w:p>
      <w:pPr>
        <w:sectPr>
          <w:pgSz w:w="11900" w:h="16948" w:orient="portrait"/>
          <w:cols w:equalWidth="0" w:num="1">
            <w:col w:w="11420"/>
          </w:cols>
          <w:pgMar w:left="240" w:top="125" w:right="239" w:bottom="0" w:gutter="0" w:footer="0" w:header="0"/>
        </w:sectPr>
      </w:pPr>
    </w:p>
    <w:bookmarkStart w:id="49" w:name="page50"/>
    <w:bookmarkEnd w:id="49"/>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indenture and entitled to the benefit of such provision nor (ii) modify the rights of the Holder of any such Security with respect to such provision or</w:t>
      </w:r>
    </w:p>
    <w:p>
      <w:pPr>
        <w:spacing w:after="0" w:line="46" w:lineRule="exact"/>
        <w:rPr>
          <w:sz w:val="20"/>
          <w:szCs w:val="20"/>
          <w:color w:val="auto"/>
        </w:rPr>
      </w:pPr>
    </w:p>
    <w:p>
      <w:pPr>
        <w:ind w:left="940" w:hanging="284"/>
        <w:spacing w:after="0"/>
        <w:tabs>
          <w:tab w:leader="none" w:pos="9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or</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pacing w:after="0" w:line="225" w:lineRule="exact"/>
        <w:rPr>
          <w:rFonts w:ascii="Arial" w:cs="Arial" w:eastAsia="Arial" w:hAnsi="Arial"/>
          <w:sz w:val="18"/>
          <w:szCs w:val="18"/>
          <w:color w:val="auto"/>
        </w:rPr>
      </w:pPr>
    </w:p>
    <w:p>
      <w:pPr>
        <w:ind w:left="660" w:right="140" w:firstLine="645"/>
        <w:spacing w:after="0" w:line="264" w:lineRule="auto"/>
        <w:tabs>
          <w:tab w:leader="none" w:pos="201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rFonts w:ascii="Arial" w:cs="Arial" w:eastAsia="Arial" w:hAnsi="Arial"/>
          <w:sz w:val="18"/>
          <w:szCs w:val="18"/>
          <w:color w:val="auto"/>
        </w:rPr>
      </w:pPr>
    </w:p>
    <w:p>
      <w:pPr>
        <w:ind w:left="660" w:right="20" w:firstLine="645"/>
        <w:spacing w:after="0" w:line="286" w:lineRule="auto"/>
        <w:tabs>
          <w:tab w:leader="none" w:pos="2013" w:val="left"/>
        </w:tabs>
        <w:numPr>
          <w:ilvl w:val="0"/>
          <w:numId w:val="58"/>
        </w:numPr>
        <w:rPr>
          <w:rFonts w:ascii="Arial" w:cs="Arial" w:eastAsia="Arial" w:hAnsi="Arial"/>
          <w:sz w:val="17"/>
          <w:szCs w:val="17"/>
          <w:color w:val="auto"/>
        </w:rPr>
      </w:pPr>
      <w:r>
        <w:rPr>
          <w:rFonts w:ascii="Arial" w:cs="Arial" w:eastAsia="Arial" w:hAnsi="Arial"/>
          <w:sz w:val="17"/>
          <w:szCs w:val="17"/>
          <w:color w:val="auto"/>
        </w:rPr>
        <w:t xml:space="preserve">to cure any ambiguity, to correct or supplement any provision herein which may be defective or inconsistent with any other provision herein, or to make any other provisions with respect to matters or questions arising under this Indenture,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such action pursuant to this clause (10) shall not adversely affect the interests of the Holders of Securities of any series in any material respect; or</w:t>
      </w:r>
    </w:p>
    <w:p>
      <w:pPr>
        <w:spacing w:after="0" w:line="165" w:lineRule="exact"/>
        <w:rPr>
          <w:rFonts w:ascii="Arial" w:cs="Arial" w:eastAsia="Arial" w:hAnsi="Arial"/>
          <w:sz w:val="17"/>
          <w:szCs w:val="17"/>
          <w:color w:val="auto"/>
        </w:rPr>
      </w:pPr>
    </w:p>
    <w:p>
      <w:pPr>
        <w:ind w:left="660" w:right="20" w:firstLine="645"/>
        <w:spacing w:after="0" w:line="264" w:lineRule="auto"/>
        <w:tabs>
          <w:tab w:leader="none" w:pos="2007"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to supplement any of the provisions of the Indenture to such extent as shall be necessary to permit or facilitate the defeasance and discharge of any series of Securities pursuant to Articles 4 and 13,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action shall not adversely affect the interests of the Holders of Securities of such series or any other series of Securities in any material respect.</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color w:val="auto"/>
        </w:rPr>
        <w:t>Supplemental Indentures with Consent of Holders.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3" w:lineRule="exact"/>
        <w:rPr>
          <w:sz w:val="20"/>
          <w:szCs w:val="20"/>
          <w:color w:val="auto"/>
        </w:rPr>
      </w:pPr>
    </w:p>
    <w:p>
      <w:pPr>
        <w:ind w:left="660" w:right="20" w:firstLine="645"/>
        <w:spacing w:after="0" w:line="254" w:lineRule="auto"/>
        <w:tabs>
          <w:tab w:leader="none" w:pos="2013"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firstLine="645"/>
        <w:spacing w:after="0" w:line="264" w:lineRule="auto"/>
        <w:tabs>
          <w:tab w:leader="none" w:pos="20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ind w:left="660" w:firstLine="645"/>
        <w:spacing w:after="0" w:line="257" w:lineRule="auto"/>
        <w:tabs>
          <w:tab w:leader="none" w:pos="2013"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 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88" w:lineRule="exact"/>
        <w:rPr>
          <w:rFonts w:ascii="Arial" w:cs="Arial" w:eastAsia="Arial" w:hAnsi="Arial"/>
          <w:sz w:val="18"/>
          <w:szCs w:val="18"/>
          <w:color w:val="auto"/>
        </w:rPr>
      </w:pPr>
    </w:p>
    <w:p>
      <w:pPr>
        <w:ind w:left="660" w:right="380" w:firstLine="645"/>
        <w:spacing w:after="0" w:line="342" w:lineRule="auto"/>
        <w:tabs>
          <w:tab w:leader="none" w:pos="2013"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applicable, make any change that adversely affects the right to convert any security as provided in Article 14 or pursuant to Section 3.1 (except as permitted by Section 9.1(9)) or decrease the conversion rate or increase the conversion price of any such security.</w:t>
      </w:r>
    </w:p>
    <w:p>
      <w:pPr>
        <w:spacing w:after="0" w:line="12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color w:val="auto"/>
        </w:rPr>
        <w:t>Execution of Supplemental Indentures.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Officers’ Certificate and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6"/>
          <w:szCs w:val="16"/>
          <w:b w:val="1"/>
          <w:bCs w:val="1"/>
          <w:color w:val="auto"/>
        </w:rPr>
        <w:t>Effect of Supplemental Indentures.</w:t>
      </w:r>
    </w:p>
    <w:p>
      <w:pPr>
        <w:sectPr>
          <w:pgSz w:w="11900" w:h="16870" w:orient="portrait"/>
          <w:cols w:equalWidth="0" w:num="1">
            <w:col w:w="11420"/>
          </w:cols>
          <w:pgMar w:left="240" w:top="125" w:right="239" w:bottom="0" w:gutter="0" w:footer="0" w:header="0"/>
        </w:sectPr>
      </w:pPr>
    </w:p>
    <w:bookmarkStart w:id="50" w:name="page51"/>
    <w:bookmarkEnd w:id="50"/>
    <w:p>
      <w:pPr>
        <w:spacing w:after="0" w:line="11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6"/>
          <w:szCs w:val="16"/>
          <w:b w:val="1"/>
          <w:bCs w:val="1"/>
          <w:color w:val="auto"/>
        </w:rPr>
        <w:t>Conformity with Trust Indenture Act.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Section 9.6</w:t>
      </w:r>
      <w:r>
        <w:rPr>
          <w:sz w:val="20"/>
          <w:szCs w:val="20"/>
          <w:color w:val="auto"/>
        </w:rPr>
        <w:tab/>
      </w:r>
      <w:r>
        <w:rPr>
          <w:rFonts w:ascii="Arial" w:cs="Arial" w:eastAsia="Arial" w:hAnsi="Arial"/>
          <w:sz w:val="16"/>
          <w:szCs w:val="16"/>
          <w:b w:val="1"/>
          <w:bCs w:val="1"/>
          <w:color w:val="auto"/>
        </w:rPr>
        <w:t>Reference in Securities to Supplemental Indentures.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may, and shall if required by the Trustee, bear a notation in form 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Payment of Principal, Premium and Interest.</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color w:val="auto"/>
        </w:rPr>
        <w:t>Maintenance of Office or Agency.</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6"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color w:val="auto"/>
        </w:rPr>
        <w:t>Money for Securities Payments to be Held in Trust.</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w:t>
      </w:r>
    </w:p>
    <w:p>
      <w:pPr>
        <w:sectPr>
          <w:pgSz w:w="11900" w:h="16952" w:orient="portrait"/>
          <w:cols w:equalWidth="0" w:num="1">
            <w:col w:w="11400"/>
          </w:cols>
          <w:pgMar w:left="240" w:top="341" w:right="259" w:bottom="0" w:gutter="0" w:footer="0" w:header="0"/>
        </w:sectPr>
      </w:pPr>
    </w:p>
    <w:bookmarkStart w:id="51" w:name="page52"/>
    <w:bookmarkEnd w:id="51"/>
    <w:p>
      <w:pPr>
        <w:jc w:val="both"/>
        <w:ind w:right="80"/>
        <w:spacing w:after="0" w:line="286" w:lineRule="auto"/>
        <w:rPr>
          <w:sz w:val="20"/>
          <w:szCs w:val="20"/>
          <w:color w:val="auto"/>
        </w:rPr>
      </w:pPr>
      <w:r>
        <w:rPr>
          <w:rFonts w:ascii="Arial" w:cs="Arial" w:eastAsia="Arial" w:hAnsi="Arial"/>
          <w:sz w:val="17"/>
          <w:szCs w:val="17"/>
          <w:color w:val="auto"/>
        </w:rPr>
        <w:t xml:space="preserve">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 of such publication, any unclaimed balance of such money then remaining will be repaid to the Company.</w:t>
      </w:r>
    </w:p>
    <w:p>
      <w:pPr>
        <w:spacing w:after="0" w:line="18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Statement by Officers as to Default.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Company will give the Trustee prompt written notice of any change of its fiscal year.</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5"/>
          <w:szCs w:val="15"/>
          <w:b w:val="1"/>
          <w:bCs w:val="1"/>
          <w:color w:val="auto"/>
        </w:rPr>
        <w:t>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Maintenance of Properties.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color w:val="auto"/>
        </w:rPr>
        <w:t>Payment of Taxes and Other Claims.</w:t>
      </w:r>
    </w:p>
    <w:p>
      <w:pPr>
        <w:spacing w:after="0" w:line="229"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6"/>
          <w:szCs w:val="16"/>
          <w:b w:val="1"/>
          <w:bCs w:val="1"/>
          <w:color w:val="auto"/>
        </w:rPr>
        <w:t>Waiver of Certain Covenants.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Applicability of Article.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6"/>
          <w:szCs w:val="16"/>
          <w:b w:val="1"/>
          <w:bCs w:val="1"/>
          <w:color w:val="auto"/>
        </w:rPr>
        <w:t>Election to Redeem; Notice to Trustee.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ectPr>
          <w:pgSz w:w="11900" w:h="16838" w:orient="portrait"/>
          <w:cols w:equalWidth="0" w:num="1">
            <w:col w:w="11420"/>
          </w:cols>
          <w:pgMar w:left="240" w:top="125" w:right="239" w:bottom="0" w:gutter="0" w:footer="0" w:header="0"/>
        </w:sectPr>
      </w:pPr>
    </w:p>
    <w:bookmarkStart w:id="52" w:name="page53"/>
    <w:bookmarkEnd w:id="52"/>
    <w:p>
      <w:pPr>
        <w:spacing w:after="0" w:line="9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5"/>
          <w:szCs w:val="15"/>
          <w:b w:val="1"/>
          <w:bCs w:val="1"/>
          <w:color w:val="auto"/>
        </w:rPr>
        <w:t>Selection by Trustee of Securities to Be Redeemed.</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 xml:space="preserve">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unredeemed portion of the principal amount of any Security shall be in an authorized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denomination (which shall not be less than the minimum authorized denomination) for such 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6"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11.4</w:t>
      </w:r>
      <w:r>
        <w:rPr>
          <w:sz w:val="20"/>
          <w:szCs w:val="20"/>
          <w:color w:val="auto"/>
        </w:rPr>
        <w:tab/>
      </w:r>
      <w:r>
        <w:rPr>
          <w:rFonts w:ascii="Arial" w:cs="Arial" w:eastAsia="Arial" w:hAnsi="Arial"/>
          <w:sz w:val="16"/>
          <w:szCs w:val="16"/>
          <w:b w:val="1"/>
          <w:bCs w:val="1"/>
          <w:color w:val="auto"/>
        </w:rPr>
        <w:t>Notice of Redemption.</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Notice of redemption shall be given electronically or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2000" w:hanging="695"/>
        <w:spacing w:after="0"/>
        <w:tabs>
          <w:tab w:leader="none" w:pos="2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ind w:left="660" w:right="240" w:firstLine="645"/>
        <w:spacing w:after="0" w:line="342" w:lineRule="auto"/>
        <w:tabs>
          <w:tab w:leader="none" w:pos="2013" w:val="left"/>
        </w:tabs>
        <w:numPr>
          <w:ilvl w:val="0"/>
          <w:numId w:val="61"/>
        </w:numPr>
        <w:rPr>
          <w:rFonts w:ascii="Arial" w:cs="Arial" w:eastAsia="Arial" w:hAnsi="Arial"/>
          <w:sz w:val="16"/>
          <w:szCs w:val="16"/>
          <w:color w:val="auto"/>
        </w:rPr>
      </w:pPr>
      <w:r>
        <w:rPr>
          <w:rFonts w:ascii="Arial" w:cs="Arial" w:eastAsia="Arial" w:hAnsi="Arial"/>
          <w:sz w:val="16"/>
          <w:szCs w:val="16"/>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if less than all the Outstanding Securities of any series consisting of a single Security are to be redeemed, the principal amount of the particular Security to be redeemed,</w:t>
      </w:r>
    </w:p>
    <w:p>
      <w:pPr>
        <w:spacing w:after="0" w:line="170" w:lineRule="exact"/>
        <w:rPr>
          <w:sz w:val="20"/>
          <w:szCs w:val="20"/>
          <w:color w:val="auto"/>
        </w:rPr>
      </w:pPr>
    </w:p>
    <w:p>
      <w:pPr>
        <w:ind w:left="660" w:right="260" w:firstLine="645"/>
        <w:spacing w:after="0" w:line="264" w:lineRule="auto"/>
        <w:tabs>
          <w:tab w:leader="none" w:pos="20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such Security, the Holder of such Security will receive, without charge, a new Security or Securities of authorized denominations for the principal amount thereof remaining unredeemed,</w:t>
      </w:r>
    </w:p>
    <w:p>
      <w:pPr>
        <w:spacing w:after="0" w:line="181" w:lineRule="exact"/>
        <w:rPr>
          <w:rFonts w:ascii="Arial" w:cs="Arial" w:eastAsia="Arial" w:hAnsi="Arial"/>
          <w:sz w:val="18"/>
          <w:szCs w:val="18"/>
          <w:color w:val="auto"/>
        </w:rPr>
      </w:pPr>
    </w:p>
    <w:p>
      <w:pPr>
        <w:ind w:left="660" w:right="140" w:firstLine="645"/>
        <w:spacing w:after="0" w:line="277" w:lineRule="auto"/>
        <w:tabs>
          <w:tab w:leader="none" w:pos="20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660" w:firstLine="645"/>
        <w:spacing w:after="0" w:line="342" w:lineRule="auto"/>
        <w:tabs>
          <w:tab w:leader="none" w:pos="2013"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applicable, the conversion price or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2000" w:hanging="695"/>
        <w:spacing w:after="0"/>
        <w:tabs>
          <w:tab w:leader="none" w:pos="2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Deposit of Redemption Price.</w:t>
      </w:r>
    </w:p>
    <w:p>
      <w:pPr>
        <w:spacing w:after="0" w:line="229"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ectPr>
          <w:pgSz w:w="11900" w:h="16934" w:orient="portrait"/>
          <w:cols w:equalWidth="0" w:num="1">
            <w:col w:w="11420"/>
          </w:cols>
          <w:pgMar w:left="240" w:top="121" w:right="239" w:bottom="0" w:gutter="0" w:footer="0" w:header="0"/>
        </w:sectPr>
      </w:pPr>
    </w:p>
    <w:bookmarkStart w:id="53" w:name="page54"/>
    <w:bookmarkEnd w:id="53"/>
    <w:p>
      <w:pPr>
        <w:ind w:right="220"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11.6</w:t>
      </w:r>
      <w:r>
        <w:rPr>
          <w:sz w:val="20"/>
          <w:szCs w:val="20"/>
          <w:color w:val="auto"/>
        </w:rPr>
        <w:tab/>
      </w:r>
      <w:r>
        <w:rPr>
          <w:rFonts w:ascii="Arial" w:cs="Arial" w:eastAsia="Arial" w:hAnsi="Arial"/>
          <w:sz w:val="16"/>
          <w:szCs w:val="16"/>
          <w:b w:val="1"/>
          <w:bCs w:val="1"/>
          <w:color w:val="auto"/>
        </w:rPr>
        <w:t>Securities Payable on Redemption Date.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Notice of redemption having been given as aforesaid, the Securities so to be redeemed shall, on the Redemption Date, become due and payable at the Redemption Price therein specified, and from and after such date (unless the Company shall default in the payment of the Redemption Price 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b w:val="1"/>
          <w:bCs w:val="1"/>
          <w:color w:val="auto"/>
        </w:rPr>
        <w:t>Securities Redeemed in Part.</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b w:val="1"/>
          <w:bCs w:val="1"/>
          <w:color w:val="auto"/>
        </w:rPr>
        <w:t>Applicability of Article.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fund payment shall be applied to the redemption of Securities as provided for by the terms of such Securities.</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b w:val="1"/>
          <w:bCs w:val="1"/>
          <w:color w:val="auto"/>
        </w:rPr>
        <w:t>Satisfaction of Sinking Fund Payments with Securities.</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The Company (1) may deliver Outstanding Securities of a series (other than any previously called for redemption) and (2) may apply as a credit Securities of a series which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7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color w:val="auto"/>
        </w:rPr>
        <w:t>Redemption of Securities for Sinking Fund.</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b w:val="1"/>
          <w:bCs w:val="1"/>
          <w:color w:val="auto"/>
        </w:rPr>
        <w:t>Company’s Option to Effect Defeasance or Covenant Defeasance.</w:t>
      </w:r>
    </w:p>
    <w:p>
      <w:pPr>
        <w:sectPr>
          <w:pgSz w:w="11900" w:h="16838" w:orient="portrait"/>
          <w:cols w:equalWidth="0" w:num="1">
            <w:col w:w="11420"/>
          </w:cols>
          <w:pgMar w:left="240" w:top="341" w:right="239" w:bottom="63" w:gutter="0" w:footer="0" w:header="0"/>
        </w:sectPr>
      </w:pPr>
    </w:p>
    <w:bookmarkStart w:id="54" w:name="page55"/>
    <w:bookmarkEnd w:id="54"/>
    <w:p>
      <w:pPr>
        <w:spacing w:after="0" w:line="9" w:lineRule="exact"/>
        <w:rPr>
          <w:sz w:val="20"/>
          <w:szCs w:val="20"/>
          <w:color w:val="auto"/>
        </w:rPr>
      </w:pPr>
    </w:p>
    <w:p>
      <w:pPr>
        <w:jc w:val="both"/>
        <w:ind w:right="180" w:firstLine="648"/>
        <w:spacing w:after="0" w:line="279" w:lineRule="auto"/>
        <w:rPr>
          <w:sz w:val="20"/>
          <w:szCs w:val="20"/>
          <w:color w:val="auto"/>
        </w:rPr>
      </w:pPr>
      <w:r>
        <w:rPr>
          <w:rFonts w:ascii="Arial" w:cs="Arial" w:eastAsia="Arial" w:hAnsi="Arial"/>
          <w:sz w:val="17"/>
          <w:szCs w:val="17"/>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5"/>
          <w:szCs w:val="15"/>
          <w:b w:val="1"/>
          <w:bCs w:val="1"/>
          <w:color w:val="auto"/>
        </w:rPr>
        <w:t>Defeasance and Discharge.</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 the Company shall be deemed to have been discharged from its obligations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 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78" w:lineRule="exact"/>
        <w:rPr>
          <w:sz w:val="20"/>
          <w:szCs w:val="20"/>
          <w:color w:val="auto"/>
        </w:rPr>
      </w:pPr>
    </w:p>
    <w:p>
      <w:pPr>
        <w:ind w:left="660" w:right="40" w:firstLine="645"/>
        <w:spacing w:after="0" w:line="308" w:lineRule="auto"/>
        <w:tabs>
          <w:tab w:leader="none" w:pos="2013"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46" w:lineRule="exact"/>
        <w:rPr>
          <w:rFonts w:ascii="Arial" w:cs="Arial" w:eastAsia="Arial" w:hAnsi="Arial"/>
          <w:sz w:val="17"/>
          <w:szCs w:val="17"/>
          <w:color w:val="auto"/>
        </w:rPr>
      </w:pPr>
    </w:p>
    <w:p>
      <w:pPr>
        <w:ind w:left="2000" w:hanging="695"/>
        <w:spacing w:after="0"/>
        <w:tabs>
          <w:tab w:leader="none" w:pos="2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Company’s obligations with respect to such Securities under Sections 3.4, 3.5, 3.6, 10.2 and 10.3, and, if applicable,</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Article 14,</w:t>
      </w:r>
    </w:p>
    <w:p>
      <w:pPr>
        <w:spacing w:after="0" w:line="211" w:lineRule="exact"/>
        <w:rPr>
          <w:sz w:val="20"/>
          <w:szCs w:val="20"/>
          <w:color w:val="auto"/>
        </w:rPr>
      </w:pPr>
    </w:p>
    <w:p>
      <w:pPr>
        <w:ind w:left="2000" w:hanging="695"/>
        <w:spacing w:after="0"/>
        <w:tabs>
          <w:tab w:leader="none" w:pos="2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13.3</w:t>
      </w:r>
      <w:r>
        <w:rPr>
          <w:sz w:val="20"/>
          <w:szCs w:val="20"/>
          <w:color w:val="auto"/>
        </w:rPr>
        <w:tab/>
      </w:r>
      <w:r>
        <w:rPr>
          <w:rFonts w:ascii="Arial" w:cs="Arial" w:eastAsia="Arial" w:hAnsi="Arial"/>
          <w:sz w:val="15"/>
          <w:szCs w:val="15"/>
          <w:b w:val="1"/>
          <w:bCs w:val="1"/>
          <w:color w:val="auto"/>
        </w:rPr>
        <w:t>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248" w:lineRule="exact"/>
        <w:rPr>
          <w:sz w:val="20"/>
          <w:szCs w:val="20"/>
          <w:color w:val="auto"/>
        </w:rPr>
      </w:pPr>
    </w:p>
    <w:p>
      <w:pPr>
        <w:ind w:left="660" w:right="640" w:firstLine="645"/>
        <w:spacing w:after="0" w:line="277" w:lineRule="auto"/>
        <w:tabs>
          <w:tab w:leader="none" w:pos="20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 and</w:t>
      </w:r>
    </w:p>
    <w:p>
      <w:pPr>
        <w:spacing w:after="0" w:line="170" w:lineRule="exact"/>
        <w:rPr>
          <w:rFonts w:ascii="Arial" w:cs="Arial" w:eastAsia="Arial" w:hAnsi="Arial"/>
          <w:sz w:val="18"/>
          <w:szCs w:val="18"/>
          <w:color w:val="auto"/>
        </w:rPr>
      </w:pPr>
    </w:p>
    <w:p>
      <w:pPr>
        <w:ind w:left="660" w:right="20" w:firstLine="645"/>
        <w:spacing w:after="0" w:line="264" w:lineRule="auto"/>
        <w:tabs>
          <w:tab w:leader="none" w:pos="2013"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occurrence of any event specified in Section 5.1(4) (with respect to any of Sections 10.6 and 10.7 and any such covenants provided pursuant to Section 3.1(19), 9.1(2) or 9.1(7)) and the occurrence of any Event of Default specified pursuant to Section 3.1 shall be deemed not to be or result in an Event of Default,</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each case with respect to such Securities or any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condition or limitation set forth in any such specified Section (to the extent so specified in the case of Section 5.1(4) and the occurrence of any Event of Default specified pursuant to Section 3.1), whether directly or indirectly by reason of any reference elsewhere herein to any such Section or by reason of any reference in any such Section to any other provision herein or in any other document, but the remainder of this Indenture and such Securities shall be unaffected thereby.</w:t>
      </w:r>
    </w:p>
    <w:p>
      <w:pPr>
        <w:spacing w:after="0" w:line="18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13.4</w:t>
      </w:r>
      <w:r>
        <w:rPr>
          <w:sz w:val="20"/>
          <w:szCs w:val="20"/>
          <w:color w:val="auto"/>
        </w:rPr>
        <w:tab/>
      </w:r>
      <w:r>
        <w:rPr>
          <w:rFonts w:ascii="Arial" w:cs="Arial" w:eastAsia="Arial" w:hAnsi="Arial"/>
          <w:sz w:val="15"/>
          <w:szCs w:val="15"/>
          <w:b w:val="1"/>
          <w:bCs w:val="1"/>
          <w:color w:val="auto"/>
        </w:rPr>
        <w:t>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ind w:left="660" w:right="120" w:firstLine="645"/>
        <w:spacing w:after="0" w:line="259" w:lineRule="auto"/>
        <w:tabs>
          <w:tab w:leader="none" w:pos="2013"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2660" w:hanging="707"/>
        <w:spacing w:after="0"/>
        <w:tabs>
          <w:tab w:leader="none" w:pos="2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960" w:right="40" w:firstLine="641"/>
        <w:spacing w:after="0" w:line="342" w:lineRule="auto"/>
        <w:tabs>
          <w:tab w:leader="none" w:pos="3323" w:val="left"/>
        </w:tabs>
        <w:numPr>
          <w:ilvl w:val="2"/>
          <w:numId w:val="66"/>
        </w:numPr>
        <w:rPr>
          <w:rFonts w:ascii="Arial" w:cs="Arial" w:eastAsia="Arial" w:hAnsi="Arial"/>
          <w:sz w:val="16"/>
          <w:szCs w:val="16"/>
          <w:color w:val="auto"/>
        </w:rPr>
      </w:pPr>
      <w:r>
        <w:rPr>
          <w:rFonts w:ascii="Arial" w:cs="Arial" w:eastAsia="Arial" w:hAnsi="Arial"/>
          <w:sz w:val="16"/>
          <w:szCs w:val="16"/>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23" w:lineRule="exact"/>
        <w:rPr>
          <w:rFonts w:ascii="Arial" w:cs="Arial" w:eastAsia="Arial" w:hAnsi="Arial"/>
          <w:sz w:val="16"/>
          <w:szCs w:val="16"/>
          <w:color w:val="auto"/>
        </w:rPr>
      </w:pPr>
    </w:p>
    <w:p>
      <w:pPr>
        <w:ind w:left="3320" w:hanging="719"/>
        <w:spacing w:after="0"/>
        <w:tabs>
          <w:tab w:leader="none" w:pos="33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a combination thereof, or</w:t>
      </w:r>
    </w:p>
    <w:p>
      <w:pPr>
        <w:spacing w:after="0" w:line="225" w:lineRule="exact"/>
        <w:rPr>
          <w:rFonts w:ascii="Arial" w:cs="Arial" w:eastAsia="Arial" w:hAnsi="Arial"/>
          <w:sz w:val="18"/>
          <w:szCs w:val="18"/>
          <w:color w:val="auto"/>
        </w:rPr>
      </w:pPr>
    </w:p>
    <w:p>
      <w:pPr>
        <w:ind w:left="2680" w:hanging="727"/>
        <w:spacing w:after="0"/>
        <w:tabs>
          <w:tab w:leader="none" w:pos="268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3320" w:hanging="719"/>
        <w:spacing w:after="0"/>
        <w:tabs>
          <w:tab w:leader="none" w:pos="3320" w:val="left"/>
        </w:tabs>
        <w:numPr>
          <w:ilvl w:val="2"/>
          <w:numId w:val="66"/>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ectPr>
          <w:pgSz w:w="11900" w:h="16847" w:orient="portrait"/>
          <w:cols w:equalWidth="0" w:num="1">
            <w:col w:w="11340"/>
          </w:cols>
          <w:pgMar w:left="240" w:top="125" w:right="319" w:bottom="0" w:gutter="0" w:footer="0" w:header="0"/>
        </w:sectPr>
      </w:pPr>
    </w:p>
    <w:bookmarkStart w:id="55" w:name="page56"/>
    <w:bookmarkEnd w:id="55"/>
    <w:p>
      <w:pPr>
        <w:ind w:left="1960" w:right="120" w:firstLine="641"/>
        <w:spacing w:after="0" w:line="264" w:lineRule="auto"/>
        <w:tabs>
          <w:tab w:leader="none" w:pos="3323" w:val="left"/>
        </w:tabs>
        <w:numPr>
          <w:ilvl w:val="0"/>
          <w:numId w:val="67"/>
        </w:numPr>
        <w:rPr>
          <w:rFonts w:ascii="Arial" w:cs="Arial" w:eastAsia="Arial" w:hAnsi="Arial"/>
          <w:sz w:val="18"/>
          <w:szCs w:val="18"/>
          <w:color w:val="auto"/>
        </w:rPr>
      </w:pPr>
      <w:r>
        <w:rPr>
          <w:rFonts w:ascii="Arial" w:cs="Arial" w:eastAsia="Arial" w:hAnsi="Arial"/>
          <w:sz w:val="18"/>
          <w:szCs w:val="18"/>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81" w:lineRule="exact"/>
        <w:rPr>
          <w:rFonts w:ascii="Arial" w:cs="Arial" w:eastAsia="Arial" w:hAnsi="Arial"/>
          <w:sz w:val="18"/>
          <w:szCs w:val="18"/>
          <w:color w:val="auto"/>
        </w:rPr>
      </w:pPr>
    </w:p>
    <w:p>
      <w:pPr>
        <w:ind w:left="3320" w:hanging="719"/>
        <w:spacing w:after="0"/>
        <w:tabs>
          <w:tab w:leader="none" w:pos="3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pay and discharge, the principal of and any premium and interest on such Securities on the respective Stated Maturities, in accordance with the terms of this Indenture and such Securities.</w:t>
      </w:r>
    </w:p>
    <w:p>
      <w:pPr>
        <w:spacing w:after="0" w:line="170" w:lineRule="exact"/>
        <w:rPr>
          <w:sz w:val="20"/>
          <w:szCs w:val="20"/>
          <w:color w:val="auto"/>
        </w:rPr>
      </w:pPr>
    </w:p>
    <w:p>
      <w:pPr>
        <w:ind w:left="660" w:right="60" w:firstLine="645"/>
        <w:spacing w:after="0" w:line="255" w:lineRule="auto"/>
        <w:tabs>
          <w:tab w:leader="none" w:pos="20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 (A) the Company has received from, or there has been published by, the Internal Revenue Service a ruling or (B) since the date of this instrument, there has been a change in the applicable Federal income tax law, 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9" w:lineRule="exact"/>
        <w:rPr>
          <w:rFonts w:ascii="Arial" w:cs="Arial" w:eastAsia="Arial" w:hAnsi="Arial"/>
          <w:sz w:val="18"/>
          <w:szCs w:val="18"/>
          <w:color w:val="auto"/>
        </w:rPr>
      </w:pPr>
    </w:p>
    <w:p>
      <w:pPr>
        <w:ind w:left="660" w:right="60" w:firstLine="645"/>
        <w:spacing w:after="0" w:line="257" w:lineRule="auto"/>
        <w:tabs>
          <w:tab w:leader="none" w:pos="20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Arial" w:cs="Arial" w:eastAsia="Arial" w:hAnsi="Arial"/>
          <w:sz w:val="18"/>
          <w:szCs w:val="18"/>
          <w:color w:val="auto"/>
        </w:rPr>
      </w:pPr>
    </w:p>
    <w:p>
      <w:pPr>
        <w:ind w:left="660" w:right="240" w:firstLine="645"/>
        <w:spacing w:after="0" w:line="277" w:lineRule="auto"/>
        <w:tabs>
          <w:tab w:leader="none" w:pos="20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ind w:left="660" w:right="220" w:firstLine="645"/>
        <w:spacing w:after="0" w:line="291" w:lineRule="auto"/>
        <w:tabs>
          <w:tab w:leader="none" w:pos="2013"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w:t>
      </w:r>
    </w:p>
    <w:p>
      <w:pPr>
        <w:ind w:left="660" w:right="440"/>
        <w:spacing w:after="0" w:line="261" w:lineRule="auto"/>
        <w:rPr>
          <w:rFonts w:ascii="Arial" w:cs="Arial" w:eastAsia="Arial" w:hAnsi="Arial"/>
          <w:sz w:val="16"/>
          <w:szCs w:val="16"/>
          <w:color w:val="auto"/>
        </w:rPr>
      </w:pPr>
      <w:r>
        <w:rPr>
          <w:rFonts w:ascii="Arial" w:cs="Arial" w:eastAsia="Arial" w:hAnsi="Arial"/>
          <w:sz w:val="18"/>
          <w:szCs w:val="18"/>
          <w:color w:val="auto"/>
        </w:rPr>
        <w:t>Sections 5.1(5) and (6), at any time on or prior to the 90th day after the date of such deposit (it being understood that this condition shall not be deemed satisfied until after such 90th day).</w:t>
      </w:r>
    </w:p>
    <w:p>
      <w:pPr>
        <w:spacing w:after="0" w:line="183" w:lineRule="exact"/>
        <w:rPr>
          <w:rFonts w:ascii="Arial" w:cs="Arial" w:eastAsia="Arial" w:hAnsi="Arial"/>
          <w:sz w:val="16"/>
          <w:szCs w:val="16"/>
          <w:color w:val="auto"/>
        </w:rPr>
      </w:pPr>
    </w:p>
    <w:p>
      <w:pPr>
        <w:ind w:left="660" w:firstLine="645"/>
        <w:spacing w:after="0" w:line="277" w:lineRule="auto"/>
        <w:tabs>
          <w:tab w:leader="none" w:pos="20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20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660" w:right="620" w:firstLine="645"/>
        <w:spacing w:after="0" w:line="277" w:lineRule="auto"/>
        <w:tabs>
          <w:tab w:leader="none" w:pos="2013"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the trust arising from such deposit constituting an investment company within the meaning of the Investment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Act unless such trust shall be registered under such Act or exempt from registration thereunder.</w:t>
      </w:r>
    </w:p>
    <w:p>
      <w:pPr>
        <w:spacing w:after="0" w:line="225" w:lineRule="exact"/>
        <w:rPr>
          <w:sz w:val="20"/>
          <w:szCs w:val="20"/>
          <w:color w:val="auto"/>
        </w:rPr>
      </w:pPr>
    </w:p>
    <w:p>
      <w:pPr>
        <w:ind w:left="660" w:right="680" w:firstLine="645"/>
        <w:spacing w:after="0" w:line="277" w:lineRule="auto"/>
        <w:tabs>
          <w:tab w:leader="none" w:pos="201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pacing w:after="0" w:line="166"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Section 13.5 Deposited Money, U.S. Government Obligations and Foreign Government Obligations to be Held in Trust; Miscellaneous Provisions.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 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7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13.6</w:t>
      </w:r>
      <w:r>
        <w:rPr>
          <w:sz w:val="20"/>
          <w:szCs w:val="20"/>
          <w:color w:val="auto"/>
        </w:rPr>
        <w:tab/>
      </w:r>
      <w:r>
        <w:rPr>
          <w:rFonts w:ascii="Arial" w:cs="Arial" w:eastAsia="Arial" w:hAnsi="Arial"/>
          <w:sz w:val="15"/>
          <w:szCs w:val="15"/>
          <w:b w:val="1"/>
          <w:bCs w:val="1"/>
          <w:color w:val="auto"/>
        </w:rPr>
        <w:t>Reinstatement.</w:t>
      </w:r>
    </w:p>
    <w:p>
      <w:pPr>
        <w:sectPr>
          <w:pgSz w:w="11900" w:h="16838" w:orient="portrait"/>
          <w:cols w:equalWidth="0" w:num="1">
            <w:col w:w="11400"/>
          </w:cols>
          <w:pgMar w:left="240" w:top="341" w:right="259" w:bottom="0" w:gutter="0" w:footer="0" w:header="0"/>
        </w:sectPr>
      </w:pPr>
    </w:p>
    <w:bookmarkStart w:id="56" w:name="page57"/>
    <w:bookmarkEnd w:id="56"/>
    <w:p>
      <w:pPr>
        <w:spacing w:after="0" w:line="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makes any payment of principal of or any premium or interest on any such Security following such</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reinstatement of its obligations, the Company shall be subrogated to the rights (if any) of the Holders of such Securities to receive such payment from the money so held in trust.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14.1</w:t>
      </w:r>
      <w:r>
        <w:rPr>
          <w:sz w:val="20"/>
          <w:szCs w:val="20"/>
          <w:color w:val="auto"/>
        </w:rPr>
        <w:tab/>
      </w:r>
      <w:r>
        <w:rPr>
          <w:rFonts w:ascii="Arial" w:cs="Arial" w:eastAsia="Arial" w:hAnsi="Arial"/>
          <w:sz w:val="16"/>
          <w:szCs w:val="16"/>
          <w:b w:val="1"/>
          <w:bCs w:val="1"/>
          <w:color w:val="auto"/>
        </w:rPr>
        <w:t>Applicability of Article.</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14.2</w:t>
      </w:r>
      <w:r>
        <w:rPr>
          <w:sz w:val="20"/>
          <w:szCs w:val="20"/>
          <w:color w:val="auto"/>
        </w:rPr>
        <w:tab/>
      </w:r>
      <w:r>
        <w:rPr>
          <w:rFonts w:ascii="Arial" w:cs="Arial" w:eastAsia="Arial" w:hAnsi="Arial"/>
          <w:sz w:val="15"/>
          <w:szCs w:val="15"/>
          <w:b w:val="1"/>
          <w:bCs w:val="1"/>
          <w:color w:val="auto"/>
        </w:rPr>
        <w:t>Exercise of Conversion Privilege.</w:t>
      </w:r>
    </w:p>
    <w:p>
      <w:pPr>
        <w:spacing w:after="0" w:line="229"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 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 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 In the case of any Security which is converted in part only, upon such conversion the Company shall execute and the Trustee shall authenticate and deliver to or on the order of the Holder thereof, at the expense of the Company, a new Security or Securities of the same series, of authorized denominations, in aggregate principal amount equal to the unconverted portion of such Security.</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14.3</w:t>
      </w:r>
      <w:r>
        <w:rPr>
          <w:sz w:val="20"/>
          <w:szCs w:val="20"/>
          <w:color w:val="auto"/>
        </w:rPr>
        <w:tab/>
      </w:r>
      <w:r>
        <w:rPr>
          <w:rFonts w:ascii="Arial" w:cs="Arial" w:eastAsia="Arial" w:hAnsi="Arial"/>
          <w:sz w:val="16"/>
          <w:szCs w:val="16"/>
          <w:b w:val="1"/>
          <w:bCs w:val="1"/>
          <w:color w:val="auto"/>
        </w:rPr>
        <w:t>No Fractional Shares.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w:t>
      </w:r>
    </w:p>
    <w:p>
      <w:pPr>
        <w:sectPr>
          <w:pgSz w:w="11900" w:h="16926" w:orient="portrait"/>
          <w:cols w:equalWidth="0" w:num="1">
            <w:col w:w="11400"/>
          </w:cols>
          <w:pgMar w:left="240" w:top="125" w:right="259" w:bottom="0" w:gutter="0" w:footer="0" w:header="0"/>
        </w:sectPr>
      </w:pPr>
    </w:p>
    <w:bookmarkStart w:id="57" w:name="page58"/>
    <w:bookmarkEnd w:id="57"/>
    <w:p>
      <w:pPr>
        <w:ind w:right="100"/>
        <w:spacing w:after="0" w:line="277" w:lineRule="auto"/>
        <w:rPr>
          <w:sz w:val="20"/>
          <w:szCs w:val="20"/>
          <w:color w:val="auto"/>
        </w:rPr>
      </w:pPr>
      <w:r>
        <w:rPr>
          <w:rFonts w:ascii="Arial" w:cs="Arial" w:eastAsia="Arial" w:hAnsi="Arial"/>
          <w:sz w:val="18"/>
          <w:szCs w:val="18"/>
          <w:color w:val="auto"/>
        </w:rPr>
        <w:t>Section, “trading day” shall mean each Monday, Tuesday, Wednesday, Thursday and Friday other than any day on which the Common Stock is not traded on the New York Stock Exchange, or if the Common Stock is not traded on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New York Stock Exchange, on the principal exchange or market on which the Common Stock is traded or quoted.</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14.4</w:t>
      </w:r>
      <w:r>
        <w:rPr>
          <w:sz w:val="20"/>
          <w:szCs w:val="20"/>
          <w:color w:val="auto"/>
        </w:rPr>
        <w:tab/>
      </w:r>
      <w:r>
        <w:rPr>
          <w:rFonts w:ascii="Arial" w:cs="Arial" w:eastAsia="Arial" w:hAnsi="Arial"/>
          <w:sz w:val="16"/>
          <w:szCs w:val="16"/>
          <w:b w:val="1"/>
          <w:bCs w:val="1"/>
          <w:color w:val="auto"/>
        </w:rPr>
        <w:t>Adjustment of Conversion Price or Conversion Rate.</w:t>
      </w:r>
    </w:p>
    <w:p>
      <w:pPr>
        <w:spacing w:after="0" w:line="229"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 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sent electronically or mailed, first class postage prepaid, to each Holder of Securities of such series at its address appearing on the Security Register and to any conversion agent other than the Trustee.</w:t>
      </w:r>
    </w:p>
    <w:p>
      <w:pPr>
        <w:spacing w:after="0" w:line="16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14.5</w:t>
      </w:r>
      <w:r>
        <w:rPr>
          <w:sz w:val="20"/>
          <w:szCs w:val="20"/>
          <w:color w:val="auto"/>
        </w:rPr>
        <w:tab/>
      </w:r>
      <w:r>
        <w:rPr>
          <w:rFonts w:ascii="Arial" w:cs="Arial" w:eastAsia="Arial" w:hAnsi="Arial"/>
          <w:sz w:val="16"/>
          <w:szCs w:val="16"/>
          <w:b w:val="1"/>
          <w:bCs w:val="1"/>
          <w:color w:val="auto"/>
        </w:rPr>
        <w:t>Notice of Certain Corporate 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w:t>
      </w:r>
    </w:p>
    <w:p>
      <w:pPr>
        <w:spacing w:after="0" w:line="225" w:lineRule="exact"/>
        <w:rPr>
          <w:sz w:val="20"/>
          <w:szCs w:val="20"/>
          <w:color w:val="auto"/>
        </w:rPr>
      </w:pPr>
    </w:p>
    <w:p>
      <w:pPr>
        <w:ind w:left="660" w:right="220" w:firstLine="645"/>
        <w:spacing w:after="0" w:line="264" w:lineRule="auto"/>
        <w:tabs>
          <w:tab w:leader="none" w:pos="20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1" w:lineRule="exact"/>
        <w:rPr>
          <w:rFonts w:ascii="Arial" w:cs="Arial" w:eastAsia="Arial" w:hAnsi="Arial"/>
          <w:sz w:val="18"/>
          <w:szCs w:val="18"/>
          <w:color w:val="auto"/>
        </w:rPr>
      </w:pPr>
    </w:p>
    <w:p>
      <w:pPr>
        <w:ind w:left="660" w:right="140" w:firstLine="645"/>
        <w:spacing w:after="0" w:line="264" w:lineRule="auto"/>
        <w:tabs>
          <w:tab w:leader="none" w:pos="20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1" w:lineRule="exact"/>
        <w:rPr>
          <w:rFonts w:ascii="Arial" w:cs="Arial" w:eastAsia="Arial" w:hAnsi="Arial"/>
          <w:sz w:val="18"/>
          <w:szCs w:val="18"/>
          <w:color w:val="auto"/>
        </w:rPr>
      </w:pPr>
    </w:p>
    <w:p>
      <w:pPr>
        <w:ind w:left="660" w:right="20" w:firstLine="645"/>
        <w:spacing w:after="0" w:line="286" w:lineRule="auto"/>
        <w:tabs>
          <w:tab w:leader="none" w:pos="2013" w:val="left"/>
        </w:tabs>
        <w:numPr>
          <w:ilvl w:val="0"/>
          <w:numId w:val="70"/>
        </w:numPr>
        <w:rPr>
          <w:rFonts w:ascii="Arial" w:cs="Arial" w:eastAsia="Arial" w:hAnsi="Arial"/>
          <w:sz w:val="17"/>
          <w:szCs w:val="17"/>
          <w:color w:val="auto"/>
        </w:rPr>
      </w:pPr>
      <w:r>
        <w:rPr>
          <w:rFonts w:ascii="Arial" w:cs="Arial" w:eastAsia="Arial" w:hAnsi="Arial"/>
          <w:sz w:val="17"/>
          <w:szCs w:val="17"/>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then the Company shall cause to be filed with the Trustee, and shall cause to be sent to all Holders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 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62"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14.6</w:t>
      </w:r>
      <w:r>
        <w:rPr>
          <w:sz w:val="20"/>
          <w:szCs w:val="20"/>
          <w:color w:val="auto"/>
        </w:rPr>
        <w:tab/>
      </w:r>
      <w:r>
        <w:rPr>
          <w:rFonts w:ascii="Arial" w:cs="Arial" w:eastAsia="Arial" w:hAnsi="Arial"/>
          <w:sz w:val="15"/>
          <w:szCs w:val="15"/>
          <w:b w:val="1"/>
          <w:bCs w:val="1"/>
          <w:color w:val="auto"/>
        </w:rPr>
        <w:t>Reservation of Shares of Common Stock.</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 Securities, the full number of shares of Common Stock of the Company then issuable upon the conversion of all outstanding Securities of any series that has conversion rights.</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14.7</w:t>
      </w:r>
      <w:r>
        <w:rPr>
          <w:sz w:val="20"/>
          <w:szCs w:val="20"/>
          <w:color w:val="auto"/>
        </w:rPr>
        <w:tab/>
      </w:r>
      <w:r>
        <w:rPr>
          <w:rFonts w:ascii="Arial" w:cs="Arial" w:eastAsia="Arial" w:hAnsi="Arial"/>
          <w:sz w:val="16"/>
          <w:szCs w:val="16"/>
          <w:b w:val="1"/>
          <w:bCs w:val="1"/>
          <w:color w:val="auto"/>
        </w:rPr>
        <w:t>Payment of Certain Taxes upon Conversion.</w:t>
      </w:r>
    </w:p>
    <w:p>
      <w:pPr>
        <w:spacing w:after="0" w:line="229"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14.8</w:t>
      </w:r>
      <w:r>
        <w:rPr>
          <w:sz w:val="20"/>
          <w:szCs w:val="20"/>
          <w:color w:val="auto"/>
        </w:rPr>
        <w:tab/>
      </w:r>
      <w:r>
        <w:rPr>
          <w:rFonts w:ascii="Arial" w:cs="Arial" w:eastAsia="Arial" w:hAnsi="Arial"/>
          <w:sz w:val="15"/>
          <w:szCs w:val="15"/>
          <w:b w:val="1"/>
          <w:bCs w:val="1"/>
          <w:color w:val="auto"/>
        </w:rPr>
        <w:t>Nonassessability.</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14.9</w:t>
      </w:r>
      <w:r>
        <w:rPr>
          <w:sz w:val="20"/>
          <w:szCs w:val="20"/>
          <w:color w:val="auto"/>
        </w:rPr>
        <w:tab/>
      </w:r>
      <w:r>
        <w:rPr>
          <w:rFonts w:ascii="Arial" w:cs="Arial" w:eastAsia="Arial" w:hAnsi="Arial"/>
          <w:sz w:val="16"/>
          <w:szCs w:val="16"/>
          <w:b w:val="1"/>
          <w:bCs w:val="1"/>
          <w:color w:val="auto"/>
        </w:rPr>
        <w:t>Provision in Case of Consolidation, Merger or Sale of Assets.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w:t>
      </w:r>
    </w:p>
    <w:p>
      <w:pPr>
        <w:sectPr>
          <w:pgSz w:w="11900" w:h="16838" w:orient="portrait"/>
          <w:cols w:equalWidth="0" w:num="1">
            <w:col w:w="11400"/>
          </w:cols>
          <w:pgMar w:left="240" w:top="125" w:right="259" w:bottom="0" w:gutter="0" w:footer="0" w:header="0"/>
        </w:sectPr>
      </w:pPr>
    </w:p>
    <w:bookmarkStart w:id="58" w:name="page59"/>
    <w:bookmarkEnd w:id="58"/>
    <w:p>
      <w:pPr>
        <w:ind w:right="80"/>
        <w:spacing w:after="0" w:line="277" w:lineRule="auto"/>
        <w:rPr>
          <w:sz w:val="20"/>
          <w:szCs w:val="20"/>
          <w:color w:val="auto"/>
        </w:rPr>
      </w:pPr>
      <w:r>
        <w:rPr>
          <w:rFonts w:ascii="Arial" w:cs="Arial" w:eastAsia="Arial" w:hAnsi="Arial"/>
          <w:sz w:val="18"/>
          <w:szCs w:val="18"/>
          <w:color w:val="auto"/>
        </w:rPr>
        <w:t>any conveyance, sale, transfer or lease of all or substantially all of the assets of the Company, the Person formed by such consolidation or resulting from such merger or which acquires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 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 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39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14.10</w:t>
      </w:r>
      <w:r>
        <w:rPr>
          <w:sz w:val="20"/>
          <w:szCs w:val="20"/>
          <w:color w:val="auto"/>
        </w:rPr>
        <w:tab/>
      </w:r>
      <w:r>
        <w:rPr>
          <w:rFonts w:ascii="Arial" w:cs="Arial" w:eastAsia="Arial" w:hAnsi="Arial"/>
          <w:sz w:val="16"/>
          <w:szCs w:val="16"/>
          <w:b w:val="1"/>
          <w:bCs w:val="1"/>
          <w:color w:val="auto"/>
        </w:rPr>
        <w:t>Duties of Trustee Regarding Conversion.</w:t>
      </w:r>
    </w:p>
    <w:p>
      <w:pPr>
        <w:spacing w:after="0" w:line="229"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 with any of the covenants of the Company contained in this Article 14 or in the applicable supplemental indenture, resolutions of the Board of Directors or written instrument executed by one or more duly authorized officers of the Company.</w:t>
      </w:r>
    </w:p>
    <w:p>
      <w:pPr>
        <w:spacing w:after="0" w:line="17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14.11</w:t>
      </w:r>
      <w:r>
        <w:rPr>
          <w:sz w:val="20"/>
          <w:szCs w:val="20"/>
          <w:color w:val="auto"/>
        </w:rPr>
        <w:tab/>
      </w:r>
      <w:r>
        <w:rPr>
          <w:rFonts w:ascii="Arial" w:cs="Arial" w:eastAsia="Arial" w:hAnsi="Arial"/>
          <w:sz w:val="16"/>
          <w:szCs w:val="16"/>
          <w:b w:val="1"/>
          <w:bCs w:val="1"/>
          <w:color w:val="auto"/>
        </w:rPr>
        <w:t>Repayment of Certain Funds upon Conversion.</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426720</wp:posOffset>
            </wp:positionV>
            <wp:extent cx="361886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32416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4010025</wp:posOffset>
            </wp:positionH>
            <wp:positionV relativeFrom="paragraph">
              <wp:posOffset>14605</wp:posOffset>
            </wp:positionV>
            <wp:extent cx="324167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bookmarkStart w:id="59" w:name="page60"/>
    <w:bookmarkEnd w:id="59"/>
    <w:p>
      <w:pPr>
        <w:ind w:left="4520"/>
        <w:spacing w:after="0"/>
        <w:rPr>
          <w:sz w:val="20"/>
          <w:szCs w:val="20"/>
          <w:color w:val="auto"/>
        </w:rPr>
      </w:pPr>
      <w:r>
        <w:rPr>
          <w:rFonts w:ascii="Arial" w:cs="Arial" w:eastAsia="Arial" w:hAnsi="Arial"/>
          <w:sz w:val="17"/>
          <w:szCs w:val="17"/>
          <w:color w:val="auto"/>
        </w:rPr>
        <w:t>WELLS FARGO BANK, NATIONAL ASSOCIATION,</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2870835</wp:posOffset>
            </wp:positionH>
            <wp:positionV relativeFrom="paragraph">
              <wp:posOffset>417195</wp:posOffset>
            </wp:positionV>
            <wp:extent cx="36188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Lynn M. Steiner</w:t>
      </w:r>
    </w:p>
    <w:p>
      <w:pPr>
        <w:spacing w:after="0" w:line="225" w:lineRule="exact"/>
        <w:rPr>
          <w:sz w:val="20"/>
          <w:szCs w:val="20"/>
          <w:color w:val="auto"/>
        </w:rPr>
      </w:pPr>
    </w:p>
    <w:p>
      <w:pPr>
        <w:ind w:left="4520"/>
        <w:spacing w:after="0"/>
        <w:tabs>
          <w:tab w:leader="none" w:pos="5100" w:val="left"/>
        </w:tabs>
        <w:rPr>
          <w:sz w:val="20"/>
          <w:szCs w:val="20"/>
          <w:color w:val="auto"/>
        </w:rPr>
      </w:pPr>
      <w:r>
        <w:rPr>
          <w:rFonts w:ascii="Arial" w:cs="Arial" w:eastAsia="Arial" w:hAnsi="Arial"/>
          <w:sz w:val="18"/>
          <w:szCs w:val="18"/>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60" w:name="page61"/>
    <w:bookmarkEnd w:id="60"/>
    <w:p>
      <w:pPr>
        <w:ind w:left="10380"/>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tbl>
      <w:tblPr>
        <w:tblLayout w:type="fixed"/>
        <w:tblInd w:w="4500" w:type="dxa"/>
        <w:tblCellMar>
          <w:top w:w="0" w:type="dxa"/>
          <w:left w:w="0" w:type="dxa"/>
          <w:bottom w:w="0" w:type="dxa"/>
          <w:right w:w="0" w:type="dxa"/>
        </w:tblCellMar>
      </w:tblPr>
      <w:tr>
        <w:trPr>
          <w:trHeight w:val="230"/>
        </w:trPr>
        <w:tc>
          <w:tcPr>
            <w:tcW w:w="1840" w:type="dxa"/>
            <w:vAlign w:val="bottom"/>
          </w:tcPr>
          <w:p>
            <w:pPr>
              <w:ind w:left="680"/>
              <w:spacing w:after="0"/>
              <w:rPr>
                <w:sz w:val="20"/>
                <w:szCs w:val="20"/>
                <w:color w:val="auto"/>
              </w:rPr>
            </w:pPr>
            <w:r>
              <w:rPr>
                <w:rFonts w:ascii="Arial" w:cs="Arial" w:eastAsia="Arial" w:hAnsi="Arial"/>
                <w:sz w:val="18"/>
                <w:szCs w:val="18"/>
                <w:color w:val="auto"/>
              </w:rPr>
              <w:t>AS TRUSTEE</w:t>
            </w:r>
          </w:p>
        </w:tc>
        <w:tc>
          <w:tcPr>
            <w:tcW w:w="380" w:type="dxa"/>
            <w:vAlign w:val="bottom"/>
          </w:tcPr>
          <w:p>
            <w:pPr>
              <w:spacing w:after="0"/>
              <w:rPr>
                <w:sz w:val="20"/>
                <w:szCs w:val="20"/>
                <w:color w:val="auto"/>
              </w:rPr>
            </w:pPr>
          </w:p>
        </w:tc>
      </w:tr>
      <w:tr>
        <w:trPr>
          <w:trHeight w:val="432"/>
        </w:trPr>
        <w:tc>
          <w:tcPr>
            <w:tcW w:w="1840" w:type="dxa"/>
            <w:vAlign w:val="bottom"/>
          </w:tcPr>
          <w:p>
            <w:pPr>
              <w:ind w:left="700"/>
              <w:spacing w:after="0"/>
              <w:rPr>
                <w:sz w:val="20"/>
                <w:szCs w:val="20"/>
                <w:color w:val="auto"/>
              </w:rPr>
            </w:pPr>
            <w:r>
              <w:rPr>
                <w:rFonts w:ascii="Arial" w:cs="Arial" w:eastAsia="Arial" w:hAnsi="Arial"/>
                <w:sz w:val="18"/>
                <w:szCs w:val="18"/>
                <w:color w:val="auto"/>
              </w:rPr>
              <w:t>INDENTURE</w:t>
            </w:r>
          </w:p>
        </w:tc>
        <w:tc>
          <w:tcPr>
            <w:tcW w:w="380" w:type="dxa"/>
            <w:vAlign w:val="bottom"/>
          </w:tcPr>
          <w:p>
            <w:pPr>
              <w:spacing w:after="0"/>
              <w:rPr>
                <w:sz w:val="24"/>
                <w:szCs w:val="24"/>
                <w:color w:val="auto"/>
              </w:rPr>
            </w:pPr>
          </w:p>
        </w:tc>
      </w:tr>
      <w:tr>
        <w:trPr>
          <w:trHeight w:val="432"/>
        </w:trPr>
        <w:tc>
          <w:tcPr>
            <w:tcW w:w="1840" w:type="dxa"/>
            <w:vAlign w:val="bottom"/>
          </w:tcPr>
          <w:p>
            <w:pPr>
              <w:spacing w:after="0"/>
              <w:rPr>
                <w:sz w:val="20"/>
                <w:szCs w:val="20"/>
                <w:color w:val="auto"/>
              </w:rPr>
            </w:pPr>
            <w:r>
              <w:rPr>
                <w:rFonts w:ascii="Arial" w:cs="Arial" w:eastAsia="Arial" w:hAnsi="Arial"/>
                <w:sz w:val="18"/>
                <w:szCs w:val="18"/>
                <w:color w:val="auto"/>
              </w:rPr>
              <w:t>DATED AS OF</w:t>
            </w:r>
          </w:p>
        </w:tc>
        <w:tc>
          <w:tcPr>
            <w:tcW w:w="380" w:type="dxa"/>
            <w:vAlign w:val="bottom"/>
          </w:tcPr>
          <w:p>
            <w:pPr>
              <w:jc w:val="right"/>
              <w:spacing w:after="0"/>
              <w:rPr>
                <w:sz w:val="20"/>
                <w:szCs w:val="20"/>
                <w:color w:val="auto"/>
              </w:rPr>
            </w:pPr>
            <w:r>
              <w:rPr>
                <w:rFonts w:ascii="Arial" w:cs="Arial" w:eastAsia="Arial" w:hAnsi="Arial"/>
                <w:sz w:val="18"/>
                <w:szCs w:val="18"/>
                <w:color w:val="auto"/>
              </w:rPr>
              <w:t>, 20</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6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426"/>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1 DEFINITIONS AND OTHER PROVISIONS OF GENERAL APPLICATION</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418"/>
        </w:trPr>
        <w:tc>
          <w:tcPr>
            <w:tcW w:w="1860" w:type="dxa"/>
            <w:vAlign w:val="bottom"/>
          </w:tcPr>
          <w:p>
            <w:pPr>
              <w:ind w:left="640"/>
              <w:spacing w:after="0"/>
              <w:rPr>
                <w:sz w:val="20"/>
                <w:szCs w:val="20"/>
                <w:color w:val="auto"/>
              </w:rPr>
            </w:pPr>
            <w:r>
              <w:rPr>
                <w:rFonts w:ascii="Arial" w:cs="Arial" w:eastAsia="Arial" w:hAnsi="Arial"/>
                <w:sz w:val="18"/>
                <w:szCs w:val="18"/>
                <w:color w:val="auto"/>
              </w:rPr>
              <w:t>Section 1.1</w:t>
            </w:r>
          </w:p>
        </w:tc>
        <w:tc>
          <w:tcPr>
            <w:tcW w:w="9040" w:type="dxa"/>
            <w:vAlign w:val="bottom"/>
          </w:tcPr>
          <w:p>
            <w:pPr>
              <w:ind w:left="340"/>
              <w:spacing w:after="0"/>
              <w:rPr>
                <w:sz w:val="20"/>
                <w:szCs w:val="20"/>
                <w:color w:val="auto"/>
              </w:rPr>
            </w:pPr>
            <w:r>
              <w:rPr>
                <w:rFonts w:ascii="Arial" w:cs="Arial" w:eastAsia="Arial" w:hAnsi="Arial"/>
                <w:sz w:val="18"/>
                <w:szCs w:val="18"/>
                <w:color w:val="auto"/>
              </w:rPr>
              <w:t>Definitions</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1.2</w:t>
            </w:r>
          </w:p>
        </w:tc>
        <w:tc>
          <w:tcPr>
            <w:tcW w:w="9040" w:type="dxa"/>
            <w:vAlign w:val="bottom"/>
          </w:tcPr>
          <w:p>
            <w:pPr>
              <w:ind w:left="340"/>
              <w:spacing w:after="0"/>
              <w:rPr>
                <w:sz w:val="20"/>
                <w:szCs w:val="20"/>
                <w:color w:val="auto"/>
              </w:rPr>
            </w:pPr>
            <w:r>
              <w:rPr>
                <w:rFonts w:ascii="Arial" w:cs="Arial" w:eastAsia="Arial" w:hAnsi="Arial"/>
                <w:sz w:val="18"/>
                <w:szCs w:val="18"/>
                <w:color w:val="auto"/>
              </w:rPr>
              <w:t>Compliance Certificates and Opinions</w:t>
            </w: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1.3</w:t>
            </w:r>
          </w:p>
        </w:tc>
        <w:tc>
          <w:tcPr>
            <w:tcW w:w="9040" w:type="dxa"/>
            <w:vAlign w:val="bottom"/>
          </w:tcPr>
          <w:p>
            <w:pPr>
              <w:ind w:left="340"/>
              <w:spacing w:after="0"/>
              <w:rPr>
                <w:sz w:val="20"/>
                <w:szCs w:val="20"/>
                <w:color w:val="auto"/>
              </w:rPr>
            </w:pPr>
            <w:r>
              <w:rPr>
                <w:rFonts w:ascii="Arial" w:cs="Arial" w:eastAsia="Arial" w:hAnsi="Arial"/>
                <w:sz w:val="18"/>
                <w:szCs w:val="18"/>
                <w:color w:val="auto"/>
              </w:rPr>
              <w:t>Form of Documents Delivered to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1.4</w:t>
            </w:r>
          </w:p>
        </w:tc>
        <w:tc>
          <w:tcPr>
            <w:tcW w:w="9040" w:type="dxa"/>
            <w:vAlign w:val="bottom"/>
          </w:tcPr>
          <w:p>
            <w:pPr>
              <w:ind w:left="340"/>
              <w:spacing w:after="0"/>
              <w:rPr>
                <w:sz w:val="20"/>
                <w:szCs w:val="20"/>
                <w:color w:val="auto"/>
              </w:rPr>
            </w:pPr>
            <w:r>
              <w:rPr>
                <w:rFonts w:ascii="Arial" w:cs="Arial" w:eastAsia="Arial" w:hAnsi="Arial"/>
                <w:sz w:val="18"/>
                <w:szCs w:val="18"/>
                <w:color w:val="auto"/>
              </w:rPr>
              <w:t>Acts of Holders; Record Dates</w:t>
            </w: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1.5</w:t>
            </w:r>
          </w:p>
        </w:tc>
        <w:tc>
          <w:tcPr>
            <w:tcW w:w="9040" w:type="dxa"/>
            <w:vAlign w:val="bottom"/>
          </w:tcPr>
          <w:p>
            <w:pPr>
              <w:ind w:left="340"/>
              <w:spacing w:after="0"/>
              <w:rPr>
                <w:sz w:val="20"/>
                <w:szCs w:val="20"/>
                <w:color w:val="auto"/>
              </w:rPr>
            </w:pPr>
            <w:r>
              <w:rPr>
                <w:rFonts w:ascii="Arial" w:cs="Arial" w:eastAsia="Arial" w:hAnsi="Arial"/>
                <w:sz w:val="18"/>
                <w:szCs w:val="18"/>
                <w:color w:val="auto"/>
              </w:rPr>
              <w:t>Notices, etc., to Trustee and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1.6</w:t>
            </w:r>
          </w:p>
        </w:tc>
        <w:tc>
          <w:tcPr>
            <w:tcW w:w="9040" w:type="dxa"/>
            <w:vAlign w:val="bottom"/>
          </w:tcPr>
          <w:p>
            <w:pPr>
              <w:ind w:left="340"/>
              <w:spacing w:after="0"/>
              <w:rPr>
                <w:sz w:val="20"/>
                <w:szCs w:val="20"/>
                <w:color w:val="auto"/>
              </w:rPr>
            </w:pPr>
            <w:r>
              <w:rPr>
                <w:rFonts w:ascii="Arial" w:cs="Arial" w:eastAsia="Arial" w:hAnsi="Arial"/>
                <w:sz w:val="18"/>
                <w:szCs w:val="18"/>
                <w:color w:val="auto"/>
              </w:rPr>
              <w:t>Notice to Holders; Waiver</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1.7</w:t>
            </w:r>
          </w:p>
        </w:tc>
        <w:tc>
          <w:tcPr>
            <w:tcW w:w="9040" w:type="dxa"/>
            <w:vAlign w:val="bottom"/>
          </w:tcPr>
          <w:p>
            <w:pPr>
              <w:ind w:left="340"/>
              <w:spacing w:after="0"/>
              <w:rPr>
                <w:sz w:val="20"/>
                <w:szCs w:val="20"/>
                <w:color w:val="auto"/>
              </w:rPr>
            </w:pPr>
            <w:r>
              <w:rPr>
                <w:rFonts w:ascii="Arial" w:cs="Arial" w:eastAsia="Arial" w:hAnsi="Arial"/>
                <w:sz w:val="18"/>
                <w:szCs w:val="18"/>
                <w:color w:val="auto"/>
              </w:rPr>
              <w:t>Conflict with Trust Indenture Act</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1.8</w:t>
            </w:r>
          </w:p>
        </w:tc>
        <w:tc>
          <w:tcPr>
            <w:tcW w:w="9040" w:type="dxa"/>
            <w:vAlign w:val="bottom"/>
          </w:tcPr>
          <w:p>
            <w:pPr>
              <w:ind w:left="340"/>
              <w:spacing w:after="0"/>
              <w:rPr>
                <w:sz w:val="20"/>
                <w:szCs w:val="20"/>
                <w:color w:val="auto"/>
              </w:rPr>
            </w:pPr>
            <w:r>
              <w:rPr>
                <w:rFonts w:ascii="Arial" w:cs="Arial" w:eastAsia="Arial" w:hAnsi="Arial"/>
                <w:sz w:val="18"/>
                <w:szCs w:val="18"/>
                <w:color w:val="auto"/>
              </w:rPr>
              <w:t>Effect of Headings and Table of Contents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1.9</w:t>
            </w:r>
          </w:p>
        </w:tc>
        <w:tc>
          <w:tcPr>
            <w:tcW w:w="9040" w:type="dxa"/>
            <w:vAlign w:val="bottom"/>
          </w:tcPr>
          <w:p>
            <w:pPr>
              <w:ind w:left="340"/>
              <w:spacing w:after="0"/>
              <w:rPr>
                <w:sz w:val="20"/>
                <w:szCs w:val="20"/>
                <w:color w:val="auto"/>
              </w:rPr>
            </w:pPr>
            <w:r>
              <w:rPr>
                <w:rFonts w:ascii="Arial" w:cs="Arial" w:eastAsia="Arial" w:hAnsi="Arial"/>
                <w:sz w:val="18"/>
                <w:szCs w:val="18"/>
                <w:color w:val="auto"/>
              </w:rPr>
              <w:t>Successors and Assigns</w:t>
            </w: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1.10</w:t>
            </w:r>
          </w:p>
        </w:tc>
        <w:tc>
          <w:tcPr>
            <w:tcW w:w="9040" w:type="dxa"/>
            <w:vAlign w:val="bottom"/>
          </w:tcPr>
          <w:p>
            <w:pPr>
              <w:ind w:left="340"/>
              <w:spacing w:after="0"/>
              <w:rPr>
                <w:sz w:val="20"/>
                <w:szCs w:val="20"/>
                <w:color w:val="auto"/>
              </w:rPr>
            </w:pPr>
            <w:r>
              <w:rPr>
                <w:rFonts w:ascii="Arial" w:cs="Arial" w:eastAsia="Arial" w:hAnsi="Arial"/>
                <w:sz w:val="18"/>
                <w:szCs w:val="18"/>
                <w:color w:val="auto"/>
              </w:rPr>
              <w:t>Separability Clause</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1.11</w:t>
            </w:r>
          </w:p>
        </w:tc>
        <w:tc>
          <w:tcPr>
            <w:tcW w:w="9040" w:type="dxa"/>
            <w:vAlign w:val="bottom"/>
          </w:tcPr>
          <w:p>
            <w:pPr>
              <w:ind w:left="340"/>
              <w:spacing w:after="0"/>
              <w:rPr>
                <w:sz w:val="20"/>
                <w:szCs w:val="20"/>
                <w:color w:val="auto"/>
              </w:rPr>
            </w:pPr>
            <w:r>
              <w:rPr>
                <w:rFonts w:ascii="Arial" w:cs="Arial" w:eastAsia="Arial" w:hAnsi="Arial"/>
                <w:sz w:val="18"/>
                <w:szCs w:val="18"/>
                <w:color w:val="auto"/>
              </w:rPr>
              <w:t>Benefits of Indenture</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1.12</w:t>
            </w:r>
          </w:p>
        </w:tc>
        <w:tc>
          <w:tcPr>
            <w:tcW w:w="9040" w:type="dxa"/>
            <w:vAlign w:val="bottom"/>
          </w:tcPr>
          <w:p>
            <w:pPr>
              <w:ind w:left="340"/>
              <w:spacing w:after="0"/>
              <w:rPr>
                <w:sz w:val="20"/>
                <w:szCs w:val="20"/>
                <w:color w:val="auto"/>
              </w:rPr>
            </w:pPr>
            <w:r>
              <w:rPr>
                <w:rFonts w:ascii="Arial" w:cs="Arial" w:eastAsia="Arial" w:hAnsi="Arial"/>
                <w:sz w:val="18"/>
                <w:szCs w:val="18"/>
                <w:color w:val="auto"/>
              </w:rPr>
              <w:t>Governing Law</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1.13</w:t>
            </w:r>
          </w:p>
        </w:tc>
        <w:tc>
          <w:tcPr>
            <w:tcW w:w="9040" w:type="dxa"/>
            <w:vAlign w:val="bottom"/>
          </w:tcPr>
          <w:p>
            <w:pPr>
              <w:ind w:left="340"/>
              <w:spacing w:after="0"/>
              <w:rPr>
                <w:sz w:val="20"/>
                <w:szCs w:val="20"/>
                <w:color w:val="auto"/>
              </w:rPr>
            </w:pPr>
            <w:r>
              <w:rPr>
                <w:rFonts w:ascii="Arial" w:cs="Arial" w:eastAsia="Arial" w:hAnsi="Arial"/>
                <w:sz w:val="18"/>
                <w:szCs w:val="18"/>
                <w:color w:val="auto"/>
              </w:rPr>
              <w:t>Legal Holidays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1.14</w:t>
            </w:r>
          </w:p>
        </w:tc>
        <w:tc>
          <w:tcPr>
            <w:tcW w:w="9040" w:type="dxa"/>
            <w:vAlign w:val="bottom"/>
          </w:tcPr>
          <w:p>
            <w:pPr>
              <w:ind w:left="340"/>
              <w:spacing w:after="0"/>
              <w:rPr>
                <w:sz w:val="20"/>
                <w:szCs w:val="20"/>
                <w:color w:val="auto"/>
              </w:rPr>
            </w:pPr>
            <w:r>
              <w:rPr>
                <w:rFonts w:ascii="Arial" w:cs="Arial" w:eastAsia="Arial" w:hAnsi="Arial"/>
                <w:sz w:val="18"/>
                <w:szCs w:val="18"/>
                <w:color w:val="auto"/>
              </w:rPr>
              <w:t>Indenture and Securities Solely Corporate Obligations</w:t>
            </w:r>
          </w:p>
        </w:tc>
        <w:tc>
          <w:tcPr>
            <w:tcW w:w="52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18"/>
                <w:szCs w:val="18"/>
                <w:color w:val="auto"/>
              </w:rPr>
            </w:pPr>
          </w:p>
        </w:tc>
      </w:tr>
      <w:tr>
        <w:trPr>
          <w:trHeight w:val="230"/>
        </w:trPr>
        <w:tc>
          <w:tcPr>
            <w:tcW w:w="1860" w:type="dxa"/>
            <w:vAlign w:val="bottom"/>
          </w:tcPr>
          <w:p>
            <w:pPr>
              <w:ind w:left="640"/>
              <w:spacing w:after="0"/>
              <w:rPr>
                <w:sz w:val="20"/>
                <w:szCs w:val="20"/>
                <w:color w:val="auto"/>
              </w:rPr>
            </w:pPr>
            <w:r>
              <w:rPr>
                <w:rFonts w:ascii="Arial" w:cs="Arial" w:eastAsia="Arial" w:hAnsi="Arial"/>
                <w:sz w:val="18"/>
                <w:szCs w:val="18"/>
                <w:color w:val="auto"/>
              </w:rPr>
              <w:t>Section 1.15</w:t>
            </w:r>
          </w:p>
        </w:tc>
        <w:tc>
          <w:tcPr>
            <w:tcW w:w="9040" w:type="dxa"/>
            <w:vAlign w:val="bottom"/>
          </w:tcPr>
          <w:p>
            <w:pPr>
              <w:ind w:left="340"/>
              <w:spacing w:after="0"/>
              <w:rPr>
                <w:sz w:val="20"/>
                <w:szCs w:val="20"/>
                <w:color w:val="auto"/>
              </w:rPr>
            </w:pPr>
            <w:r>
              <w:rPr>
                <w:rFonts w:ascii="Arial" w:cs="Arial" w:eastAsia="Arial" w:hAnsi="Arial"/>
                <w:sz w:val="18"/>
                <w:szCs w:val="18"/>
                <w:color w:val="auto"/>
              </w:rPr>
              <w:t>Indenture May be Executed in Counterparts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2 SECURITY FORMS</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r>
      <w:tr>
        <w:trPr>
          <w:trHeight w:val="418"/>
        </w:trPr>
        <w:tc>
          <w:tcPr>
            <w:tcW w:w="1860" w:type="dxa"/>
            <w:vAlign w:val="bottom"/>
          </w:tcPr>
          <w:p>
            <w:pPr>
              <w:ind w:left="640"/>
              <w:spacing w:after="0"/>
              <w:rPr>
                <w:sz w:val="20"/>
                <w:szCs w:val="20"/>
                <w:color w:val="auto"/>
              </w:rPr>
            </w:pPr>
            <w:r>
              <w:rPr>
                <w:rFonts w:ascii="Arial" w:cs="Arial" w:eastAsia="Arial" w:hAnsi="Arial"/>
                <w:sz w:val="18"/>
                <w:szCs w:val="18"/>
                <w:color w:val="auto"/>
              </w:rPr>
              <w:t>Section 2.1</w:t>
            </w:r>
          </w:p>
        </w:tc>
        <w:tc>
          <w:tcPr>
            <w:tcW w:w="9040" w:type="dxa"/>
            <w:vAlign w:val="bottom"/>
          </w:tcPr>
          <w:p>
            <w:pPr>
              <w:ind w:left="340"/>
              <w:spacing w:after="0"/>
              <w:rPr>
                <w:sz w:val="20"/>
                <w:szCs w:val="20"/>
                <w:color w:val="auto"/>
              </w:rPr>
            </w:pPr>
            <w:r>
              <w:rPr>
                <w:rFonts w:ascii="Arial" w:cs="Arial" w:eastAsia="Arial" w:hAnsi="Arial"/>
                <w:sz w:val="18"/>
                <w:szCs w:val="18"/>
                <w:color w:val="auto"/>
              </w:rPr>
              <w:t>Forms Generally</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2.2</w:t>
            </w:r>
          </w:p>
        </w:tc>
        <w:tc>
          <w:tcPr>
            <w:tcW w:w="9040" w:type="dxa"/>
            <w:vAlign w:val="bottom"/>
          </w:tcPr>
          <w:p>
            <w:pPr>
              <w:ind w:left="340"/>
              <w:spacing w:after="0"/>
              <w:rPr>
                <w:sz w:val="20"/>
                <w:szCs w:val="20"/>
                <w:color w:val="auto"/>
              </w:rPr>
            </w:pPr>
            <w:r>
              <w:rPr>
                <w:rFonts w:ascii="Arial" w:cs="Arial" w:eastAsia="Arial" w:hAnsi="Arial"/>
                <w:sz w:val="18"/>
                <w:szCs w:val="18"/>
                <w:color w:val="auto"/>
              </w:rPr>
              <w:t>Form of Face of Security</w:t>
            </w: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2.3</w:t>
            </w:r>
          </w:p>
        </w:tc>
        <w:tc>
          <w:tcPr>
            <w:tcW w:w="9040" w:type="dxa"/>
            <w:vAlign w:val="bottom"/>
          </w:tcPr>
          <w:p>
            <w:pPr>
              <w:ind w:left="340"/>
              <w:spacing w:after="0"/>
              <w:rPr>
                <w:sz w:val="20"/>
                <w:szCs w:val="20"/>
                <w:color w:val="auto"/>
              </w:rPr>
            </w:pPr>
            <w:r>
              <w:rPr>
                <w:rFonts w:ascii="Arial" w:cs="Arial" w:eastAsia="Arial" w:hAnsi="Arial"/>
                <w:sz w:val="18"/>
                <w:szCs w:val="18"/>
                <w:color w:val="auto"/>
              </w:rPr>
              <w:t>Form of Reverse of Security</w:t>
            </w:r>
          </w:p>
        </w:tc>
        <w:tc>
          <w:tcPr>
            <w:tcW w:w="52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2.4</w:t>
            </w:r>
          </w:p>
        </w:tc>
        <w:tc>
          <w:tcPr>
            <w:tcW w:w="9040" w:type="dxa"/>
            <w:vAlign w:val="bottom"/>
          </w:tcPr>
          <w:p>
            <w:pPr>
              <w:ind w:left="340"/>
              <w:spacing w:after="0"/>
              <w:rPr>
                <w:sz w:val="20"/>
                <w:szCs w:val="20"/>
                <w:color w:val="auto"/>
              </w:rPr>
            </w:pPr>
            <w:r>
              <w:rPr>
                <w:rFonts w:ascii="Arial" w:cs="Arial" w:eastAsia="Arial" w:hAnsi="Arial"/>
                <w:sz w:val="18"/>
                <w:szCs w:val="18"/>
                <w:color w:val="auto"/>
              </w:rPr>
              <w:t>Form of Legend for Global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2.5</w:t>
            </w:r>
          </w:p>
        </w:tc>
        <w:tc>
          <w:tcPr>
            <w:tcW w:w="9040" w:type="dxa"/>
            <w:vAlign w:val="bottom"/>
          </w:tcPr>
          <w:p>
            <w:pPr>
              <w:ind w:left="340"/>
              <w:spacing w:after="0"/>
              <w:rPr>
                <w:sz w:val="20"/>
                <w:szCs w:val="20"/>
                <w:color w:val="auto"/>
              </w:rPr>
            </w:pPr>
            <w:r>
              <w:rPr>
                <w:rFonts w:ascii="Arial" w:cs="Arial" w:eastAsia="Arial" w:hAnsi="Arial"/>
                <w:sz w:val="18"/>
                <w:szCs w:val="18"/>
                <w:color w:val="auto"/>
              </w:rPr>
              <w:t>Form of Trustee’s Certificate of Authentication</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18"/>
                <w:szCs w:val="18"/>
                <w:color w:val="auto"/>
              </w:rPr>
            </w:pPr>
          </w:p>
        </w:tc>
      </w:tr>
      <w:tr>
        <w:trPr>
          <w:trHeight w:val="230"/>
        </w:trPr>
        <w:tc>
          <w:tcPr>
            <w:tcW w:w="1860" w:type="dxa"/>
            <w:vAlign w:val="bottom"/>
          </w:tcPr>
          <w:p>
            <w:pPr>
              <w:ind w:left="640"/>
              <w:spacing w:after="0"/>
              <w:rPr>
                <w:sz w:val="20"/>
                <w:szCs w:val="20"/>
                <w:color w:val="auto"/>
              </w:rPr>
            </w:pPr>
            <w:r>
              <w:rPr>
                <w:rFonts w:ascii="Arial" w:cs="Arial" w:eastAsia="Arial" w:hAnsi="Arial"/>
                <w:sz w:val="18"/>
                <w:szCs w:val="18"/>
                <w:color w:val="auto"/>
              </w:rPr>
              <w:t>Section 2.6</w:t>
            </w:r>
          </w:p>
        </w:tc>
        <w:tc>
          <w:tcPr>
            <w:tcW w:w="9040" w:type="dxa"/>
            <w:vAlign w:val="bottom"/>
          </w:tcPr>
          <w:p>
            <w:pPr>
              <w:ind w:left="340"/>
              <w:spacing w:after="0"/>
              <w:rPr>
                <w:sz w:val="20"/>
                <w:szCs w:val="20"/>
                <w:color w:val="auto"/>
              </w:rPr>
            </w:pPr>
            <w:r>
              <w:rPr>
                <w:rFonts w:ascii="Arial" w:cs="Arial" w:eastAsia="Arial" w:hAnsi="Arial"/>
                <w:sz w:val="18"/>
                <w:szCs w:val="18"/>
                <w:color w:val="auto"/>
              </w:rPr>
              <w:t>Form of Conversion Notice</w:t>
            </w: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3 THE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r>
      <w:tr>
        <w:trPr>
          <w:trHeight w:val="418"/>
        </w:trPr>
        <w:tc>
          <w:tcPr>
            <w:tcW w:w="1860" w:type="dxa"/>
            <w:vAlign w:val="bottom"/>
          </w:tcPr>
          <w:p>
            <w:pPr>
              <w:ind w:left="640"/>
              <w:spacing w:after="0"/>
              <w:rPr>
                <w:sz w:val="20"/>
                <w:szCs w:val="20"/>
                <w:color w:val="auto"/>
              </w:rPr>
            </w:pPr>
            <w:r>
              <w:rPr>
                <w:rFonts w:ascii="Arial" w:cs="Arial" w:eastAsia="Arial" w:hAnsi="Arial"/>
                <w:sz w:val="18"/>
                <w:szCs w:val="18"/>
                <w:color w:val="auto"/>
              </w:rPr>
              <w:t>Section 3.1</w:t>
            </w:r>
          </w:p>
        </w:tc>
        <w:tc>
          <w:tcPr>
            <w:tcW w:w="9040" w:type="dxa"/>
            <w:vAlign w:val="bottom"/>
          </w:tcPr>
          <w:p>
            <w:pPr>
              <w:ind w:left="340"/>
              <w:spacing w:after="0"/>
              <w:rPr>
                <w:sz w:val="20"/>
                <w:szCs w:val="20"/>
                <w:color w:val="auto"/>
              </w:rPr>
            </w:pPr>
            <w:r>
              <w:rPr>
                <w:rFonts w:ascii="Arial" w:cs="Arial" w:eastAsia="Arial" w:hAnsi="Arial"/>
                <w:sz w:val="18"/>
                <w:szCs w:val="18"/>
                <w:color w:val="auto"/>
              </w:rPr>
              <w:t>Amount Unlimited; Issuable in Series</w:t>
            </w: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4"/>
                <w:szCs w:val="24"/>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3.2</w:t>
            </w:r>
          </w:p>
        </w:tc>
        <w:tc>
          <w:tcPr>
            <w:tcW w:w="9040" w:type="dxa"/>
            <w:vAlign w:val="bottom"/>
          </w:tcPr>
          <w:p>
            <w:pPr>
              <w:ind w:left="340"/>
              <w:spacing w:after="0"/>
              <w:rPr>
                <w:sz w:val="20"/>
                <w:szCs w:val="20"/>
                <w:color w:val="auto"/>
              </w:rPr>
            </w:pPr>
            <w:r>
              <w:rPr>
                <w:rFonts w:ascii="Arial" w:cs="Arial" w:eastAsia="Arial" w:hAnsi="Arial"/>
                <w:sz w:val="18"/>
                <w:szCs w:val="18"/>
                <w:color w:val="auto"/>
              </w:rPr>
              <w:t>Denominations</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3.3</w:t>
            </w:r>
          </w:p>
        </w:tc>
        <w:tc>
          <w:tcPr>
            <w:tcW w:w="9040" w:type="dxa"/>
            <w:vAlign w:val="bottom"/>
          </w:tcPr>
          <w:p>
            <w:pPr>
              <w:ind w:left="340"/>
              <w:spacing w:after="0"/>
              <w:rPr>
                <w:sz w:val="20"/>
                <w:szCs w:val="20"/>
                <w:color w:val="auto"/>
              </w:rPr>
            </w:pPr>
            <w:r>
              <w:rPr>
                <w:rFonts w:ascii="Arial" w:cs="Arial" w:eastAsia="Arial" w:hAnsi="Arial"/>
                <w:sz w:val="18"/>
                <w:szCs w:val="18"/>
                <w:color w:val="auto"/>
              </w:rPr>
              <w:t>Execution, Authentication, Delivery and Dating</w:t>
            </w: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3.4</w:t>
            </w:r>
          </w:p>
        </w:tc>
        <w:tc>
          <w:tcPr>
            <w:tcW w:w="9040" w:type="dxa"/>
            <w:vAlign w:val="bottom"/>
          </w:tcPr>
          <w:p>
            <w:pPr>
              <w:ind w:left="340"/>
              <w:spacing w:after="0"/>
              <w:rPr>
                <w:sz w:val="20"/>
                <w:szCs w:val="20"/>
                <w:color w:val="auto"/>
              </w:rPr>
            </w:pPr>
            <w:r>
              <w:rPr>
                <w:rFonts w:ascii="Arial" w:cs="Arial" w:eastAsia="Arial" w:hAnsi="Arial"/>
                <w:sz w:val="18"/>
                <w:szCs w:val="18"/>
                <w:color w:val="auto"/>
              </w:rPr>
              <w:t>Temporary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3.5</w:t>
            </w:r>
          </w:p>
        </w:tc>
        <w:tc>
          <w:tcPr>
            <w:tcW w:w="9040" w:type="dxa"/>
            <w:vAlign w:val="bottom"/>
          </w:tcPr>
          <w:p>
            <w:pPr>
              <w:ind w:left="340"/>
              <w:spacing w:after="0"/>
              <w:rPr>
                <w:sz w:val="20"/>
                <w:szCs w:val="20"/>
                <w:color w:val="auto"/>
              </w:rPr>
            </w:pPr>
            <w:r>
              <w:rPr>
                <w:rFonts w:ascii="Arial" w:cs="Arial" w:eastAsia="Arial" w:hAnsi="Arial"/>
                <w:sz w:val="18"/>
                <w:szCs w:val="18"/>
                <w:color w:val="auto"/>
              </w:rPr>
              <w:t>Registration; Registration of Transfer and Exchange</w:t>
            </w:r>
          </w:p>
        </w:tc>
        <w:tc>
          <w:tcPr>
            <w:tcW w:w="52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3.6</w:t>
            </w:r>
          </w:p>
        </w:tc>
        <w:tc>
          <w:tcPr>
            <w:tcW w:w="9040" w:type="dxa"/>
            <w:vAlign w:val="bottom"/>
          </w:tcPr>
          <w:p>
            <w:pPr>
              <w:ind w:left="340"/>
              <w:spacing w:after="0"/>
              <w:rPr>
                <w:sz w:val="20"/>
                <w:szCs w:val="20"/>
                <w:color w:val="auto"/>
              </w:rPr>
            </w:pPr>
            <w:r>
              <w:rPr>
                <w:rFonts w:ascii="Arial" w:cs="Arial" w:eastAsia="Arial" w:hAnsi="Arial"/>
                <w:sz w:val="18"/>
                <w:szCs w:val="18"/>
                <w:color w:val="auto"/>
              </w:rPr>
              <w:t>Mutilated, Destroyed, Lost and Stolen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3.7</w:t>
            </w:r>
          </w:p>
        </w:tc>
        <w:tc>
          <w:tcPr>
            <w:tcW w:w="9040" w:type="dxa"/>
            <w:vAlign w:val="bottom"/>
          </w:tcPr>
          <w:p>
            <w:pPr>
              <w:ind w:left="340"/>
              <w:spacing w:after="0"/>
              <w:rPr>
                <w:sz w:val="20"/>
                <w:szCs w:val="20"/>
                <w:color w:val="auto"/>
              </w:rPr>
            </w:pPr>
            <w:r>
              <w:rPr>
                <w:rFonts w:ascii="Arial" w:cs="Arial" w:eastAsia="Arial" w:hAnsi="Arial"/>
                <w:sz w:val="18"/>
                <w:szCs w:val="18"/>
                <w:color w:val="auto"/>
              </w:rPr>
              <w:t>Payment of Interest; Interest Rights Preserved</w:t>
            </w:r>
          </w:p>
        </w:tc>
        <w:tc>
          <w:tcPr>
            <w:tcW w:w="52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3.8</w:t>
            </w:r>
          </w:p>
        </w:tc>
        <w:tc>
          <w:tcPr>
            <w:tcW w:w="9040" w:type="dxa"/>
            <w:vAlign w:val="bottom"/>
          </w:tcPr>
          <w:p>
            <w:pPr>
              <w:ind w:left="340"/>
              <w:spacing w:after="0"/>
              <w:rPr>
                <w:sz w:val="20"/>
                <w:szCs w:val="20"/>
                <w:color w:val="auto"/>
              </w:rPr>
            </w:pPr>
            <w:r>
              <w:rPr>
                <w:rFonts w:ascii="Arial" w:cs="Arial" w:eastAsia="Arial" w:hAnsi="Arial"/>
                <w:sz w:val="18"/>
                <w:szCs w:val="18"/>
                <w:color w:val="auto"/>
              </w:rPr>
              <w:t>Persons Deemed Owners</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1860" w:type="dxa"/>
            <w:vAlign w:val="bottom"/>
          </w:tcPr>
          <w:p>
            <w:pPr>
              <w:ind w:left="640"/>
              <w:spacing w:after="0"/>
              <w:rPr>
                <w:sz w:val="20"/>
                <w:szCs w:val="20"/>
                <w:color w:val="auto"/>
              </w:rPr>
            </w:pPr>
            <w:r>
              <w:rPr>
                <w:rFonts w:ascii="Arial" w:cs="Arial" w:eastAsia="Arial" w:hAnsi="Arial"/>
                <w:sz w:val="18"/>
                <w:szCs w:val="18"/>
                <w:color w:val="auto"/>
              </w:rPr>
              <w:t>Section 3.9</w:t>
            </w:r>
          </w:p>
        </w:tc>
        <w:tc>
          <w:tcPr>
            <w:tcW w:w="9040" w:type="dxa"/>
            <w:vAlign w:val="bottom"/>
          </w:tcPr>
          <w:p>
            <w:pPr>
              <w:ind w:left="340"/>
              <w:spacing w:after="0"/>
              <w:rPr>
                <w:sz w:val="20"/>
                <w:szCs w:val="20"/>
                <w:color w:val="auto"/>
              </w:rPr>
            </w:pPr>
            <w:r>
              <w:rPr>
                <w:rFonts w:ascii="Arial" w:cs="Arial" w:eastAsia="Arial" w:hAnsi="Arial"/>
                <w:sz w:val="18"/>
                <w:szCs w:val="18"/>
                <w:color w:val="auto"/>
              </w:rPr>
              <w:t>Cancellation</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30"/>
        </w:trPr>
        <w:tc>
          <w:tcPr>
            <w:tcW w:w="1860" w:type="dxa"/>
            <w:vAlign w:val="bottom"/>
          </w:tcPr>
          <w:p>
            <w:pPr>
              <w:ind w:left="640"/>
              <w:spacing w:after="0"/>
              <w:rPr>
                <w:sz w:val="20"/>
                <w:szCs w:val="20"/>
                <w:color w:val="auto"/>
              </w:rPr>
            </w:pPr>
            <w:r>
              <w:rPr>
                <w:rFonts w:ascii="Arial" w:cs="Arial" w:eastAsia="Arial" w:hAnsi="Arial"/>
                <w:sz w:val="18"/>
                <w:szCs w:val="18"/>
                <w:color w:val="auto"/>
              </w:rPr>
              <w:t>Section 3.10</w:t>
            </w:r>
          </w:p>
        </w:tc>
        <w:tc>
          <w:tcPr>
            <w:tcW w:w="9040" w:type="dxa"/>
            <w:vAlign w:val="bottom"/>
          </w:tcPr>
          <w:p>
            <w:pPr>
              <w:ind w:left="340"/>
              <w:spacing w:after="0"/>
              <w:rPr>
                <w:sz w:val="20"/>
                <w:szCs w:val="20"/>
                <w:color w:val="auto"/>
              </w:rPr>
            </w:pPr>
            <w:r>
              <w:rPr>
                <w:rFonts w:ascii="Arial" w:cs="Arial" w:eastAsia="Arial" w:hAnsi="Arial"/>
                <w:sz w:val="18"/>
                <w:szCs w:val="18"/>
                <w:color w:val="auto"/>
              </w:rPr>
              <w:t>Computation of Interest</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4 SATISFACTION AND DISCHARGE</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432"/>
        </w:trPr>
        <w:tc>
          <w:tcPr>
            <w:tcW w:w="1860" w:type="dxa"/>
            <w:vAlign w:val="bottom"/>
          </w:tcPr>
          <w:p>
            <w:pPr>
              <w:ind w:left="640"/>
              <w:spacing w:after="0"/>
              <w:rPr>
                <w:sz w:val="20"/>
                <w:szCs w:val="20"/>
                <w:color w:val="auto"/>
              </w:rPr>
            </w:pPr>
            <w:r>
              <w:rPr>
                <w:rFonts w:ascii="Arial" w:cs="Arial" w:eastAsia="Arial" w:hAnsi="Arial"/>
                <w:sz w:val="18"/>
                <w:szCs w:val="18"/>
                <w:color w:val="auto"/>
              </w:rPr>
              <w:t>Section 4.1</w:t>
            </w:r>
          </w:p>
        </w:tc>
        <w:tc>
          <w:tcPr>
            <w:tcW w:w="9040" w:type="dxa"/>
            <w:vAlign w:val="bottom"/>
          </w:tcPr>
          <w:p>
            <w:pPr>
              <w:ind w:left="340"/>
              <w:spacing w:after="0"/>
              <w:rPr>
                <w:sz w:val="20"/>
                <w:szCs w:val="20"/>
                <w:color w:val="auto"/>
              </w:rPr>
            </w:pPr>
            <w:r>
              <w:rPr>
                <w:rFonts w:ascii="Arial" w:cs="Arial" w:eastAsia="Arial" w:hAnsi="Arial"/>
                <w:sz w:val="18"/>
                <w:szCs w:val="18"/>
                <w:color w:val="auto"/>
              </w:rPr>
              <w:t>Satisfaction and Discharge of Indenture</w:t>
            </w:r>
          </w:p>
        </w:tc>
        <w:tc>
          <w:tcPr>
            <w:tcW w:w="52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24"/>
                <w:szCs w:val="24"/>
                <w:color w:val="auto"/>
              </w:rPr>
            </w:pPr>
          </w:p>
        </w:tc>
      </w:tr>
      <w:tr>
        <w:trPr>
          <w:trHeight w:val="348"/>
        </w:trPr>
        <w:tc>
          <w:tcPr>
            <w:tcW w:w="1860" w:type="dxa"/>
            <w:vAlign w:val="bottom"/>
            <w:tcBorders>
              <w:bottom w:val="single" w:sz="8" w:color="010101"/>
            </w:tcBorders>
          </w:tcPr>
          <w:p>
            <w:pPr>
              <w:spacing w:after="0"/>
              <w:rPr>
                <w:sz w:val="24"/>
                <w:szCs w:val="24"/>
                <w:color w:val="auto"/>
              </w:rPr>
            </w:pPr>
          </w:p>
        </w:tc>
        <w:tc>
          <w:tcPr>
            <w:tcW w:w="904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ectPr>
          <w:pgSz w:w="11900" w:h="16838" w:orient="portrait"/>
          <w:cols w:equalWidth="0" w:num="1">
            <w:col w:w="11460"/>
          </w:cols>
          <w:pgMar w:left="240" w:top="364" w:right="199" w:bottom="0" w:gutter="0" w:footer="0" w:header="0"/>
        </w:sectPr>
      </w:pPr>
    </w:p>
    <w:p>
      <w:pPr>
        <w:spacing w:after="0" w:line="202" w:lineRule="exact"/>
        <w:rPr>
          <w:sz w:val="20"/>
          <w:szCs w:val="20"/>
          <w:color w:val="auto"/>
        </w:rPr>
      </w:pPr>
    </w:p>
    <w:p>
      <w:pPr>
        <w:ind w:left="11020"/>
        <w:spacing w:after="0"/>
        <w:rPr>
          <w:sz w:val="20"/>
          <w:szCs w:val="20"/>
          <w:color w:val="auto"/>
        </w:rPr>
      </w:pPr>
      <w:r>
        <w:rPr>
          <w:rFonts w:ascii="Arial" w:cs="Arial" w:eastAsia="Arial" w:hAnsi="Arial"/>
          <w:sz w:val="12"/>
          <w:szCs w:val="12"/>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6925945</wp:posOffset>
            </wp:positionH>
            <wp:positionV relativeFrom="paragraph">
              <wp:posOffset>20955</wp:posOffset>
            </wp:positionV>
            <wp:extent cx="32575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p>
      <w:pPr>
        <w:sectPr>
          <w:pgSz w:w="11900" w:h="16838" w:orient="portrait"/>
          <w:cols w:equalWidth="0" w:num="1">
            <w:col w:w="11460"/>
          </w:cols>
          <w:pgMar w:left="240" w:top="364" w:right="199" w:bottom="0" w:gutter="0" w:footer="0" w:header="0"/>
          <w:type w:val="continuous"/>
        </w:sectPr>
      </w:pPr>
    </w:p>
    <w:bookmarkStart w:id="61" w:name="page62"/>
    <w:bookmarkEnd w:id="61"/>
    <w:tbl>
      <w:tblPr>
        <w:tblLayout w:type="fixed"/>
        <w:tblInd w:w="0" w:type="dxa"/>
        <w:tblCellMar>
          <w:top w:w="0" w:type="dxa"/>
          <w:left w:w="0" w:type="dxa"/>
          <w:bottom w:w="0" w:type="dxa"/>
          <w:right w:w="0" w:type="dxa"/>
        </w:tblCellMar>
      </w:tblPr>
      <w:tr>
        <w:trPr>
          <w:trHeight w:val="230"/>
        </w:trPr>
        <w:tc>
          <w:tcPr>
            <w:tcW w:w="2160" w:type="dxa"/>
            <w:vAlign w:val="bottom"/>
          </w:tcPr>
          <w:p>
            <w:pPr>
              <w:ind w:left="640"/>
              <w:spacing w:after="0"/>
              <w:rPr>
                <w:sz w:val="20"/>
                <w:szCs w:val="20"/>
                <w:color w:val="auto"/>
              </w:rPr>
            </w:pPr>
            <w:r>
              <w:rPr>
                <w:rFonts w:ascii="Arial" w:cs="Arial" w:eastAsia="Arial" w:hAnsi="Arial"/>
                <w:sz w:val="18"/>
                <w:szCs w:val="18"/>
                <w:color w:val="auto"/>
              </w:rPr>
              <w:t>Section 4.2</w:t>
            </w:r>
          </w:p>
        </w:tc>
        <w:tc>
          <w:tcPr>
            <w:tcW w:w="8740" w:type="dxa"/>
            <w:vAlign w:val="bottom"/>
          </w:tcPr>
          <w:p>
            <w:pPr>
              <w:ind w:left="40"/>
              <w:spacing w:after="0"/>
              <w:rPr>
                <w:sz w:val="20"/>
                <w:szCs w:val="20"/>
                <w:color w:val="auto"/>
              </w:rPr>
            </w:pPr>
            <w:r>
              <w:rPr>
                <w:rFonts w:ascii="Arial" w:cs="Arial" w:eastAsia="Arial" w:hAnsi="Arial"/>
                <w:sz w:val="18"/>
                <w:szCs w:val="18"/>
                <w:color w:val="auto"/>
              </w:rPr>
              <w:t>Application of Trust Money</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0"/>
                <w:szCs w:val="20"/>
                <w:color w:val="auto"/>
              </w:rPr>
            </w:pPr>
          </w:p>
        </w:tc>
      </w:tr>
      <w:tr>
        <w:trPr>
          <w:trHeight w:val="432"/>
        </w:trPr>
        <w:tc>
          <w:tcPr>
            <w:tcW w:w="2160" w:type="dxa"/>
            <w:vAlign w:val="bottom"/>
          </w:tcPr>
          <w:p>
            <w:pPr>
              <w:ind w:left="20"/>
              <w:spacing w:after="0"/>
              <w:rPr>
                <w:sz w:val="20"/>
                <w:szCs w:val="20"/>
                <w:color w:val="auto"/>
              </w:rPr>
            </w:pPr>
            <w:r>
              <w:rPr>
                <w:rFonts w:ascii="Arial" w:cs="Arial" w:eastAsia="Arial" w:hAnsi="Arial"/>
                <w:sz w:val="18"/>
                <w:szCs w:val="18"/>
                <w:color w:val="auto"/>
              </w:rPr>
              <w:t>ARTICLE 5 REMEDIES</w:t>
            </w:r>
          </w:p>
        </w:tc>
        <w:tc>
          <w:tcPr>
            <w:tcW w:w="8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r>
      <w:tr>
        <w:trPr>
          <w:trHeight w:val="418"/>
        </w:trPr>
        <w:tc>
          <w:tcPr>
            <w:tcW w:w="2160" w:type="dxa"/>
            <w:vAlign w:val="bottom"/>
          </w:tcPr>
          <w:p>
            <w:pPr>
              <w:ind w:left="640"/>
              <w:spacing w:after="0"/>
              <w:rPr>
                <w:sz w:val="20"/>
                <w:szCs w:val="20"/>
                <w:color w:val="auto"/>
              </w:rPr>
            </w:pPr>
            <w:r>
              <w:rPr>
                <w:rFonts w:ascii="Arial" w:cs="Arial" w:eastAsia="Arial" w:hAnsi="Arial"/>
                <w:sz w:val="18"/>
                <w:szCs w:val="18"/>
                <w:color w:val="auto"/>
              </w:rPr>
              <w:t>Section 5.1</w:t>
            </w:r>
          </w:p>
        </w:tc>
        <w:tc>
          <w:tcPr>
            <w:tcW w:w="87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5.2</w:t>
            </w:r>
          </w:p>
        </w:tc>
        <w:tc>
          <w:tcPr>
            <w:tcW w:w="8740" w:type="dxa"/>
            <w:vAlign w:val="bottom"/>
          </w:tcPr>
          <w:p>
            <w:pPr>
              <w:ind w:left="40"/>
              <w:spacing w:after="0"/>
              <w:rPr>
                <w:sz w:val="20"/>
                <w:szCs w:val="20"/>
                <w:color w:val="auto"/>
              </w:rPr>
            </w:pPr>
            <w:r>
              <w:rPr>
                <w:rFonts w:ascii="Arial" w:cs="Arial" w:eastAsia="Arial" w:hAnsi="Arial"/>
                <w:sz w:val="18"/>
                <w:szCs w:val="18"/>
                <w:color w:val="auto"/>
              </w:rPr>
              <w:t>Acceleration of Maturity; Rescission and Annulment</w:t>
            </w: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5.3</w:t>
            </w:r>
          </w:p>
        </w:tc>
        <w:tc>
          <w:tcPr>
            <w:tcW w:w="8740" w:type="dxa"/>
            <w:vAlign w:val="bottom"/>
          </w:tcPr>
          <w:p>
            <w:pPr>
              <w:ind w:left="40"/>
              <w:spacing w:after="0"/>
              <w:rPr>
                <w:sz w:val="20"/>
                <w:szCs w:val="20"/>
                <w:color w:val="auto"/>
              </w:rPr>
            </w:pPr>
            <w:r>
              <w:rPr>
                <w:rFonts w:ascii="Arial" w:cs="Arial" w:eastAsia="Arial" w:hAnsi="Arial"/>
                <w:sz w:val="18"/>
                <w:szCs w:val="18"/>
                <w:color w:val="auto"/>
              </w:rPr>
              <w:t>Collection of Indebtedness and Suits for Enforcement by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5.4</w:t>
            </w:r>
          </w:p>
        </w:tc>
        <w:tc>
          <w:tcPr>
            <w:tcW w:w="8740" w:type="dxa"/>
            <w:vAlign w:val="bottom"/>
          </w:tcPr>
          <w:p>
            <w:pPr>
              <w:ind w:left="40"/>
              <w:spacing w:after="0"/>
              <w:rPr>
                <w:sz w:val="20"/>
                <w:szCs w:val="20"/>
                <w:color w:val="auto"/>
              </w:rPr>
            </w:pPr>
            <w:r>
              <w:rPr>
                <w:rFonts w:ascii="Arial" w:cs="Arial" w:eastAsia="Arial" w:hAnsi="Arial"/>
                <w:sz w:val="18"/>
                <w:szCs w:val="18"/>
                <w:color w:val="auto"/>
              </w:rPr>
              <w:t>Trustee May File Proofs of Claim</w:t>
            </w:r>
          </w:p>
        </w:tc>
        <w:tc>
          <w:tcPr>
            <w:tcW w:w="520" w:type="dxa"/>
            <w:vAlign w:val="bottom"/>
          </w:tcPr>
          <w:p>
            <w:pPr>
              <w:jc w:val="right"/>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5.5</w:t>
            </w:r>
          </w:p>
        </w:tc>
        <w:tc>
          <w:tcPr>
            <w:tcW w:w="8740" w:type="dxa"/>
            <w:vAlign w:val="bottom"/>
          </w:tcPr>
          <w:p>
            <w:pPr>
              <w:ind w:left="40"/>
              <w:spacing w:after="0"/>
              <w:rPr>
                <w:sz w:val="20"/>
                <w:szCs w:val="20"/>
                <w:color w:val="auto"/>
              </w:rPr>
            </w:pPr>
            <w:r>
              <w:rPr>
                <w:rFonts w:ascii="Arial" w:cs="Arial" w:eastAsia="Arial" w:hAnsi="Arial"/>
                <w:sz w:val="18"/>
                <w:szCs w:val="18"/>
                <w:color w:val="auto"/>
              </w:rPr>
              <w:t>Trustee May Enforce Claims Without Possession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5.6</w:t>
            </w:r>
          </w:p>
        </w:tc>
        <w:tc>
          <w:tcPr>
            <w:tcW w:w="8740" w:type="dxa"/>
            <w:vAlign w:val="bottom"/>
          </w:tcPr>
          <w:p>
            <w:pPr>
              <w:ind w:left="40"/>
              <w:spacing w:after="0"/>
              <w:rPr>
                <w:sz w:val="20"/>
                <w:szCs w:val="20"/>
                <w:color w:val="auto"/>
              </w:rPr>
            </w:pPr>
            <w:r>
              <w:rPr>
                <w:rFonts w:ascii="Arial" w:cs="Arial" w:eastAsia="Arial" w:hAnsi="Arial"/>
                <w:sz w:val="18"/>
                <w:szCs w:val="18"/>
                <w:color w:val="auto"/>
              </w:rPr>
              <w:t>Application of Money Collected</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5.7</w:t>
            </w:r>
          </w:p>
        </w:tc>
        <w:tc>
          <w:tcPr>
            <w:tcW w:w="8740" w:type="dxa"/>
            <w:vAlign w:val="bottom"/>
          </w:tcPr>
          <w:p>
            <w:pPr>
              <w:ind w:left="40"/>
              <w:spacing w:after="0"/>
              <w:rPr>
                <w:sz w:val="20"/>
                <w:szCs w:val="20"/>
                <w:color w:val="auto"/>
              </w:rPr>
            </w:pPr>
            <w:r>
              <w:rPr>
                <w:rFonts w:ascii="Arial" w:cs="Arial" w:eastAsia="Arial" w:hAnsi="Arial"/>
                <w:sz w:val="18"/>
                <w:szCs w:val="18"/>
                <w:color w:val="auto"/>
              </w:rPr>
              <w:t>Limitation on Suits</w:t>
            </w:r>
          </w:p>
        </w:tc>
        <w:tc>
          <w:tcPr>
            <w:tcW w:w="52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5.8</w:t>
            </w:r>
          </w:p>
        </w:tc>
        <w:tc>
          <w:tcPr>
            <w:tcW w:w="8740" w:type="dxa"/>
            <w:vAlign w:val="bottom"/>
          </w:tcPr>
          <w:p>
            <w:pPr>
              <w:ind w:left="40"/>
              <w:spacing w:after="0"/>
              <w:rPr>
                <w:sz w:val="20"/>
                <w:szCs w:val="20"/>
                <w:color w:val="auto"/>
              </w:rPr>
            </w:pPr>
            <w:r>
              <w:rPr>
                <w:rFonts w:ascii="Arial" w:cs="Arial" w:eastAsia="Arial" w:hAnsi="Arial"/>
                <w:sz w:val="18"/>
                <w:szCs w:val="18"/>
                <w:color w:val="auto"/>
              </w:rPr>
              <w:t>Unconditional Right of Holders to Receive Principal, Premium and Interest and to Convert</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5.9</w:t>
            </w:r>
          </w:p>
        </w:tc>
        <w:tc>
          <w:tcPr>
            <w:tcW w:w="8740" w:type="dxa"/>
            <w:vAlign w:val="bottom"/>
          </w:tcPr>
          <w:p>
            <w:pPr>
              <w:ind w:left="40"/>
              <w:spacing w:after="0"/>
              <w:rPr>
                <w:sz w:val="20"/>
                <w:szCs w:val="20"/>
                <w:color w:val="auto"/>
              </w:rPr>
            </w:pPr>
            <w:r>
              <w:rPr>
                <w:rFonts w:ascii="Arial" w:cs="Arial" w:eastAsia="Arial" w:hAnsi="Arial"/>
                <w:sz w:val="18"/>
                <w:szCs w:val="18"/>
                <w:color w:val="auto"/>
              </w:rPr>
              <w:t>Restoration of Rights and Remedies</w:t>
            </w:r>
          </w:p>
        </w:tc>
        <w:tc>
          <w:tcPr>
            <w:tcW w:w="52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5.10</w:t>
            </w:r>
          </w:p>
        </w:tc>
        <w:tc>
          <w:tcPr>
            <w:tcW w:w="8740" w:type="dxa"/>
            <w:vAlign w:val="bottom"/>
          </w:tcPr>
          <w:p>
            <w:pPr>
              <w:ind w:left="40"/>
              <w:spacing w:after="0"/>
              <w:rPr>
                <w:sz w:val="20"/>
                <w:szCs w:val="20"/>
                <w:color w:val="auto"/>
              </w:rPr>
            </w:pPr>
            <w:r>
              <w:rPr>
                <w:rFonts w:ascii="Arial" w:cs="Arial" w:eastAsia="Arial" w:hAnsi="Arial"/>
                <w:sz w:val="18"/>
                <w:szCs w:val="18"/>
                <w:color w:val="auto"/>
              </w:rPr>
              <w:t>Rights and Remedies Cumulative</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5.11</w:t>
            </w:r>
          </w:p>
        </w:tc>
        <w:tc>
          <w:tcPr>
            <w:tcW w:w="8740" w:type="dxa"/>
            <w:vAlign w:val="bottom"/>
          </w:tcPr>
          <w:p>
            <w:pPr>
              <w:ind w:left="40"/>
              <w:spacing w:after="0"/>
              <w:rPr>
                <w:sz w:val="20"/>
                <w:szCs w:val="20"/>
                <w:color w:val="auto"/>
              </w:rPr>
            </w:pPr>
            <w:r>
              <w:rPr>
                <w:rFonts w:ascii="Arial" w:cs="Arial" w:eastAsia="Arial" w:hAnsi="Arial"/>
                <w:sz w:val="18"/>
                <w:szCs w:val="18"/>
                <w:color w:val="auto"/>
              </w:rPr>
              <w:t>Delay or Omission Not Waiver</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5.12</w:t>
            </w:r>
          </w:p>
        </w:tc>
        <w:tc>
          <w:tcPr>
            <w:tcW w:w="8740" w:type="dxa"/>
            <w:vAlign w:val="bottom"/>
          </w:tcPr>
          <w:p>
            <w:pPr>
              <w:ind w:left="40"/>
              <w:spacing w:after="0"/>
              <w:rPr>
                <w:sz w:val="20"/>
                <w:szCs w:val="20"/>
                <w:color w:val="auto"/>
              </w:rPr>
            </w:pPr>
            <w:r>
              <w:rPr>
                <w:rFonts w:ascii="Arial" w:cs="Arial" w:eastAsia="Arial" w:hAnsi="Arial"/>
                <w:sz w:val="18"/>
                <w:szCs w:val="18"/>
                <w:color w:val="auto"/>
              </w:rPr>
              <w:t>Control by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5.13</w:t>
            </w:r>
          </w:p>
        </w:tc>
        <w:tc>
          <w:tcPr>
            <w:tcW w:w="8740" w:type="dxa"/>
            <w:vAlign w:val="bottom"/>
          </w:tcPr>
          <w:p>
            <w:pPr>
              <w:ind w:left="40"/>
              <w:spacing w:after="0"/>
              <w:rPr>
                <w:sz w:val="20"/>
                <w:szCs w:val="20"/>
                <w:color w:val="auto"/>
              </w:rPr>
            </w:pPr>
            <w:r>
              <w:rPr>
                <w:rFonts w:ascii="Arial" w:cs="Arial" w:eastAsia="Arial" w:hAnsi="Arial"/>
                <w:sz w:val="18"/>
                <w:szCs w:val="18"/>
                <w:color w:val="auto"/>
              </w:rPr>
              <w:t>Waiver of Past Defaults</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5.14</w:t>
            </w:r>
          </w:p>
        </w:tc>
        <w:tc>
          <w:tcPr>
            <w:tcW w:w="8740" w:type="dxa"/>
            <w:vAlign w:val="bottom"/>
          </w:tcPr>
          <w:p>
            <w:pPr>
              <w:ind w:left="40"/>
              <w:spacing w:after="0"/>
              <w:rPr>
                <w:sz w:val="20"/>
                <w:szCs w:val="20"/>
                <w:color w:val="auto"/>
              </w:rPr>
            </w:pPr>
            <w:r>
              <w:rPr>
                <w:rFonts w:ascii="Arial" w:cs="Arial" w:eastAsia="Arial" w:hAnsi="Arial"/>
                <w:sz w:val="18"/>
                <w:szCs w:val="18"/>
                <w:color w:val="auto"/>
              </w:rPr>
              <w:t>Undertaking for Costs</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r>
      <w:tr>
        <w:trPr>
          <w:trHeight w:val="230"/>
        </w:trPr>
        <w:tc>
          <w:tcPr>
            <w:tcW w:w="2160" w:type="dxa"/>
            <w:vAlign w:val="bottom"/>
          </w:tcPr>
          <w:p>
            <w:pPr>
              <w:ind w:left="640"/>
              <w:spacing w:after="0"/>
              <w:rPr>
                <w:sz w:val="20"/>
                <w:szCs w:val="20"/>
                <w:color w:val="auto"/>
              </w:rPr>
            </w:pPr>
            <w:r>
              <w:rPr>
                <w:rFonts w:ascii="Arial" w:cs="Arial" w:eastAsia="Arial" w:hAnsi="Arial"/>
                <w:sz w:val="18"/>
                <w:szCs w:val="18"/>
                <w:color w:val="auto"/>
              </w:rPr>
              <w:t>Section 5.15</w:t>
            </w:r>
          </w:p>
        </w:tc>
        <w:tc>
          <w:tcPr>
            <w:tcW w:w="8740" w:type="dxa"/>
            <w:vAlign w:val="bottom"/>
          </w:tcPr>
          <w:p>
            <w:pPr>
              <w:ind w:left="40"/>
              <w:spacing w:after="0"/>
              <w:rPr>
                <w:sz w:val="20"/>
                <w:szCs w:val="20"/>
                <w:color w:val="auto"/>
              </w:rPr>
            </w:pPr>
            <w:r>
              <w:rPr>
                <w:rFonts w:ascii="Arial" w:cs="Arial" w:eastAsia="Arial" w:hAnsi="Arial"/>
                <w:sz w:val="18"/>
                <w:szCs w:val="18"/>
                <w:color w:val="auto"/>
              </w:rPr>
              <w:t>Waiver of Usury, Stay or Extension Laws</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r>
      <w:tr>
        <w:trPr>
          <w:trHeight w:val="432"/>
        </w:trPr>
        <w:tc>
          <w:tcPr>
            <w:tcW w:w="2160" w:type="dxa"/>
            <w:vAlign w:val="bottom"/>
          </w:tcPr>
          <w:p>
            <w:pPr>
              <w:ind w:left="20"/>
              <w:spacing w:after="0"/>
              <w:rPr>
                <w:sz w:val="20"/>
                <w:szCs w:val="20"/>
                <w:color w:val="auto"/>
              </w:rPr>
            </w:pPr>
            <w:r>
              <w:rPr>
                <w:rFonts w:ascii="Arial" w:cs="Arial" w:eastAsia="Arial" w:hAnsi="Arial"/>
                <w:sz w:val="18"/>
                <w:szCs w:val="18"/>
                <w:color w:val="auto"/>
                <w:w w:val="95"/>
              </w:rPr>
              <w:t>ARTICLE 6 THE TRUSTEE</w:t>
            </w:r>
          </w:p>
        </w:tc>
        <w:tc>
          <w:tcPr>
            <w:tcW w:w="8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r>
      <w:tr>
        <w:trPr>
          <w:trHeight w:val="418"/>
        </w:trPr>
        <w:tc>
          <w:tcPr>
            <w:tcW w:w="2160" w:type="dxa"/>
            <w:vAlign w:val="bottom"/>
          </w:tcPr>
          <w:p>
            <w:pPr>
              <w:ind w:left="640"/>
              <w:spacing w:after="0"/>
              <w:rPr>
                <w:sz w:val="20"/>
                <w:szCs w:val="20"/>
                <w:color w:val="auto"/>
              </w:rPr>
            </w:pPr>
            <w:r>
              <w:rPr>
                <w:rFonts w:ascii="Arial" w:cs="Arial" w:eastAsia="Arial" w:hAnsi="Arial"/>
                <w:sz w:val="18"/>
                <w:szCs w:val="18"/>
                <w:color w:val="auto"/>
              </w:rPr>
              <w:t>Section 6.1</w:t>
            </w:r>
          </w:p>
        </w:tc>
        <w:tc>
          <w:tcPr>
            <w:tcW w:w="8740" w:type="dxa"/>
            <w:vAlign w:val="bottom"/>
          </w:tcPr>
          <w:p>
            <w:pPr>
              <w:ind w:left="40"/>
              <w:spacing w:after="0"/>
              <w:rPr>
                <w:sz w:val="20"/>
                <w:szCs w:val="20"/>
                <w:color w:val="auto"/>
              </w:rPr>
            </w:pPr>
            <w:r>
              <w:rPr>
                <w:rFonts w:ascii="Arial" w:cs="Arial" w:eastAsia="Arial" w:hAnsi="Arial"/>
                <w:sz w:val="18"/>
                <w:szCs w:val="18"/>
                <w:color w:val="auto"/>
              </w:rPr>
              <w:t>Certain Duties and Responsibilities</w:t>
            </w:r>
          </w:p>
        </w:tc>
        <w:tc>
          <w:tcPr>
            <w:tcW w:w="52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4"/>
                <w:szCs w:val="24"/>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6.2</w:t>
            </w:r>
          </w:p>
        </w:tc>
        <w:tc>
          <w:tcPr>
            <w:tcW w:w="8740" w:type="dxa"/>
            <w:vAlign w:val="bottom"/>
          </w:tcPr>
          <w:p>
            <w:pPr>
              <w:ind w:left="40"/>
              <w:spacing w:after="0"/>
              <w:rPr>
                <w:sz w:val="20"/>
                <w:szCs w:val="20"/>
                <w:color w:val="auto"/>
              </w:rPr>
            </w:pPr>
            <w:r>
              <w:rPr>
                <w:rFonts w:ascii="Arial" w:cs="Arial" w:eastAsia="Arial" w:hAnsi="Arial"/>
                <w:sz w:val="18"/>
                <w:szCs w:val="18"/>
                <w:color w:val="auto"/>
              </w:rPr>
              <w:t>Notice of Defaults</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6.3</w:t>
            </w:r>
          </w:p>
        </w:tc>
        <w:tc>
          <w:tcPr>
            <w:tcW w:w="8740" w:type="dxa"/>
            <w:vAlign w:val="bottom"/>
          </w:tcPr>
          <w:p>
            <w:pPr>
              <w:ind w:left="40"/>
              <w:spacing w:after="0"/>
              <w:rPr>
                <w:sz w:val="20"/>
                <w:szCs w:val="20"/>
                <w:color w:val="auto"/>
              </w:rPr>
            </w:pPr>
            <w:r>
              <w:rPr>
                <w:rFonts w:ascii="Arial" w:cs="Arial" w:eastAsia="Arial" w:hAnsi="Arial"/>
                <w:sz w:val="18"/>
                <w:szCs w:val="18"/>
                <w:color w:val="auto"/>
              </w:rPr>
              <w:t>Certain Rights of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6.4</w:t>
            </w:r>
          </w:p>
        </w:tc>
        <w:tc>
          <w:tcPr>
            <w:tcW w:w="8740" w:type="dxa"/>
            <w:vAlign w:val="bottom"/>
          </w:tcPr>
          <w:p>
            <w:pPr>
              <w:ind w:left="40"/>
              <w:spacing w:after="0"/>
              <w:rPr>
                <w:sz w:val="20"/>
                <w:szCs w:val="20"/>
                <w:color w:val="auto"/>
              </w:rPr>
            </w:pPr>
            <w:r>
              <w:rPr>
                <w:rFonts w:ascii="Arial" w:cs="Arial" w:eastAsia="Arial" w:hAnsi="Arial"/>
                <w:sz w:val="18"/>
                <w:szCs w:val="18"/>
                <w:color w:val="auto"/>
              </w:rPr>
              <w:t>Not Responsible for Recitals or Issuance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6.5</w:t>
            </w:r>
          </w:p>
        </w:tc>
        <w:tc>
          <w:tcPr>
            <w:tcW w:w="8740" w:type="dxa"/>
            <w:vAlign w:val="bottom"/>
          </w:tcPr>
          <w:p>
            <w:pPr>
              <w:ind w:left="40"/>
              <w:spacing w:after="0"/>
              <w:rPr>
                <w:sz w:val="20"/>
                <w:szCs w:val="20"/>
                <w:color w:val="auto"/>
              </w:rPr>
            </w:pPr>
            <w:r>
              <w:rPr>
                <w:rFonts w:ascii="Arial" w:cs="Arial" w:eastAsia="Arial" w:hAnsi="Arial"/>
                <w:sz w:val="18"/>
                <w:szCs w:val="18"/>
                <w:color w:val="auto"/>
              </w:rPr>
              <w:t>May Hold Securities and Act as Trustee under Other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6.6</w:t>
            </w:r>
          </w:p>
        </w:tc>
        <w:tc>
          <w:tcPr>
            <w:tcW w:w="8740" w:type="dxa"/>
            <w:vAlign w:val="bottom"/>
          </w:tcPr>
          <w:p>
            <w:pPr>
              <w:ind w:left="40"/>
              <w:spacing w:after="0"/>
              <w:rPr>
                <w:sz w:val="20"/>
                <w:szCs w:val="20"/>
                <w:color w:val="auto"/>
              </w:rPr>
            </w:pPr>
            <w:r>
              <w:rPr>
                <w:rFonts w:ascii="Arial" w:cs="Arial" w:eastAsia="Arial" w:hAnsi="Arial"/>
                <w:sz w:val="18"/>
                <w:szCs w:val="18"/>
                <w:color w:val="auto"/>
              </w:rPr>
              <w:t>Money Held in Trust</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6.7</w:t>
            </w:r>
          </w:p>
        </w:tc>
        <w:tc>
          <w:tcPr>
            <w:tcW w:w="8740" w:type="dxa"/>
            <w:vAlign w:val="bottom"/>
          </w:tcPr>
          <w:p>
            <w:pPr>
              <w:ind w:left="40"/>
              <w:spacing w:after="0"/>
              <w:rPr>
                <w:sz w:val="20"/>
                <w:szCs w:val="20"/>
                <w:color w:val="auto"/>
              </w:rPr>
            </w:pPr>
            <w:r>
              <w:rPr>
                <w:rFonts w:ascii="Arial" w:cs="Arial" w:eastAsia="Arial" w:hAnsi="Arial"/>
                <w:sz w:val="18"/>
                <w:szCs w:val="18"/>
                <w:color w:val="auto"/>
              </w:rPr>
              <w:t>Compensation and Reimbursement</w:t>
            </w:r>
          </w:p>
        </w:tc>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6.8</w:t>
            </w:r>
          </w:p>
        </w:tc>
        <w:tc>
          <w:tcPr>
            <w:tcW w:w="8740" w:type="dxa"/>
            <w:vAlign w:val="bottom"/>
          </w:tcPr>
          <w:p>
            <w:pPr>
              <w:ind w:left="40"/>
              <w:spacing w:after="0"/>
              <w:rPr>
                <w:sz w:val="20"/>
                <w:szCs w:val="20"/>
                <w:color w:val="auto"/>
              </w:rPr>
            </w:pPr>
            <w:r>
              <w:rPr>
                <w:rFonts w:ascii="Arial" w:cs="Arial" w:eastAsia="Arial" w:hAnsi="Arial"/>
                <w:sz w:val="18"/>
                <w:szCs w:val="18"/>
                <w:color w:val="auto"/>
              </w:rPr>
              <w:t>Conflicting Interests</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6.9</w:t>
            </w:r>
          </w:p>
        </w:tc>
        <w:tc>
          <w:tcPr>
            <w:tcW w:w="8740" w:type="dxa"/>
            <w:vAlign w:val="bottom"/>
          </w:tcPr>
          <w:p>
            <w:pPr>
              <w:ind w:left="40"/>
              <w:spacing w:after="0"/>
              <w:rPr>
                <w:sz w:val="20"/>
                <w:szCs w:val="20"/>
                <w:color w:val="auto"/>
              </w:rPr>
            </w:pPr>
            <w:r>
              <w:rPr>
                <w:rFonts w:ascii="Arial" w:cs="Arial" w:eastAsia="Arial" w:hAnsi="Arial"/>
                <w:sz w:val="18"/>
                <w:szCs w:val="18"/>
                <w:color w:val="auto"/>
              </w:rPr>
              <w:t>Corporate Trustee Required; Eligibility</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6.10</w:t>
            </w:r>
          </w:p>
        </w:tc>
        <w:tc>
          <w:tcPr>
            <w:tcW w:w="8740" w:type="dxa"/>
            <w:vAlign w:val="bottom"/>
          </w:tcPr>
          <w:p>
            <w:pPr>
              <w:ind w:left="40"/>
              <w:spacing w:after="0"/>
              <w:rPr>
                <w:sz w:val="20"/>
                <w:szCs w:val="20"/>
                <w:color w:val="auto"/>
              </w:rPr>
            </w:pPr>
            <w:r>
              <w:rPr>
                <w:rFonts w:ascii="Arial" w:cs="Arial" w:eastAsia="Arial" w:hAnsi="Arial"/>
                <w:sz w:val="18"/>
                <w:szCs w:val="18"/>
                <w:color w:val="auto"/>
              </w:rPr>
              <w:t>Resignation and Removal; Appointment of Successor</w:t>
            </w:r>
          </w:p>
        </w:tc>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6.11</w:t>
            </w:r>
          </w:p>
        </w:tc>
        <w:tc>
          <w:tcPr>
            <w:tcW w:w="8740" w:type="dxa"/>
            <w:vAlign w:val="bottom"/>
          </w:tcPr>
          <w:p>
            <w:pPr>
              <w:ind w:left="40"/>
              <w:spacing w:after="0"/>
              <w:rPr>
                <w:sz w:val="20"/>
                <w:szCs w:val="20"/>
                <w:color w:val="auto"/>
              </w:rPr>
            </w:pPr>
            <w:r>
              <w:rPr>
                <w:rFonts w:ascii="Arial" w:cs="Arial" w:eastAsia="Arial" w:hAnsi="Arial"/>
                <w:sz w:val="18"/>
                <w:szCs w:val="18"/>
                <w:color w:val="auto"/>
              </w:rPr>
              <w:t>Acceptance of Appointment by Successor</w:t>
            </w:r>
          </w:p>
        </w:tc>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6.12</w:t>
            </w:r>
          </w:p>
        </w:tc>
        <w:tc>
          <w:tcPr>
            <w:tcW w:w="8740" w:type="dxa"/>
            <w:vAlign w:val="bottom"/>
          </w:tcPr>
          <w:p>
            <w:pPr>
              <w:ind w:left="40"/>
              <w:spacing w:after="0"/>
              <w:rPr>
                <w:sz w:val="20"/>
                <w:szCs w:val="20"/>
                <w:color w:val="auto"/>
              </w:rPr>
            </w:pPr>
            <w:r>
              <w:rPr>
                <w:rFonts w:ascii="Arial" w:cs="Arial" w:eastAsia="Arial" w:hAnsi="Arial"/>
                <w:sz w:val="18"/>
                <w:szCs w:val="18"/>
                <w:color w:val="auto"/>
              </w:rPr>
              <w:t>Merger, Conversion, Consolidation or Succession to Business</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6.13</w:t>
            </w:r>
          </w:p>
        </w:tc>
        <w:tc>
          <w:tcPr>
            <w:tcW w:w="874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230"/>
        </w:trPr>
        <w:tc>
          <w:tcPr>
            <w:tcW w:w="2160" w:type="dxa"/>
            <w:vAlign w:val="bottom"/>
          </w:tcPr>
          <w:p>
            <w:pPr>
              <w:ind w:left="640"/>
              <w:spacing w:after="0"/>
              <w:rPr>
                <w:sz w:val="20"/>
                <w:szCs w:val="20"/>
                <w:color w:val="auto"/>
              </w:rPr>
            </w:pPr>
            <w:r>
              <w:rPr>
                <w:rFonts w:ascii="Arial" w:cs="Arial" w:eastAsia="Arial" w:hAnsi="Arial"/>
                <w:sz w:val="18"/>
                <w:szCs w:val="18"/>
                <w:color w:val="auto"/>
              </w:rPr>
              <w:t>Section 6.14</w:t>
            </w:r>
          </w:p>
        </w:tc>
        <w:tc>
          <w:tcPr>
            <w:tcW w:w="8740" w:type="dxa"/>
            <w:vAlign w:val="bottom"/>
          </w:tcPr>
          <w:p>
            <w:pPr>
              <w:ind w:left="40"/>
              <w:spacing w:after="0"/>
              <w:rPr>
                <w:sz w:val="20"/>
                <w:szCs w:val="20"/>
                <w:color w:val="auto"/>
              </w:rPr>
            </w:pPr>
            <w:r>
              <w:rPr>
                <w:rFonts w:ascii="Arial" w:cs="Arial" w:eastAsia="Arial" w:hAnsi="Arial"/>
                <w:sz w:val="18"/>
                <w:szCs w:val="18"/>
                <w:color w:val="auto"/>
              </w:rPr>
              <w:t>Appointment of Authenticating Agent</w:t>
            </w:r>
          </w:p>
        </w:tc>
        <w:tc>
          <w:tcPr>
            <w:tcW w:w="52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7 HOLDERS’ LISTS AND REPORTS BY TRUSTEE AND COMPANY</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r>
      <w:tr>
        <w:trPr>
          <w:trHeight w:val="418"/>
        </w:trPr>
        <w:tc>
          <w:tcPr>
            <w:tcW w:w="2160" w:type="dxa"/>
            <w:vAlign w:val="bottom"/>
          </w:tcPr>
          <w:p>
            <w:pPr>
              <w:ind w:left="640"/>
              <w:spacing w:after="0"/>
              <w:rPr>
                <w:sz w:val="20"/>
                <w:szCs w:val="20"/>
                <w:color w:val="auto"/>
              </w:rPr>
            </w:pPr>
            <w:r>
              <w:rPr>
                <w:rFonts w:ascii="Arial" w:cs="Arial" w:eastAsia="Arial" w:hAnsi="Arial"/>
                <w:sz w:val="18"/>
                <w:szCs w:val="18"/>
                <w:color w:val="auto"/>
              </w:rPr>
              <w:t>Section 7.1</w:t>
            </w:r>
          </w:p>
        </w:tc>
        <w:tc>
          <w:tcPr>
            <w:tcW w:w="8740" w:type="dxa"/>
            <w:vAlign w:val="bottom"/>
          </w:tcPr>
          <w:p>
            <w:pPr>
              <w:ind w:left="40"/>
              <w:spacing w:after="0"/>
              <w:rPr>
                <w:sz w:val="20"/>
                <w:szCs w:val="20"/>
                <w:color w:val="auto"/>
              </w:rPr>
            </w:pPr>
            <w:r>
              <w:rPr>
                <w:rFonts w:ascii="Arial" w:cs="Arial" w:eastAsia="Arial" w:hAnsi="Arial"/>
                <w:sz w:val="18"/>
                <w:szCs w:val="18"/>
                <w:color w:val="auto"/>
              </w:rPr>
              <w:t>Company to Furnish Trustee Names and Addresses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7.2</w:t>
            </w:r>
          </w:p>
        </w:tc>
        <w:tc>
          <w:tcPr>
            <w:tcW w:w="8740" w:type="dxa"/>
            <w:vAlign w:val="bottom"/>
          </w:tcPr>
          <w:p>
            <w:pPr>
              <w:ind w:left="40"/>
              <w:spacing w:after="0"/>
              <w:rPr>
                <w:sz w:val="20"/>
                <w:szCs w:val="20"/>
                <w:color w:val="auto"/>
              </w:rPr>
            </w:pPr>
            <w:r>
              <w:rPr>
                <w:rFonts w:ascii="Arial" w:cs="Arial" w:eastAsia="Arial" w:hAnsi="Arial"/>
                <w:sz w:val="18"/>
                <w:szCs w:val="18"/>
                <w:color w:val="auto"/>
              </w:rPr>
              <w:t>Preservation of Information; Communications to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18"/>
                <w:szCs w:val="18"/>
                <w:color w:val="auto"/>
              </w:rPr>
            </w:pPr>
          </w:p>
        </w:tc>
      </w:tr>
      <w:tr>
        <w:trPr>
          <w:trHeight w:val="230"/>
        </w:trPr>
        <w:tc>
          <w:tcPr>
            <w:tcW w:w="2160" w:type="dxa"/>
            <w:vAlign w:val="bottom"/>
          </w:tcPr>
          <w:p>
            <w:pPr>
              <w:ind w:left="640"/>
              <w:spacing w:after="0"/>
              <w:rPr>
                <w:sz w:val="20"/>
                <w:szCs w:val="20"/>
                <w:color w:val="auto"/>
              </w:rPr>
            </w:pPr>
            <w:r>
              <w:rPr>
                <w:rFonts w:ascii="Arial" w:cs="Arial" w:eastAsia="Arial" w:hAnsi="Arial"/>
                <w:sz w:val="18"/>
                <w:szCs w:val="18"/>
                <w:color w:val="auto"/>
              </w:rPr>
              <w:t>Section 7.3</w:t>
            </w:r>
          </w:p>
        </w:tc>
        <w:tc>
          <w:tcPr>
            <w:tcW w:w="8740" w:type="dxa"/>
            <w:vAlign w:val="bottom"/>
          </w:tcPr>
          <w:p>
            <w:pPr>
              <w:ind w:left="40"/>
              <w:spacing w:after="0"/>
              <w:rPr>
                <w:sz w:val="20"/>
                <w:szCs w:val="20"/>
                <w:color w:val="auto"/>
              </w:rPr>
            </w:pPr>
            <w:r>
              <w:rPr>
                <w:rFonts w:ascii="Arial" w:cs="Arial" w:eastAsia="Arial" w:hAnsi="Arial"/>
                <w:sz w:val="18"/>
                <w:szCs w:val="18"/>
                <w:color w:val="auto"/>
              </w:rPr>
              <w:t>Reports by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8740" w:type="dxa"/>
            <w:vAlign w:val="bottom"/>
          </w:tcPr>
          <w:p>
            <w:pPr>
              <w:jc w:val="center"/>
              <w:ind w:right="1550"/>
              <w:spacing w:after="0"/>
              <w:rPr>
                <w:sz w:val="20"/>
                <w:szCs w:val="20"/>
                <w:color w:val="auto"/>
              </w:rPr>
            </w:pPr>
            <w:r>
              <w:rPr>
                <w:rFonts w:ascii="Arial" w:cs="Arial" w:eastAsia="Arial" w:hAnsi="Arial"/>
                <w:sz w:val="18"/>
                <w:szCs w:val="18"/>
                <w:color w:val="auto"/>
              </w:rPr>
              <w:t>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160" w:type="dxa"/>
            <w:vAlign w:val="bottom"/>
            <w:tcBorders>
              <w:bottom w:val="single" w:sz="8" w:color="010101"/>
            </w:tcBorders>
          </w:tcPr>
          <w:p>
            <w:pPr>
              <w:spacing w:after="0"/>
              <w:rPr>
                <w:sz w:val="11"/>
                <w:szCs w:val="11"/>
                <w:color w:val="auto"/>
              </w:rPr>
            </w:pPr>
          </w:p>
        </w:tc>
        <w:tc>
          <w:tcPr>
            <w:tcW w:w="874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2160" w:type="dxa"/>
            <w:vAlign w:val="bottom"/>
          </w:tcPr>
          <w:p>
            <w:pPr>
              <w:spacing w:after="0"/>
              <w:rPr>
                <w:sz w:val="24"/>
                <w:szCs w:val="24"/>
                <w:color w:val="auto"/>
              </w:rPr>
            </w:pPr>
          </w:p>
        </w:tc>
        <w:tc>
          <w:tcPr>
            <w:tcW w:w="8740" w:type="dxa"/>
            <w:vAlign w:val="bottom"/>
          </w:tcPr>
          <w:p>
            <w:pPr>
              <w:jc w:val="center"/>
              <w:ind w:right="153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8740" w:type="dxa"/>
            <w:vAlign w:val="bottom"/>
          </w:tcPr>
          <w:p>
            <w:pPr>
              <w:jc w:val="center"/>
              <w:ind w:right="1530"/>
              <w:spacing w:after="0"/>
              <w:rPr>
                <w:sz w:val="20"/>
                <w:szCs w:val="20"/>
                <w:color w:val="auto"/>
              </w:rPr>
            </w:pPr>
            <w:r>
              <w:rPr>
                <w:rFonts w:ascii="Arial" w:cs="Arial" w:eastAsia="Arial" w:hAnsi="Arial"/>
                <w:sz w:val="18"/>
                <w:szCs w:val="18"/>
                <w:b w:val="1"/>
                <w:bCs w:val="1"/>
                <w:color w:val="auto"/>
                <w:w w:val="89"/>
              </w:rPr>
              <w:t>(continued)</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8740" w:type="dxa"/>
            <w:vAlign w:val="bottom"/>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426"/>
        </w:trPr>
        <w:tc>
          <w:tcPr>
            <w:tcW w:w="2160" w:type="dxa"/>
            <w:vAlign w:val="bottom"/>
          </w:tcPr>
          <w:p>
            <w:pPr>
              <w:ind w:left="640"/>
              <w:spacing w:after="0"/>
              <w:rPr>
                <w:sz w:val="20"/>
                <w:szCs w:val="20"/>
                <w:color w:val="auto"/>
              </w:rPr>
            </w:pPr>
            <w:r>
              <w:rPr>
                <w:rFonts w:ascii="Arial" w:cs="Arial" w:eastAsia="Arial" w:hAnsi="Arial"/>
                <w:sz w:val="18"/>
                <w:szCs w:val="18"/>
                <w:color w:val="auto"/>
              </w:rPr>
              <w:t>Section 7.4</w:t>
            </w:r>
          </w:p>
        </w:tc>
        <w:tc>
          <w:tcPr>
            <w:tcW w:w="8740" w:type="dxa"/>
            <w:vAlign w:val="bottom"/>
          </w:tcPr>
          <w:p>
            <w:pPr>
              <w:ind w:left="40"/>
              <w:spacing w:after="0"/>
              <w:rPr>
                <w:sz w:val="20"/>
                <w:szCs w:val="20"/>
                <w:color w:val="auto"/>
              </w:rPr>
            </w:pPr>
            <w:r>
              <w:rPr>
                <w:rFonts w:ascii="Arial" w:cs="Arial" w:eastAsia="Arial" w:hAnsi="Arial"/>
                <w:sz w:val="18"/>
                <w:szCs w:val="18"/>
                <w:color w:val="auto"/>
              </w:rPr>
              <w:t>Reports by Company</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4"/>
                <w:szCs w:val="24"/>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8 CONSOLIDATION, MERGER, CONVEYANCE, TRANSFER OR LEASE</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4"/>
                <w:szCs w:val="24"/>
                <w:color w:val="auto"/>
              </w:rPr>
            </w:pPr>
          </w:p>
        </w:tc>
      </w:tr>
      <w:tr>
        <w:trPr>
          <w:trHeight w:val="418"/>
        </w:trPr>
        <w:tc>
          <w:tcPr>
            <w:tcW w:w="2160" w:type="dxa"/>
            <w:vAlign w:val="bottom"/>
          </w:tcPr>
          <w:p>
            <w:pPr>
              <w:ind w:left="640"/>
              <w:spacing w:after="0"/>
              <w:rPr>
                <w:sz w:val="20"/>
                <w:szCs w:val="20"/>
                <w:color w:val="auto"/>
              </w:rPr>
            </w:pPr>
            <w:r>
              <w:rPr>
                <w:rFonts w:ascii="Arial" w:cs="Arial" w:eastAsia="Arial" w:hAnsi="Arial"/>
                <w:sz w:val="18"/>
                <w:szCs w:val="18"/>
                <w:color w:val="auto"/>
              </w:rPr>
              <w:t>Section 8.1</w:t>
            </w:r>
          </w:p>
        </w:tc>
        <w:tc>
          <w:tcPr>
            <w:tcW w:w="8740" w:type="dxa"/>
            <w:vAlign w:val="bottom"/>
          </w:tcPr>
          <w:p>
            <w:pPr>
              <w:ind w:left="40"/>
              <w:spacing w:after="0"/>
              <w:rPr>
                <w:sz w:val="20"/>
                <w:szCs w:val="20"/>
                <w:color w:val="auto"/>
              </w:rPr>
            </w:pPr>
            <w:r>
              <w:rPr>
                <w:rFonts w:ascii="Arial" w:cs="Arial" w:eastAsia="Arial" w:hAnsi="Arial"/>
                <w:sz w:val="18"/>
                <w:szCs w:val="18"/>
                <w:color w:val="auto"/>
              </w:rPr>
              <w:t>Company May Consolidate, etc., Only on Certain Terms</w:t>
            </w:r>
          </w:p>
        </w:tc>
        <w:tc>
          <w:tcPr>
            <w:tcW w:w="52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24"/>
                <w:szCs w:val="24"/>
                <w:color w:val="auto"/>
              </w:rPr>
            </w:pPr>
          </w:p>
        </w:tc>
      </w:tr>
      <w:tr>
        <w:trPr>
          <w:trHeight w:val="230"/>
        </w:trPr>
        <w:tc>
          <w:tcPr>
            <w:tcW w:w="2160" w:type="dxa"/>
            <w:vAlign w:val="bottom"/>
          </w:tcPr>
          <w:p>
            <w:pPr>
              <w:ind w:left="640"/>
              <w:spacing w:after="0"/>
              <w:rPr>
                <w:sz w:val="20"/>
                <w:szCs w:val="20"/>
                <w:color w:val="auto"/>
              </w:rPr>
            </w:pPr>
            <w:r>
              <w:rPr>
                <w:rFonts w:ascii="Arial" w:cs="Arial" w:eastAsia="Arial" w:hAnsi="Arial"/>
                <w:sz w:val="18"/>
                <w:szCs w:val="18"/>
                <w:color w:val="auto"/>
              </w:rPr>
              <w:t>Section 8.2</w:t>
            </w:r>
          </w:p>
        </w:tc>
        <w:tc>
          <w:tcPr>
            <w:tcW w:w="8740" w:type="dxa"/>
            <w:vAlign w:val="bottom"/>
          </w:tcPr>
          <w:p>
            <w:pPr>
              <w:ind w:left="40"/>
              <w:spacing w:after="0"/>
              <w:rPr>
                <w:sz w:val="20"/>
                <w:szCs w:val="20"/>
                <w:color w:val="auto"/>
              </w:rPr>
            </w:pPr>
            <w:r>
              <w:rPr>
                <w:rFonts w:ascii="Arial" w:cs="Arial" w:eastAsia="Arial" w:hAnsi="Arial"/>
                <w:sz w:val="18"/>
                <w:szCs w:val="18"/>
                <w:color w:val="auto"/>
              </w:rPr>
              <w:t>Successor Substituted</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9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4"/>
                <w:szCs w:val="24"/>
                <w:color w:val="auto"/>
              </w:rPr>
            </w:pPr>
          </w:p>
        </w:tc>
      </w:tr>
      <w:tr>
        <w:trPr>
          <w:trHeight w:val="418"/>
        </w:trPr>
        <w:tc>
          <w:tcPr>
            <w:tcW w:w="2160" w:type="dxa"/>
            <w:vAlign w:val="bottom"/>
          </w:tcPr>
          <w:p>
            <w:pPr>
              <w:ind w:left="640"/>
              <w:spacing w:after="0"/>
              <w:rPr>
                <w:sz w:val="20"/>
                <w:szCs w:val="20"/>
                <w:color w:val="auto"/>
              </w:rPr>
            </w:pPr>
            <w:r>
              <w:rPr>
                <w:rFonts w:ascii="Arial" w:cs="Arial" w:eastAsia="Arial" w:hAnsi="Arial"/>
                <w:sz w:val="18"/>
                <w:szCs w:val="18"/>
                <w:color w:val="auto"/>
              </w:rPr>
              <w:t>Section 9.1</w:t>
            </w:r>
          </w:p>
        </w:tc>
        <w:tc>
          <w:tcPr>
            <w:tcW w:w="8740" w:type="dxa"/>
            <w:vAlign w:val="bottom"/>
          </w:tcPr>
          <w:p>
            <w:pPr>
              <w:ind w:left="40"/>
              <w:spacing w:after="0"/>
              <w:rPr>
                <w:sz w:val="20"/>
                <w:szCs w:val="20"/>
                <w:color w:val="auto"/>
              </w:rPr>
            </w:pPr>
            <w:r>
              <w:rPr>
                <w:rFonts w:ascii="Arial" w:cs="Arial" w:eastAsia="Arial" w:hAnsi="Arial"/>
                <w:sz w:val="18"/>
                <w:szCs w:val="18"/>
                <w:color w:val="auto"/>
              </w:rPr>
              <w:t>Supplemental Indentures Without Consent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24"/>
                <w:szCs w:val="24"/>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9.2</w:t>
            </w:r>
          </w:p>
        </w:tc>
        <w:tc>
          <w:tcPr>
            <w:tcW w:w="8740" w:type="dxa"/>
            <w:vAlign w:val="bottom"/>
          </w:tcPr>
          <w:p>
            <w:pPr>
              <w:ind w:left="40"/>
              <w:spacing w:after="0"/>
              <w:rPr>
                <w:sz w:val="20"/>
                <w:szCs w:val="20"/>
                <w:color w:val="auto"/>
              </w:rPr>
            </w:pPr>
            <w:r>
              <w:rPr>
                <w:rFonts w:ascii="Arial" w:cs="Arial" w:eastAsia="Arial" w:hAnsi="Arial"/>
                <w:sz w:val="18"/>
                <w:szCs w:val="18"/>
                <w:color w:val="auto"/>
              </w:rPr>
              <w:t>Supplemental Indentures with Consent of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9.3</w:t>
            </w:r>
          </w:p>
        </w:tc>
        <w:tc>
          <w:tcPr>
            <w:tcW w:w="8740" w:type="dxa"/>
            <w:vAlign w:val="bottom"/>
          </w:tcPr>
          <w:p>
            <w:pPr>
              <w:ind w:left="40"/>
              <w:spacing w:after="0"/>
              <w:rPr>
                <w:sz w:val="20"/>
                <w:szCs w:val="20"/>
                <w:color w:val="auto"/>
              </w:rPr>
            </w:pPr>
            <w:r>
              <w:rPr>
                <w:rFonts w:ascii="Arial" w:cs="Arial" w:eastAsia="Arial" w:hAnsi="Arial"/>
                <w:sz w:val="18"/>
                <w:szCs w:val="18"/>
                <w:color w:val="auto"/>
              </w:rPr>
              <w:t>Execution of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9.4</w:t>
            </w:r>
          </w:p>
        </w:tc>
        <w:tc>
          <w:tcPr>
            <w:tcW w:w="8740" w:type="dxa"/>
            <w:vAlign w:val="bottom"/>
          </w:tcPr>
          <w:p>
            <w:pPr>
              <w:ind w:left="40"/>
              <w:spacing w:after="0"/>
              <w:rPr>
                <w:sz w:val="20"/>
                <w:szCs w:val="20"/>
                <w:color w:val="auto"/>
              </w:rPr>
            </w:pPr>
            <w:r>
              <w:rPr>
                <w:rFonts w:ascii="Arial" w:cs="Arial" w:eastAsia="Arial" w:hAnsi="Arial"/>
                <w:sz w:val="18"/>
                <w:szCs w:val="18"/>
                <w:color w:val="auto"/>
              </w:rPr>
              <w:t>Effect of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9.5</w:t>
            </w:r>
          </w:p>
        </w:tc>
        <w:tc>
          <w:tcPr>
            <w:tcW w:w="8740" w:type="dxa"/>
            <w:vAlign w:val="bottom"/>
          </w:tcPr>
          <w:p>
            <w:pPr>
              <w:ind w:left="40"/>
              <w:spacing w:after="0"/>
              <w:rPr>
                <w:sz w:val="20"/>
                <w:szCs w:val="20"/>
                <w:color w:val="auto"/>
              </w:rPr>
            </w:pPr>
            <w:r>
              <w:rPr>
                <w:rFonts w:ascii="Arial" w:cs="Arial" w:eastAsia="Arial" w:hAnsi="Arial"/>
                <w:sz w:val="18"/>
                <w:szCs w:val="18"/>
                <w:color w:val="auto"/>
              </w:rPr>
              <w:t>Conformity with Trust Indenture Act</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9.6</w:t>
            </w:r>
          </w:p>
        </w:tc>
        <w:tc>
          <w:tcPr>
            <w:tcW w:w="8740" w:type="dxa"/>
            <w:vAlign w:val="bottom"/>
          </w:tcPr>
          <w:p>
            <w:pPr>
              <w:ind w:left="40"/>
              <w:spacing w:after="0"/>
              <w:rPr>
                <w:sz w:val="20"/>
                <w:szCs w:val="20"/>
                <w:color w:val="auto"/>
              </w:rPr>
            </w:pPr>
            <w:r>
              <w:rPr>
                <w:rFonts w:ascii="Arial" w:cs="Arial" w:eastAsia="Arial" w:hAnsi="Arial"/>
                <w:sz w:val="18"/>
                <w:szCs w:val="18"/>
                <w:color w:val="auto"/>
              </w:rPr>
              <w:t>Reference in Securities to Supplemental Indentures</w:t>
            </w:r>
          </w:p>
        </w:tc>
        <w:tc>
          <w:tcPr>
            <w:tcW w:w="52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30"/>
        </w:trPr>
        <w:tc>
          <w:tcPr>
            <w:tcW w:w="2160" w:type="dxa"/>
            <w:vAlign w:val="bottom"/>
          </w:tcPr>
          <w:p>
            <w:pPr>
              <w:ind w:left="640"/>
              <w:spacing w:after="0"/>
              <w:rPr>
                <w:sz w:val="20"/>
                <w:szCs w:val="20"/>
                <w:color w:val="auto"/>
              </w:rPr>
            </w:pPr>
            <w:r>
              <w:rPr>
                <w:rFonts w:ascii="Arial" w:cs="Arial" w:eastAsia="Arial" w:hAnsi="Arial"/>
                <w:sz w:val="18"/>
                <w:szCs w:val="18"/>
                <w:color w:val="auto"/>
              </w:rPr>
              <w:t>Section 9.7</w:t>
            </w:r>
          </w:p>
        </w:tc>
        <w:tc>
          <w:tcPr>
            <w:tcW w:w="8740" w:type="dxa"/>
            <w:vAlign w:val="bottom"/>
          </w:tcPr>
          <w:p>
            <w:pPr>
              <w:ind w:left="40"/>
              <w:spacing w:after="0"/>
              <w:rPr>
                <w:sz w:val="20"/>
                <w:szCs w:val="20"/>
                <w:color w:val="auto"/>
              </w:rPr>
            </w:pPr>
            <w:r>
              <w:rPr>
                <w:rFonts w:ascii="Arial" w:cs="Arial" w:eastAsia="Arial" w:hAnsi="Arial"/>
                <w:sz w:val="18"/>
                <w:szCs w:val="18"/>
                <w:color w:val="auto"/>
              </w:rPr>
              <w:t>Subordination Unimpaired</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0"/>
                <w:szCs w:val="20"/>
                <w:color w:val="auto"/>
              </w:rPr>
            </w:pPr>
          </w:p>
        </w:tc>
      </w:tr>
      <w:tr>
        <w:trPr>
          <w:trHeight w:val="432"/>
        </w:trPr>
        <w:tc>
          <w:tcPr>
            <w:tcW w:w="2160" w:type="dxa"/>
            <w:vAlign w:val="bottom"/>
          </w:tcPr>
          <w:p>
            <w:pPr>
              <w:ind w:left="20"/>
              <w:spacing w:after="0"/>
              <w:rPr>
                <w:sz w:val="20"/>
                <w:szCs w:val="20"/>
                <w:color w:val="auto"/>
              </w:rPr>
            </w:pPr>
            <w:r>
              <w:rPr>
                <w:rFonts w:ascii="Arial" w:cs="Arial" w:eastAsia="Arial" w:hAnsi="Arial"/>
                <w:sz w:val="18"/>
                <w:szCs w:val="18"/>
                <w:color w:val="auto"/>
                <w:w w:val="97"/>
              </w:rPr>
              <w:t>ARTICLE 10 COVENANTS</w:t>
            </w:r>
          </w:p>
        </w:tc>
        <w:tc>
          <w:tcPr>
            <w:tcW w:w="87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r>
      <w:tr>
        <w:trPr>
          <w:trHeight w:val="418"/>
        </w:trPr>
        <w:tc>
          <w:tcPr>
            <w:tcW w:w="2160" w:type="dxa"/>
            <w:vAlign w:val="bottom"/>
          </w:tcPr>
          <w:p>
            <w:pPr>
              <w:ind w:left="640"/>
              <w:spacing w:after="0"/>
              <w:rPr>
                <w:sz w:val="20"/>
                <w:szCs w:val="20"/>
                <w:color w:val="auto"/>
              </w:rPr>
            </w:pPr>
            <w:r>
              <w:rPr>
                <w:rFonts w:ascii="Arial" w:cs="Arial" w:eastAsia="Arial" w:hAnsi="Arial"/>
                <w:sz w:val="18"/>
                <w:szCs w:val="18"/>
                <w:color w:val="auto"/>
              </w:rPr>
              <w:t>Section 10.1</w:t>
            </w:r>
          </w:p>
        </w:tc>
        <w:tc>
          <w:tcPr>
            <w:tcW w:w="8740" w:type="dxa"/>
            <w:vAlign w:val="bottom"/>
          </w:tcPr>
          <w:p>
            <w:pPr>
              <w:ind w:left="40"/>
              <w:spacing w:after="0"/>
              <w:rPr>
                <w:sz w:val="20"/>
                <w:szCs w:val="20"/>
                <w:color w:val="auto"/>
              </w:rPr>
            </w:pPr>
            <w:r>
              <w:rPr>
                <w:rFonts w:ascii="Arial" w:cs="Arial" w:eastAsia="Arial" w:hAnsi="Arial"/>
                <w:sz w:val="18"/>
                <w:szCs w:val="18"/>
                <w:color w:val="auto"/>
              </w:rPr>
              <w:t>Payment of Principal, Premium and Interest</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10.2</w:t>
            </w:r>
          </w:p>
        </w:tc>
        <w:tc>
          <w:tcPr>
            <w:tcW w:w="8740" w:type="dxa"/>
            <w:vAlign w:val="bottom"/>
          </w:tcPr>
          <w:p>
            <w:pPr>
              <w:ind w:left="40"/>
              <w:spacing w:after="0"/>
              <w:rPr>
                <w:sz w:val="20"/>
                <w:szCs w:val="20"/>
                <w:color w:val="auto"/>
              </w:rPr>
            </w:pPr>
            <w:r>
              <w:rPr>
                <w:rFonts w:ascii="Arial" w:cs="Arial" w:eastAsia="Arial" w:hAnsi="Arial"/>
                <w:sz w:val="18"/>
                <w:szCs w:val="18"/>
                <w:color w:val="auto"/>
              </w:rPr>
              <w:t>Maintenance of Office or Agency</w:t>
            </w:r>
          </w:p>
        </w:tc>
        <w:tc>
          <w:tcPr>
            <w:tcW w:w="52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r>
      <w:tr>
        <w:trPr>
          <w:trHeight w:val="216"/>
        </w:trPr>
        <w:tc>
          <w:tcPr>
            <w:tcW w:w="2160" w:type="dxa"/>
            <w:vAlign w:val="bottom"/>
          </w:tcPr>
          <w:p>
            <w:pPr>
              <w:ind w:left="640"/>
              <w:spacing w:after="0"/>
              <w:rPr>
                <w:sz w:val="20"/>
                <w:szCs w:val="20"/>
                <w:color w:val="auto"/>
              </w:rPr>
            </w:pPr>
            <w:r>
              <w:rPr>
                <w:rFonts w:ascii="Arial" w:cs="Arial" w:eastAsia="Arial" w:hAnsi="Arial"/>
                <w:sz w:val="18"/>
                <w:szCs w:val="18"/>
                <w:color w:val="auto"/>
              </w:rPr>
              <w:t>Section 10.3</w:t>
            </w:r>
          </w:p>
        </w:tc>
        <w:tc>
          <w:tcPr>
            <w:tcW w:w="8740" w:type="dxa"/>
            <w:vAlign w:val="bottom"/>
          </w:tcPr>
          <w:p>
            <w:pPr>
              <w:ind w:left="40"/>
              <w:spacing w:after="0"/>
              <w:rPr>
                <w:sz w:val="20"/>
                <w:szCs w:val="20"/>
                <w:color w:val="auto"/>
              </w:rPr>
            </w:pPr>
            <w:r>
              <w:rPr>
                <w:rFonts w:ascii="Arial" w:cs="Arial" w:eastAsia="Arial" w:hAnsi="Arial"/>
                <w:sz w:val="18"/>
                <w:szCs w:val="18"/>
                <w:color w:val="auto"/>
              </w:rPr>
              <w:t>Money for Securities Payments to be Held in Trust</w:t>
            </w:r>
          </w:p>
        </w:tc>
        <w:tc>
          <w:tcPr>
            <w:tcW w:w="52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30"/>
        </w:trPr>
        <w:tc>
          <w:tcPr>
            <w:tcW w:w="2160" w:type="dxa"/>
            <w:vAlign w:val="bottom"/>
          </w:tcPr>
          <w:p>
            <w:pPr>
              <w:ind w:left="640"/>
              <w:spacing w:after="0"/>
              <w:rPr>
                <w:sz w:val="20"/>
                <w:szCs w:val="20"/>
                <w:color w:val="auto"/>
              </w:rPr>
            </w:pPr>
            <w:r>
              <w:rPr>
                <w:rFonts w:ascii="Arial" w:cs="Arial" w:eastAsia="Arial" w:hAnsi="Arial"/>
                <w:sz w:val="18"/>
                <w:szCs w:val="18"/>
                <w:color w:val="auto"/>
              </w:rPr>
              <w:t>Section 10.4</w:t>
            </w:r>
          </w:p>
        </w:tc>
        <w:tc>
          <w:tcPr>
            <w:tcW w:w="8740" w:type="dxa"/>
            <w:vAlign w:val="bottom"/>
          </w:tcPr>
          <w:p>
            <w:pPr>
              <w:ind w:left="40"/>
              <w:spacing w:after="0"/>
              <w:rPr>
                <w:sz w:val="20"/>
                <w:szCs w:val="20"/>
                <w:color w:val="auto"/>
              </w:rPr>
            </w:pPr>
            <w:r>
              <w:rPr>
                <w:rFonts w:ascii="Arial" w:cs="Arial" w:eastAsia="Arial" w:hAnsi="Arial"/>
                <w:sz w:val="18"/>
                <w:szCs w:val="18"/>
                <w:color w:val="auto"/>
              </w:rPr>
              <w:t>Statement by Officers as to Default</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-4194810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-4194810</wp:posOffset>
            </wp:positionV>
            <wp:extent cx="1270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10.5</w:t>
            </w:r>
          </w:p>
        </w:tc>
        <w:tc>
          <w:tcPr>
            <w:tcW w:w="8980" w:type="dxa"/>
            <w:vAlign w:val="bottom"/>
          </w:tcPr>
          <w:p>
            <w:pPr>
              <w:ind w:left="280"/>
              <w:spacing w:after="0"/>
              <w:rPr>
                <w:sz w:val="20"/>
                <w:szCs w:val="20"/>
                <w:color w:val="auto"/>
              </w:rPr>
            </w:pPr>
            <w:r>
              <w:rPr>
                <w:rFonts w:ascii="Arial" w:cs="Arial" w:eastAsia="Arial" w:hAnsi="Arial"/>
                <w:sz w:val="18"/>
                <w:szCs w:val="18"/>
                <w:color w:val="auto"/>
              </w:rPr>
              <w:t>Existence</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10.6</w:t>
            </w:r>
          </w:p>
        </w:tc>
        <w:tc>
          <w:tcPr>
            <w:tcW w:w="8980" w:type="dxa"/>
            <w:vAlign w:val="bottom"/>
          </w:tcPr>
          <w:p>
            <w:pPr>
              <w:ind w:left="280"/>
              <w:spacing w:after="0"/>
              <w:rPr>
                <w:sz w:val="20"/>
                <w:szCs w:val="20"/>
                <w:color w:val="auto"/>
              </w:rPr>
            </w:pPr>
            <w:r>
              <w:rPr>
                <w:rFonts w:ascii="Arial" w:cs="Arial" w:eastAsia="Arial" w:hAnsi="Arial"/>
                <w:sz w:val="18"/>
                <w:szCs w:val="18"/>
                <w:color w:val="auto"/>
              </w:rPr>
              <w:t>Maintenance of Properties</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10.7</w:t>
            </w:r>
          </w:p>
        </w:tc>
        <w:tc>
          <w:tcPr>
            <w:tcW w:w="8980" w:type="dxa"/>
            <w:vAlign w:val="bottom"/>
          </w:tcPr>
          <w:p>
            <w:pPr>
              <w:ind w:left="280"/>
              <w:spacing w:after="0"/>
              <w:rPr>
                <w:sz w:val="20"/>
                <w:szCs w:val="20"/>
                <w:color w:val="auto"/>
              </w:rPr>
            </w:pPr>
            <w:r>
              <w:rPr>
                <w:rFonts w:ascii="Arial" w:cs="Arial" w:eastAsia="Arial" w:hAnsi="Arial"/>
                <w:sz w:val="18"/>
                <w:szCs w:val="18"/>
                <w:color w:val="auto"/>
              </w:rPr>
              <w:t>Payment of Taxes and Other Claims</w:t>
            </w: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30"/>
        </w:trPr>
        <w:tc>
          <w:tcPr>
            <w:tcW w:w="1920" w:type="dxa"/>
            <w:vAlign w:val="bottom"/>
          </w:tcPr>
          <w:p>
            <w:pPr>
              <w:ind w:left="640"/>
              <w:spacing w:after="0"/>
              <w:rPr>
                <w:sz w:val="20"/>
                <w:szCs w:val="20"/>
                <w:color w:val="auto"/>
              </w:rPr>
            </w:pPr>
            <w:r>
              <w:rPr>
                <w:rFonts w:ascii="Arial" w:cs="Arial" w:eastAsia="Arial" w:hAnsi="Arial"/>
                <w:sz w:val="18"/>
                <w:szCs w:val="18"/>
                <w:color w:val="auto"/>
              </w:rPr>
              <w:t>Section 10.8</w:t>
            </w:r>
          </w:p>
        </w:tc>
        <w:tc>
          <w:tcPr>
            <w:tcW w:w="8980" w:type="dxa"/>
            <w:vAlign w:val="bottom"/>
          </w:tcPr>
          <w:p>
            <w:pPr>
              <w:ind w:left="280"/>
              <w:spacing w:after="0"/>
              <w:rPr>
                <w:sz w:val="20"/>
                <w:szCs w:val="20"/>
                <w:color w:val="auto"/>
              </w:rPr>
            </w:pPr>
            <w:r>
              <w:rPr>
                <w:rFonts w:ascii="Arial" w:cs="Arial" w:eastAsia="Arial" w:hAnsi="Arial"/>
                <w:sz w:val="18"/>
                <w:szCs w:val="18"/>
                <w:color w:val="auto"/>
              </w:rPr>
              <w:t>Waiver of Certain Covenants</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11 REDEMPTION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4"/>
                <w:szCs w:val="24"/>
                <w:color w:val="auto"/>
              </w:rPr>
            </w:pPr>
          </w:p>
        </w:tc>
      </w:tr>
      <w:tr>
        <w:trPr>
          <w:trHeight w:val="418"/>
        </w:trPr>
        <w:tc>
          <w:tcPr>
            <w:tcW w:w="1920" w:type="dxa"/>
            <w:vAlign w:val="bottom"/>
          </w:tcPr>
          <w:p>
            <w:pPr>
              <w:ind w:left="640"/>
              <w:spacing w:after="0"/>
              <w:rPr>
                <w:sz w:val="20"/>
                <w:szCs w:val="20"/>
                <w:color w:val="auto"/>
              </w:rPr>
            </w:pPr>
            <w:r>
              <w:rPr>
                <w:rFonts w:ascii="Arial" w:cs="Arial" w:eastAsia="Arial" w:hAnsi="Arial"/>
                <w:sz w:val="18"/>
                <w:szCs w:val="18"/>
                <w:color w:val="auto"/>
              </w:rPr>
              <w:t>Section 11.1</w:t>
            </w:r>
          </w:p>
        </w:tc>
        <w:tc>
          <w:tcPr>
            <w:tcW w:w="898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24"/>
                <w:szCs w:val="24"/>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11.2</w:t>
            </w:r>
          </w:p>
        </w:tc>
        <w:tc>
          <w:tcPr>
            <w:tcW w:w="8980" w:type="dxa"/>
            <w:vAlign w:val="bottom"/>
          </w:tcPr>
          <w:p>
            <w:pPr>
              <w:ind w:left="280"/>
              <w:spacing w:after="0"/>
              <w:rPr>
                <w:sz w:val="20"/>
                <w:szCs w:val="20"/>
                <w:color w:val="auto"/>
              </w:rPr>
            </w:pPr>
            <w:r>
              <w:rPr>
                <w:rFonts w:ascii="Arial" w:cs="Arial" w:eastAsia="Arial" w:hAnsi="Arial"/>
                <w:sz w:val="18"/>
                <w:szCs w:val="18"/>
                <w:color w:val="auto"/>
              </w:rPr>
              <w:t>Election to Redeem; Notice to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11.3</w:t>
            </w:r>
          </w:p>
        </w:tc>
        <w:tc>
          <w:tcPr>
            <w:tcW w:w="8980" w:type="dxa"/>
            <w:vAlign w:val="bottom"/>
          </w:tcPr>
          <w:p>
            <w:pPr>
              <w:ind w:left="280"/>
              <w:spacing w:after="0"/>
              <w:rPr>
                <w:sz w:val="20"/>
                <w:szCs w:val="20"/>
                <w:color w:val="auto"/>
              </w:rPr>
            </w:pPr>
            <w:r>
              <w:rPr>
                <w:rFonts w:ascii="Arial" w:cs="Arial" w:eastAsia="Arial" w:hAnsi="Arial"/>
                <w:sz w:val="18"/>
                <w:szCs w:val="18"/>
                <w:color w:val="auto"/>
              </w:rPr>
              <w:t>Selection by Trustee of Securities to Be Redeemed</w:t>
            </w: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11.4</w:t>
            </w:r>
          </w:p>
        </w:tc>
        <w:tc>
          <w:tcPr>
            <w:tcW w:w="8980" w:type="dxa"/>
            <w:vAlign w:val="bottom"/>
          </w:tcPr>
          <w:p>
            <w:pPr>
              <w:ind w:left="280"/>
              <w:spacing w:after="0"/>
              <w:rPr>
                <w:sz w:val="20"/>
                <w:szCs w:val="20"/>
                <w:color w:val="auto"/>
              </w:rPr>
            </w:pPr>
            <w:r>
              <w:rPr>
                <w:rFonts w:ascii="Arial" w:cs="Arial" w:eastAsia="Arial" w:hAnsi="Arial"/>
                <w:sz w:val="18"/>
                <w:szCs w:val="18"/>
                <w:color w:val="auto"/>
              </w:rPr>
              <w:t>Notice of Redemption</w:t>
            </w:r>
          </w:p>
        </w:tc>
        <w:tc>
          <w:tcPr>
            <w:tcW w:w="52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11.5</w:t>
            </w:r>
          </w:p>
        </w:tc>
        <w:tc>
          <w:tcPr>
            <w:tcW w:w="8980" w:type="dxa"/>
            <w:vAlign w:val="bottom"/>
          </w:tcPr>
          <w:p>
            <w:pPr>
              <w:ind w:left="280"/>
              <w:spacing w:after="0"/>
              <w:rPr>
                <w:sz w:val="20"/>
                <w:szCs w:val="20"/>
                <w:color w:val="auto"/>
              </w:rPr>
            </w:pPr>
            <w:r>
              <w:rPr>
                <w:rFonts w:ascii="Arial" w:cs="Arial" w:eastAsia="Arial" w:hAnsi="Arial"/>
                <w:sz w:val="18"/>
                <w:szCs w:val="18"/>
                <w:color w:val="auto"/>
              </w:rPr>
              <w:t>Deposit of Redemption Price</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11.6</w:t>
            </w:r>
          </w:p>
        </w:tc>
        <w:tc>
          <w:tcPr>
            <w:tcW w:w="8980" w:type="dxa"/>
            <w:vAlign w:val="bottom"/>
          </w:tcPr>
          <w:p>
            <w:pPr>
              <w:ind w:left="280"/>
              <w:spacing w:after="0"/>
              <w:rPr>
                <w:sz w:val="20"/>
                <w:szCs w:val="20"/>
                <w:color w:val="auto"/>
              </w:rPr>
            </w:pPr>
            <w:r>
              <w:rPr>
                <w:rFonts w:ascii="Arial" w:cs="Arial" w:eastAsia="Arial" w:hAnsi="Arial"/>
                <w:sz w:val="18"/>
                <w:szCs w:val="18"/>
                <w:color w:val="auto"/>
              </w:rPr>
              <w:t>Securities Payable on Redemption Date</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r>
      <w:tr>
        <w:trPr>
          <w:trHeight w:val="230"/>
        </w:trPr>
        <w:tc>
          <w:tcPr>
            <w:tcW w:w="1920" w:type="dxa"/>
            <w:vAlign w:val="bottom"/>
          </w:tcPr>
          <w:p>
            <w:pPr>
              <w:ind w:left="640"/>
              <w:spacing w:after="0"/>
              <w:rPr>
                <w:sz w:val="20"/>
                <w:szCs w:val="20"/>
                <w:color w:val="auto"/>
              </w:rPr>
            </w:pPr>
            <w:r>
              <w:rPr>
                <w:rFonts w:ascii="Arial" w:cs="Arial" w:eastAsia="Arial" w:hAnsi="Arial"/>
                <w:sz w:val="18"/>
                <w:szCs w:val="18"/>
                <w:color w:val="auto"/>
              </w:rPr>
              <w:t>Section 11.7</w:t>
            </w:r>
          </w:p>
        </w:tc>
        <w:tc>
          <w:tcPr>
            <w:tcW w:w="8980" w:type="dxa"/>
            <w:vAlign w:val="bottom"/>
          </w:tcPr>
          <w:p>
            <w:pPr>
              <w:ind w:left="280"/>
              <w:spacing w:after="0"/>
              <w:rPr>
                <w:sz w:val="20"/>
                <w:szCs w:val="20"/>
                <w:color w:val="auto"/>
              </w:rPr>
            </w:pPr>
            <w:r>
              <w:rPr>
                <w:rFonts w:ascii="Arial" w:cs="Arial" w:eastAsia="Arial" w:hAnsi="Arial"/>
                <w:sz w:val="18"/>
                <w:szCs w:val="18"/>
                <w:color w:val="auto"/>
              </w:rPr>
              <w:t>Securities Redeemed in Part</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12 SINKING FUNDS</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r>
      <w:tr>
        <w:trPr>
          <w:trHeight w:val="418"/>
        </w:trPr>
        <w:tc>
          <w:tcPr>
            <w:tcW w:w="1920" w:type="dxa"/>
            <w:vAlign w:val="bottom"/>
          </w:tcPr>
          <w:p>
            <w:pPr>
              <w:ind w:left="640"/>
              <w:spacing w:after="0"/>
              <w:rPr>
                <w:sz w:val="20"/>
                <w:szCs w:val="20"/>
                <w:color w:val="auto"/>
              </w:rPr>
            </w:pPr>
            <w:r>
              <w:rPr>
                <w:rFonts w:ascii="Arial" w:cs="Arial" w:eastAsia="Arial" w:hAnsi="Arial"/>
                <w:sz w:val="18"/>
                <w:szCs w:val="18"/>
                <w:color w:val="auto"/>
              </w:rPr>
              <w:t>Section 12.1</w:t>
            </w:r>
          </w:p>
        </w:tc>
        <w:tc>
          <w:tcPr>
            <w:tcW w:w="898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24"/>
                <w:szCs w:val="24"/>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12.2</w:t>
            </w:r>
          </w:p>
        </w:tc>
        <w:tc>
          <w:tcPr>
            <w:tcW w:w="8980" w:type="dxa"/>
            <w:vAlign w:val="bottom"/>
          </w:tcPr>
          <w:p>
            <w:pPr>
              <w:ind w:left="280"/>
              <w:spacing w:after="0"/>
              <w:rPr>
                <w:sz w:val="20"/>
                <w:szCs w:val="20"/>
                <w:color w:val="auto"/>
              </w:rPr>
            </w:pPr>
            <w:r>
              <w:rPr>
                <w:rFonts w:ascii="Arial" w:cs="Arial" w:eastAsia="Arial" w:hAnsi="Arial"/>
                <w:sz w:val="18"/>
                <w:szCs w:val="18"/>
                <w:color w:val="auto"/>
              </w:rPr>
              <w:t>Satisfaction of Sinking Fund Payments with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r>
      <w:tr>
        <w:trPr>
          <w:trHeight w:val="230"/>
        </w:trPr>
        <w:tc>
          <w:tcPr>
            <w:tcW w:w="1920" w:type="dxa"/>
            <w:vAlign w:val="bottom"/>
          </w:tcPr>
          <w:p>
            <w:pPr>
              <w:ind w:left="640"/>
              <w:spacing w:after="0"/>
              <w:rPr>
                <w:sz w:val="20"/>
                <w:szCs w:val="20"/>
                <w:color w:val="auto"/>
              </w:rPr>
            </w:pPr>
            <w:r>
              <w:rPr>
                <w:rFonts w:ascii="Arial" w:cs="Arial" w:eastAsia="Arial" w:hAnsi="Arial"/>
                <w:sz w:val="18"/>
                <w:szCs w:val="18"/>
                <w:color w:val="auto"/>
              </w:rPr>
              <w:t>Section 12.3</w:t>
            </w:r>
          </w:p>
        </w:tc>
        <w:tc>
          <w:tcPr>
            <w:tcW w:w="8980" w:type="dxa"/>
            <w:vAlign w:val="bottom"/>
          </w:tcPr>
          <w:p>
            <w:pPr>
              <w:ind w:left="280"/>
              <w:spacing w:after="0"/>
              <w:rPr>
                <w:sz w:val="20"/>
                <w:szCs w:val="20"/>
                <w:color w:val="auto"/>
              </w:rPr>
            </w:pPr>
            <w:r>
              <w:rPr>
                <w:rFonts w:ascii="Arial" w:cs="Arial" w:eastAsia="Arial" w:hAnsi="Arial"/>
                <w:sz w:val="18"/>
                <w:szCs w:val="18"/>
                <w:color w:val="auto"/>
              </w:rPr>
              <w:t>Redemption of Securities for Sinking Fund</w:t>
            </w: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0"/>
                <w:szCs w:val="20"/>
                <w:color w:val="auto"/>
              </w:rPr>
            </w:pPr>
          </w:p>
        </w:tc>
      </w:tr>
      <w:tr>
        <w:trPr>
          <w:trHeight w:val="432"/>
        </w:trPr>
        <w:tc>
          <w:tcPr>
            <w:tcW w:w="1920" w:type="dxa"/>
            <w:vAlign w:val="bottom"/>
          </w:tcPr>
          <w:p>
            <w:pPr>
              <w:spacing w:after="0"/>
              <w:rPr>
                <w:sz w:val="24"/>
                <w:szCs w:val="24"/>
                <w:color w:val="auto"/>
              </w:rPr>
            </w:pPr>
          </w:p>
        </w:tc>
        <w:tc>
          <w:tcPr>
            <w:tcW w:w="8980" w:type="dxa"/>
            <w:vAlign w:val="bottom"/>
          </w:tcPr>
          <w:p>
            <w:pPr>
              <w:jc w:val="center"/>
              <w:ind w:right="1310"/>
              <w:spacing w:after="0"/>
              <w:rPr>
                <w:sz w:val="20"/>
                <w:szCs w:val="20"/>
                <w:color w:val="auto"/>
              </w:rPr>
            </w:pPr>
            <w:r>
              <w:rPr>
                <w:rFonts w:ascii="Arial" w:cs="Arial" w:eastAsia="Arial" w:hAnsi="Arial"/>
                <w:sz w:val="18"/>
                <w:szCs w:val="18"/>
                <w:color w:val="auto"/>
              </w:rPr>
              <w:t>iii</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20" w:type="dxa"/>
            <w:vAlign w:val="bottom"/>
            <w:tcBorders>
              <w:bottom w:val="single" w:sz="8" w:color="010101"/>
            </w:tcBorders>
          </w:tcPr>
          <w:p>
            <w:pPr>
              <w:spacing w:after="0"/>
              <w:rPr>
                <w:sz w:val="11"/>
                <w:szCs w:val="11"/>
                <w:color w:val="auto"/>
              </w:rPr>
            </w:pPr>
          </w:p>
        </w:tc>
        <w:tc>
          <w:tcPr>
            <w:tcW w:w="89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1920" w:type="dxa"/>
            <w:vAlign w:val="bottom"/>
          </w:tcPr>
          <w:p>
            <w:pPr>
              <w:spacing w:after="0"/>
              <w:rPr>
                <w:sz w:val="24"/>
                <w:szCs w:val="24"/>
                <w:color w:val="auto"/>
              </w:rPr>
            </w:pPr>
          </w:p>
        </w:tc>
        <w:tc>
          <w:tcPr>
            <w:tcW w:w="8980" w:type="dxa"/>
            <w:vAlign w:val="bottom"/>
          </w:tcPr>
          <w:p>
            <w:pPr>
              <w:jc w:val="center"/>
              <w:ind w:right="129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920" w:type="dxa"/>
            <w:vAlign w:val="bottom"/>
          </w:tcPr>
          <w:p>
            <w:pPr>
              <w:spacing w:after="0"/>
              <w:rPr>
                <w:sz w:val="20"/>
                <w:szCs w:val="20"/>
                <w:color w:val="auto"/>
              </w:rPr>
            </w:pPr>
          </w:p>
        </w:tc>
        <w:tc>
          <w:tcPr>
            <w:tcW w:w="8980" w:type="dxa"/>
            <w:vAlign w:val="bottom"/>
          </w:tcPr>
          <w:p>
            <w:pPr>
              <w:jc w:val="center"/>
              <w:ind w:right="1290"/>
              <w:spacing w:after="0"/>
              <w:rPr>
                <w:sz w:val="20"/>
                <w:szCs w:val="20"/>
                <w:color w:val="auto"/>
              </w:rPr>
            </w:pPr>
            <w:r>
              <w:rPr>
                <w:rFonts w:ascii="Arial" w:cs="Arial" w:eastAsia="Arial" w:hAnsi="Arial"/>
                <w:sz w:val="18"/>
                <w:szCs w:val="18"/>
                <w:b w:val="1"/>
                <w:bCs w:val="1"/>
                <w:color w:val="auto"/>
                <w:w w:val="89"/>
              </w:rPr>
              <w:t>(continued)</w:t>
            </w:r>
          </w:p>
        </w:tc>
        <w:tc>
          <w:tcPr>
            <w:tcW w:w="5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Page</w:t>
            </w:r>
          </w:p>
        </w:tc>
      </w:tr>
      <w:tr>
        <w:trPr>
          <w:trHeight w:val="426"/>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13 DEFEASANCE AND COVENANT DEFEASANCE</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r>
      <w:tr>
        <w:trPr>
          <w:trHeight w:val="418"/>
        </w:trPr>
        <w:tc>
          <w:tcPr>
            <w:tcW w:w="1920" w:type="dxa"/>
            <w:vAlign w:val="bottom"/>
          </w:tcPr>
          <w:p>
            <w:pPr>
              <w:ind w:left="640"/>
              <w:spacing w:after="0"/>
              <w:rPr>
                <w:sz w:val="20"/>
                <w:szCs w:val="20"/>
                <w:color w:val="auto"/>
              </w:rPr>
            </w:pPr>
            <w:r>
              <w:rPr>
                <w:rFonts w:ascii="Arial" w:cs="Arial" w:eastAsia="Arial" w:hAnsi="Arial"/>
                <w:sz w:val="18"/>
                <w:szCs w:val="18"/>
                <w:color w:val="auto"/>
              </w:rPr>
              <w:t>Section 13.1</w:t>
            </w:r>
          </w:p>
        </w:tc>
        <w:tc>
          <w:tcPr>
            <w:tcW w:w="8980" w:type="dxa"/>
            <w:vAlign w:val="bottom"/>
          </w:tcPr>
          <w:p>
            <w:pPr>
              <w:ind w:left="280"/>
              <w:spacing w:after="0"/>
              <w:rPr>
                <w:sz w:val="20"/>
                <w:szCs w:val="20"/>
                <w:color w:val="auto"/>
              </w:rPr>
            </w:pPr>
            <w:r>
              <w:rPr>
                <w:rFonts w:ascii="Arial" w:cs="Arial" w:eastAsia="Arial" w:hAnsi="Arial"/>
                <w:sz w:val="18"/>
                <w:szCs w:val="18"/>
                <w:color w:val="auto"/>
              </w:rPr>
              <w:t>Company’s Option to Effect Defeasance or Covenant Defeasance</w:t>
            </w: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24"/>
                <w:szCs w:val="24"/>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13.2</w:t>
            </w:r>
          </w:p>
        </w:tc>
        <w:tc>
          <w:tcPr>
            <w:tcW w:w="8980" w:type="dxa"/>
            <w:vAlign w:val="bottom"/>
          </w:tcPr>
          <w:p>
            <w:pPr>
              <w:ind w:left="280"/>
              <w:spacing w:after="0"/>
              <w:rPr>
                <w:sz w:val="20"/>
                <w:szCs w:val="20"/>
                <w:color w:val="auto"/>
              </w:rPr>
            </w:pPr>
            <w:r>
              <w:rPr>
                <w:rFonts w:ascii="Arial" w:cs="Arial" w:eastAsia="Arial" w:hAnsi="Arial"/>
                <w:sz w:val="18"/>
                <w:szCs w:val="18"/>
                <w:color w:val="auto"/>
              </w:rPr>
              <w:t>Defeasance and Discharge</w:t>
            </w: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13.3</w:t>
            </w:r>
          </w:p>
        </w:tc>
        <w:tc>
          <w:tcPr>
            <w:tcW w:w="8980" w:type="dxa"/>
            <w:vAlign w:val="bottom"/>
          </w:tcPr>
          <w:p>
            <w:pPr>
              <w:ind w:left="280"/>
              <w:spacing w:after="0"/>
              <w:rPr>
                <w:sz w:val="20"/>
                <w:szCs w:val="20"/>
                <w:color w:val="auto"/>
              </w:rPr>
            </w:pPr>
            <w:r>
              <w:rPr>
                <w:rFonts w:ascii="Arial" w:cs="Arial" w:eastAsia="Arial" w:hAnsi="Arial"/>
                <w:sz w:val="18"/>
                <w:szCs w:val="18"/>
                <w:color w:val="auto"/>
              </w:rPr>
              <w:t>Covenant Defeasance</w:t>
            </w:r>
          </w:p>
        </w:tc>
        <w:tc>
          <w:tcPr>
            <w:tcW w:w="520" w:type="dxa"/>
            <w:vAlign w:val="bottom"/>
          </w:tcPr>
          <w:p>
            <w:pPr>
              <w:jc w:val="right"/>
              <w:spacing w:after="0"/>
              <w:rPr>
                <w:sz w:val="20"/>
                <w:szCs w:val="20"/>
                <w:color w:val="auto"/>
              </w:rPr>
            </w:pPr>
            <w:r>
              <w:rPr>
                <w:rFonts w:ascii="Arial" w:cs="Arial" w:eastAsia="Arial" w:hAnsi="Arial"/>
                <w:sz w:val="18"/>
                <w:szCs w:val="18"/>
                <w:color w:val="auto"/>
              </w:rPr>
              <w:t>66</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13.4</w:t>
            </w:r>
          </w:p>
        </w:tc>
        <w:tc>
          <w:tcPr>
            <w:tcW w:w="8980" w:type="dxa"/>
            <w:vAlign w:val="bottom"/>
          </w:tcPr>
          <w:p>
            <w:pPr>
              <w:ind w:left="280"/>
              <w:spacing w:after="0"/>
              <w:rPr>
                <w:sz w:val="20"/>
                <w:szCs w:val="20"/>
                <w:color w:val="auto"/>
              </w:rPr>
            </w:pPr>
            <w:r>
              <w:rPr>
                <w:rFonts w:ascii="Arial" w:cs="Arial" w:eastAsia="Arial" w:hAnsi="Arial"/>
                <w:sz w:val="18"/>
                <w:szCs w:val="18"/>
                <w:color w:val="auto"/>
              </w:rPr>
              <w:t>Conditions to Defeasance or Covenant Defeasance</w:t>
            </w:r>
          </w:p>
        </w:tc>
        <w:tc>
          <w:tcPr>
            <w:tcW w:w="520" w:type="dxa"/>
            <w:vAlign w:val="bottom"/>
          </w:tcPr>
          <w:p>
            <w:pPr>
              <w:jc w:val="right"/>
              <w:spacing w:after="0"/>
              <w:rPr>
                <w:sz w:val="20"/>
                <w:szCs w:val="20"/>
                <w:color w:val="auto"/>
              </w:rPr>
            </w:pPr>
            <w:r>
              <w:rPr>
                <w:rFonts w:ascii="Arial" w:cs="Arial" w:eastAsia="Arial" w:hAnsi="Arial"/>
                <w:sz w:val="18"/>
                <w:szCs w:val="18"/>
                <w:color w:val="auto"/>
              </w:rPr>
              <w:t>67</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13.5</w:t>
            </w:r>
          </w:p>
        </w:tc>
        <w:tc>
          <w:tcPr>
            <w:tcW w:w="8980" w:type="dxa"/>
            <w:vAlign w:val="bottom"/>
          </w:tcPr>
          <w:p>
            <w:pPr>
              <w:ind w:left="280"/>
              <w:spacing w:after="0"/>
              <w:rPr>
                <w:sz w:val="20"/>
                <w:szCs w:val="20"/>
                <w:color w:val="auto"/>
              </w:rPr>
            </w:pPr>
            <w:r>
              <w:rPr>
                <w:rFonts w:ascii="Arial" w:cs="Arial" w:eastAsia="Arial" w:hAnsi="Arial"/>
                <w:sz w:val="18"/>
                <w:szCs w:val="18"/>
                <w:color w:val="auto"/>
              </w:rPr>
              <w:t>Deposited Money, U.S. Government Obligations and Foreign Government Obligations to be Held in Trust;</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920" w:type="dxa"/>
            <w:vAlign w:val="bottom"/>
          </w:tcPr>
          <w:p>
            <w:pPr>
              <w:spacing w:after="0"/>
              <w:rPr>
                <w:sz w:val="18"/>
                <w:szCs w:val="18"/>
                <w:color w:val="auto"/>
              </w:rPr>
            </w:pPr>
          </w:p>
        </w:tc>
        <w:tc>
          <w:tcPr>
            <w:tcW w:w="8980" w:type="dxa"/>
            <w:vAlign w:val="bottom"/>
          </w:tcPr>
          <w:p>
            <w:pPr>
              <w:ind w:left="280"/>
              <w:spacing w:after="0"/>
              <w:rPr>
                <w:sz w:val="20"/>
                <w:szCs w:val="20"/>
                <w:color w:val="auto"/>
              </w:rPr>
            </w:pPr>
            <w:r>
              <w:rPr>
                <w:rFonts w:ascii="Arial" w:cs="Arial" w:eastAsia="Arial" w:hAnsi="Arial"/>
                <w:sz w:val="18"/>
                <w:szCs w:val="18"/>
                <w:color w:val="auto"/>
              </w:rPr>
              <w:t>Miscellaneous Provisions</w:t>
            </w:r>
          </w:p>
        </w:tc>
        <w:tc>
          <w:tcPr>
            <w:tcW w:w="52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18"/>
                <w:szCs w:val="18"/>
                <w:color w:val="auto"/>
              </w:rPr>
            </w:pPr>
          </w:p>
        </w:tc>
      </w:tr>
      <w:tr>
        <w:trPr>
          <w:trHeight w:val="230"/>
        </w:trPr>
        <w:tc>
          <w:tcPr>
            <w:tcW w:w="1920" w:type="dxa"/>
            <w:vAlign w:val="bottom"/>
          </w:tcPr>
          <w:p>
            <w:pPr>
              <w:ind w:left="640"/>
              <w:spacing w:after="0"/>
              <w:rPr>
                <w:sz w:val="20"/>
                <w:szCs w:val="20"/>
                <w:color w:val="auto"/>
              </w:rPr>
            </w:pPr>
            <w:r>
              <w:rPr>
                <w:rFonts w:ascii="Arial" w:cs="Arial" w:eastAsia="Arial" w:hAnsi="Arial"/>
                <w:sz w:val="18"/>
                <w:szCs w:val="18"/>
                <w:color w:val="auto"/>
              </w:rPr>
              <w:t>Section 13.6</w:t>
            </w:r>
          </w:p>
        </w:tc>
        <w:tc>
          <w:tcPr>
            <w:tcW w:w="8980" w:type="dxa"/>
            <w:vAlign w:val="bottom"/>
          </w:tcPr>
          <w:p>
            <w:pPr>
              <w:ind w:left="280"/>
              <w:spacing w:after="0"/>
              <w:rPr>
                <w:sz w:val="20"/>
                <w:szCs w:val="20"/>
                <w:color w:val="auto"/>
              </w:rPr>
            </w:pPr>
            <w:r>
              <w:rPr>
                <w:rFonts w:ascii="Arial" w:cs="Arial" w:eastAsia="Arial" w:hAnsi="Arial"/>
                <w:sz w:val="18"/>
                <w:szCs w:val="18"/>
                <w:color w:val="auto"/>
              </w:rPr>
              <w:t>Reinstatement</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14 CONVERSION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r>
      <w:tr>
        <w:trPr>
          <w:trHeight w:val="418"/>
        </w:trPr>
        <w:tc>
          <w:tcPr>
            <w:tcW w:w="1920" w:type="dxa"/>
            <w:vAlign w:val="bottom"/>
          </w:tcPr>
          <w:p>
            <w:pPr>
              <w:ind w:left="640"/>
              <w:spacing w:after="0"/>
              <w:rPr>
                <w:sz w:val="20"/>
                <w:szCs w:val="20"/>
                <w:color w:val="auto"/>
              </w:rPr>
            </w:pPr>
            <w:r>
              <w:rPr>
                <w:rFonts w:ascii="Arial" w:cs="Arial" w:eastAsia="Arial" w:hAnsi="Arial"/>
                <w:sz w:val="18"/>
                <w:szCs w:val="18"/>
                <w:color w:val="auto"/>
              </w:rPr>
              <w:t>Section 14.1</w:t>
            </w:r>
          </w:p>
        </w:tc>
        <w:tc>
          <w:tcPr>
            <w:tcW w:w="8980" w:type="dxa"/>
            <w:vAlign w:val="bottom"/>
          </w:tcPr>
          <w:p>
            <w:pPr>
              <w:ind w:left="280"/>
              <w:spacing w:after="0"/>
              <w:rPr>
                <w:sz w:val="20"/>
                <w:szCs w:val="20"/>
                <w:color w:val="auto"/>
              </w:rPr>
            </w:pPr>
            <w:r>
              <w:rPr>
                <w:rFonts w:ascii="Arial" w:cs="Arial" w:eastAsia="Arial" w:hAnsi="Arial"/>
                <w:sz w:val="18"/>
                <w:szCs w:val="18"/>
                <w:color w:val="auto"/>
              </w:rPr>
              <w:t>Applicability of Article</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24"/>
                <w:szCs w:val="24"/>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14.2</w:t>
            </w:r>
          </w:p>
        </w:tc>
        <w:tc>
          <w:tcPr>
            <w:tcW w:w="8980" w:type="dxa"/>
            <w:vAlign w:val="bottom"/>
          </w:tcPr>
          <w:p>
            <w:pPr>
              <w:ind w:left="280"/>
              <w:spacing w:after="0"/>
              <w:rPr>
                <w:sz w:val="20"/>
                <w:szCs w:val="20"/>
                <w:color w:val="auto"/>
              </w:rPr>
            </w:pPr>
            <w:r>
              <w:rPr>
                <w:rFonts w:ascii="Arial" w:cs="Arial" w:eastAsia="Arial" w:hAnsi="Arial"/>
                <w:sz w:val="18"/>
                <w:szCs w:val="18"/>
                <w:color w:val="auto"/>
              </w:rPr>
              <w:t>Exercise of Conversion Privilege</w:t>
            </w:r>
          </w:p>
        </w:tc>
        <w:tc>
          <w:tcPr>
            <w:tcW w:w="52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14.3</w:t>
            </w:r>
          </w:p>
        </w:tc>
        <w:tc>
          <w:tcPr>
            <w:tcW w:w="8980" w:type="dxa"/>
            <w:vAlign w:val="bottom"/>
          </w:tcPr>
          <w:p>
            <w:pPr>
              <w:ind w:left="280"/>
              <w:spacing w:after="0"/>
              <w:rPr>
                <w:sz w:val="20"/>
                <w:szCs w:val="20"/>
                <w:color w:val="auto"/>
              </w:rPr>
            </w:pPr>
            <w:r>
              <w:rPr>
                <w:rFonts w:ascii="Arial" w:cs="Arial" w:eastAsia="Arial" w:hAnsi="Arial"/>
                <w:sz w:val="18"/>
                <w:szCs w:val="18"/>
                <w:color w:val="auto"/>
              </w:rPr>
              <w:t>No Fractional Shares</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14.4</w:t>
            </w:r>
          </w:p>
        </w:tc>
        <w:tc>
          <w:tcPr>
            <w:tcW w:w="8980" w:type="dxa"/>
            <w:vAlign w:val="bottom"/>
          </w:tcPr>
          <w:p>
            <w:pPr>
              <w:ind w:left="280"/>
              <w:spacing w:after="0"/>
              <w:rPr>
                <w:sz w:val="20"/>
                <w:szCs w:val="20"/>
                <w:color w:val="auto"/>
              </w:rPr>
            </w:pPr>
            <w:r>
              <w:rPr>
                <w:rFonts w:ascii="Arial" w:cs="Arial" w:eastAsia="Arial" w:hAnsi="Arial"/>
                <w:sz w:val="18"/>
                <w:szCs w:val="18"/>
                <w:color w:val="auto"/>
              </w:rPr>
              <w:t>Adjustment of Conversion Price or Conversion Rate</w:t>
            </w: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14.5</w:t>
            </w:r>
          </w:p>
        </w:tc>
        <w:tc>
          <w:tcPr>
            <w:tcW w:w="8980" w:type="dxa"/>
            <w:vAlign w:val="bottom"/>
          </w:tcPr>
          <w:p>
            <w:pPr>
              <w:ind w:left="280"/>
              <w:spacing w:after="0"/>
              <w:rPr>
                <w:sz w:val="20"/>
                <w:szCs w:val="20"/>
                <w:color w:val="auto"/>
              </w:rPr>
            </w:pPr>
            <w:r>
              <w:rPr>
                <w:rFonts w:ascii="Arial" w:cs="Arial" w:eastAsia="Arial" w:hAnsi="Arial"/>
                <w:sz w:val="18"/>
                <w:szCs w:val="18"/>
                <w:color w:val="auto"/>
              </w:rPr>
              <w:t>Notice of Certain Corporate Actions</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14.6</w:t>
            </w:r>
          </w:p>
        </w:tc>
        <w:tc>
          <w:tcPr>
            <w:tcW w:w="8980" w:type="dxa"/>
            <w:vAlign w:val="bottom"/>
          </w:tcPr>
          <w:p>
            <w:pPr>
              <w:ind w:left="280"/>
              <w:spacing w:after="0"/>
              <w:rPr>
                <w:sz w:val="20"/>
                <w:szCs w:val="20"/>
                <w:color w:val="auto"/>
              </w:rPr>
            </w:pPr>
            <w:r>
              <w:rPr>
                <w:rFonts w:ascii="Arial" w:cs="Arial" w:eastAsia="Arial" w:hAnsi="Arial"/>
                <w:sz w:val="18"/>
                <w:szCs w:val="18"/>
                <w:color w:val="auto"/>
              </w:rPr>
              <w:t>Reservation of Shares of Common Stock</w:t>
            </w:r>
          </w:p>
        </w:tc>
        <w:tc>
          <w:tcPr>
            <w:tcW w:w="52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14.7</w:t>
            </w:r>
          </w:p>
        </w:tc>
        <w:tc>
          <w:tcPr>
            <w:tcW w:w="8980" w:type="dxa"/>
            <w:vAlign w:val="bottom"/>
          </w:tcPr>
          <w:p>
            <w:pPr>
              <w:ind w:left="280"/>
              <w:spacing w:after="0"/>
              <w:rPr>
                <w:sz w:val="20"/>
                <w:szCs w:val="20"/>
                <w:color w:val="auto"/>
              </w:rPr>
            </w:pPr>
            <w:r>
              <w:rPr>
                <w:rFonts w:ascii="Arial" w:cs="Arial" w:eastAsia="Arial" w:hAnsi="Arial"/>
                <w:sz w:val="18"/>
                <w:szCs w:val="18"/>
                <w:color w:val="auto"/>
              </w:rPr>
              <w:t>Payment of Certain Taxes upon Conversion</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14.8</w:t>
            </w:r>
          </w:p>
        </w:tc>
        <w:tc>
          <w:tcPr>
            <w:tcW w:w="8980" w:type="dxa"/>
            <w:vAlign w:val="bottom"/>
          </w:tcPr>
          <w:p>
            <w:pPr>
              <w:ind w:left="280"/>
              <w:spacing w:after="0"/>
              <w:rPr>
                <w:sz w:val="20"/>
                <w:szCs w:val="20"/>
                <w:color w:val="auto"/>
              </w:rPr>
            </w:pPr>
            <w:r>
              <w:rPr>
                <w:rFonts w:ascii="Arial" w:cs="Arial" w:eastAsia="Arial" w:hAnsi="Arial"/>
                <w:sz w:val="18"/>
                <w:szCs w:val="18"/>
                <w:color w:val="auto"/>
              </w:rPr>
              <w:t>Nonassessability</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14.9</w:t>
            </w:r>
          </w:p>
        </w:tc>
        <w:tc>
          <w:tcPr>
            <w:tcW w:w="8980" w:type="dxa"/>
            <w:vAlign w:val="bottom"/>
          </w:tcPr>
          <w:p>
            <w:pPr>
              <w:ind w:left="280"/>
              <w:spacing w:after="0"/>
              <w:rPr>
                <w:sz w:val="20"/>
                <w:szCs w:val="20"/>
                <w:color w:val="auto"/>
              </w:rPr>
            </w:pPr>
            <w:r>
              <w:rPr>
                <w:rFonts w:ascii="Arial" w:cs="Arial" w:eastAsia="Arial" w:hAnsi="Arial"/>
                <w:sz w:val="18"/>
                <w:szCs w:val="18"/>
                <w:color w:val="auto"/>
              </w:rPr>
              <w:t>Provision in Case of Consolidation, Merger or Sale of Assets</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14.10</w:t>
            </w:r>
          </w:p>
        </w:tc>
        <w:tc>
          <w:tcPr>
            <w:tcW w:w="8980" w:type="dxa"/>
            <w:vAlign w:val="bottom"/>
          </w:tcPr>
          <w:p>
            <w:pPr>
              <w:ind w:left="280"/>
              <w:spacing w:after="0"/>
              <w:rPr>
                <w:sz w:val="20"/>
                <w:szCs w:val="20"/>
                <w:color w:val="auto"/>
              </w:rPr>
            </w:pPr>
            <w:r>
              <w:rPr>
                <w:rFonts w:ascii="Arial" w:cs="Arial" w:eastAsia="Arial" w:hAnsi="Arial"/>
                <w:sz w:val="18"/>
                <w:szCs w:val="18"/>
                <w:color w:val="auto"/>
              </w:rPr>
              <w:t>Duties of Trustee Regarding Conversion</w:t>
            </w:r>
          </w:p>
        </w:tc>
        <w:tc>
          <w:tcPr>
            <w:tcW w:w="52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r>
      <w:tr>
        <w:trPr>
          <w:trHeight w:val="230"/>
        </w:trPr>
        <w:tc>
          <w:tcPr>
            <w:tcW w:w="1920" w:type="dxa"/>
            <w:vAlign w:val="bottom"/>
          </w:tcPr>
          <w:p>
            <w:pPr>
              <w:ind w:left="640"/>
              <w:spacing w:after="0"/>
              <w:rPr>
                <w:sz w:val="20"/>
                <w:szCs w:val="20"/>
                <w:color w:val="auto"/>
              </w:rPr>
            </w:pPr>
            <w:r>
              <w:rPr>
                <w:rFonts w:ascii="Arial" w:cs="Arial" w:eastAsia="Arial" w:hAnsi="Arial"/>
                <w:sz w:val="18"/>
                <w:szCs w:val="18"/>
                <w:color w:val="auto"/>
              </w:rPr>
              <w:t>Section 14.11</w:t>
            </w:r>
          </w:p>
        </w:tc>
        <w:tc>
          <w:tcPr>
            <w:tcW w:w="8980" w:type="dxa"/>
            <w:vAlign w:val="bottom"/>
          </w:tcPr>
          <w:p>
            <w:pPr>
              <w:ind w:left="280"/>
              <w:spacing w:after="0"/>
              <w:rPr>
                <w:sz w:val="20"/>
                <w:szCs w:val="20"/>
                <w:color w:val="auto"/>
              </w:rPr>
            </w:pPr>
            <w:r>
              <w:rPr>
                <w:rFonts w:ascii="Arial" w:cs="Arial" w:eastAsia="Arial" w:hAnsi="Arial"/>
                <w:sz w:val="18"/>
                <w:szCs w:val="18"/>
                <w:color w:val="auto"/>
              </w:rPr>
              <w:t>Repayment of Certain Funds upon Conversion</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0"/>
                <w:szCs w:val="20"/>
                <w:color w:val="auto"/>
              </w:rPr>
            </w:pPr>
          </w:p>
        </w:tc>
      </w:tr>
      <w:tr>
        <w:trPr>
          <w:trHeight w:val="432"/>
        </w:trPr>
        <w:tc>
          <w:tcPr>
            <w:tcW w:w="10900" w:type="dxa"/>
            <w:vAlign w:val="bottom"/>
            <w:gridSpan w:val="2"/>
          </w:tcPr>
          <w:p>
            <w:pPr>
              <w:ind w:left="20"/>
              <w:spacing w:after="0"/>
              <w:rPr>
                <w:sz w:val="20"/>
                <w:szCs w:val="20"/>
                <w:color w:val="auto"/>
              </w:rPr>
            </w:pPr>
            <w:r>
              <w:rPr>
                <w:rFonts w:ascii="Arial" w:cs="Arial" w:eastAsia="Arial" w:hAnsi="Arial"/>
                <w:sz w:val="18"/>
                <w:szCs w:val="18"/>
                <w:color w:val="auto"/>
              </w:rPr>
              <w:t>ARTICLE 15 SUBORDINATION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r>
      <w:tr>
        <w:trPr>
          <w:trHeight w:val="418"/>
        </w:trPr>
        <w:tc>
          <w:tcPr>
            <w:tcW w:w="1920" w:type="dxa"/>
            <w:vAlign w:val="bottom"/>
          </w:tcPr>
          <w:p>
            <w:pPr>
              <w:ind w:left="640"/>
              <w:spacing w:after="0"/>
              <w:rPr>
                <w:sz w:val="20"/>
                <w:szCs w:val="20"/>
                <w:color w:val="auto"/>
              </w:rPr>
            </w:pPr>
            <w:r>
              <w:rPr>
                <w:rFonts w:ascii="Arial" w:cs="Arial" w:eastAsia="Arial" w:hAnsi="Arial"/>
                <w:sz w:val="18"/>
                <w:szCs w:val="18"/>
                <w:color w:val="auto"/>
              </w:rPr>
              <w:t>Section 15.1</w:t>
            </w:r>
          </w:p>
        </w:tc>
        <w:tc>
          <w:tcPr>
            <w:tcW w:w="8980" w:type="dxa"/>
            <w:vAlign w:val="bottom"/>
          </w:tcPr>
          <w:p>
            <w:pPr>
              <w:ind w:left="280"/>
              <w:spacing w:after="0"/>
              <w:rPr>
                <w:sz w:val="20"/>
                <w:szCs w:val="20"/>
                <w:color w:val="auto"/>
              </w:rPr>
            </w:pPr>
            <w:r>
              <w:rPr>
                <w:rFonts w:ascii="Arial" w:cs="Arial" w:eastAsia="Arial" w:hAnsi="Arial"/>
                <w:sz w:val="18"/>
                <w:szCs w:val="18"/>
                <w:color w:val="auto"/>
              </w:rPr>
              <w:t>Agreement of Subordination</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24"/>
                <w:szCs w:val="24"/>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15.2</w:t>
            </w:r>
          </w:p>
        </w:tc>
        <w:tc>
          <w:tcPr>
            <w:tcW w:w="8980" w:type="dxa"/>
            <w:vAlign w:val="bottom"/>
          </w:tcPr>
          <w:p>
            <w:pPr>
              <w:ind w:left="280"/>
              <w:spacing w:after="0"/>
              <w:rPr>
                <w:sz w:val="20"/>
                <w:szCs w:val="20"/>
                <w:color w:val="auto"/>
              </w:rPr>
            </w:pPr>
            <w:r>
              <w:rPr>
                <w:rFonts w:ascii="Arial" w:cs="Arial" w:eastAsia="Arial" w:hAnsi="Arial"/>
                <w:sz w:val="18"/>
                <w:szCs w:val="18"/>
                <w:color w:val="auto"/>
              </w:rPr>
              <w:t>Payments to Holders</w:t>
            </w:r>
          </w:p>
        </w:tc>
        <w:tc>
          <w:tcPr>
            <w:tcW w:w="52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15.3</w:t>
            </w:r>
          </w:p>
        </w:tc>
        <w:tc>
          <w:tcPr>
            <w:tcW w:w="8980" w:type="dxa"/>
            <w:vAlign w:val="bottom"/>
          </w:tcPr>
          <w:p>
            <w:pPr>
              <w:ind w:left="280"/>
              <w:spacing w:after="0"/>
              <w:rPr>
                <w:sz w:val="20"/>
                <w:szCs w:val="20"/>
                <w:color w:val="auto"/>
              </w:rPr>
            </w:pPr>
            <w:r>
              <w:rPr>
                <w:rFonts w:ascii="Arial" w:cs="Arial" w:eastAsia="Arial" w:hAnsi="Arial"/>
                <w:sz w:val="18"/>
                <w:szCs w:val="18"/>
                <w:color w:val="auto"/>
              </w:rPr>
              <w:t>Subrogation of Securities</w:t>
            </w:r>
          </w:p>
        </w:tc>
        <w:tc>
          <w:tcPr>
            <w:tcW w:w="520" w:type="dxa"/>
            <w:vAlign w:val="bottom"/>
          </w:tcPr>
          <w:p>
            <w:pPr>
              <w:jc w:val="right"/>
              <w:spacing w:after="0"/>
              <w:rPr>
                <w:sz w:val="20"/>
                <w:szCs w:val="20"/>
                <w:color w:val="auto"/>
              </w:rPr>
            </w:pPr>
            <w:r>
              <w:rPr>
                <w:rFonts w:ascii="Arial" w:cs="Arial" w:eastAsia="Arial" w:hAnsi="Arial"/>
                <w:sz w:val="18"/>
                <w:szCs w:val="18"/>
                <w:color w:val="auto"/>
              </w:rPr>
              <w:t>79</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15.4</w:t>
            </w:r>
          </w:p>
        </w:tc>
        <w:tc>
          <w:tcPr>
            <w:tcW w:w="8980" w:type="dxa"/>
            <w:vAlign w:val="bottom"/>
          </w:tcPr>
          <w:p>
            <w:pPr>
              <w:ind w:left="280"/>
              <w:spacing w:after="0"/>
              <w:rPr>
                <w:sz w:val="20"/>
                <w:szCs w:val="20"/>
                <w:color w:val="auto"/>
              </w:rPr>
            </w:pPr>
            <w:r>
              <w:rPr>
                <w:rFonts w:ascii="Arial" w:cs="Arial" w:eastAsia="Arial" w:hAnsi="Arial"/>
                <w:sz w:val="18"/>
                <w:szCs w:val="18"/>
                <w:color w:val="auto"/>
              </w:rPr>
              <w:t>Authorization to Effect Subordination</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15.5</w:t>
            </w:r>
          </w:p>
        </w:tc>
        <w:tc>
          <w:tcPr>
            <w:tcW w:w="8980" w:type="dxa"/>
            <w:vAlign w:val="bottom"/>
          </w:tcPr>
          <w:p>
            <w:pPr>
              <w:ind w:left="280"/>
              <w:spacing w:after="0"/>
              <w:rPr>
                <w:sz w:val="20"/>
                <w:szCs w:val="20"/>
                <w:color w:val="auto"/>
              </w:rPr>
            </w:pPr>
            <w:r>
              <w:rPr>
                <w:rFonts w:ascii="Arial" w:cs="Arial" w:eastAsia="Arial" w:hAnsi="Arial"/>
                <w:sz w:val="18"/>
                <w:szCs w:val="18"/>
                <w:color w:val="auto"/>
              </w:rPr>
              <w:t>Notice to Trustee</w:t>
            </w: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15.6</w:t>
            </w:r>
          </w:p>
        </w:tc>
        <w:tc>
          <w:tcPr>
            <w:tcW w:w="8980" w:type="dxa"/>
            <w:vAlign w:val="bottom"/>
          </w:tcPr>
          <w:p>
            <w:pPr>
              <w:ind w:left="280"/>
              <w:spacing w:after="0"/>
              <w:rPr>
                <w:sz w:val="20"/>
                <w:szCs w:val="20"/>
                <w:color w:val="auto"/>
              </w:rPr>
            </w:pPr>
            <w:r>
              <w:rPr>
                <w:rFonts w:ascii="Arial" w:cs="Arial" w:eastAsia="Arial" w:hAnsi="Arial"/>
                <w:sz w:val="18"/>
                <w:szCs w:val="18"/>
                <w:color w:val="auto"/>
              </w:rPr>
              <w:t>Trustee’s Relation to Senior Debt</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15.7</w:t>
            </w:r>
          </w:p>
        </w:tc>
        <w:tc>
          <w:tcPr>
            <w:tcW w:w="8980" w:type="dxa"/>
            <w:vAlign w:val="bottom"/>
          </w:tcPr>
          <w:p>
            <w:pPr>
              <w:ind w:left="280"/>
              <w:spacing w:after="0"/>
              <w:rPr>
                <w:sz w:val="20"/>
                <w:szCs w:val="20"/>
                <w:color w:val="auto"/>
              </w:rPr>
            </w:pPr>
            <w:r>
              <w:rPr>
                <w:rFonts w:ascii="Arial" w:cs="Arial" w:eastAsia="Arial" w:hAnsi="Arial"/>
                <w:sz w:val="18"/>
                <w:szCs w:val="18"/>
                <w:color w:val="auto"/>
              </w:rPr>
              <w:t>No Impairment of Subordination</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15.8</w:t>
            </w:r>
          </w:p>
        </w:tc>
        <w:tc>
          <w:tcPr>
            <w:tcW w:w="8980" w:type="dxa"/>
            <w:vAlign w:val="bottom"/>
          </w:tcPr>
          <w:p>
            <w:pPr>
              <w:ind w:left="280"/>
              <w:spacing w:after="0"/>
              <w:rPr>
                <w:sz w:val="20"/>
                <w:szCs w:val="20"/>
                <w:color w:val="auto"/>
              </w:rPr>
            </w:pPr>
            <w:r>
              <w:rPr>
                <w:rFonts w:ascii="Arial" w:cs="Arial" w:eastAsia="Arial" w:hAnsi="Arial"/>
                <w:sz w:val="18"/>
                <w:szCs w:val="18"/>
                <w:color w:val="auto"/>
              </w:rPr>
              <w:t>Certain Conversions/Exchanges Deemed Payment</w:t>
            </w: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15.9</w:t>
            </w:r>
          </w:p>
        </w:tc>
        <w:tc>
          <w:tcPr>
            <w:tcW w:w="8980" w:type="dxa"/>
            <w:vAlign w:val="bottom"/>
          </w:tcPr>
          <w:p>
            <w:pPr>
              <w:ind w:left="280"/>
              <w:spacing w:after="0"/>
              <w:rPr>
                <w:sz w:val="20"/>
                <w:szCs w:val="20"/>
                <w:color w:val="auto"/>
              </w:rPr>
            </w:pPr>
            <w:r>
              <w:rPr>
                <w:rFonts w:ascii="Arial" w:cs="Arial" w:eastAsia="Arial" w:hAnsi="Arial"/>
                <w:sz w:val="18"/>
                <w:szCs w:val="18"/>
                <w:color w:val="auto"/>
              </w:rPr>
              <w:t>Article Applicable to Paying Agents</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15.10</w:t>
            </w:r>
          </w:p>
        </w:tc>
        <w:tc>
          <w:tcPr>
            <w:tcW w:w="8980" w:type="dxa"/>
            <w:vAlign w:val="bottom"/>
          </w:tcPr>
          <w:p>
            <w:pPr>
              <w:ind w:left="280"/>
              <w:spacing w:after="0"/>
              <w:rPr>
                <w:sz w:val="20"/>
                <w:szCs w:val="20"/>
                <w:color w:val="auto"/>
              </w:rPr>
            </w:pPr>
            <w:r>
              <w:rPr>
                <w:rFonts w:ascii="Arial" w:cs="Arial" w:eastAsia="Arial" w:hAnsi="Arial"/>
                <w:sz w:val="18"/>
                <w:szCs w:val="18"/>
                <w:color w:val="auto"/>
              </w:rPr>
              <w:t>Senior Debt Entitled to Rely</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r>
      <w:tr>
        <w:trPr>
          <w:trHeight w:val="216"/>
        </w:trPr>
        <w:tc>
          <w:tcPr>
            <w:tcW w:w="1920" w:type="dxa"/>
            <w:vAlign w:val="bottom"/>
          </w:tcPr>
          <w:p>
            <w:pPr>
              <w:ind w:left="640"/>
              <w:spacing w:after="0"/>
              <w:rPr>
                <w:sz w:val="20"/>
                <w:szCs w:val="20"/>
                <w:color w:val="auto"/>
              </w:rPr>
            </w:pPr>
            <w:r>
              <w:rPr>
                <w:rFonts w:ascii="Arial" w:cs="Arial" w:eastAsia="Arial" w:hAnsi="Arial"/>
                <w:sz w:val="18"/>
                <w:szCs w:val="18"/>
                <w:color w:val="auto"/>
              </w:rPr>
              <w:t>Section 15.11</w:t>
            </w:r>
          </w:p>
        </w:tc>
        <w:tc>
          <w:tcPr>
            <w:tcW w:w="8980" w:type="dxa"/>
            <w:vAlign w:val="bottom"/>
          </w:tcPr>
          <w:p>
            <w:pPr>
              <w:ind w:left="280"/>
              <w:spacing w:after="0"/>
              <w:rPr>
                <w:sz w:val="20"/>
                <w:szCs w:val="20"/>
                <w:color w:val="auto"/>
              </w:rPr>
            </w:pPr>
            <w:r>
              <w:rPr>
                <w:rFonts w:ascii="Arial" w:cs="Arial" w:eastAsia="Arial" w:hAnsi="Arial"/>
                <w:sz w:val="18"/>
                <w:szCs w:val="18"/>
                <w:color w:val="auto"/>
              </w:rPr>
              <w:t>Reliance on Judicial Order or Certificate of Liquidating Agent</w:t>
            </w:r>
          </w:p>
        </w:tc>
        <w:tc>
          <w:tcPr>
            <w:tcW w:w="520" w:type="dxa"/>
            <w:vAlign w:val="bottom"/>
          </w:tcPr>
          <w:p>
            <w:pPr>
              <w:jc w:val="right"/>
              <w:spacing w:after="0"/>
              <w:rPr>
                <w:sz w:val="20"/>
                <w:szCs w:val="20"/>
                <w:color w:val="auto"/>
              </w:rPr>
            </w:pPr>
            <w:r>
              <w:rPr>
                <w:rFonts w:ascii="Arial" w:cs="Arial" w:eastAsia="Arial" w:hAnsi="Arial"/>
                <w:sz w:val="18"/>
                <w:szCs w:val="18"/>
                <w:color w:val="auto"/>
              </w:rPr>
              <w:t>82</w:t>
            </w:r>
          </w:p>
        </w:tc>
        <w:tc>
          <w:tcPr>
            <w:tcW w:w="40" w:type="dxa"/>
            <w:vAlign w:val="bottom"/>
          </w:tcPr>
          <w:p>
            <w:pPr>
              <w:spacing w:after="0"/>
              <w:rPr>
                <w:sz w:val="18"/>
                <w:szCs w:val="18"/>
                <w:color w:val="auto"/>
              </w:rPr>
            </w:pPr>
          </w:p>
        </w:tc>
      </w:tr>
      <w:tr>
        <w:trPr>
          <w:trHeight w:val="230"/>
        </w:trPr>
        <w:tc>
          <w:tcPr>
            <w:tcW w:w="1920" w:type="dxa"/>
            <w:vAlign w:val="bottom"/>
          </w:tcPr>
          <w:p>
            <w:pPr>
              <w:ind w:left="640"/>
              <w:spacing w:after="0"/>
              <w:rPr>
                <w:sz w:val="20"/>
                <w:szCs w:val="20"/>
                <w:color w:val="auto"/>
              </w:rPr>
            </w:pPr>
            <w:r>
              <w:rPr>
                <w:rFonts w:ascii="Arial" w:cs="Arial" w:eastAsia="Arial" w:hAnsi="Arial"/>
                <w:sz w:val="18"/>
                <w:szCs w:val="18"/>
                <w:color w:val="auto"/>
              </w:rPr>
              <w:t>Section 15.12</w:t>
            </w:r>
          </w:p>
        </w:tc>
        <w:tc>
          <w:tcPr>
            <w:tcW w:w="8980" w:type="dxa"/>
            <w:vAlign w:val="bottom"/>
          </w:tcPr>
          <w:p>
            <w:pPr>
              <w:ind w:left="280"/>
              <w:spacing w:after="0"/>
              <w:rPr>
                <w:sz w:val="20"/>
                <w:szCs w:val="20"/>
                <w:color w:val="auto"/>
              </w:rPr>
            </w:pPr>
            <w:r>
              <w:rPr>
                <w:rFonts w:ascii="Arial" w:cs="Arial" w:eastAsia="Arial" w:hAnsi="Arial"/>
                <w:sz w:val="18"/>
                <w:szCs w:val="18"/>
                <w:color w:val="auto"/>
              </w:rPr>
              <w:t>Trust Monies Not Subordinated</w:t>
            </w:r>
          </w:p>
        </w:tc>
        <w:tc>
          <w:tcPr>
            <w:tcW w:w="520" w:type="dxa"/>
            <w:vAlign w:val="bottom"/>
          </w:tcPr>
          <w:p>
            <w:pPr>
              <w:jc w:val="right"/>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-6253480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-6253480</wp:posOffset>
            </wp:positionV>
            <wp:extent cx="1270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Sections of this Indenture relating to Sections 3.10 through 3.18, inclusive, of the Trust Indenture Act of 1939:</w:t>
      </w:r>
    </w:p>
    <w:p>
      <w:pPr>
        <w:sectPr>
          <w:pgSz w:w="11900" w:h="16838" w:orient="portrait"/>
          <w:cols w:equalWidth="0" w:num="1">
            <w:col w:w="11460"/>
          </w:cols>
          <w:pgMar w:left="240" w:top="125" w:right="199" w:bottom="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310</w:t>
            </w: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(a)(1)</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(a)(2)</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6.9</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(a)(3)</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Not Applicable</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(a)(4)</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Not Applicable</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6.8, 6.10</w:t>
            </w:r>
          </w:p>
        </w:tc>
      </w:tr>
      <w:tr>
        <w:trPr>
          <w:trHeight w:val="216"/>
        </w:trPr>
        <w:tc>
          <w:tcPr>
            <w:tcW w:w="1220" w:type="dxa"/>
            <w:vAlign w:val="bottom"/>
          </w:tcPr>
          <w:p>
            <w:pPr>
              <w:ind w:left="20"/>
              <w:spacing w:after="0"/>
              <w:rPr>
                <w:sz w:val="20"/>
                <w:szCs w:val="20"/>
                <w:color w:val="auto"/>
              </w:rPr>
            </w:pPr>
            <w:r>
              <w:rPr>
                <w:rFonts w:ascii="Arial" w:cs="Arial" w:eastAsia="Arial" w:hAnsi="Arial"/>
                <w:sz w:val="18"/>
                <w:szCs w:val="18"/>
                <w:color w:val="auto"/>
              </w:rPr>
              <w:t>Section 311</w:t>
            </w:r>
          </w:p>
        </w:tc>
        <w:tc>
          <w:tcPr>
            <w:tcW w:w="4980" w:type="dxa"/>
            <w:vAlign w:val="bottom"/>
          </w:tcPr>
          <w:p>
            <w:pPr>
              <w:ind w:left="320"/>
              <w:spacing w:after="0"/>
              <w:rPr>
                <w:sz w:val="20"/>
                <w:szCs w:val="20"/>
                <w:color w:val="auto"/>
              </w:rPr>
            </w:pPr>
            <w:r>
              <w:rPr>
                <w:rFonts w:ascii="Arial" w:cs="Arial" w:eastAsia="Arial" w:hAnsi="Arial"/>
                <w:sz w:val="18"/>
                <w:szCs w:val="18"/>
                <w:color w:val="auto"/>
              </w:rPr>
              <w:t>(a)</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6.13</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6.13</w:t>
            </w:r>
          </w:p>
        </w:tc>
      </w:tr>
      <w:tr>
        <w:trPr>
          <w:trHeight w:val="216"/>
        </w:trPr>
        <w:tc>
          <w:tcPr>
            <w:tcW w:w="1220" w:type="dxa"/>
            <w:vAlign w:val="bottom"/>
          </w:tcPr>
          <w:p>
            <w:pPr>
              <w:ind w:left="20"/>
              <w:spacing w:after="0"/>
              <w:rPr>
                <w:sz w:val="20"/>
                <w:szCs w:val="20"/>
                <w:color w:val="auto"/>
              </w:rPr>
            </w:pPr>
            <w:r>
              <w:rPr>
                <w:rFonts w:ascii="Arial" w:cs="Arial" w:eastAsia="Arial" w:hAnsi="Arial"/>
                <w:sz w:val="18"/>
                <w:szCs w:val="18"/>
                <w:color w:val="auto"/>
              </w:rPr>
              <w:t>Section 312</w:t>
            </w:r>
          </w:p>
        </w:tc>
        <w:tc>
          <w:tcPr>
            <w:tcW w:w="4980" w:type="dxa"/>
            <w:vAlign w:val="bottom"/>
          </w:tcPr>
          <w:p>
            <w:pPr>
              <w:ind w:left="320"/>
              <w:spacing w:after="0"/>
              <w:rPr>
                <w:sz w:val="20"/>
                <w:szCs w:val="20"/>
                <w:color w:val="auto"/>
              </w:rPr>
            </w:pPr>
            <w:r>
              <w:rPr>
                <w:rFonts w:ascii="Arial" w:cs="Arial" w:eastAsia="Arial" w:hAnsi="Arial"/>
                <w:sz w:val="18"/>
                <w:szCs w:val="18"/>
                <w:color w:val="auto"/>
              </w:rPr>
              <w:t>(a)</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7.1, 7.2</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7.2</w:t>
            </w: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313</w:t>
            </w: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(b)</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(d)</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7.3</w:t>
            </w: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314</w:t>
            </w: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(a)(4)</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1.1, 10.4</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Not Applicable</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(c)(1)</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(c)(2)</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(c)(3)</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Not Applicable</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Not Applicable</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(e)</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1.2</w:t>
            </w: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315</w:t>
            </w: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(b)</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(d)</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6.1</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w:t>
            </w:r>
          </w:p>
        </w:tc>
      </w:tr>
      <w:tr>
        <w:trPr>
          <w:trHeight w:val="216"/>
        </w:trPr>
        <w:tc>
          <w:tcPr>
            <w:tcW w:w="1220" w:type="dxa"/>
            <w:vAlign w:val="bottom"/>
          </w:tcPr>
          <w:p>
            <w:pPr>
              <w:ind w:left="20"/>
              <w:spacing w:after="0"/>
              <w:rPr>
                <w:sz w:val="20"/>
                <w:szCs w:val="20"/>
                <w:color w:val="auto"/>
              </w:rPr>
            </w:pPr>
            <w:r>
              <w:rPr>
                <w:rFonts w:ascii="Arial" w:cs="Arial" w:eastAsia="Arial" w:hAnsi="Arial"/>
                <w:sz w:val="18"/>
                <w:szCs w:val="18"/>
                <w:color w:val="auto"/>
              </w:rPr>
              <w:t>Section 316</w:t>
            </w:r>
          </w:p>
        </w:tc>
        <w:tc>
          <w:tcPr>
            <w:tcW w:w="4980" w:type="dxa"/>
            <w:vAlign w:val="bottom"/>
          </w:tcPr>
          <w:p>
            <w:pPr>
              <w:ind w:left="320"/>
              <w:spacing w:after="0"/>
              <w:rPr>
                <w:sz w:val="20"/>
                <w:szCs w:val="20"/>
                <w:color w:val="auto"/>
              </w:rPr>
            </w:pPr>
            <w:r>
              <w:rPr>
                <w:rFonts w:ascii="Arial" w:cs="Arial" w:eastAsia="Arial" w:hAnsi="Arial"/>
                <w:sz w:val="18"/>
                <w:szCs w:val="18"/>
                <w:color w:val="auto"/>
              </w:rPr>
              <w:t>(a)</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(a)(1)(A)</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5.2, 5.12</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(a)(1)(B)</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5.13</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(a)(2)</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Not Applicable</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(a)(2)</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Not Applicable</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(c)</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16"/>
        </w:trPr>
        <w:tc>
          <w:tcPr>
            <w:tcW w:w="1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Section 317</w:t>
            </w: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(a)(1)</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r>
      <w:tr>
        <w:trPr>
          <w:trHeight w:val="216"/>
        </w:trPr>
        <w:tc>
          <w:tcPr>
            <w:tcW w:w="12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(a)(2)</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5.4</w:t>
            </w:r>
          </w:p>
        </w:tc>
      </w:tr>
      <w:tr>
        <w:trPr>
          <w:trHeight w:val="216"/>
        </w:trPr>
        <w:tc>
          <w:tcPr>
            <w:tcW w:w="1220" w:type="dxa"/>
            <w:vAlign w:val="bottom"/>
            <w:shd w:val="clear" w:color="auto" w:fill="CCEEFF"/>
          </w:tcPr>
          <w:p>
            <w:pPr>
              <w:spacing w:after="0"/>
              <w:rPr>
                <w:sz w:val="18"/>
                <w:szCs w:val="18"/>
                <w:color w:val="auto"/>
              </w:rPr>
            </w:pPr>
          </w:p>
        </w:tc>
        <w:tc>
          <w:tcPr>
            <w:tcW w:w="4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w:t>
            </w:r>
          </w:p>
        </w:tc>
        <w:tc>
          <w:tcPr>
            <w:tcW w:w="5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10.3</w:t>
            </w:r>
          </w:p>
        </w:tc>
      </w:tr>
      <w:tr>
        <w:trPr>
          <w:trHeight w:val="230"/>
        </w:trPr>
        <w:tc>
          <w:tcPr>
            <w:tcW w:w="1220" w:type="dxa"/>
            <w:vAlign w:val="bottom"/>
          </w:tcPr>
          <w:p>
            <w:pPr>
              <w:ind w:left="20"/>
              <w:spacing w:after="0"/>
              <w:rPr>
                <w:sz w:val="20"/>
                <w:szCs w:val="20"/>
                <w:color w:val="auto"/>
              </w:rPr>
            </w:pPr>
            <w:r>
              <w:rPr>
                <w:rFonts w:ascii="Arial" w:cs="Arial" w:eastAsia="Arial" w:hAnsi="Arial"/>
                <w:sz w:val="18"/>
                <w:szCs w:val="18"/>
                <w:color w:val="auto"/>
              </w:rPr>
              <w:t>Section 318</w:t>
            </w:r>
          </w:p>
        </w:tc>
        <w:tc>
          <w:tcPr>
            <w:tcW w:w="4980" w:type="dxa"/>
            <w:vAlign w:val="bottom"/>
          </w:tcPr>
          <w:p>
            <w:pPr>
              <w:ind w:left="320"/>
              <w:spacing w:after="0"/>
              <w:rPr>
                <w:sz w:val="20"/>
                <w:szCs w:val="20"/>
                <w:color w:val="auto"/>
              </w:rPr>
            </w:pPr>
            <w:r>
              <w:rPr>
                <w:rFonts w:ascii="Arial" w:cs="Arial" w:eastAsia="Arial" w:hAnsi="Arial"/>
                <w:sz w:val="18"/>
                <w:szCs w:val="18"/>
                <w:color w:val="auto"/>
              </w:rPr>
              <w:t>(a)</w:t>
            </w:r>
          </w:p>
        </w:tc>
        <w:tc>
          <w:tcPr>
            <w:tcW w:w="5220" w:type="dxa"/>
            <w:vAlign w:val="bottom"/>
          </w:tcPr>
          <w:p>
            <w:pPr>
              <w:jc w:val="right"/>
              <w:ind w:right="30"/>
              <w:spacing w:after="0"/>
              <w:rPr>
                <w:sz w:val="20"/>
                <w:szCs w:val="20"/>
                <w:color w:val="auto"/>
              </w:rPr>
            </w:pPr>
            <w:r>
              <w:rPr>
                <w:rFonts w:ascii="Arial" w:cs="Arial" w:eastAsia="Arial" w:hAnsi="Arial"/>
                <w:sz w:val="18"/>
                <w:szCs w:val="18"/>
                <w:color w:val="auto"/>
              </w:rPr>
              <w:t>1.7</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INDENTURE, dated as of , 20 , between Micron Technology, Inc., a corporation duly organized and existing under the laws of the State of Delaware (herein called the “Company”), having its principal executive office at 8000 South Federal Way, Boise, Idaho 83707, and Wells Fargo Bank, National Association, as Trustee (herein called the “Trustee”).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 OF THE COMPANY</w:t>
      </w:r>
    </w:p>
    <w:p>
      <w:pPr>
        <w:spacing w:after="0" w:line="229"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unsecured subordinated debentures, notes or other evidences of indebtedness (herein called the “Securities”), to be issued in one or more series as provided in this Indenture.</w:t>
      </w:r>
    </w:p>
    <w:p>
      <w:pPr>
        <w:spacing w:after="0" w:line="181"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All things necessary to make this Indenture a valid and binding agreement of the Company, in accordance with its terms, have been done.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NOW, THEREFORE, THIS INDENTURE WITNESSETH</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appertaining,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b w:val="1"/>
          <w:bCs w:val="1"/>
          <w:color w:val="auto"/>
        </w:rPr>
        <w:t>Definitions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225" w:lineRule="exact"/>
        <w:rPr>
          <w:sz w:val="20"/>
          <w:szCs w:val="20"/>
          <w:color w:val="auto"/>
        </w:rPr>
      </w:pPr>
    </w:p>
    <w:p>
      <w:pPr>
        <w:ind w:left="1940" w:hanging="635"/>
        <w:spacing w:after="0"/>
        <w:tabs>
          <w:tab w:leader="none" w:pos="19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terms defined in this Article have the meanings assigned to them in this Article and include the plural as well as the singular;</w:t>
      </w:r>
    </w:p>
    <w:p>
      <w:pPr>
        <w:spacing w:after="0" w:line="248" w:lineRule="exact"/>
        <w:rPr>
          <w:rFonts w:ascii="Arial" w:cs="Arial" w:eastAsia="Arial" w:hAnsi="Arial"/>
          <w:sz w:val="16"/>
          <w:szCs w:val="16"/>
          <w:color w:val="auto"/>
        </w:rPr>
      </w:pPr>
    </w:p>
    <w:p>
      <w:pPr>
        <w:ind w:left="660" w:right="140" w:firstLine="645"/>
        <w:spacing w:after="0" w:line="277" w:lineRule="auto"/>
        <w:tabs>
          <w:tab w:leader="none" w:pos="1939" w:val="left"/>
        </w:tabs>
        <w:numPr>
          <w:ilvl w:val="0"/>
          <w:numId w:val="71"/>
        </w:numPr>
        <w:rPr>
          <w:rFonts w:ascii="Arial" w:cs="Arial" w:eastAsia="Arial" w:hAnsi="Arial"/>
          <w:sz w:val="18"/>
          <w:szCs w:val="18"/>
          <w:color w:val="auto"/>
        </w:rPr>
      </w:pPr>
      <w:r>
        <w:rPr>
          <w:rFonts w:ascii="Arial" w:cs="Arial" w:eastAsia="Arial" w:hAnsi="Arial"/>
          <w:sz w:val="18"/>
          <w:szCs w:val="18"/>
          <w:color w:val="auto"/>
        </w:rPr>
        <w:t>all other terms used herein which are defined in the Trust Indenture Act, either directly or by reference therein, have the meanings assigned to them therein;</w:t>
      </w:r>
    </w:p>
    <w:p>
      <w:pPr>
        <w:sectPr>
          <w:pgSz w:w="11900" w:h="16838" w:orient="portrait"/>
          <w:cols w:equalWidth="0" w:num="1">
            <w:col w:w="11420"/>
          </w:cols>
          <w:pgMar w:left="240" w:top="356" w:right="239" w:bottom="45" w:gutter="0" w:footer="0" w:header="0"/>
        </w:sectPr>
      </w:pPr>
    </w:p>
    <w:bookmarkStart w:id="64" w:name="page65"/>
    <w:bookmarkEnd w:id="64"/>
    <w:p>
      <w:pPr>
        <w:spacing w:after="0" w:line="36" w:lineRule="exact"/>
        <w:rPr>
          <w:sz w:val="20"/>
          <w:szCs w:val="20"/>
          <w:color w:val="auto"/>
        </w:rPr>
      </w:pPr>
    </w:p>
    <w:p>
      <w:pPr>
        <w:ind w:left="660" w:right="120" w:firstLine="645"/>
        <w:spacing w:after="0" w:line="259" w:lineRule="auto"/>
        <w:tabs>
          <w:tab w:leader="none" w:pos="19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all accounting terms not otherwise defined herein have the meanings assigned to them in accordance with generally accepted accounting principles in the United States of America, and, except as otherwise herein expressly </w:t>
      </w:r>
      <w:r>
        <w:rPr>
          <w:rFonts w:ascii="Arial" w:cs="Arial" w:eastAsia="Arial" w:hAnsi="Arial"/>
          <w:sz w:val="18"/>
          <w:szCs w:val="18"/>
          <w:u w:val="single" w:color="auto"/>
          <w:color w:val="auto"/>
        </w:rPr>
        <w:t>provided</w:t>
      </w:r>
      <w:r>
        <w:rPr>
          <w:rFonts w:ascii="Arial" w:cs="Arial" w:eastAsia="Arial" w:hAnsi="Arial"/>
          <w:sz w:val="18"/>
          <w:szCs w:val="18"/>
          <w:color w:val="auto"/>
        </w:rPr>
        <w:t>, the term “generally accepted accounting principles” with respect to any computation required or permitted hereunder shall mean such accounting principles in the United States of America as are generally accepted at the date of such computation;</w:t>
      </w:r>
    </w:p>
    <w:p>
      <w:pPr>
        <w:spacing w:after="0" w:line="186" w:lineRule="exact"/>
        <w:rPr>
          <w:rFonts w:ascii="Arial" w:cs="Arial" w:eastAsia="Arial" w:hAnsi="Arial"/>
          <w:sz w:val="18"/>
          <w:szCs w:val="18"/>
          <w:color w:val="auto"/>
        </w:rPr>
      </w:pPr>
    </w:p>
    <w:p>
      <w:pPr>
        <w:ind w:left="1940" w:hanging="635"/>
        <w:spacing w:after="0"/>
        <w:tabs>
          <w:tab w:leader="none" w:pos="1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references to “$” refer to the lawful currency of the United States of America;</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660" w:right="40" w:firstLine="645"/>
        <w:spacing w:after="0" w:line="277" w:lineRule="auto"/>
        <w:tabs>
          <w:tab w:leader="none" w:pos="19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unless the context otherwise requires, any reference to an “Article” or a “Section” refers to an Article or a Section, as the case may be, of this Indenture; and</w:t>
      </w:r>
    </w:p>
    <w:p>
      <w:pPr>
        <w:spacing w:after="0" w:line="170" w:lineRule="exact"/>
        <w:rPr>
          <w:rFonts w:ascii="Arial" w:cs="Arial" w:eastAsia="Arial" w:hAnsi="Arial"/>
          <w:sz w:val="18"/>
          <w:szCs w:val="18"/>
          <w:color w:val="auto"/>
        </w:rPr>
      </w:pPr>
    </w:p>
    <w:p>
      <w:pPr>
        <w:ind w:left="660" w:right="200" w:firstLine="645"/>
        <w:spacing w:after="0" w:line="277" w:lineRule="auto"/>
        <w:tabs>
          <w:tab w:leader="none" w:pos="193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-1093470</wp:posOffset>
            </wp:positionV>
            <wp:extent cx="7267575"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 when used with respect to any Holder, has the meaning specified in Section 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Interest” has the meaning specified in Section 5.2(b).</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“Affiliate” of any specified Person means any other Person directly or indirectly controlling or controlled by or under direct or indirect common control with such specified Person.</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“Authenticating Agent” means any Person authorized by the Trustee pursuant to Section 6.14 to act on behalf of the Trustee to authenticate Securities of one or more series.</w:t>
      </w:r>
    </w:p>
    <w:p>
      <w:pPr>
        <w:spacing w:after="0" w:line="170"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“Board of Directors” means either the board of directors of the Company or any duly authorized committee of that board empowered to act for it with respect to this Indenture.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 and delivered to the Trustee.</w:t>
      </w:r>
    </w:p>
    <w:p>
      <w:pPr>
        <w:spacing w:after="0" w:line="170" w:lineRule="exact"/>
        <w:rPr>
          <w:sz w:val="20"/>
          <w:szCs w:val="20"/>
          <w:color w:val="auto"/>
        </w:rPr>
      </w:pPr>
    </w:p>
    <w:p>
      <w:pPr>
        <w:jc w:val="both"/>
        <w:ind w:right="240" w:firstLine="648"/>
        <w:spacing w:after="0" w:line="308" w:lineRule="auto"/>
        <w:rPr>
          <w:sz w:val="20"/>
          <w:szCs w:val="20"/>
          <w:color w:val="auto"/>
        </w:rPr>
      </w:pPr>
      <w:r>
        <w:rPr>
          <w:rFonts w:ascii="Arial" w:cs="Arial" w:eastAsia="Arial" w:hAnsi="Arial"/>
          <w:sz w:val="17"/>
          <w:szCs w:val="17"/>
          <w:color w:val="auto"/>
        </w:rPr>
        <w:t>“Business Day,” when used with respect to any Place of Payment, means each Monday, Tuesday, Wednesday, Thursday and Friday which is not a day on which banking institutions in that Place of Payment are authorized or obligated by law or executive order to close.</w:t>
      </w:r>
    </w:p>
    <w:p>
      <w:pPr>
        <w:spacing w:after="0" w:line="147"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“Commission” means the Securities and Exchange Commission,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“Common Stock” includes any stock of any class of the Company which has no preference in respect of dividends or of amounts payable in the event of any voluntary or involuntary liquidation, dissolution or winding-up of the Company and which is not subject to redemption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subject to the provisions of Section 14.9, shares issuable upon conversion of Securities shall include only shares of the class designated as Common Stock of the Company at the date of this Indenture or shares of any class or classes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if at any time there shall be more than one such resulting class, the shares of each such class then so issuable shall be substantially in the proportion which the total number of shares of such class resulting from all such</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bears to the total number of shares of all such classes resulting from all such reclassifications.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“Company” means the corporation named as the “Company” in the first paragraph of this instrument until a successor Person shall have become such pursuant to the applicable provisions of this Indenture, and thereafter “Company” shall mean such successor Person.</w:t>
      </w:r>
    </w:p>
    <w:p>
      <w:pPr>
        <w:spacing w:after="0" w:line="170"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“Company Request” or “Company Order” means a written request or order signed in the name of the Company by its Chairman of the Board, its Vice Chairman of the Board, its Chief Executive Officer, its President or a Vice President, and by its principal financial officer, its Treasurer, an Assistant Treasurer, its Secretary or an Assistant Secretary, and delivered to the Trustee.</w:t>
      </w:r>
    </w:p>
    <w:p>
      <w:pPr>
        <w:spacing w:after="0" w:line="181" w:lineRule="exact"/>
        <w:rPr>
          <w:sz w:val="20"/>
          <w:szCs w:val="20"/>
          <w:color w:val="auto"/>
        </w:rPr>
      </w:pPr>
    </w:p>
    <w:p>
      <w:pPr>
        <w:jc w:val="both"/>
        <w:ind w:right="620" w:firstLine="648"/>
        <w:spacing w:after="0" w:line="264" w:lineRule="auto"/>
        <w:rPr>
          <w:sz w:val="20"/>
          <w:szCs w:val="20"/>
          <w:color w:val="auto"/>
        </w:rPr>
      </w:pPr>
      <w:r>
        <w:rPr>
          <w:rFonts w:ascii="Arial" w:cs="Arial" w:eastAsia="Arial" w:hAnsi="Arial"/>
          <w:sz w:val="18"/>
          <w:szCs w:val="18"/>
          <w:color w:val="auto"/>
        </w:rPr>
        <w:t>“control”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81"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“Corporate Trust Office” means the corporate trust office of the Trustee at Wells Fargo Bank, N.A., MAC N9311-110, 625 Marquette Avenue South, Minneapolis, MN 55479, Attention: Corporate Trust Services, or such other office, designated by the Trustee by written notice to the Company, at which at any particular time its corporate trust business shall be administered.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“corporation” means a corporation, association, company, joint-stock company or business trust.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“Covenant Defeasance” has the meaning specified in Section 13.3.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“Defaulted Interest” has the meaning specified in Section 3.7.</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“Defeasance” has the meaning specified in Section 13.2.</w:t>
      </w:r>
    </w:p>
    <w:p>
      <w:pPr>
        <w:sectPr>
          <w:pgSz w:w="11900" w:h="16874" w:orient="portrait"/>
          <w:cols w:equalWidth="0" w:num="1">
            <w:col w:w="11380"/>
          </w:cols>
          <w:pgMar w:left="240" w:top="125" w:right="279" w:bottom="0" w:gutter="0" w:footer="0" w:header="0"/>
        </w:sectPr>
      </w:pPr>
    </w:p>
    <w:bookmarkStart w:id="65" w:name="page66"/>
    <w:bookmarkEnd w:id="65"/>
    <w:p>
      <w:pPr>
        <w:spacing w:after="0" w:line="87"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“Depositary” means, with respect to Securities of any series issuable in whole or in part in the form of one or more Global Securities, a clearing agency registered under the Exchange Act that is designated to act as Depositary for such Securities as contemplated by Section 3.1.</w:t>
      </w:r>
    </w:p>
    <w:p>
      <w:pPr>
        <w:spacing w:after="0" w:line="14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“Designated Senior Debt” means the Company’s obligations under any particular Senior Debt in which the instrument creating or evidencing the same or the assumption or guarantee thereof (or related agreements or documents to which the Company is a party) expressly provides that such Senior Debt shall be “Designated Senior Debt” for purposes of this Indenture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such instrument, agreement or other document may place limitations and conditions on the right of such Senior Debt to exercise the rights of Designated Senior Debt). If any payment made to any holder of any Designated Senior Debt or its Representative with respect to such Designated Senior Debt is rescinded or must otherwise be returned by such holder or Representative upon the insolvency, bankruptcy or reorganization of the Company or otherwise, the reinstated Indebtedness of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Company arising as a result of such rescission or return shall constitute Designated Senior Debt effective as of the date of such rescission or return.</w:t>
      </w:r>
    </w:p>
    <w:p>
      <w:pPr>
        <w:spacing w:after="0" w:line="23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“euro” or “euros” means the currency adopted by those nations participating in the third stage of the economic and monetary union provisions of the Treaty on European Union, signed at Maastricht on February 7, 1992.</w:t>
      </w:r>
    </w:p>
    <w:p>
      <w:pPr>
        <w:spacing w:after="0" w:line="170"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“European Economic Area” means the member nations of the European Economic Area pursuant to the Oporto Agreement on the European Economic Area dated May 2, 1992, as amended.</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“European Union” means the member nations of the European Union established by the Treaty of European Union, signed at Maastricht on February 2, 1992, which amended the Treaty of Rome establishing the European Community.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has the meaning specified in Section 5.1.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“Exchange Act” means the Securities Exchange Act of 1934 and any statute successor thereto, in each case as amended from time to time.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“Expiration Date” has the meaning specified in Section 1.4.</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“Foreign Government Obligation” means with respect to Securities of any series which are not denominated in the currency of the United States of America (x) any security which is (i) a direct obligation of the government which issued or caused to be issued the currency in which such security is denominated and for the payment of which obligations its full faith and credit is pledged or, with respect to Securities of any series which are denominated in euros, a direct obligation of any member nation of the European Union for the payment of which obligation the full faith and credit of the respective nation is pledged so long as such nation has a credit rating at least equal to that of the highest rated member nation of the European Economic Area, or (ii) an obligation of a Person controlled or supervised by and acting as an agency or instrumentality of a government specified in clause (i) above the timely payment of which is unconditionally guaranteed as a full faith and credit obligation by the such government, which, in either case (i) or (ii), is not callable or redeemable at the option of the issuer thereof, and (y) any depositary receipt issued by a bank (as defined in Section 3(a)(2) of the Securities Act) as custodian with respect to any Foreign Government Obligation which is specified in clause (x) above and held by such bank for the account of the holder of such depositary receipt, or with respect to any specific payment of principal of or interest on any Foreign Government Obligation which is so specified and held, provided that (except as required by law) such custodian is not authorized to make any deduction from the amount payable to the holder of such depositary receipt from any amount received by the custodian in respect of the Foreign Government Obligation or the specific payment of principal or interest evidenced by such depositary receipt.</w:t>
      </w:r>
    </w:p>
    <w:p>
      <w:pPr>
        <w:spacing w:after="0" w:line="188"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“Global Security” means a Security that evidences all or part of the Securities of any series and bears the legend set forth in Section 2.4 (or such legend as may be specified as contemplated by Section 3.1 for such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means a Person in whose name a Security is registered in the Security Register.</w:t>
      </w:r>
    </w:p>
    <w:p>
      <w:pPr>
        <w:spacing w:after="0" w:line="225"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“Indebtedness” means, with respect to any Person, and without duplication, whether absolute or contingent, secured or unsecured, due or to become due, (a) all indebtedness, obligations and other liabilities (contingent or otherwise) of such Person evidenced by a credit or loan agreement, note, bond, debenture, or other written obligation (whether or not the recourse of the lender is to the whole of the assets of such person or to only a portion thereof) or for money borrowed (including obligations of such Person in respect of overdrafts, foreign exchange contracts, currency exchange agreements, interest rate protection agreements, and any loans or advances from banks, whether or not evidenced by notes or similar instruments); (b) all obligations and liabilities (contingent or otherwise) of such Person evidenced by a note or similar instrument given in connection with the acquisition of any businesses, properties or assets of any kind; (c) all obligations and liabilities (contingent or otherwise) in respect of leases of such Person required, in conformity with generally accepted accounting principles, to be accounted for as capitalized lease obligations on the balance sheet of such Person and all obligations and other liabilities (contingent or otherwise) or as lessee under any leases or related documents for facilities, capital equipment or related assets, whether or not capitalized, entered into or leased for financing purposes; (d) all obligations of such Person (contingent or otherwise) with respect to interest rate and currency swaps, caps, floors, collars, hedge agreements, forward contracts or similar agreements or arrangements; (e) all obligations and other liabilities (contingent or otherwise) of such Person with respect to letters of credit, bankers’ acceptances or similar facilities, including reimbursement obligations with respect to the foregoing; (f) all obligations and liabilities of such Person or assumed as the deferred purchase price of property or services, but excluding trade accounts payable and accrued liabilities arising in the ordinary course of business; (g) all obligations of the type referred to in (a) through (f) above of another Person the payment of which, in either case, such Person has assumed or guaranteed or for which such Person is responsible or liable directly or indirectly, jointly or severally, as obligor, guarantor or otherwise, or which are secured by a lien on such Person’s property; and (h) any and all renewals, extensions, modifications, replacements, restatements and refundings of, or, any indebtedness or obligation issued in exchange for, any such indebtedness or obligation of the kind described in clauses (a) through (g) above.</w:t>
      </w:r>
    </w:p>
    <w:p>
      <w:pPr>
        <w:spacing w:after="0" w:line="19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“Indenture” means this instrument as originally executed and as it may from time to time be supplemented or amended by one or more indentures supplemental hereto entered into pursuant to the applicable provisions hereof, including, for all purposes of this instrument and any such supplemental indenture, the provisions of the Trust Indenture Act that are deemed to be a part of and govern this instrument and any such supplemental indenture,</w:t>
      </w:r>
    </w:p>
    <w:p>
      <w:pPr>
        <w:sectPr>
          <w:pgSz w:w="11900" w:h="16925" w:orient="portrait"/>
          <w:cols w:equalWidth="0" w:num="1">
            <w:col w:w="11400"/>
          </w:cols>
          <w:pgMar w:left="240" w:top="341" w:right="259" w:bottom="0" w:gutter="0" w:footer="0" w:header="0"/>
        </w:sectPr>
      </w:pPr>
    </w:p>
    <w:bookmarkStart w:id="66" w:name="page67"/>
    <w:bookmarkEnd w:id="66"/>
    <w:p>
      <w:pPr>
        <w:spacing w:after="0"/>
        <w:rPr>
          <w:sz w:val="20"/>
          <w:szCs w:val="20"/>
          <w:color w:val="auto"/>
        </w:rPr>
      </w:pPr>
      <w:r>
        <w:rPr>
          <w:rFonts w:ascii="Arial" w:cs="Arial" w:eastAsia="Arial" w:hAnsi="Arial"/>
          <w:sz w:val="18"/>
          <w:szCs w:val="18"/>
          <w:color w:val="auto"/>
        </w:rPr>
        <w:t>respectively. The term “Indenture” shall also include the terms of particular series of Securities established as contemplated by Section 3.1;</w:t>
      </w:r>
    </w:p>
    <w:p>
      <w:pPr>
        <w:spacing w:after="0" w:line="2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at any time more than one Person is acting as Trustee under this Indenture due to the appointment of one or more separate Trustees for any one or more separate series of Securities, “Indenture” shall mean, with respect to such series of Securities for which any such Person is Trustee, this instrument as originally executed or as it may from time to time be supplemented or amended by one or more indentures supplemental hereto entered into pursuant to the applicable provisions hereof and shall include the terms of particular series of Securities for which such Person is Trustee established as contemplated by Section 3.1, exclusive, however, of any</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in the event that this Indenture is supplemented or amended by one or more indentures supplemental hereto which are only applicable to certain series of Securities, the term “Indenture” for a particular series of Securities shall only include the supplemental indentures applicable thereto.</w:t>
      </w:r>
    </w:p>
    <w:p>
      <w:pPr>
        <w:spacing w:after="0" w:line="173"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“interest,” when used with respect to an Original Issue Discount Security, which by its terms bears interest only after Maturity, means interest payable after Maturity.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“Interest Payment Date,” when used with respect to any Security, means the Stated Maturity of an installment of interest on such Security.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“Investment Company Act” means the Investment Company Act of 1940 and any statute successor thereto, in each case as amended from time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11" w:lineRule="exact"/>
        <w:rPr>
          <w:sz w:val="20"/>
          <w:szCs w:val="20"/>
          <w:color w:val="auto"/>
        </w:rPr>
      </w:pPr>
    </w:p>
    <w:p>
      <w:pPr>
        <w:jc w:val="both"/>
        <w:ind w:right="200" w:firstLine="648"/>
        <w:spacing w:after="0" w:line="264" w:lineRule="auto"/>
        <w:rPr>
          <w:sz w:val="20"/>
          <w:szCs w:val="20"/>
          <w:color w:val="auto"/>
        </w:rPr>
      </w:pPr>
      <w:r>
        <w:rPr>
          <w:rFonts w:ascii="Arial" w:cs="Arial" w:eastAsia="Arial" w:hAnsi="Arial"/>
          <w:sz w:val="18"/>
          <w:szCs w:val="18"/>
          <w:color w:val="auto"/>
        </w:rPr>
        <w:t xml:space="preserve">“Maturity,” when used with respect to any Security, means the date on which the principal of such Security or an installment of principal becomes due and payable as therein or herein </w:t>
      </w:r>
      <w:r>
        <w:rPr>
          <w:rFonts w:ascii="Arial" w:cs="Arial" w:eastAsia="Arial" w:hAnsi="Arial"/>
          <w:sz w:val="18"/>
          <w:szCs w:val="18"/>
          <w:u w:val="single" w:color="auto"/>
          <w:color w:val="auto"/>
        </w:rPr>
        <w:t>provided</w:t>
      </w:r>
      <w:r>
        <w:rPr>
          <w:rFonts w:ascii="Arial" w:cs="Arial" w:eastAsia="Arial" w:hAnsi="Arial"/>
          <w:sz w:val="18"/>
          <w:szCs w:val="18"/>
          <w:color w:val="auto"/>
        </w:rPr>
        <w:t>, whether at the Stated Maturity or by declaration of acceleration, repurchase at the option of the Holder, upon redemption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Default” means a written notice of the kind specified in Section 5.1(4).</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“Officers’ Certificate” means a certificate signed by the Chairman of the Board, a Vice Chairman of the Board, the Chief Executive Officer, the President or a Vice President, and by the principal financial officer, the Treasurer, an Assistant Treasurer, the Secretary or an Assistant Secretary, of the Company, and delivered to the Trustee. One of the officers signing an Officers’ Certificate given pursuant to Section 10.4 shall be the principal executive, financial or accounting officer of the Company.</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for, or an employee of, the Company, and who shall be reasonably acceptable to the Trustee.</w:t>
      </w:r>
    </w:p>
    <w:p>
      <w:pPr>
        <w:spacing w:after="0" w:line="170"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“Original Issue Discount Security” means any Security that provides for an amount less than the principal amount thereof to be due and payable upon a declaration of acceleration of the Maturity thereof pursuant to Section 5.2.</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“Outstanding,” when used with respect to Securities, means, as of the date of determination, all Securities theretofore authenticated and delivered under this Indenture, except</w:t>
      </w:r>
    </w:p>
    <w:p>
      <w:pPr>
        <w:spacing w:after="0" w:line="170" w:lineRule="exact"/>
        <w:rPr>
          <w:sz w:val="20"/>
          <w:szCs w:val="20"/>
          <w:color w:val="auto"/>
        </w:rPr>
      </w:pPr>
    </w:p>
    <w:p>
      <w:pPr>
        <w:ind w:left="5660" w:right="2980" w:hanging="4355"/>
        <w:spacing w:after="0" w:line="528" w:lineRule="auto"/>
        <w:tabs>
          <w:tab w:leader="none" w:pos="19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 6</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right="80" w:firstLine="645"/>
        <w:spacing w:after="0" w:line="259" w:lineRule="auto"/>
        <w:tabs>
          <w:tab w:leader="none" w:pos="19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for whose payment or redemption money in the necessary amount has been theretofore deposited with the Trustee or any Paying Agent (other than the Company) in trust or set aside and segregated in trust by the Company (if the Company shall act as its own Paying Agent) for the Holders of such Securities; provided that, if such Securities are to be redeemed, notice of such redemption has been duly given pursuant to this Indenture or provision therefor satisfactory to the Trustee has been made;</w:t>
      </w:r>
    </w:p>
    <w:p>
      <w:pPr>
        <w:spacing w:after="0" w:line="186" w:lineRule="exact"/>
        <w:rPr>
          <w:rFonts w:ascii="Arial" w:cs="Arial" w:eastAsia="Arial" w:hAnsi="Arial"/>
          <w:sz w:val="18"/>
          <w:szCs w:val="18"/>
          <w:color w:val="auto"/>
        </w:rPr>
      </w:pPr>
    </w:p>
    <w:p>
      <w:pPr>
        <w:ind w:left="1980" w:hanging="675"/>
        <w:spacing w:after="0"/>
        <w:tabs>
          <w:tab w:leader="none" w:pos="19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as to which Defeasance has been effected pursuant to Section 13.2; and</w:t>
      </w:r>
    </w:p>
    <w:p>
      <w:pPr>
        <w:spacing w:after="0" w:line="225" w:lineRule="exact"/>
        <w:rPr>
          <w:rFonts w:ascii="Arial" w:cs="Arial" w:eastAsia="Arial" w:hAnsi="Arial"/>
          <w:sz w:val="18"/>
          <w:szCs w:val="18"/>
          <w:color w:val="auto"/>
        </w:rPr>
      </w:pPr>
    </w:p>
    <w:p>
      <w:pPr>
        <w:ind w:left="660" w:right="440" w:firstLine="645"/>
        <w:spacing w:after="0" w:line="259" w:lineRule="auto"/>
        <w:tabs>
          <w:tab w:leader="none" w:pos="1977" w:val="left"/>
        </w:tabs>
        <w:numPr>
          <w:ilvl w:val="0"/>
          <w:numId w:val="73"/>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3.6 or in exchange for or in lieu of which other Securities have been authenticated and delivered pursuant to this Indenture, other than any such Securities in respect of which there shall have been presented to the Trustee proof satisfactory to it that such Securities are held by a bona fide purchaser in whose hands such Securities are valid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-1906270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determining whether the Holders of the requisite principal amount of the Outstanding Securities have given, made or taken any request, demand, authorization, direction, notice, consent, waiver or other action hereunder as of any date, (A) the principal amount of an Original Issue Discount Security which shall be deemed to be Outstanding shall be the amount of the principal thereof which would be due and payable as of such date upon acceleration of the Maturity thereof to such date pursuant to Section 5.2, (B) if, as of such date, the principal amount payable at the Stated Maturity of a Security is not determinable, the principal amount of such Security which shall be deemed to be Outstanding shall be the amount as specified or determined as contemplated by Section 3.1, (C) the principal amount of a Security denominated in one or more non-U.S. dollar currencies or currency units which shall be deemed to be Outstanding shall be the U.S. dollar equivalent, determined as of such date in the manner provided as contemplated by Section 3.1, of the principal amount of such Security (or, in the case of a Security described in clause (A) or (B) above, of the amount determined as provided in such clause), and (D) Securities owned by the Company or any other obligor upon the Securities or any Affiliate of the Company or of such other obligor shall be disregarded and deemed not to be Outstanding, except that, in determining whether the Trustee shall be protected in relying upon any such request, demand, authorization, direction, notice, consent, waiver or other action, only Securities which the Trustee knows to be so owned shall be so disregarded. Securities so owned which have been pledged in good faith may be regarded as Outstanding if the pledgee establishes to the satisfaction of the Trustee the pledgee’s right</w:t>
      </w:r>
    </w:p>
    <w:p>
      <w:pPr>
        <w:sectPr>
          <w:pgSz w:w="11900" w:h="16838" w:orient="portrait"/>
          <w:cols w:equalWidth="0" w:num="1">
            <w:col w:w="11400"/>
          </w:cols>
          <w:pgMar w:left="240" w:top="125" w:right="259" w:bottom="0" w:gutter="0" w:footer="0" w:header="0"/>
        </w:sectPr>
      </w:pPr>
    </w:p>
    <w:bookmarkStart w:id="67" w:name="page68"/>
    <w:bookmarkEnd w:id="67"/>
    <w:p>
      <w:pPr>
        <w:spacing w:after="0" w:line="10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so to act with respect to such Securities and that the pledgee is not the Company or any other obligor upon the Securities or any Affiliate of the Company or of such other obligor.</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“Paying Agent” means any Person authorized by the Company to pay the principal of or any premium or interest on any Securities on behalf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Blockage Notice” has the meaning specified in Section 15.2.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 venture, trust, unincorporated organization or government or any agency or political subdivision thereof.</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“Place of Payment,” when used with respect to the Securities of any series, means the place or places where the principal of and any premium and interest on the Securities of that series are payable as specified as contemplated by Section 3.1.</w:t>
      </w:r>
    </w:p>
    <w:p>
      <w:pPr>
        <w:spacing w:after="0" w:line="170"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3.6 in exchange for or in lieu of a mutilated, destroyed, lost or stolen Security shall be deemed to evidence the same debt as the mutilated, destroyed, lost or stolen Security.</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“Record Date” means any Regular Record Date or Special Record Date.</w:t>
      </w:r>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“Redemption Date,” when used with respect to any Security to be redeemed, means the date fixed for such redemption by or pursuant to this Indenture.</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“Redemption Price,” when used with respect to any Security to be redeemed, means the price at which it is to be redeemed pursuant to this Indenture.</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“Regular Record Date” for the interest payable on any Interest Payment Date on the Securities of any series means the date specified for that purpose as contemplated by Section 3.1.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“Reporting Default” has the meaning specified in Section 5.2(b).</w:t>
      </w:r>
    </w:p>
    <w:p>
      <w:pPr>
        <w:spacing w:after="0" w:line="22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“Representative” means the (a) indenture trustee or other trustee, agent or representative for any Senior Debt or (b) with respect to any Senior Debt that does not have any such trustee, agent or other representative, (i) in the case of such Senior Debt issued pursuant to an agreement providing for voting arrangements as among the holders or owners of such Senior Debt, any holder or owner of such Senior Debt acting with the consent of the required persons necessary to bind such holders or owners of such Senior Debt and (ii) in the case of all other such Senior Debt, the holder or owner of such Senior Debt.</w:t>
      </w:r>
    </w:p>
    <w:p>
      <w:pPr>
        <w:spacing w:after="0" w:line="154" w:lineRule="exact"/>
        <w:rPr>
          <w:sz w:val="20"/>
          <w:szCs w:val="20"/>
          <w:color w:val="auto"/>
        </w:rPr>
      </w:pPr>
    </w:p>
    <w:p>
      <w:pPr>
        <w:jc w:val="both"/>
        <w:ind w:right="380" w:firstLine="648"/>
        <w:spacing w:after="0" w:line="264" w:lineRule="auto"/>
        <w:rPr>
          <w:sz w:val="20"/>
          <w:szCs w:val="20"/>
          <w:color w:val="auto"/>
        </w:rPr>
      </w:pPr>
      <w:r>
        <w:rPr>
          <w:rFonts w:ascii="Arial" w:cs="Arial" w:eastAsia="Arial" w:hAnsi="Arial"/>
          <w:sz w:val="18"/>
          <w:szCs w:val="18"/>
          <w:color w:val="auto"/>
        </w:rPr>
        <w:t>“Responsible Officer” means any officer or authorized representative of the Trustee within the Corporate Trust Office of the Trustee with direct responsibility for the administration of this Indenture and also, with respect to a particular matter, any other officer of the Trustee to whom such matter is referred because of such officer’s knowledge and familiarity with the particular subject.</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“Securities” has the meaning stated in the first recital of this Indenture and more particularly means any Securities authenticated and delivered under this Indenture.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Securities Act of 1933 and any statute successor thereto, in each case as amended from time to time.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and “Security Registrar” have the respective meanings specified in Section 3.5.</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“Senior Debt” means the principal of, premium, if any, interest (including all interest accruing subsequent to the commencement of any bankruptcy or similar proceeding, whether or not a claim for post-petition interest is allowable as a claim in any such proceeding) and rent payable on or in connection with, and all fees, costs, expenses and other amounts accrued or due on or in connection with, Indebtedness of the Company, whether outstanding on the date of this Indenture or thereafter created, incurred, assumed, guaranteed or in effect guaranteed by the Company (including all deferrals, renewals, extensions or refundings of, or amendments, modifications or supplements to, the foregoing), unless in the case of any particular Indebtedness the instrument creating or evidencing the same or the assumption or guarantee thereof expressly provides that such Indebtedness shall not be senior in right of payment to the Securities or expressly provides that such Indebtedness is “</w:t>
      </w:r>
      <w:r>
        <w:rPr>
          <w:rFonts w:ascii="Arial" w:cs="Arial" w:eastAsia="Arial" w:hAnsi="Arial"/>
          <w:sz w:val="17"/>
          <w:szCs w:val="17"/>
          <w:i w:val="1"/>
          <w:iCs w:val="1"/>
          <w:color w:val="auto"/>
        </w:rPr>
        <w:t>pari passu</w:t>
      </w:r>
      <w:r>
        <w:rPr>
          <w:rFonts w:ascii="Arial" w:cs="Arial" w:eastAsia="Arial" w:hAnsi="Arial"/>
          <w:sz w:val="17"/>
          <w:szCs w:val="17"/>
          <w:color w:val="auto"/>
        </w:rPr>
        <w:t>” or “ junior” to the Securities. Notwithstanding the foregoing, the term Senior Debt shall not include any Indebtedness of the Company to any Subsidiary of the Company. If any payment made to any holder of any Senior Debt or its Representative with respect to such Senior Debt is rescinded or must otherwise be returned by such holder or Representative upon the insolvency, bankruptcy or reorganization of the Company or otherwise, the reinstated Indebtedness of the Company arising as a result of such rescission or return shall constitute Senior Debt effective as of the date of such rescission or return.</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“Special Record Date” for the payment of any Defaulted Interest means a date fixed by the Trustee pursuant to Section 3.7.</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“Stated Maturity,” when used with respect to any Security or any installment of principal thereof or interest thereon, means the date specified in such Security as the fixed date on which the principal of such Security or such installment of principal or interest is due and payable.</w:t>
      </w:r>
    </w:p>
    <w:p>
      <w:pPr>
        <w:spacing w:after="0" w:line="14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“Subsidiary” means a Person of which at least a majority of the outstanding voting stock having the power to elect a majority of the board of directors of such Person (in the case of a corporation) is, or of which at least a majority of the equity interests (in the case of a Person which is not a corporation) are, at the time owned, directly or indirectly, by the Company or by one or more other Subsidiaries, or by the Company and one or more other Subsidiaries. For the purposes of this definition, “voting stock” means stock or similar interests to the Company which ordinarily has or have voting power</w:t>
      </w:r>
    </w:p>
    <w:p>
      <w:pPr>
        <w:sectPr>
          <w:pgSz w:w="11900" w:h="16945" w:orient="portrait"/>
          <w:cols w:equalWidth="0" w:num="1">
            <w:col w:w="11400"/>
          </w:cols>
          <w:pgMar w:left="240" w:top="125" w:right="259" w:bottom="0" w:gutter="0" w:footer="0" w:header="0"/>
        </w:sectPr>
      </w:pPr>
    </w:p>
    <w:bookmarkStart w:id="68" w:name="page69"/>
    <w:bookmarkEnd w:id="68"/>
    <w:p>
      <w:pPr>
        <w:spacing w:after="0" w:line="1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for the election of directors or persons performing similar functions, whether at all times or only so long as no senior class of stock or other interests has or have such voting power by reason of any contingency.</w:t>
      </w:r>
    </w:p>
    <w:p>
      <w:pPr>
        <w:spacing w:after="0" w:line="170"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“Trust Indenture Act” means the Trust Indenture Act of 1939 as in force at the date as of which this instrument was executed;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“Trust Indenture Act” means, to the extent required by any such amendment, the Trust Indenture Act of 1939 as so amended.</w:t>
      </w:r>
    </w:p>
    <w:p>
      <w:pPr>
        <w:spacing w:after="0" w:line="181"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4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“U.S. Government Obligation” means (x) any security which is (i) a direct obligation of the United States of America for the payment of which the full faith and credit of the United States of America is pledged or (ii) an obligation of a Person controlled or supervised by and acting as an agency or instrumentality of the United States of America the payment of which is unconditionally guaranteed as a full faith and credit obligation by the United States of America, which, in either case (i) or (ii), is not callable or redeemable at the option of the issuer thereof, and (y) any depositary receipt issued by a bank (as defined in Section 3(a)(2) of the Securities Act) as custodian with respect to any U.S. Government Obligation which is specified in clause (x) above and held by such bank for the account of the holder of such depositary receipt, or with respect to any specific payment of principal of or interest on any U.S. Government Obligation which is so specified and held, provided that (except as required by law) such custodian is not authorized to make any deduction from the amount payable to the holder of such depositary receipt from any amount received by the custodian in respect of the U.S. Government Obligation or the specific payment of principal or interest evidenced by such depositary receipt.</w:t>
      </w:r>
    </w:p>
    <w:p>
      <w:pPr>
        <w:spacing w:after="0" w:line="18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“Vice President,” when used with respect to the Company or the Trustee, means any vice president, whether or not designated by a number or a word or words added before or after the title “vice president.”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6"/>
          <w:szCs w:val="16"/>
          <w:b w:val="1"/>
          <w:bCs w:val="1"/>
          <w:color w:val="auto"/>
        </w:rPr>
        <w:t>Compliance Certificates and Opinions.</w:t>
      </w:r>
    </w:p>
    <w:p>
      <w:pPr>
        <w:spacing w:after="0" w:line="229"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Upon any application or request by the Company to the Trustee to take any action under any provision of this Indenture, the Company shall furnish to the Trustee such certificates and opinions as may be required under the Trust Indenture Act. Each such certificate or opinion shall be given in the form of an Officers’ Certificate, if to be given by an officer of the Company, or an Opinion of Counsel, if to be given by counsel, and shall comply with the requirements of the Trust Indenture Act and any other requirements set forth in this Indenture.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certificate or opinion with respect to compliance with a condition or covenant provided for in this Indenture shall include,</w:t>
      </w:r>
    </w:p>
    <w:p>
      <w:pPr>
        <w:spacing w:after="0" w:line="225" w:lineRule="exact"/>
        <w:rPr>
          <w:sz w:val="20"/>
          <w:szCs w:val="20"/>
          <w:color w:val="auto"/>
        </w:rPr>
      </w:pPr>
    </w:p>
    <w:p>
      <w:pPr>
        <w:ind w:left="1980" w:hanging="675"/>
        <w:spacing w:after="0"/>
        <w:tabs>
          <w:tab w:leader="none" w:pos="19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statement that each individual signing such certificate or opinion has read such covenant or condition and the definitions herein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relating thereto;</w:t>
      </w:r>
    </w:p>
    <w:p>
      <w:pPr>
        <w:spacing w:after="0" w:line="210" w:lineRule="exact"/>
        <w:rPr>
          <w:rFonts w:ascii="Arial" w:cs="Arial" w:eastAsia="Arial" w:hAnsi="Arial"/>
          <w:sz w:val="16"/>
          <w:szCs w:val="16"/>
          <w:color w:val="auto"/>
        </w:rPr>
      </w:pPr>
    </w:p>
    <w:p>
      <w:pPr>
        <w:ind w:left="660" w:right="40" w:firstLine="645"/>
        <w:spacing w:after="0" w:line="277" w:lineRule="auto"/>
        <w:tabs>
          <w:tab w:leader="none" w:pos="1977"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right="280" w:firstLine="645"/>
        <w:spacing w:after="0" w:line="342" w:lineRule="auto"/>
        <w:tabs>
          <w:tab w:leader="none" w:pos="1977" w:val="left"/>
        </w:tabs>
        <w:numPr>
          <w:ilvl w:val="0"/>
          <w:numId w:val="74"/>
        </w:numPr>
        <w:rPr>
          <w:rFonts w:ascii="Arial" w:cs="Arial" w:eastAsia="Arial" w:hAnsi="Arial"/>
          <w:sz w:val="16"/>
          <w:szCs w:val="16"/>
          <w:color w:val="auto"/>
        </w:rPr>
      </w:pPr>
      <w:r>
        <w:rPr>
          <w:rFonts w:ascii="Arial" w:cs="Arial" w:eastAsia="Arial" w:hAnsi="Arial"/>
          <w:sz w:val="16"/>
          <w:szCs w:val="16"/>
          <w:color w:val="auto"/>
        </w:rPr>
        <w:t>a statement that, in the opinion of each such individual, he or she has made such examination or investigation as is necessary to enable him or her to express an informed opinion as to whether or not such covenant or condition has been complied with;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80" w:hanging="675"/>
        <w:spacing w:after="0"/>
        <w:tabs>
          <w:tab w:leader="none" w:pos="1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condition or covenant has been complied with.</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Form of Documents Delivered to Trustee.</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as to other matters, and any such Person may certify or give an opinion as to such matters in one or several documents.</w:t>
      </w:r>
    </w:p>
    <w:p>
      <w:pPr>
        <w:spacing w:after="0" w:line="187"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 certificate or opinion of, or representations by, counsel, unless such officer knows, or in the exercise of reasonable care should know, that the certificate or opinion or representations with respect to the matters upon which his or her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78"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Acts of Holders; Record Dates.</w:t>
      </w:r>
    </w:p>
    <w:p>
      <w:pPr>
        <w:spacing w:after="0" w:line="229" w:lineRule="exact"/>
        <w:rPr>
          <w:sz w:val="20"/>
          <w:szCs w:val="20"/>
          <w:color w:val="auto"/>
        </w:rPr>
      </w:pPr>
    </w:p>
    <w:p>
      <w:pPr>
        <w:jc w:val="both"/>
        <w:ind w:right="160" w:firstLine="648"/>
        <w:spacing w:after="0" w:line="312" w:lineRule="auto"/>
        <w:rPr>
          <w:sz w:val="20"/>
          <w:szCs w:val="20"/>
          <w:color w:val="auto"/>
        </w:rPr>
      </w:pPr>
      <w:r>
        <w:rPr>
          <w:rFonts w:ascii="Arial" w:cs="Arial" w:eastAsia="Arial" w:hAnsi="Arial"/>
          <w:sz w:val="16"/>
          <w:szCs w:val="16"/>
          <w:color w:val="auto"/>
        </w:rPr>
        <w:t>Any request, demand, authorization, direction, notice, consent, waiver or other action provided or permitted by this Indenture to be given, made or taken by Holders may be embodied in and evidenced by one or more instruments of substantially similar tenor signed by such Holders in person or by agent duly appointed in writing; and, except as herein otherwise expressly provided, such action shall become effective when such instrument or instruments are</w:t>
      </w:r>
    </w:p>
    <w:p>
      <w:pPr>
        <w:sectPr>
          <w:pgSz w:w="11900" w:h="16952" w:orient="portrait"/>
          <w:cols w:equalWidth="0" w:num="1">
            <w:col w:w="11420"/>
          </w:cols>
          <w:pgMar w:left="240" w:top="125" w:right="239" w:bottom="0" w:gutter="0" w:footer="0" w:header="0"/>
        </w:sectPr>
      </w:pPr>
    </w:p>
    <w:bookmarkStart w:id="69" w:name="page70"/>
    <w:bookmarkEnd w:id="69"/>
    <w:p>
      <w:pPr>
        <w:spacing w:after="0" w:line="79"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delivered to the Trustee and, where it is hereby expressly required, to the Company. The Trustee shall promptly deliver to the Company copies of all such instrument or instruments delivered to the Trustee. Such instrument or instruments (and the action embodied therein and evidenced thereby) are herein sometimes referred to as the “Act” of the Holders signing such instrument or instruments. Proof of execution of any such instrument or of a writing appointing any such agent shall be sufficient for any purpose of this Indenture and (subject to Section 6.1) conclusive in favor of the Trustee and the Company, if made in the manner provided in this Section.</w:t>
      </w:r>
    </w:p>
    <w:p>
      <w:pPr>
        <w:spacing w:after="0" w:line="188"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or her the execution thereof. Where such execution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is by a signer acting in a capacity other than his or her individual capacity, such certificate or affidavit shall also constitute sufficient proof of his or her authority. The fact and date of the execution of any such instrument or writing, or the authority of the Person executing the same, may also be proved in any other manner that the Trustee deems sufficient.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ownership of Securities shall be proved by the Security Register.</w:t>
      </w:r>
    </w:p>
    <w:p>
      <w:pPr>
        <w:spacing w:after="0" w:line="225"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 or the Company in reliance thereon, whether or not notation of such action is made upon such Security.</w:t>
      </w:r>
    </w:p>
    <w:p>
      <w:pPr>
        <w:spacing w:after="0" w:line="18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The Company may set any day as a record date for the purpose of determining the Holders of Outstanding Securities of any series entitled to give, make or take any request, demand, authorization, direction, vote, notice, consent, waiver or other action provided or permitted by this Indenture to be given, made or taken by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may not set a record date for, and the provisions of this paragraph shall not apply with respect to, the giving or making of any notice, declaration, request or direction referred to in the next paragraph. If any record date is set pursuant to this paragraph, the Holders of Outstanding Securities of the relevant series on such record date, and no other Holders, shall be entitled to take the relevant action, whether or not such Holders remain Holders after such record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 construed to prevent the Company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Company, at its own expense, shall cause notice of such record date, the proposed action by Holders and the applicable Expiration Date to be given to the Trustee in writing and to each Holder of Securities of the relevant series in the manner set forth in Section 1.6.</w:t>
      </w:r>
    </w:p>
    <w:p>
      <w:pPr>
        <w:spacing w:after="0" w:line="18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The Trustee may set any day as a record date for the purpose of determining the Holders of Outstanding Securities of any series entitled to join in the giving or making of (i) any Notice of Default, (ii) any declaration of acceleration referred to in Section 5.2, (iii) any request to institute proceedings referred to in Section 5.7(2) or (iv) any direction referred to in Section 5.12, in each case with respect to Securities of such series. If any record date is set pursuant to this paragraph, the Holders of Outstanding Securities of such series on such record date, and no other Holders, shall be entitled to join in such notice, declaration, request or direction, whether or not such Holders remain Holders after such record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action shall be effective hereunder unless taken on or prior to the applicable Expiration Date by Holders of the requisite principal amount of Outstanding Securities of such series on such record date. Nothing in this paragraph shall be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construed to prevent the Trustee from setting a new record date for any action for which a record date has previously been set pursuant to this paragraph (whereupon the record date previously set shall automatically and with no action by any Person be canceled and of no effect), and nothing in this paragraph shall be construed to render ineffective any action taken by Holders of the requisite principal amount of Outstanding Securities of the relevant series on the date such action is taken. Promptly after any record date is set pursuant to this paragraph, the Trustee, at the Company’s expense, shall cause notice of such record date, the proposed action by Holders and the applicable Expiration Date to be given to the Company in writing and to each Holder of Securities of the relevant series in the manner set forth in Section 1.6.</w:t>
      </w:r>
    </w:p>
    <w:p>
      <w:pPr>
        <w:spacing w:after="0" w:line="178"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With respect to any record date set pursuant to this Section, the party hereto which sets such record dates may designate any day as the “Expiration Date” and from time to time may change the Expiration Date to any earlier or later day;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change shall be effective unless notice of the proposed new Expiration Date is given to the other party hereto in writing, and to each Holder of Securities of the relevant series in the manner set forth in Section 1.6, on or prior to the existing Expiration Date. If an Expiration Date is not designated with respect to any record date set pursuant to this Section, the party hereto which set such record date shall be deemed to have initially designated the 180th day after such record date as the Expiration Date with respect thereto, subject to its right to change the Expiration Date as provided in this paragraph. Notwithstanding the foregoing, no Expiration Date shall be later than the 180th day after the applicable record date.</w:t>
      </w:r>
    </w:p>
    <w:p>
      <w:pPr>
        <w:spacing w:after="0" w:line="18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Without limiting the foregoing, a Holder entitled hereunder to take any action hereunder with regard to any particular Security may do so with regard to all or any part of the principal amount of such Security or by one or more duly appointed agents each of which may do so pursuant to such appointment with regard to all or any part of such principal amount.</w:t>
      </w:r>
    </w:p>
    <w:p>
      <w:pPr>
        <w:spacing w:after="0" w:line="1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Section 1.5 Notices, etc., to Trustee and Company. </w:t>
      </w:r>
      <w:r>
        <w:rPr>
          <w:rFonts w:ascii="Arial" w:cs="Arial" w:eastAsia="Arial" w:hAnsi="Arial"/>
          <w:sz w:val="18"/>
          <w:szCs w:val="18"/>
          <w:color w:val="auto"/>
        </w:rPr>
        <w:t>Any request, demand, authorization, direction, notice, consent, waiver or Act of Holders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provided or permitted by this Indenture to be made upon, given or furnished to, or filed with,</w:t>
      </w:r>
    </w:p>
    <w:p>
      <w:pPr>
        <w:spacing w:after="0" w:line="166" w:lineRule="exact"/>
        <w:rPr>
          <w:sz w:val="20"/>
          <w:szCs w:val="20"/>
          <w:color w:val="auto"/>
        </w:rPr>
      </w:pPr>
    </w:p>
    <w:p>
      <w:pPr>
        <w:ind w:left="660" w:right="140" w:firstLine="645"/>
        <w:spacing w:after="0" w:line="264" w:lineRule="auto"/>
        <w:tabs>
          <w:tab w:leader="none" w:pos="197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Trustee by any Holder or by the Company shall be sufficient for every purpose hereunder if made, given, furnished or filed in writing (or by facsimile transmissions, provided that oral confirmation of receipt shall have been received) to or with the Trustee at its Corporate Trust Office, Attention: Corporate Trust Services, or</w:t>
      </w:r>
    </w:p>
    <w:p>
      <w:pPr>
        <w:sectPr>
          <w:pgSz w:w="11900" w:h="16918" w:orient="portrait"/>
          <w:cols w:equalWidth="0" w:num="1">
            <w:col w:w="11420"/>
          </w:cols>
          <w:pgMar w:left="240" w:top="125" w:right="239" w:bottom="0" w:gutter="0" w:footer="0" w:header="0"/>
        </w:sectPr>
      </w:pPr>
    </w:p>
    <w:bookmarkStart w:id="70" w:name="page71"/>
    <w:bookmarkEnd w:id="70"/>
    <w:p>
      <w:pPr>
        <w:spacing w:after="0" w:line="76" w:lineRule="exact"/>
        <w:rPr>
          <w:sz w:val="20"/>
          <w:szCs w:val="20"/>
          <w:color w:val="auto"/>
        </w:rPr>
      </w:pPr>
    </w:p>
    <w:p>
      <w:pPr>
        <w:jc w:val="both"/>
        <w:ind w:left="660" w:right="220" w:firstLine="645"/>
        <w:spacing w:after="0" w:line="259" w:lineRule="auto"/>
        <w:tabs>
          <w:tab w:leader="none" w:pos="1977"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Company by the Trustee or by any Holder shall be sufficient for every purpose hereunder (unless otherwise herein expressly provided) if in writing and mailed, first-class postage prepaid, personally delivered or sent via overnight courier to the Company addressed to it at the address of its principal office specified in the first paragraph of this instrument or at any other address previously furnished in writing to the Trustee by the Company, Attention: Chief Financial Officer.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Notice to Holders; Waiver.</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Where this Indenture provides for notice to Holders of any event, such notice shall be sufficiently given (unless otherwise herein expressly provided) if in writing and mailed, first-class postage prepaid, or delivered by hand or overnight courier, to each Holder affected by such event, at its address as it appears in the Security Register, not later than the latest date (if any), and not earlier than the earliest date (if any), prescribed for the giving of such notice. Neither the failure to mail or deliver by hand or overnight courier any notice, nor any defect in any notice so mailed or delivered by hand or overnight courier,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92"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In case by reason of the suspension of regular mail service or by reason of any other cause it shall be impracticable to give such notice by mail, then such notification as shall be made with the approval of the Trustee shall constitute a sufficient notification for every purpose hereunder.</w:t>
      </w:r>
    </w:p>
    <w:p>
      <w:pPr>
        <w:spacing w:after="0" w:line="147"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Whenever under this Indenture the Trustee is required to provide any notice by mail, in all cases the Trustee may alternatively provide notice by overnight courier, electronic transmission or by facsimile, with confirmation of transmission.</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Conflict with Trust Indenture Act.</w:t>
      </w:r>
    </w:p>
    <w:p>
      <w:pPr>
        <w:spacing w:after="0" w:line="229"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any provision hereof limits, qualifies or conflicts with a provision of the Trust Indenture Act that is required under the Trust Indenture Act to be a part of and govern this Indenture, the latter provision shall control. If any provision of this Indenture modifies or excludes any provision of the Trust Indenture Act, which may be so modified or excluded, the latter provision shall be deemed to apply to this Indenture as so modified or to be excluded, as the case may be.</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Effect of Headings and Table of Contents.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23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color w:val="auto"/>
        </w:rPr>
        <w:t>Successors and Assigns.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covenants and agreements in this Indenture by the Company shall bind its successors and assigns, whether so expressed or not.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b w:val="1"/>
          <w:bCs w:val="1"/>
          <w:color w:val="auto"/>
        </w:rPr>
        <w:t>Separability Clause.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Benefits of Indenture.</w:t>
      </w:r>
    </w:p>
    <w:p>
      <w:pPr>
        <w:spacing w:after="0" w:line="229" w:lineRule="exact"/>
        <w:rPr>
          <w:sz w:val="20"/>
          <w:szCs w:val="20"/>
          <w:color w:val="auto"/>
        </w:rPr>
      </w:pPr>
    </w:p>
    <w:p>
      <w:pPr>
        <w:ind w:right="740" w:firstLine="648"/>
        <w:spacing w:after="0" w:line="342" w:lineRule="auto"/>
        <w:rPr>
          <w:sz w:val="20"/>
          <w:szCs w:val="20"/>
          <w:color w:val="auto"/>
        </w:rPr>
      </w:pPr>
      <w:r>
        <w:rPr>
          <w:rFonts w:ascii="Arial" w:cs="Arial" w:eastAsia="Arial" w:hAnsi="Arial"/>
          <w:sz w:val="16"/>
          <w:szCs w:val="16"/>
          <w:color w:val="auto"/>
        </w:rPr>
        <w:t>Nothing in this Indenture or in the Securities, express or implied, shall give to any Person, other than the parties hereto and their successors hereunder, the holders of Senior Debt and the Holders, any benefit or any legal or equitable right, remedy or claim under this Indenture.</w:t>
      </w:r>
    </w:p>
    <w:p>
      <w:pPr>
        <w:spacing w:after="0" w:line="12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6"/>
          <w:szCs w:val="16"/>
          <w:b w:val="1"/>
          <w:bCs w:val="1"/>
          <w:color w:val="auto"/>
        </w:rPr>
        <w:t>Governing Law.</w:t>
      </w:r>
    </w:p>
    <w:p>
      <w:pPr>
        <w:spacing w:after="0" w:line="225" w:lineRule="exact"/>
        <w:rPr>
          <w:sz w:val="20"/>
          <w:szCs w:val="20"/>
          <w:color w:val="auto"/>
        </w:rPr>
      </w:pPr>
    </w:p>
    <w:p>
      <w:pPr>
        <w:ind w:right="160" w:firstLine="648"/>
        <w:spacing w:after="0" w:line="282" w:lineRule="auto"/>
        <w:rPr>
          <w:sz w:val="20"/>
          <w:szCs w:val="20"/>
          <w:color w:val="auto"/>
        </w:rPr>
      </w:pPr>
      <w:r>
        <w:rPr>
          <w:rFonts w:ascii="Arial" w:cs="Arial" w:eastAsia="Arial" w:hAnsi="Arial"/>
          <w:sz w:val="18"/>
          <w:szCs w:val="18"/>
          <w:b w:val="1"/>
          <w:bCs w:val="1"/>
          <w:color w:val="auto"/>
        </w:rPr>
        <w:t>THIS INDENTURE AND THE SECURITIES SHALL BE GOVERNED BY AND CONSTRUED IN ACCORDANCE WITH THE LAWS OF THE STATE OF NEW YORK.</w:t>
      </w:r>
    </w:p>
    <w:p>
      <w:pPr>
        <w:spacing w:after="0" w:line="16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b w:val="1"/>
          <w:bCs w:val="1"/>
          <w:color w:val="auto"/>
        </w:rPr>
        <w:t>Legal Holidays.</w:t>
      </w:r>
    </w:p>
    <w:p>
      <w:pPr>
        <w:spacing w:after="0" w:line="229"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In any case where any Interest Payment Date, Redemption Date or Stated Maturity of any Security or the last date on which a Holder has the right to convert a Security at a particular conversion price or conversion rate, as the case may be, shall not be a Business Day at any Place of Payment, then (notwithstanding any other provision of this Indenture or of the Securities (other than a provision of any Security which specifically states that such provision shall apply in lieu of this Section)) payment of interest or principal (and premium, if any) or, if applicable to a particular series of Securities, conversion need not be made at such Place of Payment on such date, but may be made on the next succeeding Business Day at such Place of Payment with the same force and effect as if made on the Interest Payment Date or Redemption Date, at the Stated Maturity or on such last day for conversion, as the case may be.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1.14</w:t>
      </w:r>
      <w:r>
        <w:rPr>
          <w:sz w:val="20"/>
          <w:szCs w:val="20"/>
          <w:color w:val="auto"/>
        </w:rPr>
        <w:tab/>
      </w:r>
      <w:r>
        <w:rPr>
          <w:rFonts w:ascii="Arial" w:cs="Arial" w:eastAsia="Arial" w:hAnsi="Arial"/>
          <w:sz w:val="16"/>
          <w:szCs w:val="16"/>
          <w:b w:val="1"/>
          <w:bCs w:val="1"/>
          <w:color w:val="auto"/>
        </w:rPr>
        <w:t>Indenture and Securities Solely Corporate Obligations.</w:t>
      </w:r>
    </w:p>
    <w:p>
      <w:pPr>
        <w:spacing w:after="0" w:line="22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No recourse for the payment of the principal of or premium, if any, or interest on any Security,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stockholder, employee, agent, officer, or director or subsidiary, as such, past, present or future, of the Company or of any successor corporation, either directly or through the Company or any successor corporation, whether by virtue of any constitution, statute or rule of law, or by the enforcement of any assessment or penalty or otherwise; it being</w:t>
      </w:r>
    </w:p>
    <w:p>
      <w:pPr>
        <w:sectPr>
          <w:pgSz w:w="11900" w:h="16914" w:orient="portrait"/>
          <w:cols w:equalWidth="0" w:num="1">
            <w:col w:w="11420"/>
          </w:cols>
          <w:pgMar w:left="240" w:top="341" w:right="239" w:bottom="0" w:gutter="0" w:footer="0" w:header="0"/>
        </w:sectPr>
      </w:pPr>
    </w:p>
    <w:bookmarkStart w:id="71" w:name="page72"/>
    <w:bookmarkEnd w:id="71"/>
    <w:p>
      <w:pPr>
        <w:ind w:right="720"/>
        <w:spacing w:after="0" w:line="277" w:lineRule="auto"/>
        <w:rPr>
          <w:sz w:val="20"/>
          <w:szCs w:val="20"/>
          <w:color w:val="auto"/>
        </w:rPr>
      </w:pPr>
      <w:r>
        <w:rPr>
          <w:rFonts w:ascii="Arial" w:cs="Arial" w:eastAsia="Arial" w:hAnsi="Arial"/>
          <w:sz w:val="18"/>
          <w:szCs w:val="18"/>
          <w:color w:val="auto"/>
        </w:rPr>
        <w:t>expressly understood that all such liability is hereby expressly waived and released as a condition of, and as a consideration for, the execution of this Indenture and the issue of the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Indenture May be Executed in Counterparts.</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instrument may be executed in any number of counterparts, each of which shall be an original, but such counterparts shall together constitute but one and the same instrument.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FORMS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Forms Generally.</w:t>
      </w:r>
    </w:p>
    <w:p>
      <w:pPr>
        <w:spacing w:after="0" w:line="229"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Securities of each series shall be in substantially the form set forth in this Article, or in such other form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Depositary therefor or as may, consistently herewith, be determined by the officers executing such Securities, as evidenced by their execution thereof. If the form of Securities of any series is established by action taken pursuant to a Board Resolution, a copy of an appropriate record of such action shall be certified by the Secretary or an Assistant Secretary of the Company and delivered to the Trustee at or prior to the delivery of the Company Order contemplated by Section 3.3 for the authentication and delivery of such Securities. Any such Board Resolution or record of such action shall have attached thereto a true and correct copy of the form of Security referred to therein approved by or pursuant to such Board Resolution.</w:t>
      </w:r>
    </w:p>
    <w:p>
      <w:pPr>
        <w:spacing w:after="0" w:line="18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Form of Face of Security.</w:t>
      </w:r>
    </w:p>
    <w:p>
      <w:pPr>
        <w:spacing w:after="0" w:line="225"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[INSERT ANY LEGEND REQUIRED BY THE INTERNAL REVENUE CODE AND THE REGULATIONS THEREUNDER.]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9460" w:val="left"/>
        </w:tabs>
        <w:rPr>
          <w:sz w:val="20"/>
          <w:szCs w:val="20"/>
          <w:color w:val="auto"/>
        </w:rPr>
      </w:pP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CUSIP:</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Micron Technology, Inc., a corporation duly organized and existing under the laws of Delaware (herein called the “Company,” which term includes any successor Person under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Indenture hereinafter referred to), for value received, hereby promises to pay to , or registered assigns, the principal sum of dollars on [</w:t>
      </w:r>
      <w:r>
        <w:rPr>
          <w:rFonts w:ascii="Arial" w:cs="Arial" w:eastAsia="Arial" w:hAnsi="Arial"/>
          <w:sz w:val="18"/>
          <w:szCs w:val="18"/>
          <w:b w:val="1"/>
          <w:bCs w:val="1"/>
          <w:color w:val="auto"/>
        </w:rPr>
        <w:t>if the Security is to bear interest prior to Maturity, insert —</w:t>
      </w:r>
      <w:r>
        <w:rPr>
          <w:rFonts w:ascii="Arial" w:cs="Arial" w:eastAsia="Arial" w:hAnsi="Arial"/>
          <w:sz w:val="18"/>
          <w:szCs w:val="18"/>
          <w:color w:val="auto"/>
        </w:rPr>
        <w:t xml:space="preserve"> , and to pay interest thereon from or from the most recent Interest Payment Date to which interest has been paid or duly provided for, semi-annually on and in each year, commencing , at the rate of % per annum, until the principal hereof is paid or made</w:t>
      </w:r>
    </w:p>
    <w:p>
      <w:pPr>
        <w:spacing w:after="0" w:line="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available for payment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 provided that any principal and premium, and any such installment of interest, which is overdue shall bear interest at the rate of % per annum (to the extent that the payment of such interest shall be legally enforceable), from the dates such amounts are due until they are paid or made available for payment, and such interest shall be payable on demand]. The interest so payable, and punctually paid or duly provided for, on any Interest Payment Date will, as provided in such Indenture, be paid to the Person in whose name this Security (or one or more Predecessor</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Securities) is registered at the close of business on the Regular Record Date for such interest, which shall be the or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(or one or more Predecessor Securities)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w:t>
      </w:r>
    </w:p>
    <w:p>
      <w:pPr>
        <w:spacing w:after="0" w:line="177"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to bear interest prior to Maturity, insert —</w:t>
      </w:r>
      <w:r>
        <w:rPr>
          <w:rFonts w:ascii="Arial" w:cs="Arial" w:eastAsia="Arial" w:hAnsi="Arial"/>
          <w:sz w:val="16"/>
          <w:szCs w:val="16"/>
          <w:color w:val="auto"/>
        </w:rPr>
        <w:t xml:space="preserve"> The principal of this Security shall not bear interest except in the case of a default in payment of principal upon acceleration, upon redemption or at Stated Maturity and in such case the overdue principal and any overdue premium shall bear interest at the rate of % per annum (to the extent that the payment of such interest shall be legally enforceable), from the dates such amounts are due until they are paid or made available for payment. Interest on any overdue principal or premium shall be payable on demand. Any such interest on overdue principal or premium which is not paid on demand shall bear interest at the rate of % per annum (to the extent that the payment of such interest on interest shall be legally enforceable), from the date of such demand until the amount so demanded is paid or made available for payment. Interest on any overdue interest shall be payable on demand.] Payment of the principal of (and premium, if any) and [</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any such] interest on this</w:t>
      </w:r>
    </w:p>
    <w:p>
      <w:pPr>
        <w:spacing w:after="0" w:line="2"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Security will be made at the office or agency of the Company maintained for that purpose in , in such coin or currency of the United States of America as at the time of payment is legal tender for payment of public and private debts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at the</w:t>
      </w:r>
    </w:p>
    <w:p>
      <w:pPr>
        <w:sectPr>
          <w:pgSz w:w="11900" w:h="16838" w:orient="portrait"/>
          <w:cols w:equalWidth="0" w:num="1">
            <w:col w:w="11420"/>
          </w:cols>
          <w:pgMar w:left="240" w:top="125" w:right="239" w:bottom="0" w:gutter="0" w:footer="0" w:header="0"/>
        </w:sectPr>
      </w:pPr>
    </w:p>
    <w:bookmarkStart w:id="72" w:name="page73"/>
    <w:bookmarkEnd w:id="72"/>
    <w:p>
      <w:pPr>
        <w:ind w:right="460"/>
        <w:spacing w:after="0" w:line="277" w:lineRule="auto"/>
        <w:rPr>
          <w:sz w:val="20"/>
          <w:szCs w:val="20"/>
          <w:color w:val="auto"/>
        </w:rPr>
      </w:pPr>
      <w:r>
        <w:rPr>
          <w:rFonts w:ascii="Arial" w:cs="Arial" w:eastAsia="Arial" w:hAnsi="Arial"/>
          <w:sz w:val="18"/>
          <w:szCs w:val="18"/>
          <w:color w:val="auto"/>
        </w:rPr>
        <w:t>option of the Company payment of interest may be made by check mailed to the address of the Person entitled thereto as such address shall appear in the Security Register].</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instrument to be duly executed.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Dated:</w:t>
            </w: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gridSpan w:val="3"/>
          </w:tcPr>
          <w:p>
            <w:pPr>
              <w:ind w:left="260"/>
              <w:spacing w:after="0"/>
              <w:rPr>
                <w:sz w:val="20"/>
                <w:szCs w:val="20"/>
                <w:color w:val="auto"/>
              </w:rPr>
            </w:pPr>
            <w:r>
              <w:rPr>
                <w:rFonts w:ascii="Arial" w:cs="Arial" w:eastAsia="Arial" w:hAnsi="Arial"/>
                <w:sz w:val="18"/>
                <w:szCs w:val="18"/>
                <w:color w:val="auto"/>
              </w:rPr>
              <w:t>MICRON TECHNOLOGY, INC.</w:t>
            </w:r>
          </w:p>
        </w:tc>
      </w:tr>
      <w:tr>
        <w:trPr>
          <w:trHeight w:val="412"/>
        </w:trPr>
        <w:tc>
          <w:tcPr>
            <w:tcW w:w="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58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tcPr>
          <w:p>
            <w:pPr>
              <w:spacing w:after="0"/>
              <w:rPr>
                <w:sz w:val="24"/>
                <w:szCs w:val="24"/>
                <w:color w:val="auto"/>
              </w:rPr>
            </w:pPr>
          </w:p>
        </w:tc>
      </w:tr>
      <w:tr>
        <w:trPr>
          <w:trHeight w:val="412"/>
        </w:trPr>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gridSpan w:val="2"/>
          </w:tcPr>
          <w:p>
            <w:pPr>
              <w:ind w:left="260"/>
              <w:spacing w:after="0"/>
              <w:rPr>
                <w:sz w:val="20"/>
                <w:szCs w:val="20"/>
                <w:color w:val="auto"/>
              </w:rPr>
            </w:pPr>
            <w:r>
              <w:rPr>
                <w:rFonts w:ascii="Arial" w:cs="Arial" w:eastAsia="Arial" w:hAnsi="Arial"/>
                <w:sz w:val="18"/>
                <w:szCs w:val="18"/>
                <w:color w:val="auto"/>
              </w:rPr>
              <w:t>Title:</w:t>
            </w:r>
          </w:p>
        </w:tc>
        <w:tc>
          <w:tcPr>
            <w:tcW w:w="5080" w:type="dxa"/>
            <w:vAlign w:val="bottom"/>
            <w:tcBorders>
              <w:bottom w:val="single" w:sz="8" w:color="auto"/>
            </w:tcBorders>
          </w:tcPr>
          <w:p>
            <w:pPr>
              <w:spacing w:after="0"/>
              <w:rPr>
                <w:sz w:val="24"/>
                <w:szCs w:val="24"/>
                <w:color w:val="auto"/>
              </w:rPr>
            </w:pPr>
          </w:p>
        </w:tc>
      </w:tr>
      <w:tr>
        <w:trPr>
          <w:trHeight w:val="426"/>
        </w:trPr>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7760" w:type="dxa"/>
            <w:vAlign w:val="bottom"/>
            <w:gridSpan w:val="4"/>
          </w:tcPr>
          <w:p>
            <w:pPr>
              <w:ind w:left="300"/>
              <w:spacing w:after="0"/>
              <w:rPr>
                <w:sz w:val="20"/>
                <w:szCs w:val="20"/>
                <w:color w:val="auto"/>
              </w:rPr>
            </w:pPr>
            <w:r>
              <w:rPr>
                <w:rFonts w:ascii="Arial" w:cs="Arial" w:eastAsia="Arial" w:hAnsi="Arial"/>
                <w:sz w:val="18"/>
                <w:szCs w:val="18"/>
                <w:color w:val="auto"/>
              </w:rPr>
              <w:t>[Form of Trustee’s Certificate of Authentication]</w:t>
            </w:r>
          </w:p>
        </w:tc>
      </w:tr>
      <w:tr>
        <w:trPr>
          <w:trHeight w:val="432"/>
        </w:trPr>
        <w:tc>
          <w:tcPr>
            <w:tcW w:w="11420" w:type="dxa"/>
            <w:vAlign w:val="bottom"/>
            <w:gridSpan w:val="7"/>
          </w:tcPr>
          <w:p>
            <w:pPr>
              <w:ind w:left="660"/>
              <w:spacing w:after="0"/>
              <w:rPr>
                <w:sz w:val="20"/>
                <w:szCs w:val="20"/>
                <w:color w:val="auto"/>
              </w:rPr>
            </w:pPr>
            <w:r>
              <w:rPr>
                <w:rFonts w:ascii="Arial" w:cs="Arial" w:eastAsia="Arial" w:hAnsi="Arial"/>
                <w:sz w:val="18"/>
                <w:szCs w:val="18"/>
                <w:color w:val="auto"/>
              </w:rPr>
              <w:t>This is one of the Securities of the series designated herein referred to in the within-mentioned Indenture.</w:t>
            </w:r>
          </w:p>
        </w:tc>
      </w:tr>
      <w:tr>
        <w:trPr>
          <w:trHeight w:val="418"/>
        </w:trPr>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920" w:type="dxa"/>
            <w:vAlign w:val="bottom"/>
            <w:gridSpan w:val="3"/>
          </w:tcPr>
          <w:p>
            <w:pPr>
              <w:ind w:left="200"/>
              <w:spacing w:after="0"/>
              <w:rPr>
                <w:sz w:val="20"/>
                <w:szCs w:val="20"/>
                <w:color w:val="auto"/>
              </w:rPr>
            </w:pPr>
            <w:r>
              <w:rPr>
                <w:rFonts w:ascii="Arial" w:cs="Arial" w:eastAsia="Arial" w:hAnsi="Arial"/>
                <w:sz w:val="18"/>
                <w:szCs w:val="18"/>
                <w:color w:val="auto"/>
              </w:rPr>
              <w:t>Wells Fargo Bank, National Association,</w:t>
            </w:r>
          </w:p>
        </w:tc>
      </w:tr>
      <w:tr>
        <w:trPr>
          <w:trHeight w:val="230"/>
        </w:trPr>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920" w:type="dxa"/>
            <w:vAlign w:val="bottom"/>
            <w:gridSpan w:val="3"/>
          </w:tcPr>
          <w:p>
            <w:pPr>
              <w:ind w:left="200"/>
              <w:spacing w:after="0"/>
              <w:rPr>
                <w:sz w:val="20"/>
                <w:szCs w:val="20"/>
                <w:color w:val="auto"/>
              </w:rPr>
            </w:pPr>
            <w:r>
              <w:rPr>
                <w:rFonts w:ascii="Arial" w:cs="Arial" w:eastAsia="Arial" w:hAnsi="Arial"/>
                <w:sz w:val="18"/>
                <w:szCs w:val="18"/>
                <w:color w:val="auto"/>
              </w:rPr>
              <w:t>as Trustee</w:t>
            </w:r>
          </w:p>
        </w:tc>
      </w:tr>
      <w:tr>
        <w:trPr>
          <w:trHeight w:val="648"/>
        </w:trPr>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920" w:type="dxa"/>
            <w:vAlign w:val="bottom"/>
            <w:gridSpan w:val="3"/>
          </w:tcPr>
          <w:p>
            <w:pPr>
              <w:ind w:left="200"/>
              <w:spacing w:after="0"/>
              <w:rPr>
                <w:sz w:val="20"/>
                <w:szCs w:val="20"/>
                <w:color w:val="auto"/>
              </w:rPr>
            </w:pPr>
            <w:r>
              <w:rPr>
                <w:rFonts w:ascii="Arial" w:cs="Arial" w:eastAsia="Arial" w:hAnsi="Arial"/>
                <w:sz w:val="18"/>
                <w:szCs w:val="18"/>
                <w:color w:val="auto"/>
              </w:rPr>
              <w:t>By:</w:t>
            </w:r>
          </w:p>
        </w:tc>
      </w:tr>
      <w:tr>
        <w:trPr>
          <w:trHeight w:val="224"/>
        </w:trPr>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Authorized Officer</w:t>
            </w:r>
          </w:p>
        </w:tc>
      </w:tr>
      <w:tr>
        <w:trPr>
          <w:trHeight w:val="418"/>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Section 2.3</w:t>
            </w:r>
          </w:p>
        </w:tc>
        <w:tc>
          <w:tcPr>
            <w:tcW w:w="2580" w:type="dxa"/>
            <w:vAlign w:val="bottom"/>
          </w:tcPr>
          <w:p>
            <w:pPr>
              <w:ind w:left="240"/>
              <w:spacing w:after="0"/>
              <w:rPr>
                <w:sz w:val="20"/>
                <w:szCs w:val="20"/>
                <w:color w:val="auto"/>
              </w:rPr>
            </w:pPr>
            <w:r>
              <w:rPr>
                <w:rFonts w:ascii="Arial" w:cs="Arial" w:eastAsia="Arial" w:hAnsi="Arial"/>
                <w:sz w:val="18"/>
                <w:szCs w:val="18"/>
                <w:b w:val="1"/>
                <w:bCs w:val="1"/>
                <w:color w:val="auto"/>
                <w:w w:val="94"/>
              </w:rPr>
              <w:t>Form of Reverse of Security.</w:t>
            </w: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418"/>
        </w:trPr>
        <w:tc>
          <w:tcPr>
            <w:tcW w:w="11420" w:type="dxa"/>
            <w:vAlign w:val="bottom"/>
            <w:gridSpan w:val="7"/>
          </w:tcPr>
          <w:p>
            <w:pPr>
              <w:ind w:left="660"/>
              <w:spacing w:after="0"/>
              <w:rPr>
                <w:sz w:val="20"/>
                <w:szCs w:val="20"/>
                <w:color w:val="auto"/>
              </w:rPr>
            </w:pPr>
            <w:r>
              <w:rPr>
                <w:rFonts w:ascii="Arial" w:cs="Arial" w:eastAsia="Arial" w:hAnsi="Arial"/>
                <w:sz w:val="18"/>
                <w:szCs w:val="18"/>
                <w:color w:val="auto"/>
                <w:w w:val="92"/>
              </w:rPr>
              <w:t>This Security is one of a duly authorized issue of securities of the Company (herein called the “Securities”), issued and to be issued in one or more</w:t>
            </w: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color w:val="auto"/>
              </w:rPr>
              <w:t>series under an Indenture, dated as of</w:t>
            </w:r>
          </w:p>
        </w:tc>
        <w:tc>
          <w:tcPr>
            <w:tcW w:w="7760" w:type="dxa"/>
            <w:vAlign w:val="bottom"/>
            <w:gridSpan w:val="4"/>
          </w:tcPr>
          <w:p>
            <w:pPr>
              <w:ind w:left="160"/>
              <w:spacing w:after="0"/>
              <w:rPr>
                <w:sz w:val="20"/>
                <w:szCs w:val="20"/>
                <w:color w:val="auto"/>
              </w:rPr>
            </w:pPr>
            <w:r>
              <w:rPr>
                <w:rFonts w:ascii="Arial" w:cs="Arial" w:eastAsia="Arial" w:hAnsi="Arial"/>
                <w:sz w:val="18"/>
                <w:szCs w:val="18"/>
                <w:color w:val="auto"/>
              </w:rPr>
              <w:t>, 20   (herein called the “Indenture,” which term shall have the meaning assigned to it in such</w:t>
            </w:r>
          </w:p>
        </w:tc>
      </w:tr>
    </w:tbl>
    <w:p>
      <w:pPr>
        <w:ind w:right="100"/>
        <w:spacing w:after="0"/>
        <w:rPr>
          <w:sz w:val="20"/>
          <w:szCs w:val="20"/>
          <w:color w:val="auto"/>
        </w:rPr>
      </w:pPr>
      <w:r>
        <w:rPr>
          <w:rFonts w:ascii="Arial" w:cs="Arial" w:eastAsia="Arial" w:hAnsi="Arial"/>
          <w:sz w:val="12"/>
          <w:szCs w:val="12"/>
          <w:color w:val="auto"/>
        </w:rPr>
        <w:t>instrument), between the Company and Wells Fargo Bank, National Association, as Trustee (herein called the “Trustee,” which term includes any successor trustee under the Indenture), and reference is hereby made to the Indenture and all indentures supplemental thereto for a statement of the respective rights, limitations of rights, duties and immunities thereunder of the Company, the Trustee, the holders of Senior Debt and the Holders of the Securities and of the terms upon which the Securities are, and are to be, authenticated and delivered. This Security is one of the series designated on the face hereof [</w:t>
      </w:r>
      <w:r>
        <w:rPr>
          <w:rFonts w:ascii="Arial" w:cs="Arial" w:eastAsia="Arial" w:hAnsi="Arial"/>
          <w:sz w:val="12"/>
          <w:szCs w:val="12"/>
          <w:b w:val="1"/>
          <w:bCs w:val="1"/>
          <w:color w:val="auto"/>
        </w:rPr>
        <w:t>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4620" w:val="left"/>
        </w:tabs>
        <w:rPr>
          <w:sz w:val="20"/>
          <w:szCs w:val="20"/>
          <w:color w:val="auto"/>
        </w:rPr>
      </w:pPr>
      <w:r>
        <w:rPr>
          <w:rFonts w:ascii="Arial" w:cs="Arial" w:eastAsia="Arial" w:hAnsi="Arial"/>
          <w:sz w:val="18"/>
          <w:szCs w:val="18"/>
          <w:b w:val="1"/>
          <w:bCs w:val="1"/>
          <w:color w:val="auto"/>
        </w:rPr>
        <w:t xml:space="preserve">insert — </w:t>
      </w:r>
      <w:r>
        <w:rPr>
          <w:rFonts w:ascii="Arial" w:cs="Arial" w:eastAsia="Arial" w:hAnsi="Arial"/>
          <w:sz w:val="18"/>
          <w:szCs w:val="18"/>
          <w:color w:val="auto"/>
        </w:rPr>
        <w:t>, limited in aggregate principal amount to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Securities of this series are subject to redemption upon not less than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30] days’ notice by mail, [</w:t>
      </w:r>
      <w:r>
        <w:rPr>
          <w:rFonts w:ascii="Arial" w:cs="Arial" w:eastAsia="Arial" w:hAnsi="Arial"/>
          <w:sz w:val="18"/>
          <w:szCs w:val="18"/>
          <w:b w:val="1"/>
          <w:bCs w:val="1"/>
          <w:color w:val="auto"/>
        </w:rPr>
        <w:t>if applicable, insert</w:t>
      </w:r>
      <w:r>
        <w:rPr>
          <w:rFonts w:ascii="Arial" w:cs="Arial" w:eastAsia="Arial" w:hAnsi="Arial"/>
          <w:sz w:val="18"/>
          <w:szCs w:val="18"/>
          <w:color w:val="auto"/>
        </w:rPr>
        <w:t xml:space="preserve"> — (1) on in any year commencing with the year and ending with the year through operation of the</w:t>
      </w:r>
    </w:p>
    <w:p>
      <w:pPr>
        <w:spacing w:after="0"/>
        <w:rPr>
          <w:sz w:val="20"/>
          <w:szCs w:val="20"/>
          <w:color w:val="auto"/>
        </w:rPr>
      </w:pPr>
      <w:r>
        <w:rPr>
          <w:rFonts w:ascii="Arial" w:cs="Arial" w:eastAsia="Arial" w:hAnsi="Arial"/>
          <w:sz w:val="17"/>
          <w:szCs w:val="17"/>
          <w:color w:val="auto"/>
        </w:rPr>
        <w:t xml:space="preserve">sinking fund for this series at a Redemption Price equal to 100% of the principal amount, and (2)] at any time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on or after</w:t>
      </w:r>
    </w:p>
    <w:p>
      <w:pPr>
        <w:spacing w:after="0" w:line="21" w:lineRule="exact"/>
        <w:rPr>
          <w:sz w:val="20"/>
          <w:szCs w:val="20"/>
          <w:color w:val="auto"/>
        </w:rPr>
      </w:pPr>
    </w:p>
    <w:p>
      <w:pPr>
        <w:ind w:left="1180"/>
        <w:spacing w:after="0"/>
        <w:tabs>
          <w:tab w:leader="none" w:pos="1600" w:val="left"/>
        </w:tabs>
        <w:rPr>
          <w:sz w:val="20"/>
          <w:szCs w:val="20"/>
          <w:color w:val="auto"/>
        </w:rPr>
      </w:pPr>
      <w:r>
        <w:rPr>
          <w:rFonts w:ascii="Arial" w:cs="Arial" w:eastAsia="Arial" w:hAnsi="Arial"/>
          <w:sz w:val="18"/>
          <w:szCs w:val="18"/>
          <w:color w:val="auto"/>
        </w:rPr>
        <w:t>, 20</w:t>
      </w:r>
      <w:r>
        <w:rPr>
          <w:sz w:val="20"/>
          <w:szCs w:val="20"/>
          <w:color w:val="auto"/>
        </w:rPr>
        <w:tab/>
      </w:r>
      <w:r>
        <w:rPr>
          <w:rFonts w:ascii="Arial" w:cs="Arial" w:eastAsia="Arial" w:hAnsi="Arial"/>
          <w:sz w:val="16"/>
          <w:szCs w:val="16"/>
          <w:color w:val="auto"/>
        </w:rPr>
        <w:t>], as a whole or in part, at the election of the Company, at the following Redemption Prices (expressed as percentages of the principal</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20" w:type="dxa"/>
            <w:vAlign w:val="bottom"/>
            <w:gridSpan w:val="3"/>
          </w:tcPr>
          <w:p>
            <w:pPr>
              <w:spacing w:after="0"/>
              <w:rPr>
                <w:sz w:val="20"/>
                <w:szCs w:val="20"/>
                <w:color w:val="auto"/>
              </w:rPr>
            </w:pPr>
            <w:r>
              <w:rPr>
                <w:rFonts w:ascii="Arial" w:cs="Arial" w:eastAsia="Arial" w:hAnsi="Arial"/>
                <w:sz w:val="18"/>
                <w:szCs w:val="18"/>
                <w:color w:val="auto"/>
              </w:rPr>
              <w:t xml:space="preserve">amount): If redeemed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on or before</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840" w:type="dxa"/>
            <w:vAlign w:val="bottom"/>
            <w:gridSpan w:val="4"/>
          </w:tcPr>
          <w:p>
            <w:pPr>
              <w:ind w:left="80"/>
              <w:spacing w:after="0"/>
              <w:rPr>
                <w:sz w:val="20"/>
                <w:szCs w:val="20"/>
                <w:color w:val="auto"/>
              </w:rPr>
            </w:pPr>
            <w:r>
              <w:rPr>
                <w:rFonts w:ascii="Arial" w:cs="Arial" w:eastAsia="Arial" w:hAnsi="Arial"/>
                <w:sz w:val="18"/>
                <w:szCs w:val="18"/>
                <w:color w:val="auto"/>
              </w:rPr>
              <w:t>%, and if redeemed] during the 12-month period beginning</w:t>
            </w:r>
          </w:p>
        </w:tc>
        <w:tc>
          <w:tcPr>
            <w:tcW w:w="700" w:type="dxa"/>
            <w:vAlign w:val="bottom"/>
          </w:tcPr>
          <w:p>
            <w:pPr>
              <w:ind w:left="300"/>
              <w:spacing w:after="0"/>
              <w:rPr>
                <w:sz w:val="20"/>
                <w:szCs w:val="20"/>
                <w:color w:val="auto"/>
              </w:rPr>
            </w:pPr>
            <w:r>
              <w:rPr>
                <w:rFonts w:ascii="Arial" w:cs="Arial" w:eastAsia="Arial" w:hAnsi="Arial"/>
                <w:sz w:val="18"/>
                <w:szCs w:val="18"/>
                <w:color w:val="auto"/>
              </w:rPr>
              <w:t>of</w:t>
            </w:r>
          </w:p>
        </w:tc>
        <w:tc>
          <w:tcPr>
            <w:tcW w:w="40" w:type="dxa"/>
            <w:vAlign w:val="bottom"/>
          </w:tcPr>
          <w:p>
            <w:pPr>
              <w:spacing w:after="0"/>
              <w:rPr>
                <w:sz w:val="18"/>
                <w:szCs w:val="18"/>
                <w:color w:val="auto"/>
              </w:rPr>
            </w:pPr>
          </w:p>
        </w:tc>
      </w:tr>
      <w:tr>
        <w:trPr>
          <w:trHeight w:val="230"/>
        </w:trPr>
        <w:tc>
          <w:tcPr>
            <w:tcW w:w="3720" w:type="dxa"/>
            <w:vAlign w:val="bottom"/>
            <w:gridSpan w:val="2"/>
          </w:tcPr>
          <w:p>
            <w:pPr>
              <w:spacing w:after="0"/>
              <w:rPr>
                <w:sz w:val="20"/>
                <w:szCs w:val="20"/>
                <w:color w:val="auto"/>
              </w:rPr>
            </w:pPr>
            <w:r>
              <w:rPr>
                <w:rFonts w:ascii="Arial" w:cs="Arial" w:eastAsia="Arial" w:hAnsi="Arial"/>
                <w:sz w:val="18"/>
                <w:szCs w:val="18"/>
                <w:color w:val="auto"/>
              </w:rPr>
              <w:t>the years indicated,</w:t>
            </w: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3720" w:type="dxa"/>
            <w:vAlign w:val="bottom"/>
            <w:gridSpan w:val="2"/>
          </w:tcPr>
          <w:p>
            <w:pPr>
              <w:spacing w:after="0"/>
              <w:rPr>
                <w:sz w:val="20"/>
                <w:szCs w:val="20"/>
                <w:color w:val="auto"/>
              </w:rPr>
            </w:pPr>
            <w:r>
              <w:rPr>
                <w:rFonts w:ascii="Arial" w:cs="Arial" w:eastAsia="Arial" w:hAnsi="Arial"/>
                <w:sz w:val="14"/>
                <w:szCs w:val="14"/>
                <w:b w:val="1"/>
                <w:bCs w:val="1"/>
                <w:color w:val="auto"/>
              </w:rPr>
              <w:t>Year</w:t>
            </w:r>
          </w:p>
        </w:tc>
        <w:tc>
          <w:tcPr>
            <w:tcW w:w="1700" w:type="dxa"/>
            <w:vAlign w:val="bottom"/>
          </w:tcPr>
          <w:p>
            <w:pPr>
              <w:ind w:left="400"/>
              <w:spacing w:after="0"/>
              <w:rPr>
                <w:sz w:val="20"/>
                <w:szCs w:val="20"/>
                <w:color w:val="auto"/>
              </w:rPr>
            </w:pPr>
            <w:r>
              <w:rPr>
                <w:rFonts w:ascii="Arial" w:cs="Arial" w:eastAsia="Arial" w:hAnsi="Arial"/>
                <w:sz w:val="14"/>
                <w:szCs w:val="14"/>
                <w:b w:val="1"/>
                <w:bCs w:val="1"/>
                <w:color w:val="auto"/>
              </w:rPr>
              <w:t>Redemption Price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500" w:type="dxa"/>
            <w:vAlign w:val="bottom"/>
            <w:gridSpan w:val="2"/>
          </w:tcPr>
          <w:p>
            <w:pPr>
              <w:ind w:left="760"/>
              <w:spacing w:after="0"/>
              <w:rPr>
                <w:sz w:val="20"/>
                <w:szCs w:val="20"/>
                <w:color w:val="auto"/>
              </w:rPr>
            </w:pPr>
            <w:r>
              <w:rPr>
                <w:rFonts w:ascii="Arial" w:cs="Arial" w:eastAsia="Arial" w:hAnsi="Arial"/>
                <w:sz w:val="14"/>
                <w:szCs w:val="14"/>
                <w:b w:val="1"/>
                <w:bCs w:val="1"/>
                <w:color w:val="auto"/>
              </w:rPr>
              <w:t>Year</w:t>
            </w:r>
          </w:p>
        </w:tc>
        <w:tc>
          <w:tcPr>
            <w:tcW w:w="1900" w:type="dxa"/>
            <w:vAlign w:val="bottom"/>
          </w:tcPr>
          <w:p>
            <w:pPr>
              <w:ind w:left="400"/>
              <w:spacing w:after="0"/>
              <w:rPr>
                <w:sz w:val="20"/>
                <w:szCs w:val="20"/>
                <w:color w:val="auto"/>
              </w:rPr>
            </w:pPr>
            <w:r>
              <w:rPr>
                <w:rFonts w:ascii="Arial" w:cs="Arial" w:eastAsia="Arial" w:hAnsi="Arial"/>
                <w:sz w:val="14"/>
                <w:szCs w:val="14"/>
                <w:b w:val="1"/>
                <w:bCs w:val="1"/>
                <w:color w:val="auto"/>
              </w:rPr>
              <w:t>Redemption Price</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0"/>
        </w:trPr>
        <w:tc>
          <w:tcPr>
            <w:tcW w:w="30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720" w:type="dxa"/>
            <w:vAlign w:val="bottom"/>
            <w:tcBorders>
              <w:bottom w:val="single" w:sz="8" w:color="010101"/>
            </w:tcBorders>
            <w:gridSpan w:val="2"/>
          </w:tcPr>
          <w:p>
            <w:pPr>
              <w:spacing w:after="0"/>
              <w:rPr>
                <w:sz w:val="11"/>
                <w:szCs w:val="11"/>
                <w:color w:val="auto"/>
              </w:rPr>
            </w:pPr>
          </w:p>
        </w:tc>
        <w:tc>
          <w:tcPr>
            <w:tcW w:w="7700" w:type="dxa"/>
            <w:vAlign w:val="bottom"/>
            <w:tcBorders>
              <w:bottom w:val="single" w:sz="8" w:color="010101"/>
            </w:tcBorders>
            <w:gridSpan w:val="8"/>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80"/>
        </w:trPr>
        <w:tc>
          <w:tcPr>
            <w:tcW w:w="3720" w:type="dxa"/>
            <w:vAlign w:val="bottom"/>
            <w:gridSpan w:val="2"/>
          </w:tcPr>
          <w:p>
            <w:pPr>
              <w:spacing w:after="0"/>
              <w:rPr>
                <w:sz w:val="20"/>
                <w:szCs w:val="20"/>
                <w:color w:val="auto"/>
              </w:rPr>
            </w:pPr>
            <w:r>
              <w:rPr>
                <w:rFonts w:ascii="Arial" w:cs="Arial" w:eastAsia="Arial" w:hAnsi="Arial"/>
                <w:sz w:val="18"/>
                <w:szCs w:val="18"/>
                <w:color w:val="auto"/>
              </w:rPr>
              <w:t>and thereafter at a Redemption Price equal to</w:t>
            </w:r>
          </w:p>
        </w:tc>
        <w:tc>
          <w:tcPr>
            <w:tcW w:w="7700" w:type="dxa"/>
            <w:vAlign w:val="bottom"/>
            <w:gridSpan w:val="8"/>
          </w:tcPr>
          <w:p>
            <w:pPr>
              <w:ind w:left="40"/>
              <w:spacing w:after="0"/>
              <w:rPr>
                <w:sz w:val="20"/>
                <w:szCs w:val="20"/>
                <w:color w:val="auto"/>
              </w:rPr>
            </w:pPr>
            <w:r>
              <w:rPr>
                <w:rFonts w:ascii="Arial" w:cs="Arial" w:eastAsia="Arial" w:hAnsi="Arial"/>
                <w:sz w:val="18"/>
                <w:szCs w:val="18"/>
                <w:color w:val="auto"/>
                <w:w w:val="91"/>
              </w:rPr>
              <w:t>% of the principal amount, together in the case of any such redemption [</w:t>
            </w:r>
            <w:r>
              <w:rPr>
                <w:rFonts w:ascii="Arial" w:cs="Arial" w:eastAsia="Arial" w:hAnsi="Arial"/>
                <w:sz w:val="18"/>
                <w:szCs w:val="18"/>
                <w:b w:val="1"/>
                <w:bCs w:val="1"/>
                <w:color w:val="auto"/>
                <w:w w:val="91"/>
              </w:rPr>
              <w:t>if applicable, insert —</w:t>
            </w:r>
            <w:r>
              <w:rPr>
                <w:rFonts w:ascii="Arial" w:cs="Arial" w:eastAsia="Arial" w:hAnsi="Arial"/>
                <w:sz w:val="18"/>
                <w:szCs w:val="18"/>
                <w:color w:val="auto"/>
                <w:w w:val="91"/>
              </w:rPr>
              <w:t xml:space="preserve"> (whether</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-524510</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-524510</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right="200"/>
        <w:spacing w:after="0" w:line="255" w:lineRule="auto"/>
        <w:rPr>
          <w:sz w:val="20"/>
          <w:szCs w:val="20"/>
          <w:color w:val="auto"/>
        </w:rPr>
      </w:pPr>
      <w:r>
        <w:rPr>
          <w:rFonts w:ascii="Arial" w:cs="Arial" w:eastAsia="Arial" w:hAnsi="Arial"/>
          <w:sz w:val="18"/>
          <w:szCs w:val="18"/>
          <w:color w:val="auto"/>
        </w:rPr>
        <w:t>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6"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 —</w:t>
      </w:r>
      <w:r>
        <w:rPr>
          <w:rFonts w:ascii="Arial" w:cs="Arial" w:eastAsia="Arial" w:hAnsi="Arial"/>
          <w:sz w:val="17"/>
          <w:szCs w:val="17"/>
          <w:color w:val="auto"/>
        </w:rPr>
        <w:t>The Securities of this series are subject to redemption upon not less than [if applicable, insert — 30] days’ notice by mail, (1) on in any year commencing with the year and ending with the year through operation of the sinking fund for this series at the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Redemption Prices for redemption through operation of the sinking fund (expressed as percentages of the principal amount) set forth in the table below, and</w:t>
      </w:r>
    </w:p>
    <w:p>
      <w:pPr>
        <w:spacing w:after="0" w:line="32" w:lineRule="exact"/>
        <w:rPr>
          <w:sz w:val="20"/>
          <w:szCs w:val="20"/>
          <w:color w:val="auto"/>
        </w:rPr>
      </w:pPr>
    </w:p>
    <w:p>
      <w:pPr>
        <w:ind w:right="120"/>
        <w:spacing w:after="0" w:line="265" w:lineRule="auto"/>
        <w:rPr>
          <w:sz w:val="20"/>
          <w:szCs w:val="20"/>
          <w:color w:val="auto"/>
        </w:rPr>
      </w:pPr>
      <w:r>
        <w:rPr>
          <w:rFonts w:ascii="Arial" w:cs="Arial" w:eastAsia="Arial" w:hAnsi="Arial"/>
          <w:sz w:val="17"/>
          <w:szCs w:val="17"/>
          <w:color w:val="auto"/>
        </w:rPr>
        <w:t>(2) at any time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on or after ], as a whole or in part, at the election of the Company, at the Redemption Prices for redemption otherwise than through operation of the sinking fund (expressed as percentages of the principal amount) set forth in the table below: If redeemed</w:t>
      </w: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18"/>
                <w:szCs w:val="18"/>
                <w:color w:val="auto"/>
              </w:rPr>
              <w:t>during the 12-month period beginning</w:t>
            </w:r>
          </w:p>
        </w:tc>
        <w:tc>
          <w:tcPr>
            <w:tcW w:w="4540" w:type="dxa"/>
            <w:vAlign w:val="bottom"/>
            <w:gridSpan w:val="3"/>
          </w:tcPr>
          <w:p>
            <w:pPr>
              <w:ind w:left="540"/>
              <w:spacing w:after="0"/>
              <w:rPr>
                <w:sz w:val="20"/>
                <w:szCs w:val="20"/>
                <w:color w:val="auto"/>
              </w:rPr>
            </w:pPr>
            <w:r>
              <w:rPr>
                <w:rFonts w:ascii="Arial" w:cs="Arial" w:eastAsia="Arial" w:hAnsi="Arial"/>
                <w:sz w:val="18"/>
                <w:szCs w:val="18"/>
                <w:color w:val="auto"/>
              </w:rPr>
              <w:t>of the years indicated,</w:t>
            </w:r>
          </w:p>
        </w:tc>
        <w:tc>
          <w:tcPr>
            <w:tcW w:w="3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3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Redemption Price For</w:t>
            </w:r>
          </w:p>
        </w:tc>
        <w:tc>
          <w:tcPr>
            <w:tcW w:w="3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Redemption Price For Redemption</w:t>
            </w:r>
          </w:p>
        </w:tc>
        <w:tc>
          <w:tcPr>
            <w:tcW w:w="0" w:type="dxa"/>
            <w:vAlign w:val="bottom"/>
          </w:tcPr>
          <w:p>
            <w:pPr>
              <w:spacing w:after="0"/>
              <w:rPr>
                <w:sz w:val="1"/>
                <w:szCs w:val="1"/>
                <w:color w:val="auto"/>
              </w:rPr>
            </w:pPr>
          </w:p>
        </w:tc>
      </w:tr>
      <w:tr>
        <w:trPr>
          <w:trHeight w:val="149"/>
        </w:trPr>
        <w:tc>
          <w:tcPr>
            <w:tcW w:w="3020" w:type="dxa"/>
            <w:vAlign w:val="bottom"/>
            <w:vMerge w:val="restart"/>
          </w:tcPr>
          <w:p>
            <w:pPr>
              <w:spacing w:after="0"/>
              <w:rPr>
                <w:sz w:val="20"/>
                <w:szCs w:val="20"/>
                <w:color w:val="auto"/>
              </w:rPr>
            </w:pPr>
            <w:r>
              <w:rPr>
                <w:rFonts w:ascii="Arial" w:cs="Arial" w:eastAsia="Arial" w:hAnsi="Arial"/>
                <w:sz w:val="14"/>
                <w:szCs w:val="14"/>
                <w:b w:val="1"/>
                <w:bCs w:val="1"/>
                <w:color w:val="auto"/>
              </w:rPr>
              <w:t>Year</w:t>
            </w:r>
          </w:p>
        </w:tc>
        <w:tc>
          <w:tcPr>
            <w:tcW w:w="700" w:type="dxa"/>
            <w:vAlign w:val="bottom"/>
          </w:tcPr>
          <w:p>
            <w:pPr>
              <w:spacing w:after="0"/>
              <w:rPr>
                <w:sz w:val="12"/>
                <w:szCs w:val="12"/>
                <w:color w:val="auto"/>
              </w:rPr>
            </w:pPr>
          </w:p>
        </w:tc>
        <w:tc>
          <w:tcPr>
            <w:tcW w:w="384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Redemption Through</w:t>
            </w:r>
          </w:p>
        </w:tc>
        <w:tc>
          <w:tcPr>
            <w:tcW w:w="386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Otherwise Than Through</w:t>
            </w:r>
          </w:p>
        </w:tc>
        <w:tc>
          <w:tcPr>
            <w:tcW w:w="0" w:type="dxa"/>
            <w:vAlign w:val="bottom"/>
          </w:tcPr>
          <w:p>
            <w:pPr>
              <w:spacing w:after="0"/>
              <w:rPr>
                <w:sz w:val="1"/>
                <w:szCs w:val="1"/>
                <w:color w:val="auto"/>
              </w:rPr>
            </w:pPr>
          </w:p>
        </w:tc>
      </w:tr>
      <w:tr>
        <w:trPr>
          <w:trHeight w:val="171"/>
        </w:trPr>
        <w:tc>
          <w:tcPr>
            <w:tcW w:w="30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38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Operation of the Sinking Fund</w:t>
            </w:r>
          </w:p>
        </w:tc>
        <w:tc>
          <w:tcPr>
            <w:tcW w:w="386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Operation of the Sinking Fund</w:t>
            </w:r>
          </w:p>
        </w:tc>
        <w:tc>
          <w:tcPr>
            <w:tcW w:w="0" w:type="dxa"/>
            <w:vAlign w:val="bottom"/>
          </w:tcPr>
          <w:p>
            <w:pPr>
              <w:spacing w:after="0"/>
              <w:rPr>
                <w:sz w:val="1"/>
                <w:szCs w:val="1"/>
                <w:color w:val="auto"/>
              </w:rPr>
            </w:pPr>
          </w:p>
        </w:tc>
      </w:tr>
      <w:tr>
        <w:trPr>
          <w:trHeight w:val="210"/>
        </w:trPr>
        <w:tc>
          <w:tcPr>
            <w:tcW w:w="30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25" w:right="199" w:bottom="0" w:gutter="0" w:footer="0" w:header="0"/>
        </w:sectPr>
      </w:pPr>
    </w:p>
    <w:bookmarkStart w:id="73" w:name="page74"/>
    <w:bookmarkEnd w:id="73"/>
    <w:p>
      <w:pPr>
        <w:ind w:right="120"/>
        <w:spacing w:after="0" w:line="259" w:lineRule="auto"/>
        <w:rPr>
          <w:sz w:val="20"/>
          <w:szCs w:val="20"/>
          <w:color w:val="auto"/>
        </w:rPr>
      </w:pPr>
      <w:r>
        <w:rPr>
          <w:rFonts w:ascii="Arial" w:cs="Arial" w:eastAsia="Arial" w:hAnsi="Arial"/>
          <w:sz w:val="18"/>
          <w:szCs w:val="18"/>
          <w:color w:val="auto"/>
        </w:rPr>
        <w:t>and thereafter at a Redemption Price equal to % of the principal amount, together in the case of any such redemption (whether through operation of the sinking fund or otherwise) with accrued interest to the Redemption Date, but interest installments whose Stated Maturity is on or prior to such Redemption Date will be payable to the Holders of such Securities, or one or more Predecessor Securities, of record at the close of business on the relevant Record Dates referred to on the face hereof, all as provided in the Indenture.]</w:t>
      </w:r>
    </w:p>
    <w:p>
      <w:pPr>
        <w:spacing w:after="0" w:line="183"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Notwithstanding the foregoing, the Company may not, prior to , redeem any Securities of this series as contemplated by [</w:t>
      </w:r>
      <w:r>
        <w:rPr>
          <w:rFonts w:ascii="Arial" w:cs="Arial" w:eastAsia="Arial" w:hAnsi="Arial"/>
          <w:sz w:val="17"/>
          <w:szCs w:val="17"/>
          <w:b w:val="1"/>
          <w:bCs w:val="1"/>
          <w:color w:val="auto"/>
        </w:rPr>
        <w:t>if applicable, insert —</w:t>
      </w:r>
      <w:r>
        <w:rPr>
          <w:rFonts w:ascii="Arial" w:cs="Arial" w:eastAsia="Arial" w:hAnsi="Arial"/>
          <w:sz w:val="17"/>
          <w:szCs w:val="17"/>
          <w:color w:val="auto"/>
        </w:rPr>
        <w:t xml:space="preserve"> clause (2) of] the preceding paragraph as a part of, or in anticipation of, any refunding operation by the application, directly or indirectly, of moneys borrowed having an interest cost to the Company (calculated in accordance with generally accepted financial practice) of less</w:t>
      </w:r>
    </w:p>
    <w:p>
      <w:pPr>
        <w:spacing w:after="0" w:line="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than</w:t>
      </w:r>
      <w:r>
        <w:rPr>
          <w:sz w:val="20"/>
          <w:szCs w:val="20"/>
          <w:color w:val="auto"/>
        </w:rPr>
        <w:tab/>
      </w:r>
      <w:r>
        <w:rPr>
          <w:rFonts w:ascii="Arial" w:cs="Arial" w:eastAsia="Arial" w:hAnsi="Arial"/>
          <w:sz w:val="18"/>
          <w:szCs w:val="18"/>
          <w:color w:val="auto"/>
        </w:rPr>
        <w:t>% per annum.]</w:t>
      </w:r>
    </w:p>
    <w:p>
      <w:pPr>
        <w:spacing w:after="0" w:line="207" w:lineRule="exact"/>
        <w:rPr>
          <w:sz w:val="20"/>
          <w:szCs w:val="20"/>
          <w:color w:val="auto"/>
        </w:rPr>
      </w:pPr>
    </w:p>
    <w:p>
      <w:pPr>
        <w:ind w:right="6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The sinking fund for this series provides for the redemption on , in each year beginning with the year and ending with the year of [</w:t>
      </w:r>
      <w:r>
        <w:rPr>
          <w:rFonts w:ascii="Arial" w:cs="Arial" w:eastAsia="Arial" w:hAnsi="Arial"/>
          <w:sz w:val="18"/>
          <w:szCs w:val="18"/>
          <w:b w:val="1"/>
          <w:bCs w:val="1"/>
          <w:color w:val="auto"/>
        </w:rPr>
        <w:t>if applicable, insert —</w:t>
      </w:r>
      <w:r>
        <w:rPr>
          <w:rFonts w:ascii="Arial" w:cs="Arial" w:eastAsia="Arial" w:hAnsi="Arial"/>
          <w:sz w:val="18"/>
          <w:szCs w:val="18"/>
          <w:color w:val="auto"/>
        </w:rPr>
        <w:t xml:space="preserve"> not less than $ (“mandatory sinking fund”) and not more than] $</w:t>
      </w:r>
    </w:p>
    <w:p>
      <w:pPr>
        <w:ind w:right="80"/>
        <w:spacing w:after="0" w:line="261" w:lineRule="auto"/>
        <w:rPr>
          <w:sz w:val="20"/>
          <w:szCs w:val="20"/>
          <w:color w:val="auto"/>
        </w:rPr>
      </w:pPr>
      <w:r>
        <w:rPr>
          <w:rFonts w:ascii="Arial" w:cs="Arial" w:eastAsia="Arial" w:hAnsi="Arial"/>
          <w:sz w:val="18"/>
          <w:szCs w:val="18"/>
          <w:color w:val="auto"/>
        </w:rPr>
        <w:t>aggregate principal amount of Securities of this series. Securities of this series acquired or redeemed by the Company otherwise than through [</w:t>
      </w:r>
      <w:r>
        <w:rPr>
          <w:rFonts w:ascii="Arial" w:cs="Arial" w:eastAsia="Arial" w:hAnsi="Arial"/>
          <w:sz w:val="18"/>
          <w:szCs w:val="18"/>
          <w:b w:val="1"/>
          <w:bCs w:val="1"/>
          <w:color w:val="auto"/>
        </w:rPr>
        <w:t>if applicable,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insert — </w:t>
      </w:r>
      <w:r>
        <w:rPr>
          <w:rFonts w:ascii="Arial" w:cs="Arial" w:eastAsia="Arial" w:hAnsi="Arial"/>
          <w:sz w:val="18"/>
          <w:szCs w:val="18"/>
          <w:color w:val="auto"/>
        </w:rPr>
        <w:t>mandatory] sinking fund payments may be credited against subsequent [</w:t>
      </w:r>
      <w:r>
        <w:rPr>
          <w:rFonts w:ascii="Arial" w:cs="Arial" w:eastAsia="Arial" w:hAnsi="Arial"/>
          <w:sz w:val="18"/>
          <w:szCs w:val="18"/>
          <w:b w:val="1"/>
          <w:bCs w:val="1"/>
          <w:color w:val="auto"/>
        </w:rPr>
        <w:t xml:space="preserve">if applicable, insert — </w:t>
      </w:r>
      <w:r>
        <w:rPr>
          <w:rFonts w:ascii="Arial" w:cs="Arial" w:eastAsia="Arial" w:hAnsi="Arial"/>
          <w:sz w:val="18"/>
          <w:szCs w:val="18"/>
          <w:color w:val="auto"/>
        </w:rPr>
        <w:t>mandatory]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sinking fund payments otherwise required to be made </w:t>
      </w:r>
      <w:r>
        <w:rPr>
          <w:rFonts w:ascii="Arial" w:cs="Arial" w:eastAsia="Arial" w:hAnsi="Arial"/>
          <w:sz w:val="18"/>
          <w:szCs w:val="18"/>
          <w:b w:val="1"/>
          <w:bCs w:val="1"/>
          <w:color w:val="auto"/>
        </w:rPr>
        <w:t>if applicable, insert —</w:t>
      </w:r>
      <w:r>
        <w:rPr>
          <w:rFonts w:ascii="Arial" w:cs="Arial" w:eastAsia="Arial" w:hAnsi="Arial"/>
          <w:sz w:val="18"/>
          <w:szCs w:val="18"/>
          <w:color w:val="auto"/>
        </w:rPr>
        <w:t>, in the inverse order in which they become due].]</w:t>
      </w:r>
    </w:p>
    <w:p>
      <w:pPr>
        <w:spacing w:after="0" w:line="225"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subject to redemption of any kind, insert —</w:t>
      </w:r>
      <w:r>
        <w:rPr>
          <w:rFonts w:ascii="Arial" w:cs="Arial" w:eastAsia="Arial" w:hAnsi="Arial"/>
          <w:sz w:val="16"/>
          <w:szCs w:val="16"/>
          <w:color w:val="auto"/>
        </w:rPr>
        <w:t xml:space="preserve"> In the event of redemption of this Security in part only, a new Security or Securities of this series and of like tenor for the unredeemed portion hereof will be issued in the name of the Holder hereof upon the cancellation hereof.]</w:t>
      </w:r>
    </w:p>
    <w:p>
      <w:pPr>
        <w:spacing w:after="0" w:line="116" w:lineRule="exact"/>
        <w:rPr>
          <w:sz w:val="20"/>
          <w:szCs w:val="20"/>
          <w:color w:val="auto"/>
        </w:rPr>
      </w:pPr>
    </w:p>
    <w:p>
      <w:pPr>
        <w:ind w:right="1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applicable, insert —</w:t>
      </w:r>
      <w:r>
        <w:rPr>
          <w:rFonts w:ascii="Arial" w:cs="Arial" w:eastAsia="Arial" w:hAnsi="Arial"/>
          <w:sz w:val="16"/>
          <w:szCs w:val="16"/>
          <w:color w:val="auto"/>
        </w:rPr>
        <w:t xml:space="preserve"> The Indenture contains provisions for defeasance at any time of [the entire indebtedness of this Security] [or] [certain restrictive covenants and Events of Default with respect to this Security] [, in each case] upon compliance with certain conditions set forth in the Indenture.]</w:t>
      </w:r>
    </w:p>
    <w:p>
      <w:pPr>
        <w:spacing w:after="0" w:line="11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convertible into Common Stock of the Company, insert —</w:t>
      </w:r>
      <w:r>
        <w:rPr>
          <w:rFonts w:ascii="Arial" w:cs="Arial" w:eastAsia="Arial" w:hAnsi="Arial"/>
          <w:sz w:val="16"/>
          <w:szCs w:val="16"/>
          <w:color w:val="auto"/>
        </w:rPr>
        <w:t xml:space="preserve"> Subject to the provisions of the Indenture, the Holder of this Security is entitled, at its option, at any time on or before </w:t>
      </w:r>
      <w:r>
        <w:rPr>
          <w:rFonts w:ascii="Arial" w:cs="Arial" w:eastAsia="Arial" w:hAnsi="Arial"/>
          <w:sz w:val="16"/>
          <w:szCs w:val="16"/>
          <w:b w:val="1"/>
          <w:bCs w:val="1"/>
          <w:color w:val="auto"/>
        </w:rPr>
        <w:t>[insert date</w:t>
      </w:r>
      <w:r>
        <w:rPr>
          <w:rFonts w:ascii="Arial" w:cs="Arial" w:eastAsia="Arial" w:hAnsi="Arial"/>
          <w:sz w:val="16"/>
          <w:szCs w:val="16"/>
          <w:color w:val="auto"/>
        </w:rPr>
        <w:t>] (except that, in case this Security or any portion hereof shall be called for redemption, such right shall terminate with respect to this Security or portion hereof, as the case may be, so called for redemption at the close of business on the first Business Day next preceding the date fixed for redemption as provided in the Indenture unless the Company defaults in making the payment due upon redemption), to convert the principal amount of this Security (or any portion hereof which is $1,000 or an integral multiple thereof), into fully paid and non-assessable shares (calculated as to each conversion to the nearest 1/100th of a share) of the Common Stock of the Company, as said shares shall be constituted</w:t>
      </w:r>
    </w:p>
    <w:p>
      <w:pPr>
        <w:spacing w:after="0" w:line="4" w:lineRule="exact"/>
        <w:rPr>
          <w:sz w:val="20"/>
          <w:szCs w:val="20"/>
          <w:color w:val="auto"/>
        </w:rPr>
      </w:pPr>
    </w:p>
    <w:p>
      <w:pPr>
        <w:ind w:right="380"/>
        <w:spacing w:after="0" w:line="281" w:lineRule="auto"/>
        <w:rPr>
          <w:sz w:val="20"/>
          <w:szCs w:val="20"/>
          <w:color w:val="auto"/>
        </w:rPr>
      </w:pPr>
      <w:r>
        <w:rPr>
          <w:rFonts w:ascii="Arial" w:cs="Arial" w:eastAsia="Arial" w:hAnsi="Arial"/>
          <w:sz w:val="16"/>
          <w:szCs w:val="16"/>
          <w:color w:val="auto"/>
        </w:rPr>
        <w:t>at the date of conversion, at the conversion price of $ principal amount of Securities for each share of Common Stock, or at the adjusted conversion price in effect at the date of conversion determined as provided in the Indenture, upon surrender of this Security, together with the conversion</w:t>
      </w:r>
    </w:p>
    <w:p>
      <w:pPr>
        <w:spacing w:after="0" w:line="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notice hereon duly executed, to the Company at the designated office or agency of the Company in , accompanied (if so required by the Company) by instruments of transfer, in form satisfactory to the Company and to the Trustee, duly executed by the Holder or by its duly authorized attorney in writing.</w:t>
      </w:r>
    </w:p>
    <w:p>
      <w:pPr>
        <w:spacing w:after="0" w:line="19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Such surrender shall, if made during any period beginning at the close of business on a Regular Record Date and ending at the opening of business on the Interest Payment Date next following such Regular Record Date (unless this Security or the portion being converted shall have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also be accompanied by payment in funds acceptable to the Company of an amount equal to the interest payable on such Interest Payment Date on the principal amount of this Security then being converted. Subject to the aforesaid requirement for payment and, in the case of a conversion after the Regular Record Date next preceding any Interest Payment Date and on or before such Interest Payment Date, to the right of the Holder of this Security (or any Predecessor Security) of record at such Regular Record Date to receive an installment of interest (with certain exceptions provided in the Indenture), no adjustment is to be made on conversion for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interest accrued hereon or for dividends on shares of Common Stock issued on conversion. The Company is not required to issue fractional shares upon any such conversion, but shall make adjustment therefor in cash on the basis of the current market value of such fractional interest as provided in the Indenture. The conversion price is subject to adjustment as provided in the Indenture. In addition, the Indenture provides that in case of certain consolidations or mergers to which the Company is a party or the sale of substantially all of the assets of the Company, the Indenture shall be amended, without the consent of any Holders of Securities, so that this Security, if then outstanding, will be convertible thereafter, during the period this Security shall be convertible as specified above, only into the kind and amount of securities, cash and other property receivable upon the consolidation, merger or sale by a holder of the number of shares of Common Stock into which this Security might have been converted immediately prior to such consolidation, merger or sale (assuming such holder of Common Stock failed to exercise any rights of election and received per share the kind and amount received per share by a plurality of non-electing shares). In the event of conversion of this Security in part only, a new Security or Securities for the unconverted portion hereof shall be issued in the name of the Holder hereof upon the cancellation hereof.]</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convertible into other securities of the Company, specify the conversion features.</w:t>
      </w:r>
      <w:r>
        <w:rPr>
          <w:rFonts w:ascii="Arial" w:cs="Arial" w:eastAsia="Arial" w:hAnsi="Arial"/>
          <w:sz w:val="18"/>
          <w:szCs w:val="18"/>
          <w:color w:val="auto"/>
        </w:rPr>
        <w:t>]</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indebtedness evidenced by this Security is, to the extent and in the manner provided in the Indenture, subordinate and subject in right of payment to the prior payment in full of all Senior Debt of the Company, and this Security is issued subject to such provisions of the Indenture with respect thereto. Each Holder of this Security, by accepting the same, (a) agrees to and shall be bound by such provisions, (b) authorizes and directs the Trustee on his behalf to take such action as may be necessary or appropriate to effectuate the subordination so provided and (c) appoints the Trustee his attorney-in-fact for any and all such purposes.</w:t>
      </w:r>
    </w:p>
    <w:p>
      <w:pPr>
        <w:spacing w:after="0" w:line="184" w:lineRule="exact"/>
        <w:rPr>
          <w:sz w:val="20"/>
          <w:szCs w:val="20"/>
          <w:color w:val="auto"/>
        </w:rPr>
      </w:pPr>
    </w:p>
    <w:p>
      <w:pPr>
        <w:ind w:right="4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the Security is not an Original Issue Discount Security, insert —</w:t>
      </w:r>
      <w:r>
        <w:rPr>
          <w:rFonts w:ascii="Arial" w:cs="Arial" w:eastAsia="Arial" w:hAnsi="Arial"/>
          <w:sz w:val="16"/>
          <w:szCs w:val="16"/>
          <w:color w:val="auto"/>
        </w:rPr>
        <w:t xml:space="preserve"> If an Event of Default with respect to Securities of this series shall occur and be continuing, the principal of the Securities of this series may be declared due and payable in the manner and with the effect provided in the Indenture.]</w:t>
      </w:r>
    </w:p>
    <w:p>
      <w:pPr>
        <w:sectPr>
          <w:pgSz w:w="11900" w:h="16838" w:orient="portrait"/>
          <w:cols w:equalWidth="0" w:num="1">
            <w:col w:w="11400"/>
          </w:cols>
          <w:pgMar w:left="240" w:top="125" w:right="259" w:bottom="0" w:gutter="0" w:footer="0" w:header="0"/>
        </w:sectPr>
      </w:pPr>
    </w:p>
    <w:bookmarkStart w:id="74" w:name="page75"/>
    <w:bookmarkEnd w:id="74"/>
    <w:p>
      <w:pPr>
        <w:ind w:right="60"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 the Security is an Original Issue Discount Security, insert —</w:t>
      </w:r>
      <w:r>
        <w:rPr>
          <w:rFonts w:ascii="Arial" w:cs="Arial" w:eastAsia="Arial" w:hAnsi="Arial"/>
          <w:sz w:val="18"/>
          <w:szCs w:val="18"/>
          <w:color w:val="auto"/>
        </w:rPr>
        <w:t xml:space="preserve"> If an Event of Default with respect to Securities of this series shall occur and be continuing, an amount of principal of the Securities of this series may be declared due and payable in the manner and with the effect provided in the Indenture. Such amount shall be equal to — </w:t>
      </w:r>
      <w:r>
        <w:rPr>
          <w:rFonts w:ascii="Arial" w:cs="Arial" w:eastAsia="Arial" w:hAnsi="Arial"/>
          <w:sz w:val="18"/>
          <w:szCs w:val="18"/>
          <w:b w:val="1"/>
          <w:bCs w:val="1"/>
          <w:color w:val="auto"/>
        </w:rPr>
        <w:t>insert formula for determining the amount</w:t>
      </w:r>
      <w:r>
        <w:rPr>
          <w:rFonts w:ascii="Arial" w:cs="Arial" w:eastAsia="Arial" w:hAnsi="Arial"/>
          <w:sz w:val="18"/>
          <w:szCs w:val="18"/>
          <w:color w:val="auto"/>
        </w:rPr>
        <w:t>. Upon payment (i) of the amount of principal so declared due and payable and (ii) of interest on any overdue principal, premium and interest (in each case to the extent that the payment of such interest shall be legally enforceable), all of the Company’s obligations in respect of the payment of the principal of and premium and interest, if any, on the Securities of this series shall terminate.]</w:t>
      </w:r>
    </w:p>
    <w:p>
      <w:pPr>
        <w:spacing w:after="0" w:line="192"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more than 50% in principal amount of the Securities at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58"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a majority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81"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its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8"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Securities of this series are issuable only in registered form without coupons in denominations of $ and any integral multiple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terms used in this Security that are defined in the Indenture shall have the meanings assigned to them in the Indenture.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color w:val="auto"/>
        </w:rPr>
        <w:t>Form of Legend for Global Securities.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Unless otherwise specified as contemplated by Section 3.1 for the Securities evidenced thereby, every Global Security authenticated and delivered hereunder shall bear a legend in substantially the following form:</w:t>
      </w:r>
    </w:p>
    <w:p>
      <w:pPr>
        <w:spacing w:after="0" w:line="166" w:lineRule="exact"/>
        <w:rPr>
          <w:sz w:val="20"/>
          <w:szCs w:val="20"/>
          <w:color w:val="auto"/>
        </w:rPr>
      </w:pPr>
    </w:p>
    <w:p>
      <w:pPr>
        <w:ind w:right="80" w:firstLine="648"/>
        <w:spacing w:after="0" w:line="258" w:lineRule="auto"/>
        <w:rPr>
          <w:sz w:val="20"/>
          <w:szCs w:val="20"/>
          <w:color w:val="auto"/>
        </w:rPr>
      </w:pPr>
      <w:r>
        <w:rPr>
          <w:rFonts w:ascii="Arial" w:cs="Arial" w:eastAsia="Arial" w:hAnsi="Arial"/>
          <w:sz w:val="18"/>
          <w:szCs w:val="18"/>
          <w:b w:val="1"/>
          <w:bCs w:val="1"/>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8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Form of Conversion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Conversion notices shall be in substantially the following form:</w:t>
      </w:r>
    </w:p>
    <w:p>
      <w:pPr>
        <w:sectPr>
          <w:pgSz w:w="11900" w:h="16838" w:orient="portrait"/>
          <w:cols w:equalWidth="0" w:num="1">
            <w:col w:w="11420"/>
          </w:cols>
          <w:pgMar w:left="240" w:top="121"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color w:val="auto"/>
        </w:rPr>
        <w:t>To Micron Technology, Inc.:</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undersigned owner of this Security hereby irrevocably exercises the option to convert this Security, or portion hereof (which is $1,000 or an integral multiple thereof) below designated, into shares of Common Stock of the Company in accordance with the terms of the Indenture referred to in this Security, and directs that the shares issuable and deliverable upon the conversion, together with any check in payment for fractional shares and any Securities representing any unconverted principal amount hereof, be issued and delivered to the registered holder hereof unless a different name has been indicated below. If this Notice is being delivered on a date after the close of business on a Regular Record Date and prior to the opening of business on the related Interest Payment Date (unless this Security or the portion thereof being converted has been called for redemption on a Redemption Date during the period beginning at the close of business on a Regular Record Date and ending at the opening of business on the first Business Day after the next succeeding Interest Payment Date, or if such Interest Payment Date is not a Business Day, the second such Business Day), this Notice is accompanied by payment, in funds acceptable to the Company, of an amount equal to the interest payable on such Interest Payment Date of the principal of this Security to be converted. If shares are to be issued in the name of a person other than the undersigned, the undersigned will pay all transfer taxes payable with respect hereto. Any amount required to be paid by the undersigned on account of interest accompanies this Security.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Amount to be Converted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an integral multiple of $1,000, if less than all):</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680" w:type="dxa"/>
            <w:vAlign w:val="bottom"/>
            <w:gridSpan w:val="2"/>
          </w:tcPr>
          <w:p>
            <w:pPr>
              <w:ind w:left="640"/>
              <w:spacing w:after="0"/>
              <w:rPr>
                <w:sz w:val="20"/>
                <w:szCs w:val="20"/>
                <w:color w:val="auto"/>
              </w:rPr>
            </w:pPr>
            <w:r>
              <w:rPr>
                <w:rFonts w:ascii="Arial" w:cs="Arial" w:eastAsia="Arial" w:hAnsi="Arial"/>
                <w:sz w:val="18"/>
                <w:szCs w:val="18"/>
                <w:color w:val="auto"/>
              </w:rPr>
              <w:t>U.S. $</w:t>
            </w:r>
          </w:p>
        </w:tc>
        <w:tc>
          <w:tcPr>
            <w:tcW w:w="3920" w:type="dxa"/>
            <w:vAlign w:val="bottom"/>
          </w:tcPr>
          <w:p>
            <w:pPr>
              <w:jc w:val="right"/>
              <w:ind w:right="3210"/>
              <w:spacing w:after="0"/>
              <w:rPr>
                <w:sz w:val="20"/>
                <w:szCs w:val="20"/>
                <w:color w:val="auto"/>
              </w:rPr>
            </w:pPr>
            <w:r>
              <w:rPr>
                <w:rFonts w:ascii="Arial" w:cs="Arial" w:eastAsia="Arial" w:hAnsi="Arial"/>
                <w:sz w:val="18"/>
                <w:szCs w:val="18"/>
                <w:color w:val="auto"/>
              </w:rPr>
              <w:t>.</w:t>
            </w:r>
          </w:p>
        </w:tc>
      </w:tr>
      <w:tr>
        <w:trPr>
          <w:trHeight w:val="418"/>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104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pacing w:after="0" w:line="188"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Signature(s) must be guaranteed by an eligible guarantor institution (banks,</w:t>
      </w:r>
    </w:p>
    <w:p>
      <w:pPr>
        <w:spacing w:after="0" w:line="4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stockbrokers, savings and loan associations and credit unions with</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membership in an approved signature guarantee medallion program)</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pursuant to Securities and Exchange Commission Rule 17Ad-15.</w:t>
      </w:r>
    </w:p>
    <w:p>
      <w:pPr>
        <w:spacing w:after="0" w:line="200" w:lineRule="exact"/>
        <w:rPr>
          <w:sz w:val="20"/>
          <w:szCs w:val="20"/>
          <w:color w:val="auto"/>
        </w:rPr>
      </w:pPr>
    </w:p>
    <w:p>
      <w:pPr>
        <w:spacing w:after="0" w:line="240"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Signature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-130175</wp:posOffset>
            </wp:positionV>
            <wp:extent cx="35502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Fill in for registration of shares of Common Stock and Security if to be issued otherwise than to the registered Holder.</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200" w:type="dxa"/>
            <w:vAlign w:val="bottom"/>
          </w:tcPr>
          <w:p>
            <w:pPr>
              <w:spacing w:after="0"/>
              <w:rPr>
                <w:sz w:val="18"/>
                <w:szCs w:val="18"/>
                <w:color w:val="auto"/>
              </w:rPr>
            </w:pPr>
          </w:p>
        </w:tc>
        <w:tc>
          <w:tcPr>
            <w:tcW w:w="56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Social Security or Other Taxpayer</w:t>
            </w:r>
          </w:p>
        </w:tc>
      </w:tr>
      <w:tr>
        <w:trPr>
          <w:trHeight w:val="230"/>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Pr>
          <w:p>
            <w:pPr>
              <w:ind w:left="20"/>
              <w:spacing w:after="0"/>
              <w:rPr>
                <w:sz w:val="20"/>
                <w:szCs w:val="20"/>
                <w:color w:val="auto"/>
              </w:rPr>
            </w:pPr>
            <w:r>
              <w:rPr>
                <w:rFonts w:ascii="Arial" w:cs="Arial" w:eastAsia="Arial" w:hAnsi="Arial"/>
                <w:sz w:val="18"/>
                <w:szCs w:val="18"/>
                <w:color w:val="auto"/>
              </w:rPr>
              <w:t>Identification Number</w:t>
            </w:r>
          </w:p>
        </w:tc>
      </w:tr>
    </w:tbl>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5917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(including zip code)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above conversion notice is to be modified, as appropriate, for conversion into other securities or property of the Company.]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color w:val="auto"/>
        </w:rPr>
        <w:t>Amount Unlimited; Issuable in Series.</w:t>
      </w:r>
    </w:p>
    <w:p>
      <w:pPr>
        <w:spacing w:after="0" w:line="229" w:lineRule="exact"/>
        <w:rPr>
          <w:sz w:val="20"/>
          <w:szCs w:val="20"/>
          <w:color w:val="auto"/>
        </w:rPr>
      </w:pPr>
    </w:p>
    <w:p>
      <w:pPr>
        <w:ind w:right="280" w:firstLine="648"/>
        <w:spacing w:after="0" w:line="312"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There shall be established in or pursuant to a Board Resolution and, subject to Section 3.3, set forth, or determined in the manner provided, in an Officers’ Certificate, or established in one or more indentures supplemental hereto, prior to the issuance of Securities of any series,</w:t>
      </w:r>
    </w:p>
    <w:p>
      <w:pPr>
        <w:spacing w:after="0" w:line="147" w:lineRule="exact"/>
        <w:rPr>
          <w:sz w:val="20"/>
          <w:szCs w:val="20"/>
          <w:color w:val="auto"/>
        </w:rPr>
      </w:pPr>
    </w:p>
    <w:p>
      <w:pPr>
        <w:ind w:left="1980" w:hanging="675"/>
        <w:spacing w:after="0"/>
        <w:tabs>
          <w:tab w:leader="none" w:pos="1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the series from Securities of any other series);</w:t>
      </w:r>
    </w:p>
    <w:p>
      <w:pPr>
        <w:spacing w:after="0" w:line="236" w:lineRule="exact"/>
        <w:rPr>
          <w:rFonts w:ascii="Arial" w:cs="Arial" w:eastAsia="Arial" w:hAnsi="Arial"/>
          <w:sz w:val="17"/>
          <w:szCs w:val="17"/>
          <w:color w:val="auto"/>
        </w:rPr>
      </w:pPr>
    </w:p>
    <w:p>
      <w:pPr>
        <w:jc w:val="both"/>
        <w:ind w:left="660" w:right="140" w:firstLine="645"/>
        <w:spacing w:after="0" w:line="259" w:lineRule="auto"/>
        <w:tabs>
          <w:tab w:leader="none" w:pos="1977"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3.4, 3.5, 3.6, 9.6 or 11.7 and except for any Securities which, pursuant to Section 3.3, are deemed never to have been authenticated and delivered hereunder);</w:t>
      </w:r>
    </w:p>
    <w:p>
      <w:pPr>
        <w:spacing w:after="0" w:line="186" w:lineRule="exact"/>
        <w:rPr>
          <w:rFonts w:ascii="Arial" w:cs="Arial" w:eastAsia="Arial" w:hAnsi="Arial"/>
          <w:sz w:val="18"/>
          <w:szCs w:val="18"/>
          <w:color w:val="auto"/>
        </w:rPr>
      </w:pPr>
    </w:p>
    <w:p>
      <w:pPr>
        <w:ind w:left="660" w:right="160" w:firstLine="645"/>
        <w:spacing w:after="0" w:line="308" w:lineRule="auto"/>
        <w:tabs>
          <w:tab w:leader="none" w:pos="1977"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Person to whom any interest on a Security of the series shall be payable, if other than the Person in whose name that Security (or one or more Predecessor Securities) is registered at the close of business on the Regular Record Date for such interest;</w:t>
      </w:r>
    </w:p>
    <w:p>
      <w:pPr>
        <w:spacing w:after="0" w:line="146" w:lineRule="exact"/>
        <w:rPr>
          <w:rFonts w:ascii="Arial" w:cs="Arial" w:eastAsia="Arial" w:hAnsi="Arial"/>
          <w:sz w:val="17"/>
          <w:szCs w:val="17"/>
          <w:color w:val="auto"/>
        </w:rPr>
      </w:pPr>
    </w:p>
    <w:p>
      <w:pPr>
        <w:ind w:left="1980" w:hanging="675"/>
        <w:spacing w:after="0"/>
        <w:tabs>
          <w:tab w:leader="none" w:pos="19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date or dates on which the principal of any Securities of the series is payable;</w:t>
      </w:r>
    </w:p>
    <w:p>
      <w:pPr>
        <w:spacing w:after="0" w:line="225" w:lineRule="exact"/>
        <w:rPr>
          <w:rFonts w:ascii="Arial" w:cs="Arial" w:eastAsia="Arial" w:hAnsi="Arial"/>
          <w:sz w:val="18"/>
          <w:szCs w:val="18"/>
          <w:color w:val="auto"/>
        </w:rPr>
      </w:pPr>
    </w:p>
    <w:p>
      <w:pPr>
        <w:jc w:val="both"/>
        <w:ind w:left="660" w:right="200" w:firstLine="645"/>
        <w:spacing w:after="0" w:line="286" w:lineRule="auto"/>
        <w:tabs>
          <w:tab w:leader="none" w:pos="1977"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rate or rates (which may be fixed or variable) at which any Securities of the series shall bear interest, if any, the date or dates from which any such interest shall accrue, the Interest Payment Dates on which any such interest shall be payable and the Regular Record Date for any such interest payable on any Interest Payment Date (or the method for determining the dates and rates);</w:t>
      </w:r>
    </w:p>
    <w:p>
      <w:pPr>
        <w:spacing w:after="0" w:line="165" w:lineRule="exact"/>
        <w:rPr>
          <w:rFonts w:ascii="Arial" w:cs="Arial" w:eastAsia="Arial" w:hAnsi="Arial"/>
          <w:sz w:val="17"/>
          <w:szCs w:val="17"/>
          <w:color w:val="auto"/>
        </w:rPr>
      </w:pPr>
    </w:p>
    <w:p>
      <w:pPr>
        <w:ind w:left="1980" w:hanging="675"/>
        <w:spacing w:after="0"/>
        <w:tabs>
          <w:tab w:leader="none" w:pos="19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place or places where the principal of and any premium and interest on any Securities of the series shall be payable;</w:t>
      </w:r>
    </w:p>
    <w:p>
      <w:pPr>
        <w:sectPr>
          <w:pgSz w:w="11900" w:h="16838" w:orient="portrait"/>
          <w:cols w:equalWidth="0" w:num="1">
            <w:col w:w="11420"/>
          </w:cols>
          <w:pgMar w:left="240" w:top="341" w:right="239" w:bottom="0" w:gutter="0" w:footer="0" w:header="0"/>
        </w:sectPr>
      </w:pPr>
    </w:p>
    <w:bookmarkStart w:id="76" w:name="page77"/>
    <w:bookmarkEnd w:id="76"/>
    <w:p>
      <w:pPr>
        <w:ind w:left="496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5"/>
        <w:spacing w:after="0" w:line="264" w:lineRule="auto"/>
        <w:tabs>
          <w:tab w:leader="none" w:pos="1317"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any Securities of the series may be redeemed, in whole or in part, at the option of the Company and, if other than by a Board Resolution, the manner in which any election by the Company to redeem the Securities shall be evidenced;</w:t>
      </w:r>
    </w:p>
    <w:p>
      <w:pPr>
        <w:spacing w:after="0" w:line="181" w:lineRule="exact"/>
        <w:rPr>
          <w:rFonts w:ascii="Arial" w:cs="Arial" w:eastAsia="Arial" w:hAnsi="Arial"/>
          <w:sz w:val="18"/>
          <w:szCs w:val="18"/>
          <w:color w:val="auto"/>
        </w:rPr>
      </w:pPr>
    </w:p>
    <w:p>
      <w:pPr>
        <w:ind w:right="20" w:firstLine="645"/>
        <w:spacing w:after="0" w:line="286" w:lineRule="auto"/>
        <w:tabs>
          <w:tab w:leader="none" w:pos="1317"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any Securities of the series pursuant to any sinking fund or analogous provisions or at the option of the Holder thereof and the period or periods within which, the price or prices at which and the terms and conditions upon which any Securities of the series shall be redeemed or purchased, in whole or in part, pursuant to such obligation;</w:t>
      </w:r>
    </w:p>
    <w:p>
      <w:pPr>
        <w:spacing w:after="0" w:line="165" w:lineRule="exact"/>
        <w:rPr>
          <w:rFonts w:ascii="Arial" w:cs="Arial" w:eastAsia="Arial" w:hAnsi="Arial"/>
          <w:sz w:val="17"/>
          <w:szCs w:val="17"/>
          <w:color w:val="auto"/>
        </w:rPr>
      </w:pPr>
    </w:p>
    <w:p>
      <w:pPr>
        <w:ind w:left="1320" w:hanging="675"/>
        <w:spacing w:after="0"/>
        <w:tabs>
          <w:tab w:leader="none" w:pos="1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other than denominations of $1,000 and any integral multiple thereof, the denominations in which any Securities of the series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shall be issuable;</w:t>
      </w:r>
    </w:p>
    <w:p>
      <w:pPr>
        <w:spacing w:after="0" w:line="210" w:lineRule="exact"/>
        <w:rPr>
          <w:rFonts w:ascii="Arial" w:cs="Arial" w:eastAsia="Arial" w:hAnsi="Arial"/>
          <w:sz w:val="16"/>
          <w:szCs w:val="16"/>
          <w:color w:val="auto"/>
        </w:rPr>
      </w:pPr>
    </w:p>
    <w:p>
      <w:pPr>
        <w:ind w:right="340" w:firstLine="645"/>
        <w:spacing w:after="0" w:line="277" w:lineRule="auto"/>
        <w:tabs>
          <w:tab w:leader="none" w:pos="1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amount of principal of or any premium or interest on any Securities of the series may be determined with reference to an index or pursuant to a formula, the manner in which such amounts shall be determined;</w:t>
      </w:r>
    </w:p>
    <w:p>
      <w:pPr>
        <w:spacing w:after="0" w:line="170" w:lineRule="exact"/>
        <w:rPr>
          <w:rFonts w:ascii="Arial" w:cs="Arial" w:eastAsia="Arial" w:hAnsi="Arial"/>
          <w:sz w:val="18"/>
          <w:szCs w:val="18"/>
          <w:color w:val="auto"/>
        </w:rPr>
      </w:pPr>
    </w:p>
    <w:p>
      <w:pPr>
        <w:jc w:val="both"/>
        <w:ind w:right="180" w:firstLine="645"/>
        <w:spacing w:after="0" w:line="286" w:lineRule="auto"/>
        <w:tabs>
          <w:tab w:leader="none" w:pos="132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other than the currency of the United States of America, the currency, currencies or currency units in which the principal of or any premium or interest on any Securities of the series shall be payable and the manner of determining the equivalent thereof in the currency of the United States of America for any purpose, including for purposes of the definition of “Outstanding” in Section 1.1;</w:t>
      </w:r>
    </w:p>
    <w:p>
      <w:pPr>
        <w:spacing w:after="0" w:line="165" w:lineRule="exact"/>
        <w:rPr>
          <w:rFonts w:ascii="Arial" w:cs="Arial" w:eastAsia="Arial" w:hAnsi="Arial"/>
          <w:sz w:val="17"/>
          <w:szCs w:val="17"/>
          <w:color w:val="auto"/>
        </w:rPr>
      </w:pPr>
    </w:p>
    <w:p>
      <w:pPr>
        <w:ind w:right="80" w:firstLine="645"/>
        <w:spacing w:after="0" w:line="257" w:lineRule="auto"/>
        <w:tabs>
          <w:tab w:leader="none" w:pos="1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principal of or any premium or interest on any Securities of the series is to be payable, at the election of the Company or the Holder thereof, in one or more currencies or currency units other than that or those in which such Securities are stated to be payable, the currency, currencies or currency units in which the principal of or any premium or interest on such Securities as to which such election is made shall be payable, the periods within which and the terms and conditions upon which such election is to be made and the amount so payable (or the manner in which such amount shall be determined);</w:t>
      </w:r>
    </w:p>
    <w:p>
      <w:pPr>
        <w:spacing w:after="0" w:line="188" w:lineRule="exact"/>
        <w:rPr>
          <w:rFonts w:ascii="Arial" w:cs="Arial" w:eastAsia="Arial" w:hAnsi="Arial"/>
          <w:sz w:val="18"/>
          <w:szCs w:val="18"/>
          <w:color w:val="auto"/>
        </w:rPr>
      </w:pPr>
    </w:p>
    <w:p>
      <w:pPr>
        <w:ind w:right="160" w:firstLine="645"/>
        <w:spacing w:after="0" w:line="277" w:lineRule="auto"/>
        <w:tabs>
          <w:tab w:leader="none" w:pos="1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other than the entire principal amount thereof, the portion of the principal amount of any Securities of the series which shall be payable upon declaration of acceleration of the Maturity thereof pursuant to Section 5.2;</w:t>
      </w:r>
    </w:p>
    <w:p>
      <w:pPr>
        <w:spacing w:after="0" w:line="170" w:lineRule="exact"/>
        <w:rPr>
          <w:rFonts w:ascii="Arial" w:cs="Arial" w:eastAsia="Arial" w:hAnsi="Arial"/>
          <w:sz w:val="18"/>
          <w:szCs w:val="18"/>
          <w:color w:val="auto"/>
        </w:rPr>
      </w:pPr>
    </w:p>
    <w:p>
      <w:pPr>
        <w:ind w:firstLine="645"/>
        <w:spacing w:after="0" w:line="257" w:lineRule="auto"/>
        <w:tabs>
          <w:tab w:leader="none" w:pos="1326"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 the principal amount payable at the Stated Maturity of any Securities of the series will not be determinable as of any one or more dates prior to the Stated Maturity, the amount which shall be deemed to be the principal amount of such Securities as of any such date for any purpose thereunder or hereunder,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w:t>
      </w:r>
    </w:p>
    <w:p>
      <w:pPr>
        <w:spacing w:after="0" w:line="18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580" w:firstLine="645"/>
        <w:spacing w:after="0" w:line="286" w:lineRule="auto"/>
        <w:tabs>
          <w:tab w:leader="none" w:pos="1326" w:val="left"/>
        </w:tabs>
        <w:numPr>
          <w:ilvl w:val="0"/>
          <w:numId w:val="80"/>
        </w:numPr>
        <w:rPr>
          <w:rFonts w:ascii="Arial" w:cs="Arial" w:eastAsia="Arial" w:hAnsi="Arial"/>
          <w:sz w:val="17"/>
          <w:szCs w:val="17"/>
          <w:color w:val="auto"/>
        </w:rPr>
      </w:pPr>
      <w:r>
        <w:rPr>
          <w:rFonts w:ascii="Arial" w:cs="Arial" w:eastAsia="Arial" w:hAnsi="Arial"/>
          <w:sz w:val="17"/>
          <w:szCs w:val="17"/>
          <w:color w:val="auto"/>
        </w:rPr>
        <w:t>if applicable, that the Securities of the series, in whole or any specified part, shall be defeasible pursuant to Section 13.2 or Section 13.3 or both such Sections, or any other defeasance provisions applicable to any Securities of the series, and, if other than by a Board Resolution, the manner in which any election by the Company to defease such Securities shall be evidenced;</w:t>
      </w:r>
    </w:p>
    <w:p>
      <w:pPr>
        <w:spacing w:after="0" w:line="165" w:lineRule="exact"/>
        <w:rPr>
          <w:rFonts w:ascii="Arial" w:cs="Arial" w:eastAsia="Arial" w:hAnsi="Arial"/>
          <w:sz w:val="17"/>
          <w:szCs w:val="17"/>
          <w:color w:val="auto"/>
        </w:rPr>
      </w:pPr>
    </w:p>
    <w:p>
      <w:pPr>
        <w:ind w:right="160" w:firstLine="645"/>
        <w:spacing w:after="0" w:line="277" w:lineRule="auto"/>
        <w:tabs>
          <w:tab w:leader="none" w:pos="1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the terms of any right to convert or exchange Securities of the series into shares of Common Stock of the Company or other securities or property;</w:t>
      </w:r>
    </w:p>
    <w:p>
      <w:pPr>
        <w:spacing w:after="0" w:line="170" w:lineRule="exact"/>
        <w:rPr>
          <w:rFonts w:ascii="Arial" w:cs="Arial" w:eastAsia="Arial" w:hAnsi="Arial"/>
          <w:sz w:val="18"/>
          <w:szCs w:val="18"/>
          <w:color w:val="auto"/>
        </w:rPr>
      </w:pPr>
    </w:p>
    <w:p>
      <w:pPr>
        <w:ind w:right="20" w:firstLine="645"/>
        <w:spacing w:after="0" w:line="255" w:lineRule="auto"/>
        <w:tabs>
          <w:tab w:leader="none" w:pos="1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that any Securities of the series shall be issuable in whole or in part in the form of one or more Global Securities and, in such case, the respective Depositaries for such Global Securities, the form of any legend or legends which shall be borne by any such Global Security in addition to or in lieu of that set forth in Section 2.4 and any circumstances in addition to or in lieu of those set forth in clause (2) of the last paragraph of Section 3.5 in which any such Global Security may be exchanged in whole or in part for Securities registered, and any transfer of such Global Security in whole or in part may be registered, in the name or names of Persons other than the Depositary for such Global Security or a nominee thereof;</w:t>
      </w:r>
    </w:p>
    <w:p>
      <w:pPr>
        <w:spacing w:after="0" w:line="193" w:lineRule="exact"/>
        <w:rPr>
          <w:rFonts w:ascii="Arial" w:cs="Arial" w:eastAsia="Arial" w:hAnsi="Arial"/>
          <w:sz w:val="18"/>
          <w:szCs w:val="18"/>
          <w:color w:val="auto"/>
        </w:rPr>
      </w:pPr>
    </w:p>
    <w:p>
      <w:pPr>
        <w:ind w:right="180" w:firstLine="645"/>
        <w:spacing w:after="0" w:line="308" w:lineRule="auto"/>
        <w:tabs>
          <w:tab w:leader="none" w:pos="1326"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addition to or change in the Events of Default which applies to any Securities of the series and any change in the right of the Trustee or the requisite Holders of such Securities to declare the principal amount thereof due and payable pursuant to Section 5.2;</w:t>
      </w:r>
    </w:p>
    <w:p>
      <w:pPr>
        <w:spacing w:after="0" w:line="146" w:lineRule="exact"/>
        <w:rPr>
          <w:rFonts w:ascii="Arial" w:cs="Arial" w:eastAsia="Arial" w:hAnsi="Arial"/>
          <w:sz w:val="17"/>
          <w:szCs w:val="17"/>
          <w:color w:val="auto"/>
        </w:rPr>
      </w:pPr>
    </w:p>
    <w:p>
      <w:pPr>
        <w:ind w:left="1320" w:hanging="675"/>
        <w:spacing w:after="0"/>
        <w:tabs>
          <w:tab w:leader="none" w:pos="13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addition to or change in the covenants set forth in Article 10 which applies to Securities of the series;</w:t>
      </w:r>
    </w:p>
    <w:p>
      <w:pPr>
        <w:spacing w:after="0" w:line="225" w:lineRule="exact"/>
        <w:rPr>
          <w:rFonts w:ascii="Arial" w:cs="Arial" w:eastAsia="Arial" w:hAnsi="Arial"/>
          <w:sz w:val="18"/>
          <w:szCs w:val="18"/>
          <w:color w:val="auto"/>
        </w:rPr>
      </w:pPr>
    </w:p>
    <w:p>
      <w:pPr>
        <w:ind w:right="160" w:firstLine="645"/>
        <w:spacing w:after="0" w:line="277" w:lineRule="auto"/>
        <w:tabs>
          <w:tab w:leader="none" w:pos="1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Authenticating Agents, Paying Agents, Security Registrars or such other agents necessary in connection with the issuance of the Securities of such series, including, without limitation, exchange rate agents and calculation agents;</w:t>
      </w:r>
    </w:p>
    <w:p>
      <w:pPr>
        <w:spacing w:after="0" w:line="170" w:lineRule="exact"/>
        <w:rPr>
          <w:rFonts w:ascii="Arial" w:cs="Arial" w:eastAsia="Arial" w:hAnsi="Arial"/>
          <w:sz w:val="18"/>
          <w:szCs w:val="18"/>
          <w:color w:val="auto"/>
        </w:rPr>
      </w:pPr>
    </w:p>
    <w:p>
      <w:pPr>
        <w:ind w:right="480" w:firstLine="645"/>
        <w:spacing w:after="0" w:line="277" w:lineRule="auto"/>
        <w:tabs>
          <w:tab w:leader="none" w:pos="1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applicable, the terms of any security that will be provided for a series of Securities, including any provisions regarding the circumstances under which collateral may be released or substituted;</w:t>
      </w:r>
    </w:p>
    <w:p>
      <w:pPr>
        <w:spacing w:after="0" w:line="170" w:lineRule="exact"/>
        <w:rPr>
          <w:rFonts w:ascii="Arial" w:cs="Arial" w:eastAsia="Arial" w:hAnsi="Arial"/>
          <w:sz w:val="18"/>
          <w:szCs w:val="18"/>
          <w:color w:val="auto"/>
        </w:rPr>
      </w:pPr>
    </w:p>
    <w:p>
      <w:pPr>
        <w:ind w:left="1320" w:hanging="675"/>
        <w:spacing w:after="0"/>
        <w:tabs>
          <w:tab w:leader="none" w:pos="1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applicable, the terms of any guaranties for the Securities and any circumstances under which there may be additional obligors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w:t>
      </w:r>
    </w:p>
    <w:p>
      <w:pPr>
        <w:spacing w:after="0" w:line="210" w:lineRule="exact"/>
        <w:rPr>
          <w:rFonts w:ascii="Arial" w:cs="Arial" w:eastAsia="Arial" w:hAnsi="Arial"/>
          <w:sz w:val="16"/>
          <w:szCs w:val="16"/>
          <w:color w:val="auto"/>
        </w:rPr>
      </w:pPr>
    </w:p>
    <w:p>
      <w:pPr>
        <w:ind w:right="40" w:firstLine="645"/>
        <w:spacing w:after="0" w:line="264" w:lineRule="auto"/>
        <w:tabs>
          <w:tab w:leader="none" w:pos="1326"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addition to or change in or modification to the subordinated provisions of this Indenture relating to the Securities of that series (including the provisions of Article 15), or different subordination provisions, including a different definition of “Senior Debt” or “Designated Senior Debt,” will apply to Securities of the series; and</w:t>
      </w:r>
    </w:p>
    <w:p>
      <w:pPr>
        <w:spacing w:after="0" w:line="181" w:lineRule="exact"/>
        <w:rPr>
          <w:rFonts w:ascii="Arial" w:cs="Arial" w:eastAsia="Arial" w:hAnsi="Arial"/>
          <w:sz w:val="18"/>
          <w:szCs w:val="18"/>
          <w:color w:val="auto"/>
        </w:rPr>
      </w:pPr>
    </w:p>
    <w:p>
      <w:pPr>
        <w:ind w:left="1320" w:hanging="675"/>
        <w:spacing w:after="0"/>
        <w:tabs>
          <w:tab w:leader="none" w:pos="13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any other terms of the series (which terms shall not be inconsistent with the provisions of this Indenture, except as permitted by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9.1(5)).</w:t>
      </w:r>
    </w:p>
    <w:p>
      <w:pPr>
        <w:sectPr>
          <w:pgSz w:w="11900" w:h="16838" w:orient="portrait"/>
          <w:cols w:equalWidth="0" w:num="1">
            <w:col w:w="10760"/>
          </w:cols>
          <w:pgMar w:left="900" w:top="125" w:right="239" w:bottom="0" w:gutter="0" w:footer="0" w:header="0"/>
        </w:sectPr>
      </w:pPr>
    </w:p>
    <w:bookmarkStart w:id="77" w:name="page78"/>
    <w:bookmarkEnd w:id="77"/>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the Board Resolution referred to above and (subject to Section 3.3) set forth, or determined in the manner provided, in the Officers’ Certificate referred to above or in any such indenture supplemental hereto.</w:t>
      </w:r>
    </w:p>
    <w:p>
      <w:pPr>
        <w:spacing w:after="0" w:line="181"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If any of the terms of the series are established by action taken pursuant to a Board Resolution, a copy of an appropriate record of such action shall be certified by the Secretary or an Assistant Secretary of the Company and delivered to the Trustee at or prior to the delivery of the Officers’ Certificate setting forth the terms of the series.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Securities shall be subordinated in right of payment to Senior Debt as provided in Article 15.</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5"/>
          <w:szCs w:val="15"/>
          <w:b w:val="1"/>
          <w:bCs w:val="1"/>
          <w:color w:val="auto"/>
        </w:rPr>
        <w:t>Denominations.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Securities of each series shall be issuable only in registered form without coupons and only in such denominations as shall be specified as contemplated by Section 3.1. In the absence of any such specified denomination with respect to the Securities of any series, the Securities of such series shall be issuable in denominations of $1,000 and any integral multiple thereof.</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3.3</w:t>
      </w:r>
      <w:r>
        <w:rPr>
          <w:sz w:val="20"/>
          <w:szCs w:val="20"/>
          <w:color w:val="auto"/>
        </w:rPr>
        <w:tab/>
      </w:r>
      <w:r>
        <w:rPr>
          <w:rFonts w:ascii="Arial" w:cs="Arial" w:eastAsia="Arial" w:hAnsi="Arial"/>
          <w:sz w:val="16"/>
          <w:szCs w:val="16"/>
          <w:b w:val="1"/>
          <w:bCs w:val="1"/>
          <w:color w:val="auto"/>
        </w:rPr>
        <w:t>Execution, Authentication, Delivery and Dating.</w:t>
      </w:r>
    </w:p>
    <w:p>
      <w:pPr>
        <w:spacing w:after="0" w:line="229"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The Securities shall be executed on behalf of the Company by its Chairman of the Board, its Vice Chairman of the Board, its Chief Executive Officer, its principal financial officer, its President or one of its Vice Presidents, attested by its Treasurer, its Secretary or one of its Assistant Treasurers or Assistant Secretaries. The signature of any of these officers on the Securities may be manual or facsimile.</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Trustee for authentication, together with a Company Order for the authentication and delivery of such Securities, and the Trustee in accordance with the Company Order shall authenticate and deliver such Securities. If the form or terms of the Securities of the series have been established by or pursuant to one or more Board Resolutions as permitted by Sections 2.1 and 3.1, in authenticating such Securities, and accepting the additional responsibilities under this Indenture in relation to such Securities, the Trustee shall be entitled to receive, and (subject to Section 6.1) shall be fully protected in relying upon, a copy of such Board Resolution, the Officers’ Certificate setting forth the terms of the series and an Opinion of Counsel, with such Opinion of Counsel stating,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firstLine="645"/>
        <w:spacing w:after="0" w:line="277" w:lineRule="auto"/>
        <w:tabs>
          <w:tab w:leader="none" w:pos="19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form of such Securities has been established by or pursuant to Board Resolution as permitted by Section 2.1, that such form has been established in conformity with the provisions of this Indenture;</w:t>
      </w:r>
    </w:p>
    <w:p>
      <w:pPr>
        <w:spacing w:after="0" w:line="170" w:lineRule="exact"/>
        <w:rPr>
          <w:rFonts w:ascii="Arial" w:cs="Arial" w:eastAsia="Arial" w:hAnsi="Arial"/>
          <w:sz w:val="18"/>
          <w:szCs w:val="18"/>
          <w:color w:val="auto"/>
        </w:rPr>
      </w:pPr>
    </w:p>
    <w:p>
      <w:pPr>
        <w:ind w:left="660" w:right="360" w:firstLine="645"/>
        <w:spacing w:after="0" w:line="277" w:lineRule="auto"/>
        <w:tabs>
          <w:tab w:leader="none" w:pos="19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the terms of such Securities have been established by or pursuant to Board Resolution as permitted by Section 3.1, that such terms have been established in conformity with the provisions of this Indenture; and</w:t>
      </w:r>
    </w:p>
    <w:p>
      <w:pPr>
        <w:spacing w:after="0" w:line="170" w:lineRule="exact"/>
        <w:rPr>
          <w:rFonts w:ascii="Arial" w:cs="Arial" w:eastAsia="Arial" w:hAnsi="Arial"/>
          <w:sz w:val="18"/>
          <w:szCs w:val="18"/>
          <w:color w:val="auto"/>
        </w:rPr>
      </w:pPr>
    </w:p>
    <w:p>
      <w:pPr>
        <w:ind w:left="660" w:right="60" w:firstLine="645"/>
        <w:spacing w:after="0" w:line="277" w:lineRule="auto"/>
        <w:tabs>
          <w:tab w:leader="none" w:pos="1977"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Company in the manner and subject to any conditions specified in such</w:t>
      </w:r>
    </w:p>
    <w:p>
      <w:pPr>
        <w:spacing w:after="0" w:line="170" w:lineRule="exact"/>
        <w:rPr>
          <w:sz w:val="20"/>
          <w:szCs w:val="20"/>
          <w:color w:val="auto"/>
        </w:rPr>
      </w:pPr>
    </w:p>
    <w:p>
      <w:pPr>
        <w:ind w:left="660" w:right="280" w:firstLine="648"/>
        <w:spacing w:after="0" w:line="264" w:lineRule="auto"/>
        <w:rPr>
          <w:sz w:val="20"/>
          <w:szCs w:val="20"/>
          <w:color w:val="auto"/>
        </w:rPr>
      </w:pPr>
      <w:r>
        <w:rPr>
          <w:rFonts w:ascii="Arial" w:cs="Arial" w:eastAsia="Arial" w:hAnsi="Arial"/>
          <w:sz w:val="18"/>
          <w:szCs w:val="18"/>
          <w:color w:val="auto"/>
        </w:rPr>
        <w:t>Opinion of Counsel, will constitute valid and legally binding obligations of the Company enforceable in accordance with their terms, subject to bankruptcy, insolvency, fraudulent transfer, reorganization, moratorium and similar laws of general applicability relating to or affecting creditors’ rights and to general equity principles.</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such form or terms have been so established, the Trustee shall not be required to authenticate such Securities if the issue of such Securities pursuant to this Indenture will affect the Trustee’s own rights, duties or immunities under the Securities and this Indenture or otherwise in a manner which is not reasonably acceptable to the Trustee.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Notwithstanding the provisions of Section 3.1 and of the preceding paragraph, if all Securities of a series are not to be originally issued at one time, it shall not be necessary to deliver the Officers’ Certificate otherwise required pursuant to Section 3.1 or the Company Order and Opinion of Counsel otherwise required pursuant to such preceding paragraph at or prior to the authentication of each Security of such series if such documents are delivered at or prior to the authentication upon original issuance of the first Security of such series to be issued.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225"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No Security shall be entitled to any benefit under this Indenture or be valid or obligatory for any purpose unless there appears on such Security a certificate of authentication substantially in the form provided for herein executed by the Trustee by manual signature, and such certificate upon any Security shall be conclusive evidence, and the only evidence, that such Security has been duly authenticated and delivered hereunder. Notwithstanding the foregoing, if any Security shall have been authenticated and delivered hereunder but never issued and sold by the Company, and the Company shall deliver such Security to the Trustee for cancellation as provided in Section 3.9, for all purposes of this Indenture such Security shall be deemed never to have been authenticated and delivered hereunder and shall never be entitled to the benefits of this Indenture.</w:t>
      </w:r>
    </w:p>
    <w:p>
      <w:pPr>
        <w:spacing w:after="0" w:line="178"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Neither the Company nor the Trustee shall have any responsibility for any defect in the CUSIP number that appears on any Security, check, advice of payment or redemption notice, and any such document may contain a statement to the effect that CUSIP numbers have been assigned by an independent service for convenience of reference and that neither the Company nor the Trustee shall be liable for any inaccuracy in such numbers.</w:t>
      </w:r>
    </w:p>
    <w:p>
      <w:pPr>
        <w:sectPr>
          <w:pgSz w:w="11900" w:h="16934" w:orient="portrait"/>
          <w:cols w:equalWidth="0" w:num="1">
            <w:col w:w="11420"/>
          </w:cols>
          <w:pgMar w:left="240" w:top="125" w:right="239" w:bottom="0" w:gutter="0" w:footer="0" w:header="0"/>
        </w:sectPr>
      </w:pPr>
    </w:p>
    <w:bookmarkStart w:id="78" w:name="page79"/>
    <w:bookmarkEnd w:id="78"/>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color w:val="auto"/>
        </w:rPr>
        <w:t>Temporary Securities.</w:t>
      </w:r>
    </w:p>
    <w:p>
      <w:pPr>
        <w:spacing w:after="0" w:line="22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Pending the preparation of definitive Securities of any series, the Company may execute, and upon Company Order the Trustee shall authenticate and deliver, temporary Securities which are printed, lithographed, typewritten, mimeographed or otherwise produced, in any authorized denomination, substantially of the tenor of the definitive Securities in lieu of which they are issued and with such appropriate insertions, omissions, substitutions and other variations as the officers executing such Securities may determine, as evidenced by their execution of such Securities.</w:t>
      </w:r>
    </w:p>
    <w:p>
      <w:pPr>
        <w:spacing w:after="0" w:line="17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Trustee shall authenticate and deliver in exchange therefor one or more definitive Securities of the same series, of any authorized denominations and of like tenor and aggregate principal amount. Until so exchanged, the temporary Securities of any series shall in all respects be entitled to the same benefits under this Indenture as definitive Securities of such series and tenor.</w:t>
      </w:r>
    </w:p>
    <w:p>
      <w:pPr>
        <w:spacing w:after="0" w:line="18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color w:val="auto"/>
        </w:rPr>
        <w:t>Registration; Registration of Transfer and Exchange.</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The Company shall cause to be kept at the Corporate Trust Office of the Trustee a register (the register maintained in such office and in any other office or agency of the Company in a Place of Payment being herein sometimes collectively referred to as the “Security Register”) in which, subject to such reasonable regulations as it may prescribe, the Company shall provide for the registration of Securities and of transfers of Securities. The Trustee is hereby appointed “Security Registrar” for the purpose of registering Securities and transfers of Securities as herein provided.</w:t>
      </w:r>
    </w:p>
    <w:p>
      <w:pPr>
        <w:spacing w:after="0" w:line="17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Upon surrender for registration of transfer of any Security of a series at the office or agency of the Company in a Place of Payment for that series, the Company shall execute, and the Trustee shall authenticate and deliver, in the name of the designated transferee or transferees, one or more new Securities of the same series, of any authorized denominations and of like tenor and aggregate principal amount.</w:t>
      </w:r>
    </w:p>
    <w:p>
      <w:pPr>
        <w:spacing w:after="0" w:line="181"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At the option of the Holder, Securities of any series may be exchanged for other Securities of the same series, of any authorized denominations and of like tenor and aggregate principal amount, upon surrender of the Securities to be exchanged at such office or agency. Whenever any Securities are so surrendered for exchange, the Company shall execute, and the Trustee shall authenticate and deliver, the Securities that the Holder making the exchange is entitled to receive. 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Trustee) be duly endorsed, or be accompanied by a written instrument of transfer in form satisfactory to the Company and the Security Registrar duly executed, by the Holder thereof or its attorney duly authorized in writing.</w:t>
      </w:r>
    </w:p>
    <w:p>
      <w:pPr>
        <w:spacing w:after="0" w:line="18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No service charge shall be made for any registration of transfer or exchange of Securities, but the Company may require payment of a sum sufficient to cover any tax or other governmental charge that may be imposed in connection with any registration of transfer or exchange of Securities, other than exchanges pursuant to Section 3.4, 9.6 or 11.7 not involving any transfer.</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the Securities of any series (or of any series and specified tenor) are to be redeemed in part, the Company shall not be required (A) to issue, register the transfer of or exchange any Securities of that series (or of that series and specified tenor, as the case may be) during a period beginning at the opening of business 15 days before the day of the mailing of a notice of redemption of any such Securities selected for redemption under Section 11.3 and ending at the close of business on the day of such mailing, or (B) to register the transfer of or exchange any Security so selected for redemption in whole or in part, except the unredeemed portion of any Security being redeemed in part.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clauses (1), (2), (3) and (4) below shall apply only to Global Securities:</w:t>
      </w:r>
    </w:p>
    <w:p>
      <w:pPr>
        <w:spacing w:after="0" w:line="225" w:lineRule="exact"/>
        <w:rPr>
          <w:sz w:val="20"/>
          <w:szCs w:val="20"/>
          <w:color w:val="auto"/>
        </w:rPr>
      </w:pPr>
    </w:p>
    <w:p>
      <w:pPr>
        <w:ind w:left="660" w:right="320" w:firstLine="645"/>
        <w:spacing w:after="0" w:line="264" w:lineRule="auto"/>
        <w:tabs>
          <w:tab w:leader="none" w:pos="19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Each Global Security authenticated under this Indenture shall be registered in the name of the Depositary designated for such Global Security or a nominee thereof and delivered to such Depositary or a nominee thereof or custodian therefor, and each such Global Security shall constitute a single Security for all purposes of this Indenture.</w:t>
      </w:r>
    </w:p>
    <w:p>
      <w:pPr>
        <w:spacing w:after="0" w:line="181" w:lineRule="exact"/>
        <w:rPr>
          <w:rFonts w:ascii="Arial" w:cs="Arial" w:eastAsia="Arial" w:hAnsi="Arial"/>
          <w:sz w:val="18"/>
          <w:szCs w:val="18"/>
          <w:color w:val="auto"/>
        </w:rPr>
      </w:pPr>
    </w:p>
    <w:p>
      <w:pPr>
        <w:ind w:left="660" w:right="20" w:firstLine="645"/>
        <w:spacing w:after="0" w:line="273" w:lineRule="auto"/>
        <w:tabs>
          <w:tab w:leader="none" w:pos="1977"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Notwithstanding any other provision in this Indenture, no Global Security may be exchanged in whole or in part for Securities registered, and no transfer of a Global Security in whole or in part may be registered, in the name of any Person other than the Depositary for such Global Security or a nominee thereof unless (A) such Depositary (i) has notified the Company that it is unwilling or unable to continue as Depositary for such Global Security or (ii) has ceased to be a clearing agency registered under the Exchange Act, (B) there shall have occurred and be continuing an Event of Default with respect to such Global Security or (C) there shall exist such circumstances, if any, in addition to or in lieu of the foregoing as have been specified for this purpose as contemplated by Section 3.1.</w:t>
      </w:r>
    </w:p>
    <w:p>
      <w:pPr>
        <w:spacing w:after="0" w:line="178" w:lineRule="exact"/>
        <w:rPr>
          <w:rFonts w:ascii="Arial" w:cs="Arial" w:eastAsia="Arial" w:hAnsi="Arial"/>
          <w:sz w:val="17"/>
          <w:szCs w:val="17"/>
          <w:color w:val="auto"/>
        </w:rPr>
      </w:pPr>
    </w:p>
    <w:p>
      <w:pPr>
        <w:jc w:val="both"/>
        <w:ind w:left="660" w:right="540" w:firstLine="645"/>
        <w:spacing w:after="0" w:line="264" w:lineRule="auto"/>
        <w:tabs>
          <w:tab w:leader="none" w:pos="19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clause (2) above, any exchange of a Global Security for other Securities may be made in whole or in part, and all Securities issued in exchange for a Global Security or any portion thereof shall be registered in such names as the Depositary for such Global Security shall direct.</w:t>
      </w:r>
    </w:p>
    <w:p>
      <w:pPr>
        <w:spacing w:after="0" w:line="181" w:lineRule="exact"/>
        <w:rPr>
          <w:rFonts w:ascii="Arial" w:cs="Arial" w:eastAsia="Arial" w:hAnsi="Arial"/>
          <w:sz w:val="18"/>
          <w:szCs w:val="18"/>
          <w:color w:val="auto"/>
        </w:rPr>
      </w:pPr>
    </w:p>
    <w:p>
      <w:pPr>
        <w:jc w:val="both"/>
        <w:ind w:left="660" w:right="200" w:firstLine="645"/>
        <w:spacing w:after="0" w:line="259" w:lineRule="auto"/>
        <w:tabs>
          <w:tab w:leader="none" w:pos="1977" w:val="left"/>
        </w:tabs>
        <w:numPr>
          <w:ilvl w:val="0"/>
          <w:numId w:val="82"/>
        </w:numPr>
        <w:rPr>
          <w:rFonts w:ascii="Arial" w:cs="Arial" w:eastAsia="Arial" w:hAnsi="Arial"/>
          <w:sz w:val="18"/>
          <w:szCs w:val="18"/>
          <w:color w:val="auto"/>
        </w:rPr>
      </w:pPr>
      <w:r>
        <w:rPr>
          <w:rFonts w:ascii="Arial" w:cs="Arial" w:eastAsia="Arial" w:hAnsi="Arial"/>
          <w:sz w:val="18"/>
          <w:szCs w:val="18"/>
          <w:color w:val="auto"/>
        </w:rPr>
        <w:t>Every Security authenticated and delivered upon registration of transfer of, or in exchange for or in lieu of, a Global Security or any portion thereof, whether pursuant to this Section, Section 3.4, 3.6, 9.6 or 11.7 or otherwise, shall be authenticated and delivered in the form of, and shall be, a Global Security, unless such Security is registered in the name of a Person other than the Depositary for such Global Security or a nominee thereof.</w:t>
      </w:r>
    </w:p>
    <w:p>
      <w:pPr>
        <w:sectPr>
          <w:pgSz w:w="11900" w:h="16912" w:orient="portrait"/>
          <w:cols w:equalWidth="0" w:num="1">
            <w:col w:w="11420"/>
          </w:cols>
          <w:pgMar w:left="240" w:top="341" w:right="239" w:bottom="0" w:gutter="0" w:footer="0" w:header="0"/>
        </w:sectPr>
      </w:pPr>
    </w:p>
    <w:bookmarkStart w:id="79" w:name="page80"/>
    <w:bookmarkEnd w:id="79"/>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3.6</w:t>
      </w:r>
      <w:r>
        <w:rPr>
          <w:sz w:val="20"/>
          <w:szCs w:val="20"/>
          <w:color w:val="auto"/>
        </w:rPr>
        <w:tab/>
      </w:r>
      <w:r>
        <w:rPr>
          <w:rFonts w:ascii="Arial" w:cs="Arial" w:eastAsia="Arial" w:hAnsi="Arial"/>
          <w:sz w:val="16"/>
          <w:szCs w:val="16"/>
          <w:b w:val="1"/>
          <w:bCs w:val="1"/>
          <w:color w:val="auto"/>
        </w:rPr>
        <w:t>Mutilated, Destroyed, Lost and Stolen Securities.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w:t>
      </w:r>
    </w:p>
    <w:p>
      <w:pPr>
        <w:spacing w:after="0" w:line="35" w:lineRule="exact"/>
        <w:rPr>
          <w:sz w:val="20"/>
          <w:szCs w:val="20"/>
          <w:color w:val="auto"/>
        </w:rPr>
      </w:pPr>
    </w:p>
    <w:p>
      <w:pPr>
        <w:ind w:right="60" w:firstLine="8"/>
        <w:spacing w:after="0" w:line="254" w:lineRule="auto"/>
        <w:tabs>
          <w:tab w:leader="none" w:pos="265"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such security or indemnity as may be required by them to save each of them and any agent of either of them harmless, then, in the absence of notice to the Company or the Trustee that such Security has been acquired by a bona fide purchaser, the Company shall execute and the Trustee shall authenticate and deliver, in lieu of any such destroyed, lost or stolen Security, a new Security of the same series and of like tenor and principal amount and bearing a number not contemporaneously outstanding.</w:t>
      </w:r>
    </w:p>
    <w:p>
      <w:pPr>
        <w:spacing w:after="0" w:line="19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24"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6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color w:val="auto"/>
        </w:rPr>
        <w:t>Payment of Interest; Interest Rights Preserved.</w:t>
      </w:r>
    </w:p>
    <w:p>
      <w:pPr>
        <w:spacing w:after="0" w:line="229"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Except as otherwise provided as contemplated by Section 3.1 with respect to any series of Securities, interest on any Security which is payable, and is punctually paid or duly provided for, on any Interest Payment Date shall be paid to the Person in whose name that Security (or one or more Predecessor Securities) is registered at the close of business on the Regular Record Date for such interest.</w:t>
      </w:r>
    </w:p>
    <w:p>
      <w:pPr>
        <w:spacing w:after="0" w:line="181"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Any interest on any Security of any series which is payable, but is not punctually paid or duly provided for, on any Interest Payment Date (herein called “Defaulted Interest”) shall forthwith cease to be payable to the Holder on the relevant Regular Record Date by virtue of having been such</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Holder, and such Defaulted Interest may be paid by the Company, at its election in each case, as provided in clause (1) or (2) below:</w:t>
      </w:r>
    </w:p>
    <w:p>
      <w:pPr>
        <w:spacing w:after="0" w:line="225" w:lineRule="exact"/>
        <w:rPr>
          <w:sz w:val="20"/>
          <w:szCs w:val="20"/>
          <w:color w:val="auto"/>
        </w:rPr>
      </w:pPr>
    </w:p>
    <w:p>
      <w:pPr>
        <w:ind w:left="660" w:firstLine="645"/>
        <w:spacing w:after="0" w:line="286" w:lineRule="auto"/>
        <w:tabs>
          <w:tab w:leader="none" w:pos="1977"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Security of such series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15 days and not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given to each Holder of Securities of such series in the manner set forth in Section 1.6, not less than 10 days prior to such Special Record Date. Notice of the proposed payment of such Defaulted Interest and the Special Record Date therefor having been so given, such Defaulted Interest shall be paid to the Persons in whose names the Securities of such series (or their respective Predecessor Securities) are registered at the close of business on such Special Record Date and shall no longer be payable pursuant to the following clause (2).</w:t>
      </w:r>
    </w:p>
    <w:p>
      <w:pPr>
        <w:spacing w:after="0" w:line="171" w:lineRule="exact"/>
        <w:rPr>
          <w:rFonts w:ascii="Arial" w:cs="Arial" w:eastAsia="Arial" w:hAnsi="Arial"/>
          <w:sz w:val="16"/>
          <w:szCs w:val="16"/>
          <w:color w:val="auto"/>
        </w:rPr>
      </w:pPr>
    </w:p>
    <w:p>
      <w:pPr>
        <w:ind w:left="660" w:right="160" w:firstLine="645"/>
        <w:spacing w:after="0" w:line="259" w:lineRule="auto"/>
        <w:tabs>
          <w:tab w:leader="none" w:pos="1977"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Subject to the foregoing provisions of this Section,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Subject to the provisions of Section 14.2, in the case of any Security (or any part thereof) which is converted after any Regular Record Date and on or prior to the next succeeding Interest Payment Date (other than any Security the principal of (or premium, if any, on) which shall become due and payable, whether at Stated Maturity or by declaration of acceleration or otherwise prior to such Interest Payment Date), interest whose Stated Maturity is on such Interest Payment Date shall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48" w:gutter="0" w:footer="0" w:header="0"/>
        </w:sectPr>
      </w:pPr>
    </w:p>
    <w:bookmarkStart w:id="80" w:name="page81"/>
    <w:bookmarkEnd w:id="80"/>
    <w:p>
      <w:pPr>
        <w:spacing w:after="0" w:line="279" w:lineRule="auto"/>
        <w:rPr>
          <w:sz w:val="20"/>
          <w:szCs w:val="20"/>
          <w:color w:val="auto"/>
        </w:rPr>
      </w:pPr>
      <w:r>
        <w:rPr>
          <w:rFonts w:ascii="Arial" w:cs="Arial" w:eastAsia="Arial" w:hAnsi="Arial"/>
          <w:sz w:val="17"/>
          <w:szCs w:val="17"/>
          <w:color w:val="auto"/>
        </w:rPr>
        <w:t>be payable on such Interest Payment Date notwithstanding such conversion and such interest (whether or not punctually paid or duly provided for) shall be paid to the Person in whose name that Security (or any one or more Predecessor Securities) is registered at the close of business on such Regular Record Date. Except as otherwise expressly provided in the immediately preceding sentence or in Section 14.2, in the case of any Security (or any part thereof) which is converted, interest whose Stated Maturity is after the date of conversion of such Security (or such part thereof) shall not be payable.</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3.8</w:t>
      </w:r>
      <w:r>
        <w:rPr>
          <w:sz w:val="20"/>
          <w:szCs w:val="20"/>
          <w:color w:val="auto"/>
        </w:rPr>
        <w:tab/>
      </w:r>
      <w:r>
        <w:rPr>
          <w:rFonts w:ascii="Arial" w:cs="Arial" w:eastAsia="Arial" w:hAnsi="Arial"/>
          <w:sz w:val="15"/>
          <w:szCs w:val="15"/>
          <w:b w:val="1"/>
          <w:bCs w:val="1"/>
          <w:color w:val="auto"/>
        </w:rPr>
        <w:t>Persons Deemed Owners.</w:t>
      </w:r>
    </w:p>
    <w:p>
      <w:pPr>
        <w:spacing w:after="0" w:line="229"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Prior to due presentment of a Security for registration of transfer, the Company, the Trustee and any agent of the Company or the Trustee may treat the Person in whose name such Security is registered as the owner of such Security for the purpose of receiving payment of principal of and any premium and (subject to Section 3.7) any interest on such Security and for all other purposes whatsoever, whether or not such Security be overdue, and neither the Company, the Trustee nor any agent of the Company or the Trustee shall be affected by notice to the contrary.</w:t>
      </w:r>
    </w:p>
    <w:p>
      <w:pPr>
        <w:spacing w:after="0" w:line="16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3.9</w:t>
      </w:r>
      <w:r>
        <w:rPr>
          <w:sz w:val="20"/>
          <w:szCs w:val="20"/>
          <w:color w:val="auto"/>
        </w:rPr>
        <w:tab/>
      </w:r>
      <w:r>
        <w:rPr>
          <w:rFonts w:ascii="Arial" w:cs="Arial" w:eastAsia="Arial" w:hAnsi="Arial"/>
          <w:sz w:val="16"/>
          <w:szCs w:val="16"/>
          <w:b w:val="1"/>
          <w:bCs w:val="1"/>
          <w:color w:val="auto"/>
        </w:rPr>
        <w:t>Cancellation.</w:t>
      </w:r>
    </w:p>
    <w:p>
      <w:pPr>
        <w:spacing w:after="0" w:line="229" w:lineRule="exact"/>
        <w:rPr>
          <w:sz w:val="20"/>
          <w:szCs w:val="20"/>
          <w:color w:val="auto"/>
        </w:rPr>
      </w:pPr>
    </w:p>
    <w:p>
      <w:pPr>
        <w:ind w:right="180" w:firstLine="648"/>
        <w:spacing w:after="0" w:line="272" w:lineRule="auto"/>
        <w:rPr>
          <w:sz w:val="20"/>
          <w:szCs w:val="20"/>
          <w:color w:val="auto"/>
        </w:rPr>
      </w:pPr>
      <w:r>
        <w:rPr>
          <w:rFonts w:ascii="Arial" w:cs="Arial" w:eastAsia="Arial" w:hAnsi="Arial"/>
          <w:sz w:val="17"/>
          <w:szCs w:val="17"/>
          <w:color w:val="auto"/>
        </w:rPr>
        <w:t>All Securities surrendered for payment, redemption, registration of transfer or exchange or for credit against any sinking fund payment shall, if surrendered to any Person other than the Trustee, be delivered to the Trustee and shall be promptly canceled by it. The Company may at any time deliver to the Trustee for cancellation any Securities previously authenticated and delivered hereunder which the Company may have acquired in any manner whatsoever, and may deliver to the Trustee (or to any other Person for delivery to the Trustee) for cancellation any Securities previously authenticated hereunder which the Company has not issued and sold, and all Securities so delivered shall be promptly canceled by the Trustee. No Securities shall be authenticated in lieu of or in exchange for any Securities canceled as provided in this Section, except as expressly permitted by this Indenture. All canceled Securities held by the Trustee shall be cancelled and disposed of in accordance with its customary procedures.</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6"/>
          <w:szCs w:val="16"/>
          <w:b w:val="1"/>
          <w:bCs w:val="1"/>
          <w:color w:val="auto"/>
        </w:rPr>
        <w:t>Computation of Interest.</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Except as otherwise specified as contemplated by Section 3.1 for Securities of any series, interest on the Securities of each series shall be computed on the basis of a 360-day year of twelve 30-day months.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SATISFACTION AND DISCHARGE</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4.1</w:t>
      </w:r>
      <w:r>
        <w:rPr>
          <w:sz w:val="20"/>
          <w:szCs w:val="20"/>
          <w:color w:val="auto"/>
        </w:rPr>
        <w:tab/>
      </w:r>
      <w:r>
        <w:rPr>
          <w:rFonts w:ascii="Arial" w:cs="Arial" w:eastAsia="Arial" w:hAnsi="Arial"/>
          <w:sz w:val="16"/>
          <w:szCs w:val="16"/>
          <w:b w:val="1"/>
          <w:bCs w:val="1"/>
          <w:color w:val="auto"/>
        </w:rPr>
        <w:t>Satisfaction and Discharge of Indenture.</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Indenture shall upon Company Request cease to be of further effect (except as to any surviving rights of registration of transfer or exchange of Securities herein expressly provided for),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7"/>
          <w:szCs w:val="17"/>
          <w:color w:val="auto"/>
        </w:rPr>
        <w:t>and the Trustee, at the expense of the Company, shall execute proper instruments acknowledging satisfaction and discharge of this Indenture, when</w:t>
      </w:r>
    </w:p>
    <w:p>
      <w:pPr>
        <w:spacing w:after="0" w:line="237" w:lineRule="exact"/>
        <w:rPr>
          <w:sz w:val="20"/>
          <w:szCs w:val="20"/>
          <w:color w:val="auto"/>
        </w:rPr>
      </w:pPr>
    </w:p>
    <w:p>
      <w:pPr>
        <w:ind w:left="1980" w:hanging="675"/>
        <w:spacing w:after="0"/>
        <w:tabs>
          <w:tab w:leader="none" w:pos="19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right="200" w:firstLine="653"/>
        <w:spacing w:after="0" w:line="279" w:lineRule="auto"/>
        <w:tabs>
          <w:tab w:leader="none" w:pos="2603" w:val="left"/>
        </w:tabs>
        <w:numPr>
          <w:ilvl w:val="1"/>
          <w:numId w:val="85"/>
        </w:numPr>
        <w:rPr>
          <w:rFonts w:ascii="Arial" w:cs="Arial" w:eastAsia="Arial" w:hAnsi="Arial"/>
          <w:sz w:val="17"/>
          <w:szCs w:val="17"/>
          <w:color w:val="auto"/>
        </w:rPr>
      </w:pPr>
      <w:r>
        <w:rPr>
          <w:rFonts w:ascii="Arial" w:cs="Arial" w:eastAsia="Arial" w:hAnsi="Arial"/>
          <w:sz w:val="17"/>
          <w:szCs w:val="17"/>
          <w:color w:val="auto"/>
        </w:rPr>
        <w:t>all Securities theretofore authenticated and delivered (other than (i) Securities which have been destroyed, lost or stolen and which have been replaced or paid as provided in Section 3.6 and (ii) Securities for whose payment money has theretofore been deposited in trust or segregated and held in trust by the Trustee or the Company and thereafter repaid to the Company or discharged from such trust, as provided in Section 10.3) have been delivered to the Trustee for cancellation; or</w:t>
      </w:r>
    </w:p>
    <w:p>
      <w:pPr>
        <w:spacing w:after="0" w:line="171" w:lineRule="exact"/>
        <w:rPr>
          <w:rFonts w:ascii="Arial" w:cs="Arial" w:eastAsia="Arial" w:hAnsi="Arial"/>
          <w:sz w:val="17"/>
          <w:szCs w:val="17"/>
          <w:color w:val="auto"/>
        </w:rPr>
      </w:pPr>
    </w:p>
    <w:p>
      <w:pPr>
        <w:ind w:left="2620" w:hanging="667"/>
        <w:spacing w:after="0"/>
        <w:tabs>
          <w:tab w:leader="none" w:pos="26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such Securities not theretofore delivered to the Trustee for cancellation</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225" w:lineRule="exact"/>
        <w:rPr>
          <w:rFonts w:ascii="Arial" w:cs="Arial" w:eastAsia="Arial" w:hAnsi="Arial"/>
          <w:sz w:val="18"/>
          <w:szCs w:val="18"/>
          <w:color w:val="auto"/>
        </w:rPr>
      </w:pPr>
    </w:p>
    <w:p>
      <w:pPr>
        <w:ind w:left="3280" w:hanging="679"/>
        <w:spacing w:after="0"/>
        <w:tabs>
          <w:tab w:leader="none" w:pos="3280" w:val="left"/>
        </w:tabs>
        <w:numPr>
          <w:ilvl w:val="2"/>
          <w:numId w:val="85"/>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ind w:left="1960" w:right="160" w:firstLine="641"/>
        <w:spacing w:after="0" w:line="277" w:lineRule="auto"/>
        <w:tabs>
          <w:tab w:leader="none" w:pos="3297" w:val="left"/>
        </w:tabs>
        <w:numPr>
          <w:ilvl w:val="2"/>
          <w:numId w:val="85"/>
        </w:numPr>
        <w:rPr>
          <w:rFonts w:ascii="Arial" w:cs="Arial" w:eastAsia="Arial" w:hAnsi="Arial"/>
          <w:sz w:val="18"/>
          <w:szCs w:val="18"/>
          <w:color w:val="auto"/>
        </w:rPr>
      </w:pPr>
      <w:r>
        <w:rPr>
          <w:rFonts w:ascii="Arial" w:cs="Arial" w:eastAsia="Arial" w:hAnsi="Arial"/>
          <w:sz w:val="18"/>
          <w:szCs w:val="18"/>
          <w:color w:val="auto"/>
        </w:rPr>
        <w:t>are to be called for redemption within one year under arrangements satisfactory to the Trustee for the giving of notice of redemption by the Trustee in the name, and at the expense, of the Company,</w:t>
      </w:r>
    </w:p>
    <w:p>
      <w:pPr>
        <w:spacing w:after="0" w:line="170" w:lineRule="exact"/>
        <w:rPr>
          <w:sz w:val="20"/>
          <w:szCs w:val="20"/>
          <w:color w:val="auto"/>
        </w:rPr>
      </w:pPr>
    </w:p>
    <w:p>
      <w:pPr>
        <w:ind w:left="1300" w:right="20"/>
        <w:spacing w:after="0" w:line="279" w:lineRule="auto"/>
        <w:rPr>
          <w:sz w:val="20"/>
          <w:szCs w:val="20"/>
          <w:color w:val="auto"/>
        </w:rPr>
      </w:pPr>
      <w:r>
        <w:rPr>
          <w:rFonts w:ascii="Arial" w:cs="Arial" w:eastAsia="Arial" w:hAnsi="Arial"/>
          <w:sz w:val="17"/>
          <w:szCs w:val="17"/>
          <w:color w:val="auto"/>
        </w:rPr>
        <w:t>and the Company, in the case of (i), (ii) or (iii) above, has deposited or caused to be deposited with the Trustee as trust funds in trust for the purpose money in an amount sufficient to pay and discharge the entire indebtedness on such Securities not theretofore delivered to the Trustee for cancellation, for principal and any premium and interest to the date of such deposit (in the case of Securities which have become due and payable) or to the Stated Maturity or Redemption Date, as the case may be;</w:t>
      </w:r>
    </w:p>
    <w:p>
      <w:pPr>
        <w:spacing w:after="0" w:line="171" w:lineRule="exact"/>
        <w:rPr>
          <w:sz w:val="20"/>
          <w:szCs w:val="20"/>
          <w:color w:val="auto"/>
        </w:rPr>
      </w:pPr>
    </w:p>
    <w:p>
      <w:pPr>
        <w:ind w:left="1980" w:hanging="675"/>
        <w:spacing w:after="0"/>
        <w:tabs>
          <w:tab w:leader="none" w:pos="1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right="480" w:firstLine="645"/>
        <w:spacing w:after="0" w:line="277" w:lineRule="auto"/>
        <w:tabs>
          <w:tab w:leader="none" w:pos="1977"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each stating that all conditions precedent herein provided for relating to the satisfaction and discharge of this Indenture have been complied with.</w:t>
      </w:r>
    </w:p>
    <w:p>
      <w:pPr>
        <w:spacing w:after="0" w:line="170"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Notwithstanding the satisfaction and discharge of this Indenture, the obligations of the Company to the Trustee under Section 6.7, the obligations of the Trustee to any Authenticating Agent under Section 6.14 and, if money shall have been deposited with the Trustee pursuant to subclause (B) of clause (1) of this Section, the obligations of the Trustee under Section 4.2 and the last paragraph of Section 10.3 shall survive.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00" w:gutter="0" w:footer="0" w:header="0"/>
        </w:sectPr>
      </w:pPr>
    </w:p>
    <w:bookmarkStart w:id="81" w:name="page82"/>
    <w:bookmarkEnd w:id="81"/>
    <w:p>
      <w:pPr>
        <w:spacing w:after="0"/>
        <w:tabs>
          <w:tab w:leader="none" w:pos="1280" w:val="left"/>
        </w:tabs>
        <w:rPr>
          <w:sz w:val="20"/>
          <w:szCs w:val="20"/>
          <w:color w:val="auto"/>
        </w:rPr>
      </w:pPr>
      <w:r>
        <w:rPr>
          <w:rFonts w:ascii="Arial" w:cs="Arial" w:eastAsia="Arial" w:hAnsi="Arial"/>
          <w:sz w:val="18"/>
          <w:szCs w:val="18"/>
          <w:b w:val="1"/>
          <w:bCs w:val="1"/>
          <w:color w:val="auto"/>
        </w:rPr>
        <w:t>Section 4.2</w:t>
      </w:r>
      <w:r>
        <w:rPr>
          <w:sz w:val="20"/>
          <w:szCs w:val="20"/>
          <w:color w:val="auto"/>
        </w:rPr>
        <w:tab/>
      </w:r>
      <w:r>
        <w:rPr>
          <w:rFonts w:ascii="Arial" w:cs="Arial" w:eastAsia="Arial" w:hAnsi="Arial"/>
          <w:sz w:val="16"/>
          <w:szCs w:val="16"/>
          <w:b w:val="1"/>
          <w:bCs w:val="1"/>
          <w:color w:val="auto"/>
        </w:rPr>
        <w:t>Application of Trust Money</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Subject to the provisions of the last paragraph of Section 10.3, all money deposited with the Trustee pursuant to Section 4.1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any premium and interest for whose payment such money has been deposited with the Trustee.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REMEDIES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6"/>
          <w:szCs w:val="16"/>
          <w:b w:val="1"/>
          <w:bCs w:val="1"/>
          <w:color w:val="auto"/>
        </w:rPr>
        <w:t>Events of Default.</w:t>
      </w:r>
    </w:p>
    <w:p>
      <w:pPr>
        <w:spacing w:after="0" w:line="229"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“Event of Default,” wherever used herein with respect to Securities of any series, means any one of the following events (whatever the reason for such Event of Default and whether it shall be occasioned by the provisions of Article 15 or be voluntary or involuntary or be effected by operation of law or pursuant to any judgment, decree or order of any court or any order, rule or regulation of any administrative or governmental body), unless in the Board Resolution, supplemental indenture or Officers’ Certificate establishing such series, it is provided that such series shall not have the benefit of said Event of Default:</w:t>
      </w:r>
    </w:p>
    <w:p>
      <w:pPr>
        <w:spacing w:after="0" w:line="188" w:lineRule="exact"/>
        <w:rPr>
          <w:sz w:val="20"/>
          <w:szCs w:val="20"/>
          <w:color w:val="auto"/>
        </w:rPr>
      </w:pPr>
    </w:p>
    <w:p>
      <w:pPr>
        <w:ind w:left="660" w:right="180" w:firstLine="645"/>
        <w:spacing w:after="0" w:line="277" w:lineRule="auto"/>
        <w:tabs>
          <w:tab w:leader="none" w:pos="1939"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default in the payment of any interest upon any Security of that series when it becomes due and payable, and continuance of such default for a period of 90 days; or</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default in the payment of the principal of or any premium on any Security of that series at its Maturity; or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default in the deposit of any sinking fund payment, when and as due by the terms of a Security of that series; or</w:t>
      </w:r>
    </w:p>
    <w:p>
      <w:pPr>
        <w:spacing w:after="0" w:line="225" w:lineRule="exact"/>
        <w:rPr>
          <w:rFonts w:ascii="Arial" w:cs="Arial" w:eastAsia="Arial" w:hAnsi="Arial"/>
          <w:sz w:val="18"/>
          <w:szCs w:val="18"/>
          <w:color w:val="auto"/>
        </w:rPr>
      </w:pPr>
    </w:p>
    <w:p>
      <w:pPr>
        <w:ind w:left="660" w:right="20" w:firstLine="645"/>
        <w:spacing w:after="0" w:line="273" w:lineRule="auto"/>
        <w:tabs>
          <w:tab w:leader="none" w:pos="1939"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default in the performance, or breach, of any covenant or warranty of the Company in this Indenture (other than a covenant or warranty a default in whose performance or whose breach is elsewhere in this Section specifically dealt with or which has expressly been included in this Indenture solely for the benefit of series of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78" w:lineRule="exact"/>
        <w:rPr>
          <w:rFonts w:ascii="Arial" w:cs="Arial" w:eastAsia="Arial" w:hAnsi="Arial"/>
          <w:sz w:val="17"/>
          <w:szCs w:val="17"/>
          <w:color w:val="auto"/>
        </w:rPr>
      </w:pPr>
    </w:p>
    <w:p>
      <w:pPr>
        <w:ind w:left="660" w:right="780" w:firstLine="645"/>
        <w:spacing w:after="0" w:line="342" w:lineRule="auto"/>
        <w:tabs>
          <w:tab w:leader="none" w:pos="1939"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entry by a court having jurisdiction in the premises of (A) a decree or order for relief in respect of the Company in an involuntary case or proceeding under any applicable Federal or State bankruptcy, insolvency, reorganization or other similar law or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hanging="4"/>
        <w:spacing w:after="0" w:line="257" w:lineRule="auto"/>
        <w:tabs>
          <w:tab w:leader="none" w:pos="9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8" w:lineRule="exact"/>
        <w:rPr>
          <w:rFonts w:ascii="Arial" w:cs="Arial" w:eastAsia="Arial" w:hAnsi="Arial"/>
          <w:sz w:val="18"/>
          <w:szCs w:val="18"/>
          <w:color w:val="auto"/>
        </w:rPr>
      </w:pPr>
    </w:p>
    <w:p>
      <w:pPr>
        <w:ind w:left="660" w:firstLine="645"/>
        <w:spacing w:after="0" w:line="253" w:lineRule="auto"/>
        <w:tabs>
          <w:tab w:leader="none" w:pos="1939" w:val="left"/>
        </w:tabs>
        <w:numPr>
          <w:ilvl w:val="1"/>
          <w:numId w:val="88"/>
        </w:numPr>
        <w:rPr>
          <w:rFonts w:ascii="Arial" w:cs="Arial" w:eastAsia="Arial" w:hAnsi="Arial"/>
          <w:sz w:val="18"/>
          <w:szCs w:val="18"/>
          <w:color w:val="auto"/>
        </w:rPr>
      </w:pPr>
      <w:r>
        <w:rPr>
          <w:rFonts w:ascii="Arial" w:cs="Arial" w:eastAsia="Arial" w:hAnsi="Arial"/>
          <w:sz w:val="18"/>
          <w:szCs w:val="18"/>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to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other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97" w:lineRule="exact"/>
        <w:rPr>
          <w:rFonts w:ascii="Arial" w:cs="Arial" w:eastAsia="Arial" w:hAnsi="Arial"/>
          <w:sz w:val="18"/>
          <w:szCs w:val="18"/>
          <w:color w:val="auto"/>
        </w:rPr>
      </w:pPr>
    </w:p>
    <w:p>
      <w:pPr>
        <w:ind w:left="660" w:right="320" w:firstLine="645"/>
        <w:spacing w:after="0" w:line="277" w:lineRule="auto"/>
        <w:tabs>
          <w:tab w:leader="none" w:pos="1939" w:val="left"/>
        </w:tabs>
        <w:numPr>
          <w:ilvl w:val="1"/>
          <w:numId w:val="88"/>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in the Board Resolution, supplemental indenture or Officers’ Certificate establishing that series.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color w:val="auto"/>
        </w:rPr>
        <w:t>Acceleration of Maturity; Rescission and Annulment.</w:t>
      </w:r>
    </w:p>
    <w:p>
      <w:pPr>
        <w:spacing w:after="0" w:line="229" w:lineRule="exact"/>
        <w:rPr>
          <w:sz w:val="20"/>
          <w:szCs w:val="20"/>
          <w:color w:val="auto"/>
        </w:rPr>
      </w:pPr>
    </w:p>
    <w:p>
      <w:pPr>
        <w:ind w:right="80" w:firstLine="656"/>
        <w:spacing w:after="0" w:line="269" w:lineRule="auto"/>
        <w:tabs>
          <w:tab w:leader="none" w:pos="1268" w:val="left"/>
        </w:tabs>
        <w:numPr>
          <w:ilvl w:val="0"/>
          <w:numId w:val="89"/>
        </w:numPr>
        <w:rPr>
          <w:rFonts w:ascii="Arial" w:cs="Arial" w:eastAsia="Arial" w:hAnsi="Arial"/>
          <w:sz w:val="17"/>
          <w:szCs w:val="17"/>
          <w:color w:val="auto"/>
        </w:rPr>
      </w:pPr>
      <w:r>
        <w:rPr>
          <w:rFonts w:ascii="Arial" w:cs="Arial" w:eastAsia="Arial" w:hAnsi="Arial"/>
          <w:sz w:val="17"/>
          <w:szCs w:val="17"/>
          <w:color w:val="auto"/>
        </w:rPr>
        <w:t>Unless the Board Resolution, supplemental indenture or Officers’ Certificate establishing such series provides otherwise, if an Event of Default (other than an Event of Default specified in Section 5.1(5) or 5.1(6)) with respect to Securities of any series at the time Outstanding occurs and is continuing, then in every such case the Trustee or the Holders of not less than 25% in principal amount of the Outstanding Securities of that series may declare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to be due and payable immediately, by a notice in writing to the Company (and to the Trustee if given by the Holders), and upon any such declaration such principal amount (or specified amount), and premium, if any, together with accrued and unpaid interest, if any, thereon, shall become immediately due and payable. If an Event of Default specified in Section 5.1(5) or 5.1(6) with respect to Securities of any series at the time Outstanding occurs, the principal amount of all the Securities of that series (or, if any Securities of that series are Original Issue Discount Securities, such portion of the principal amount of such Securities as may be specified by the terms thereof), and premium, if any, together with accrued and unpaid interest, if any, thereon, shall automatically, and without any declaration or</w:t>
      </w:r>
    </w:p>
    <w:p>
      <w:pPr>
        <w:sectPr>
          <w:pgSz w:w="11900" w:h="16838" w:orient="portrait"/>
          <w:cols w:equalWidth="0" w:num="1">
            <w:col w:w="11420"/>
          </w:cols>
          <w:pgMar w:left="240" w:top="121" w:right="239" w:bottom="123" w:gutter="0" w:footer="0" w:header="0"/>
        </w:sectPr>
      </w:pP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23" w:gutter="0" w:footer="0" w:header="0"/>
          <w:type w:val="continuous"/>
        </w:sectPr>
      </w:pPr>
    </w:p>
    <w:bookmarkStart w:id="82" w:name="page83"/>
    <w:bookmarkEnd w:id="82"/>
    <w:p>
      <w:pPr>
        <w:ind w:right="140"/>
        <w:spacing w:after="0" w:line="277" w:lineRule="auto"/>
        <w:rPr>
          <w:sz w:val="20"/>
          <w:szCs w:val="20"/>
          <w:color w:val="auto"/>
        </w:rPr>
      </w:pPr>
      <w:r>
        <w:rPr>
          <w:rFonts w:ascii="Arial" w:cs="Arial" w:eastAsia="Arial" w:hAnsi="Arial"/>
          <w:sz w:val="18"/>
          <w:szCs w:val="18"/>
          <w:color w:val="auto"/>
        </w:rPr>
        <w:t>other action on the part of the Trustee or any Holder, become immediately due and payable. Any payments by the Company on the Securities following any such acceleration will be subject to the subordination provisions of Article 15 to the extent provided therein.</w:t>
      </w:r>
    </w:p>
    <w:p>
      <w:pPr>
        <w:spacing w:after="0" w:line="170" w:lineRule="exact"/>
        <w:rPr>
          <w:sz w:val="20"/>
          <w:szCs w:val="20"/>
          <w:color w:val="auto"/>
        </w:rPr>
      </w:pPr>
    </w:p>
    <w:p>
      <w:pPr>
        <w:ind w:firstLine="656"/>
        <w:spacing w:after="0" w:line="269" w:lineRule="auto"/>
        <w:tabs>
          <w:tab w:leader="none" w:pos="1279" w:val="left"/>
        </w:tabs>
        <w:numPr>
          <w:ilvl w:val="0"/>
          <w:numId w:val="90"/>
        </w:numPr>
        <w:rPr>
          <w:rFonts w:ascii="Arial" w:cs="Arial" w:eastAsia="Arial" w:hAnsi="Arial"/>
          <w:sz w:val="17"/>
          <w:szCs w:val="17"/>
          <w:color w:val="auto"/>
        </w:rPr>
      </w:pPr>
      <w:r>
        <w:rPr>
          <w:rFonts w:ascii="Arial" w:cs="Arial" w:eastAsia="Arial" w:hAnsi="Arial"/>
          <w:sz w:val="17"/>
          <w:szCs w:val="17"/>
          <w:color w:val="auto"/>
        </w:rPr>
        <w:t>Notwithstanding the foregoing, at the election of the Company, the sole remedy with respect to an Event of Default for the failure by the Company to comply with its obligations under Section 314(a)(1) of the Trust Indenture Act relating to the Company’s failure to file any documents or reports that the Company is required to file with the SEC pursuant to Section 13 or 15(d) of the Exchange Act or of its covenants set forth in Section 7.4 (any such Event of Default, a “Reporting Default”), shall for the first 180 calendar days after the occurrence of such Reporting Default consist exclusively of the right to receive additional interest (the “Additional Interest”) on the Securities at an annual rate equal to (i) 0.25% of the principal amount of the Securities for the first 90 calendar days after the occurrence of such Reporting Default and (ii) 0.50% of the principal amount of the Securities from the 91st day to, and including, the 180th day after the occurrence of such Reporting Default. If the Company so elects, the Additional Interest shall accrue on all Outstanding Securities from and including the date on which such Reporting Default first occurs until such violation is cured or waived and shall be payable as provided in Section 3.7. On the 181st day after such Reporting Default (if such violation is not cured or waived prior to such 181st calendar day), then the Trustee or the Holders of not less than 25% in principal amount of the Outstanding securities may declare the principal of and accrued and unpaid interest on all such Securities to be due and payable immediately.</w:t>
      </w:r>
    </w:p>
    <w:p>
      <w:pPr>
        <w:spacing w:after="0" w:line="183"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If the Company elects to pay the Additional Interest as the sole remedy for the Reporting Default, the Company shall notify in writing, by a certificate, the Holders, the Paying Agent and the Trustee of such election at any time on or before the close of business on the first Business Day following the date on which such Event of Default first occurs. Unless and until a Responsible Officer of the Trustee receives at the Corporate Trust Office such a certificate, the Trustee may assume without inquiry that Additional Interest is not payable. The Company shall pay the Additional Interest semi-annually in arrears, with the first semi-annual payment due on the first Interest Payment Date following the date of such Reporting Default, in the same manner as described on the face of the Security.</w:t>
      </w:r>
    </w:p>
    <w:p>
      <w:pPr>
        <w:spacing w:after="0" w:line="193" w:lineRule="exact"/>
        <w:rPr>
          <w:sz w:val="20"/>
          <w:szCs w:val="20"/>
          <w:color w:val="auto"/>
        </w:rPr>
      </w:pPr>
    </w:p>
    <w:p>
      <w:pPr>
        <w:ind w:right="180" w:firstLine="656"/>
        <w:spacing w:after="0" w:line="312" w:lineRule="auto"/>
        <w:tabs>
          <w:tab w:leader="none" w:pos="1268" w:val="left"/>
        </w:tabs>
        <w:numPr>
          <w:ilvl w:val="0"/>
          <w:numId w:val="91"/>
        </w:numPr>
        <w:rPr>
          <w:rFonts w:ascii="Arial" w:cs="Arial" w:eastAsia="Arial" w:hAnsi="Arial"/>
          <w:sz w:val="16"/>
          <w:szCs w:val="16"/>
          <w:color w:val="auto"/>
        </w:rPr>
      </w:pPr>
      <w:r>
        <w:rPr>
          <w:rFonts w:ascii="Arial" w:cs="Arial" w:eastAsia="Arial" w:hAnsi="Arial"/>
          <w:sz w:val="16"/>
          <w:szCs w:val="16"/>
          <w:color w:val="auto"/>
        </w:rPr>
        <w:t>At any time after such a declaration of acceleration with respect to Securities of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w:t>
      </w:r>
    </w:p>
    <w:p>
      <w:pPr>
        <w:spacing w:after="0" w:line="146" w:lineRule="exact"/>
        <w:rPr>
          <w:rFonts w:ascii="Arial" w:cs="Arial" w:eastAsia="Arial" w:hAnsi="Arial"/>
          <w:sz w:val="16"/>
          <w:szCs w:val="16"/>
          <w:color w:val="auto"/>
        </w:rPr>
      </w:pPr>
    </w:p>
    <w:p>
      <w:pPr>
        <w:ind w:left="1940" w:hanging="635"/>
        <w:spacing w:after="0"/>
        <w:tabs>
          <w:tab w:leader="none" w:pos="19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Company has paid or deposited with the Trustee a sum sufficient to pay</w:t>
      </w:r>
    </w:p>
    <w:p>
      <w:pPr>
        <w:spacing w:after="0" w:line="225" w:lineRule="exact"/>
        <w:rPr>
          <w:rFonts w:ascii="Arial" w:cs="Arial" w:eastAsia="Arial" w:hAnsi="Arial"/>
          <w:sz w:val="18"/>
          <w:szCs w:val="18"/>
          <w:color w:val="auto"/>
        </w:rPr>
      </w:pPr>
    </w:p>
    <w:p>
      <w:pPr>
        <w:ind w:left="2580" w:hanging="627"/>
        <w:spacing w:after="0"/>
        <w:tabs>
          <w:tab w:leader="none" w:pos="2580" w:val="left"/>
        </w:tabs>
        <w:numPr>
          <w:ilvl w:val="2"/>
          <w:numId w:val="91"/>
        </w:numPr>
        <w:rPr>
          <w:rFonts w:ascii="Arial" w:cs="Arial" w:eastAsia="Arial" w:hAnsi="Arial"/>
          <w:sz w:val="18"/>
          <w:szCs w:val="18"/>
          <w:color w:val="auto"/>
        </w:rPr>
      </w:pPr>
      <w:r>
        <w:rPr>
          <w:rFonts w:ascii="Arial" w:cs="Arial" w:eastAsia="Arial" w:hAnsi="Arial"/>
          <w:sz w:val="18"/>
          <w:szCs w:val="18"/>
          <w:color w:val="auto"/>
        </w:rPr>
        <w:t>all overdue interest on all Securities of that series,</w:t>
      </w:r>
    </w:p>
    <w:p>
      <w:pPr>
        <w:spacing w:after="0" w:line="225" w:lineRule="exact"/>
        <w:rPr>
          <w:rFonts w:ascii="Arial" w:cs="Arial" w:eastAsia="Arial" w:hAnsi="Arial"/>
          <w:sz w:val="18"/>
          <w:szCs w:val="18"/>
          <w:color w:val="auto"/>
        </w:rPr>
      </w:pPr>
    </w:p>
    <w:p>
      <w:pPr>
        <w:ind w:left="1300" w:right="320" w:firstLine="653"/>
        <w:spacing w:after="0" w:line="277" w:lineRule="auto"/>
        <w:tabs>
          <w:tab w:leader="none" w:pos="2609" w:val="left"/>
        </w:tabs>
        <w:numPr>
          <w:ilvl w:val="2"/>
          <w:numId w:val="91"/>
        </w:numPr>
        <w:rPr>
          <w:rFonts w:ascii="Arial" w:cs="Arial" w:eastAsia="Arial" w:hAnsi="Arial"/>
          <w:sz w:val="18"/>
          <w:szCs w:val="18"/>
          <w:color w:val="auto"/>
        </w:rPr>
      </w:pPr>
      <w:r>
        <w:rPr>
          <w:rFonts w:ascii="Arial" w:cs="Arial" w:eastAsia="Arial" w:hAnsi="Arial"/>
          <w:sz w:val="18"/>
          <w:szCs w:val="18"/>
          <w:color w:val="auto"/>
        </w:rPr>
        <w:t>the principal of (and premium, if any, on) any Securities of that series which have become due otherwise than by such declaration of acceleration and any interest thereon at the rate or rates prescribed therefor in such Securities,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60" w:firstLine="653"/>
        <w:spacing w:after="0" w:line="277" w:lineRule="auto"/>
        <w:tabs>
          <w:tab w:leader="none" w:pos="2609" w:val="left"/>
        </w:tabs>
        <w:numPr>
          <w:ilvl w:val="1"/>
          <w:numId w:val="92"/>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or rates prescribed therefor in such Securities, and</w:t>
      </w:r>
    </w:p>
    <w:p>
      <w:pPr>
        <w:spacing w:after="0" w:line="170" w:lineRule="exact"/>
        <w:rPr>
          <w:rFonts w:ascii="Arial" w:cs="Arial" w:eastAsia="Arial" w:hAnsi="Arial"/>
          <w:sz w:val="18"/>
          <w:szCs w:val="18"/>
          <w:color w:val="auto"/>
        </w:rPr>
      </w:pPr>
    </w:p>
    <w:p>
      <w:pPr>
        <w:ind w:left="1300" w:right="540" w:firstLine="653"/>
        <w:spacing w:after="0" w:line="277" w:lineRule="auto"/>
        <w:tabs>
          <w:tab w:leader="none" w:pos="25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sums paid or advanced by the Trustee hereunder and the reasonable compensation, expenses, disbursements and advances of the Trustee, its agents and counsel; and</w:t>
      </w:r>
    </w:p>
    <w:p>
      <w:pPr>
        <w:spacing w:after="0" w:line="170" w:lineRule="exact"/>
        <w:rPr>
          <w:rFonts w:ascii="Arial" w:cs="Arial" w:eastAsia="Arial" w:hAnsi="Arial"/>
          <w:sz w:val="18"/>
          <w:szCs w:val="18"/>
          <w:color w:val="auto"/>
        </w:rPr>
      </w:pPr>
    </w:p>
    <w:p>
      <w:pPr>
        <w:ind w:left="660" w:right="40" w:firstLine="645"/>
        <w:spacing w:after="0" w:line="308" w:lineRule="auto"/>
        <w:tabs>
          <w:tab w:leader="none" w:pos="1939" w:val="left"/>
        </w:tabs>
        <w:numPr>
          <w:ilvl w:val="0"/>
          <w:numId w:val="93"/>
        </w:numPr>
        <w:rPr>
          <w:rFonts w:ascii="Arial" w:cs="Arial" w:eastAsia="Arial" w:hAnsi="Arial"/>
          <w:sz w:val="17"/>
          <w:szCs w:val="17"/>
          <w:color w:val="auto"/>
        </w:rPr>
      </w:pPr>
      <w:r>
        <w:rPr>
          <w:rFonts w:ascii="Arial" w:cs="Arial" w:eastAsia="Arial" w:hAnsi="Arial"/>
          <w:sz w:val="17"/>
          <w:szCs w:val="17"/>
          <w:color w:val="auto"/>
        </w:rPr>
        <w:t>all Events of Default with respect to Securities of that series, other than the non-payment of the principal of Securities of that series that have become due solely by such declaration of acceleration, have been cured or waived as provided in Section 5.13.</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color w:val="auto"/>
        </w:rPr>
        <w:t>Collection of Indebtedness and Suits for Enforcement by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right="520" w:firstLine="645"/>
        <w:spacing w:after="0" w:line="277" w:lineRule="auto"/>
        <w:tabs>
          <w:tab w:leader="none" w:pos="19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660" w:firstLine="645"/>
        <w:spacing w:after="0" w:line="255" w:lineRule="auto"/>
        <w:tabs>
          <w:tab w:leader="none" w:pos="1939"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on) any Security at the Maturity thereof, the Company will, upon demand of the Trustee, pay to it, for the benefit of the Holders of such Securities, the whole amount then due and payable on such Securities for principal and any premium and interest and, to the extent that payment of such interest shall be legally enforceable, interest on any overdue principal and premium and on any overdue interest, at the rate or rates prescribed therefor in such Securities, and, in addition thereto, such further amount as shall be sufficient to cover the costs and expenses of collection, including the reasonable compensation, expenses, disbursements and advances of the Trustee, its agents and counsel.</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 Event of Default with respect to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6"/>
          <w:szCs w:val="16"/>
          <w:b w:val="1"/>
          <w:bCs w:val="1"/>
          <w:color w:val="auto"/>
        </w:rPr>
        <w:t>Trustee May File Proofs of Claim.</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case of any judicial proceeding relative to the Company (or any other obligor upon the Securities), its property or its creditors, the Trustee shall be entitled and empowered, by intervention in such proceeding or otherwise, to take any and all actions authorized under the Trust Indenture Act in order to have claims of the Holders and the Trustee allowed in any such proceeding. In particular, the Trustee shall be authorized to collect and receive any moneys or other property payable or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341" w:right="239" w:bottom="0" w:gutter="0" w:footer="0" w:header="0"/>
        </w:sectPr>
      </w:pPr>
    </w:p>
    <w:bookmarkStart w:id="83" w:name="page84"/>
    <w:bookmarkEnd w:id="83"/>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deliverable on any such claims and to distribute the same; 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reasonable compensation, expenses, disbursements and advances of the Trustee, its agents and counsel, and any other amounts due the Trustee under Section 6.7. No provision of this Indenture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Trustee may, on behalf of the Holders, vote for the election of a trustee in bankruptcy or similar official and be a member of a creditors’ or other similar committee.</w:t>
      </w:r>
    </w:p>
    <w:p>
      <w:pPr>
        <w:spacing w:after="0" w:line="1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5"/>
          <w:szCs w:val="15"/>
          <w:b w:val="1"/>
          <w:bCs w:val="1"/>
          <w:color w:val="auto"/>
        </w:rPr>
        <w:t>Trustee May Enforce Claims Without Possession of Securities.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reasonable compensation, expenses, disbursements and advances of the Trustee, its agents and counsel, be for the ratable benefit of the Holders of the Securities in respect of which such judgment has been recovered.</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6"/>
          <w:szCs w:val="16"/>
          <w:b w:val="1"/>
          <w:bCs w:val="1"/>
          <w:color w:val="auto"/>
        </w:rPr>
        <w:t>Application of Money Collected.</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Any money collected by the Trustee pursuant to this Article shall be applied in the following order, at the date or dates fixed by the Trustee and, in case of the distribution of such money on account of principal or any premium or interest, upon presentation of the Securities and the notation thereon of the payment if only partially paid and upon surrender thereof if fully paid:</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payment of all amounts due the Trustee under Section 6.7;</w:t>
      </w:r>
    </w:p>
    <w:p>
      <w:pPr>
        <w:spacing w:after="0" w:line="225"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SECOND: Subject to Article 15, to the payment of the amounts then due and unpaid for principal of and any premium, if any, and interest on the Securities in respect of which or for the benefit of which such money has been collected, ratably, without preference or priority of any kind, according to the amounts due and payable on such Securities for principal and any premium, if any, and interest, respectively;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The balance, if any, to the Company or any other Person or Persons entitled thereto.</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6"/>
          <w:szCs w:val="16"/>
          <w:b w:val="1"/>
          <w:bCs w:val="1"/>
          <w:color w:val="auto"/>
        </w:rPr>
        <w:t>Limitation on Suits.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such Holder has previously given written notice to the Trustee of a continuing Event of Default with respect to the Securities of</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that series;</w:t>
      </w:r>
    </w:p>
    <w:p>
      <w:pPr>
        <w:spacing w:after="0" w:line="210" w:lineRule="exact"/>
        <w:rPr>
          <w:rFonts w:ascii="Arial" w:cs="Arial" w:eastAsia="Arial" w:hAnsi="Arial"/>
          <w:sz w:val="17"/>
          <w:szCs w:val="17"/>
          <w:color w:val="auto"/>
        </w:rPr>
      </w:pPr>
    </w:p>
    <w:p>
      <w:pPr>
        <w:ind w:left="660" w:right="460" w:firstLine="645"/>
        <w:spacing w:after="0" w:line="308" w:lineRule="auto"/>
        <w:tabs>
          <w:tab w:leader="none" w:pos="1939"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Holders of at least 25% in aggregate principal amount of the Outstanding Securities of that series shall have made written request to the Trustee to institute proceedings in respect of such Event of Default in its own name as Trustee hereunder;</w:t>
      </w:r>
    </w:p>
    <w:p>
      <w:pPr>
        <w:spacing w:after="0" w:line="146" w:lineRule="exact"/>
        <w:rPr>
          <w:rFonts w:ascii="Arial" w:cs="Arial" w:eastAsia="Arial" w:hAnsi="Arial"/>
          <w:sz w:val="17"/>
          <w:szCs w:val="17"/>
          <w:color w:val="auto"/>
        </w:rPr>
      </w:pPr>
    </w:p>
    <w:p>
      <w:pPr>
        <w:ind w:left="660" w:right="20" w:firstLine="645"/>
        <w:spacing w:after="0" w:line="277" w:lineRule="auto"/>
        <w:tabs>
          <w:tab w:leader="none" w:pos="1939"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reasonable indemnity against the costs, expenses and liabilities to be incurred in compliance with such request;</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Trustee for 60 days after its receipt of such notice, request and offer of indemnity has failed to institute any such proceeding;</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left="660" w:right="340" w:firstLine="645"/>
        <w:spacing w:after="0" w:line="277" w:lineRule="auto"/>
        <w:tabs>
          <w:tab w:leader="none" w:pos="1939"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it being understood and intended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of such Holders.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5.8</w:t>
      </w:r>
      <w:r>
        <w:rPr>
          <w:sz w:val="20"/>
          <w:szCs w:val="20"/>
          <w:color w:val="auto"/>
        </w:rPr>
        <w:tab/>
      </w:r>
      <w:r>
        <w:rPr>
          <w:rFonts w:ascii="Arial" w:cs="Arial" w:eastAsia="Arial" w:hAnsi="Arial"/>
          <w:sz w:val="16"/>
          <w:szCs w:val="16"/>
          <w:b w:val="1"/>
          <w:bCs w:val="1"/>
          <w:color w:val="auto"/>
        </w:rPr>
        <w:t>Unconditional Right of Holders to Receive Principal, Premium and Interest and to Convert.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any premium and (subject to Section 3.7) interest on such Security on the respective Stated Maturities expressed in such Security (or, in the case of redemption, on the Redemption Date), to convert such Securities in accordance with Article 14 to the extent that such right to convert is applicable to such Security, and to institute suit for the enforcement of any such payment, and such rights shall not be impaired without the consent of such Holder.</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5.9</w:t>
      </w:r>
      <w:r>
        <w:rPr>
          <w:sz w:val="20"/>
          <w:szCs w:val="20"/>
          <w:color w:val="auto"/>
        </w:rPr>
        <w:tab/>
      </w:r>
      <w:r>
        <w:rPr>
          <w:rFonts w:ascii="Arial" w:cs="Arial" w:eastAsia="Arial" w:hAnsi="Arial"/>
          <w:sz w:val="15"/>
          <w:szCs w:val="15"/>
          <w:b w:val="1"/>
          <w:bCs w:val="1"/>
          <w:color w:val="auto"/>
        </w:rPr>
        <w:t>Restoration of Rights and Remedies.</w:t>
      </w:r>
    </w:p>
    <w:p>
      <w:pPr>
        <w:spacing w:after="0" w:line="229"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w:t>
      </w:r>
    </w:p>
    <w:p>
      <w:pPr>
        <w:sectPr>
          <w:pgSz w:w="11900" w:h="16838" w:orient="portrait"/>
          <w:cols w:equalWidth="0" w:num="1">
            <w:col w:w="11420"/>
          </w:cols>
          <w:pgMar w:left="240" w:top="733" w:right="239" w:bottom="0" w:gutter="0" w:footer="0" w:header="0"/>
        </w:sectPr>
      </w:pPr>
    </w:p>
    <w:bookmarkStart w:id="84" w:name="page85"/>
    <w:bookmarkEnd w:id="84"/>
    <w:p>
      <w:pPr>
        <w:spacing w:after="0" w:line="32"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6"/>
          <w:szCs w:val="16"/>
          <w:b w:val="1"/>
          <w:bCs w:val="1"/>
          <w:color w:val="auto"/>
        </w:rPr>
        <w:t>Rights and Remedies Cumulative.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Except as otherwise provided with respect to the replacement or payment of mutilated, destroyed, lost or stolen Securities in the last paragraph of Section 3.6,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84"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color w:val="auto"/>
        </w:rPr>
        <w:t>Delay or Omission Not Waiver.</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(subject to the limitations contained in this Indenture) or by the Holders, as the case may be.</w:t>
      </w:r>
    </w:p>
    <w:p>
      <w:pPr>
        <w:spacing w:after="0" w:line="18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color w:val="auto"/>
        </w:rPr>
        <w:t>Control by Holders.</w:t>
      </w:r>
    </w:p>
    <w:p>
      <w:pPr>
        <w:spacing w:after="0" w:line="229"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1" w:lineRule="exact"/>
        <w:rPr>
          <w:sz w:val="20"/>
          <w:szCs w:val="20"/>
          <w:color w:val="auto"/>
        </w:rPr>
      </w:pPr>
    </w:p>
    <w:p>
      <w:pPr>
        <w:ind w:left="660" w:right="100" w:firstLine="645"/>
        <w:spacing w:after="0" w:line="342" w:lineRule="auto"/>
        <w:tabs>
          <w:tab w:leader="none" w:pos="1939" w:val="left"/>
        </w:tabs>
        <w:numPr>
          <w:ilvl w:val="0"/>
          <w:numId w:val="96"/>
        </w:numPr>
        <w:rPr>
          <w:rFonts w:ascii="Arial" w:cs="Arial" w:eastAsia="Arial" w:hAnsi="Arial"/>
          <w:sz w:val="16"/>
          <w:szCs w:val="16"/>
          <w:color w:val="auto"/>
        </w:rPr>
      </w:pPr>
      <w:r>
        <w:rPr>
          <w:rFonts w:ascii="Arial" w:cs="Arial" w:eastAsia="Arial" w:hAnsi="Arial"/>
          <w:sz w:val="16"/>
          <w:szCs w:val="16"/>
          <w:color w:val="auto"/>
        </w:rPr>
        <w:t>such direction shall not be in conflict with any rule of law or with this Indenture and the Trustee shall not have determined that the action so directed would be unjustly prejudicial to Holders of Securities of that series, or any other series, not taking part in such direction; and</w:t>
      </w:r>
    </w:p>
    <w:p>
      <w:pPr>
        <w:spacing w:after="0" w:line="123" w:lineRule="exact"/>
        <w:rPr>
          <w:rFonts w:ascii="Arial" w:cs="Arial" w:eastAsia="Arial" w:hAnsi="Arial"/>
          <w:sz w:val="16"/>
          <w:szCs w:val="16"/>
          <w:color w:val="auto"/>
        </w:rPr>
      </w:pPr>
    </w:p>
    <w:p>
      <w:pPr>
        <w:ind w:left="1940" w:hanging="635"/>
        <w:spacing w:after="0"/>
        <w:tabs>
          <w:tab w:leader="none" w:pos="19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Trustee may take any other action deemed proper by the Trustee that is not inconsistent with such direction or this Indenture.</w:t>
      </w:r>
    </w:p>
    <w:p>
      <w:pPr>
        <w:spacing w:after="0" w:line="24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6"/>
          <w:szCs w:val="16"/>
          <w:b w:val="1"/>
          <w:bCs w:val="1"/>
          <w:color w:val="auto"/>
        </w:rPr>
        <w:t>Waiver of Past Defaults.</w:t>
      </w:r>
    </w:p>
    <w:p>
      <w:pPr>
        <w:spacing w:after="0" w:line="229"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waive any past default hereunder with respect to such series and its consequences, except</w:t>
      </w:r>
    </w:p>
    <w:p>
      <w:pPr>
        <w:spacing w:after="0" w:line="170" w:lineRule="exact"/>
        <w:rPr>
          <w:sz w:val="20"/>
          <w:szCs w:val="20"/>
          <w:color w:val="auto"/>
        </w:rPr>
      </w:pPr>
    </w:p>
    <w:p>
      <w:pPr>
        <w:ind w:left="660" w:right="240" w:firstLine="645"/>
        <w:spacing w:after="0" w:line="286" w:lineRule="auto"/>
        <w:tabs>
          <w:tab w:leader="none" w:pos="1939" w:val="left"/>
        </w:tabs>
        <w:numPr>
          <w:ilvl w:val="0"/>
          <w:numId w:val="97"/>
        </w:numPr>
        <w:rPr>
          <w:rFonts w:ascii="Arial" w:cs="Arial" w:eastAsia="Arial" w:hAnsi="Arial"/>
          <w:sz w:val="17"/>
          <w:szCs w:val="17"/>
          <w:color w:val="auto"/>
        </w:rPr>
      </w:pPr>
      <w:r>
        <w:rPr>
          <w:rFonts w:ascii="Arial" w:cs="Arial" w:eastAsia="Arial" w:hAnsi="Arial"/>
          <w:sz w:val="17"/>
          <w:szCs w:val="17"/>
          <w:color w:val="auto"/>
        </w:rPr>
        <w:t>a default in the payment of the principal of or any premium or interest on any Security of such series as and when the same shall become due and payable by the terms thereof, otherwise than by acceleration (unless such default has been cured and a sum sufficient to pay all matured installments of interest, principal and premium, if any, has been deposited with the Trustee),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40" w:hanging="635"/>
        <w:spacing w:after="0"/>
        <w:tabs>
          <w:tab w:leader="none" w:pos="19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to the extent such right is applicable to such Security, a failure by the Company on request to convert any Security into Common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Stock; or</w:t>
      </w:r>
    </w:p>
    <w:p>
      <w:pPr>
        <w:spacing w:after="0" w:line="210" w:lineRule="exact"/>
        <w:rPr>
          <w:rFonts w:ascii="Arial" w:cs="Arial" w:eastAsia="Arial" w:hAnsi="Arial"/>
          <w:sz w:val="16"/>
          <w:szCs w:val="16"/>
          <w:color w:val="auto"/>
        </w:rPr>
      </w:pPr>
    </w:p>
    <w:p>
      <w:pPr>
        <w:ind w:left="660" w:right="500" w:firstLine="645"/>
        <w:spacing w:after="0" w:line="277" w:lineRule="auto"/>
        <w:tabs>
          <w:tab w:leader="none" w:pos="1939"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respect of a covenant or provision hereof which under Article 9 cannot be modified or amended without the consent of the Holder of each Outstanding Security of such series affected.</w:t>
      </w:r>
    </w:p>
    <w:p>
      <w:pPr>
        <w:spacing w:after="0" w:line="170"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4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color w:val="auto"/>
        </w:rPr>
        <w:t>Undertaking for Costs.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any suit for the enforcement of any right or remedy under this Indenture, or in any suit against the Trustee for any action taken, suffered or omitted by it as Trustee, a court may require any party litigant in such suit to file an undertaking to pay the costs of such suit, and may assess costs against any such party litigant, in the manner and to the extent provided in the Trust Indenture Act; provided that neither this Section nor the Trust Indenture Act shall be deemed to authorize any court to require such an undertaking or to make such an assessment in any suit instituted by the Company or in any suit for the enforcement of the right to convert any Security in accordance with Article 14.</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6"/>
          <w:szCs w:val="16"/>
          <w:b w:val="1"/>
          <w:bCs w:val="1"/>
          <w:color w:val="auto"/>
        </w:rPr>
        <w:t>Waiver of Usury, Stay or Extension Laws.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usury,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6.1</w:t>
      </w:r>
      <w:r>
        <w:rPr>
          <w:sz w:val="20"/>
          <w:szCs w:val="20"/>
          <w:color w:val="auto"/>
        </w:rPr>
        <w:tab/>
      </w:r>
      <w:r>
        <w:rPr>
          <w:rFonts w:ascii="Arial" w:cs="Arial" w:eastAsia="Arial" w:hAnsi="Arial"/>
          <w:sz w:val="16"/>
          <w:szCs w:val="16"/>
          <w:b w:val="1"/>
          <w:bCs w:val="1"/>
          <w:color w:val="auto"/>
        </w:rPr>
        <w:t>Certain Duties and Responsibilities.</w:t>
      </w:r>
    </w:p>
    <w:p>
      <w:pPr>
        <w:sectPr>
          <w:pgSz w:w="11900" w:h="16870" w:orient="portrait"/>
          <w:cols w:equalWidth="0" w:num="1">
            <w:col w:w="11420"/>
          </w:cols>
          <w:pgMar w:left="240" w:top="125" w:right="239" w:bottom="0" w:gutter="0" w:footer="0" w:header="0"/>
        </w:sectPr>
      </w:pPr>
    </w:p>
    <w:bookmarkStart w:id="85" w:name="page86"/>
    <w:bookmarkEnd w:id="85"/>
    <w:p>
      <w:pPr>
        <w:ind w:right="80" w:firstLine="648"/>
        <w:spacing w:after="0" w:line="276" w:lineRule="auto"/>
        <w:rPr>
          <w:sz w:val="20"/>
          <w:szCs w:val="20"/>
          <w:color w:val="auto"/>
        </w:rPr>
      </w:pPr>
      <w:r>
        <w:rPr>
          <w:rFonts w:ascii="Arial" w:cs="Arial" w:eastAsia="Arial" w:hAnsi="Arial"/>
          <w:sz w:val="17"/>
          <w:szCs w:val="17"/>
          <w:color w:val="auto"/>
        </w:rPr>
        <w:t>The duties and responsibilities of the Trustee shall be as provided by the Trust Indenture Act. Notwithstanding the foregoing, no provision of this Indenture shall require the Trustee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Whether or not therein expressly so provided, every provision of this Indenture relating to the conduct or affecting the liability of or affording protection to the Trustee shall be subject to the provisions of this Section.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6.2</w:t>
      </w:r>
      <w:r>
        <w:rPr>
          <w:sz w:val="20"/>
          <w:szCs w:val="20"/>
          <w:color w:val="auto"/>
        </w:rPr>
        <w:tab/>
      </w:r>
      <w:r>
        <w:rPr>
          <w:rFonts w:ascii="Arial" w:cs="Arial" w:eastAsia="Arial" w:hAnsi="Arial"/>
          <w:sz w:val="16"/>
          <w:szCs w:val="16"/>
          <w:b w:val="1"/>
          <w:bCs w:val="1"/>
          <w:color w:val="auto"/>
        </w:rPr>
        <w:t>Notice of Defaults.</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 xml:space="preserve">If a default occurs hereunder with respect to Securities of any series, the Trustee shall give the Holders of Securities of such series notice of such default as and to the extent provided by the Trust Indenture Act;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except in the case of a default in the payment of principal of (or premium, if any) or interest on any Securities of such series or in the payment of any sinking fund installment or any conversion right applicable to Securities of such series, the Trustee shall be protected in withholding such notice if and so long as a trust committee of Responsible Officers of the Trustee in good faith determine that the withholding of such notice is in the interests of the holders of Securities of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any default of the character specified in Section 5.1(4) with respect to Securities of such series, no such notice to Holders shall be given until at least 60 days after the occurrence thereof. For the purpose of this Section, the term “default” means any event that is, or after notice or lapse of time or both would become, an Event of Default with respect to Securities of such series.</w:t>
      </w:r>
    </w:p>
    <w:p>
      <w:pPr>
        <w:spacing w:after="0" w:line="17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Except with respect to Section 10.1, the Trustee shall have no duty to inquire as to the performance of the Company with respect to the covenants contained in Article 10. In addition, the Trustee shall not be deemed to have knowledge of an Event of Default except (i) any Default or Event of Default occurring pursuant to Sections 5.1(1), 5.1(2) and 5.1(3) (defaults in payments on the Securities) or (ii) any Default or Event of Default of which the Trustee shall have received written notification or obtained actual knowledge.</w:t>
      </w:r>
    </w:p>
    <w:p>
      <w:pPr>
        <w:spacing w:after="0" w:line="187"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Delivery of reports, information and documents to the Trustee under Section 7.4 is for informational purposes only and the Trustee’s receipt of the foregoing shall not constitute constructive notice of any information contained therein or determinable from information contained therein, including the Company’s compliance with any of their covenants hereunder (as to which the Trustee is entitled to rely conclusively on Officers’ Certificates).</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6.3</w:t>
      </w:r>
      <w:r>
        <w:rPr>
          <w:sz w:val="20"/>
          <w:szCs w:val="20"/>
          <w:color w:val="auto"/>
        </w:rPr>
        <w:tab/>
      </w:r>
      <w:r>
        <w:rPr>
          <w:rFonts w:ascii="Arial" w:cs="Arial" w:eastAsia="Arial" w:hAnsi="Arial"/>
          <w:sz w:val="16"/>
          <w:szCs w:val="16"/>
          <w:b w:val="1"/>
          <w:bCs w:val="1"/>
          <w:color w:val="auto"/>
        </w:rPr>
        <w:t>Certain Rights of Trustee.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provisions of Section 6.1:</w:t>
      </w:r>
    </w:p>
    <w:p>
      <w:pPr>
        <w:spacing w:after="0" w:line="225" w:lineRule="exact"/>
        <w:rPr>
          <w:sz w:val="20"/>
          <w:szCs w:val="20"/>
          <w:color w:val="auto"/>
        </w:rPr>
      </w:pPr>
    </w:p>
    <w:p>
      <w:pPr>
        <w:ind w:left="660" w:firstLine="645"/>
        <w:spacing w:after="0" w:line="312" w:lineRule="auto"/>
        <w:tabs>
          <w:tab w:leader="none" w:pos="1939"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rely and shall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party or parties;</w:t>
      </w:r>
    </w:p>
    <w:p>
      <w:pPr>
        <w:spacing w:after="0" w:line="146" w:lineRule="exact"/>
        <w:rPr>
          <w:rFonts w:ascii="Arial" w:cs="Arial" w:eastAsia="Arial" w:hAnsi="Arial"/>
          <w:sz w:val="16"/>
          <w:szCs w:val="16"/>
          <w:color w:val="auto"/>
        </w:rPr>
      </w:pPr>
    </w:p>
    <w:p>
      <w:pPr>
        <w:ind w:left="660" w:right="360" w:firstLine="645"/>
        <w:spacing w:after="0" w:line="277" w:lineRule="auto"/>
        <w:tabs>
          <w:tab w:leader="none" w:pos="19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shall be sufficiently evidenced by a Board Resolution;</w:t>
      </w:r>
    </w:p>
    <w:p>
      <w:pPr>
        <w:spacing w:after="0" w:line="170" w:lineRule="exact"/>
        <w:rPr>
          <w:rFonts w:ascii="Arial" w:cs="Arial" w:eastAsia="Arial" w:hAnsi="Arial"/>
          <w:sz w:val="18"/>
          <w:szCs w:val="18"/>
          <w:color w:val="auto"/>
        </w:rPr>
      </w:pPr>
    </w:p>
    <w:p>
      <w:pPr>
        <w:ind w:left="660" w:right="180" w:firstLine="645"/>
        <w:spacing w:after="0" w:line="277" w:lineRule="auto"/>
        <w:tabs>
          <w:tab w:leader="none" w:pos="1939" w:val="left"/>
        </w:tabs>
        <w:numPr>
          <w:ilvl w:val="0"/>
          <w:numId w:val="99"/>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 shall deem it desirable that a matter be proved or established prior to taking, suffering or omitting 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action hereunder, the Trustee (unless other evidence be herein specifically prescribed) is entitled to and may, in the absence of bad faith on its part, rely upon an Officers’ Certificate;</w:t>
      </w:r>
    </w:p>
    <w:p>
      <w:pPr>
        <w:spacing w:after="0" w:line="170" w:lineRule="exact"/>
        <w:rPr>
          <w:sz w:val="20"/>
          <w:szCs w:val="20"/>
          <w:color w:val="auto"/>
        </w:rPr>
      </w:pPr>
    </w:p>
    <w:p>
      <w:pPr>
        <w:ind w:left="660" w:right="120" w:firstLine="645"/>
        <w:spacing w:after="0" w:line="308" w:lineRule="auto"/>
        <w:tabs>
          <w:tab w:leader="none" w:pos="193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left="660" w:right="360" w:firstLine="645"/>
        <w:spacing w:after="0" w:line="286" w:lineRule="auto"/>
        <w:tabs>
          <w:tab w:leader="none" w:pos="1939" w:val="left"/>
        </w:tabs>
        <w:numPr>
          <w:ilvl w:val="0"/>
          <w:numId w:val="100"/>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 direction of any of the Holders pursuant to this Indenture, unless such Holders shall have offered to the Trustee reasonable security or indemnity against the costs, expenses and liabilities which might be incurred by it in compliance with such request or direction;</w:t>
      </w:r>
    </w:p>
    <w:p>
      <w:pPr>
        <w:spacing w:after="0" w:line="165" w:lineRule="exact"/>
        <w:rPr>
          <w:rFonts w:ascii="Arial" w:cs="Arial" w:eastAsia="Arial" w:hAnsi="Arial"/>
          <w:sz w:val="17"/>
          <w:szCs w:val="17"/>
          <w:color w:val="auto"/>
        </w:rPr>
      </w:pPr>
    </w:p>
    <w:p>
      <w:pPr>
        <w:ind w:left="660" w:firstLine="645"/>
        <w:spacing w:after="0" w:line="255" w:lineRule="auto"/>
        <w:tabs>
          <w:tab w:leader="none" w:pos="19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Company, personally or by agent or attorney (at the reasonable expense of the Company and shall incur no liability of any kind by reason of such inquiry or investigation);</w:t>
      </w:r>
    </w:p>
    <w:p>
      <w:pPr>
        <w:spacing w:after="0" w:line="193" w:lineRule="exact"/>
        <w:rPr>
          <w:rFonts w:ascii="Arial" w:cs="Arial" w:eastAsia="Arial" w:hAnsi="Arial"/>
          <w:sz w:val="18"/>
          <w:szCs w:val="18"/>
          <w:color w:val="auto"/>
        </w:rPr>
      </w:pPr>
    </w:p>
    <w:p>
      <w:pPr>
        <w:ind w:left="660" w:right="40" w:firstLine="645"/>
        <w:spacing w:after="0" w:line="264" w:lineRule="auto"/>
        <w:tabs>
          <w:tab w:leader="none" w:pos="19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19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suffered, or omitted to be taken by it in good faith and reasonably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ind w:left="660" w:right="140" w:firstLine="645"/>
        <w:spacing w:after="0" w:line="264" w:lineRule="auto"/>
        <w:tabs>
          <w:tab w:leader="none" w:pos="193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ectPr>
          <w:pgSz w:w="11900" w:h="16838" w:orient="portrait"/>
          <w:cols w:equalWidth="0" w:num="1">
            <w:col w:w="11400"/>
          </w:cols>
          <w:pgMar w:left="240" w:top="341" w:right="259" w:bottom="0" w:gutter="0" w:footer="0" w:header="0"/>
        </w:sectPr>
      </w:pPr>
    </w:p>
    <w:bookmarkStart w:id="86" w:name="page87"/>
    <w:bookmarkEnd w:id="86"/>
    <w:p>
      <w:pPr>
        <w:spacing w:after="0" w:line="103" w:lineRule="exact"/>
        <w:rPr>
          <w:sz w:val="20"/>
          <w:szCs w:val="20"/>
          <w:color w:val="auto"/>
        </w:rPr>
      </w:pPr>
    </w:p>
    <w:p>
      <w:pPr>
        <w:ind w:left="660" w:right="80" w:firstLine="645"/>
        <w:spacing w:after="0" w:line="264" w:lineRule="auto"/>
        <w:tabs>
          <w:tab w:leader="none" w:pos="1952"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the Indenture; and</w:t>
      </w:r>
    </w:p>
    <w:p>
      <w:pPr>
        <w:spacing w:after="0" w:line="181" w:lineRule="exact"/>
        <w:rPr>
          <w:rFonts w:ascii="Arial" w:cs="Arial" w:eastAsia="Arial" w:hAnsi="Arial"/>
          <w:sz w:val="18"/>
          <w:szCs w:val="18"/>
          <w:color w:val="auto"/>
        </w:rPr>
      </w:pPr>
    </w:p>
    <w:p>
      <w:pPr>
        <w:ind w:left="660" w:right="620" w:firstLine="645"/>
        <w:spacing w:after="0" w:line="277" w:lineRule="auto"/>
        <w:tabs>
          <w:tab w:leader="none" w:pos="1946"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be enforceable by, the Trustee in each of its capacities hereunder, and each agent, custodian and other Person employed to act hereunder.</w:t>
      </w: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6.4</w:t>
      </w:r>
      <w:r>
        <w:rPr>
          <w:sz w:val="20"/>
          <w:szCs w:val="20"/>
          <w:color w:val="auto"/>
        </w:rPr>
        <w:tab/>
      </w:r>
      <w:r>
        <w:rPr>
          <w:rFonts w:ascii="Arial" w:cs="Arial" w:eastAsia="Arial" w:hAnsi="Arial"/>
          <w:sz w:val="15"/>
          <w:szCs w:val="15"/>
          <w:b w:val="1"/>
          <w:bCs w:val="1"/>
          <w:color w:val="auto"/>
        </w:rPr>
        <w:t>Not Responsible for Recitals or Issuance of Securities.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recitals contained herein and in the Securities, except the Trustee’s certificates of authentication, shall be taken as the statements of the Company, and neither the Trustee nor any Authenticating Agent assumes any responsibility for their correctness. The Trustee makes no representations as to the validity, sufficiency or priority of this Indenture or of the Securities. Neither the Trustee nor any Authenticating Agent shall be accountable for the use or application by the Company of Securities or the proceeds thereof.</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6.5</w:t>
      </w:r>
      <w:r>
        <w:rPr>
          <w:sz w:val="20"/>
          <w:szCs w:val="20"/>
          <w:color w:val="auto"/>
        </w:rPr>
        <w:tab/>
      </w:r>
      <w:r>
        <w:rPr>
          <w:rFonts w:ascii="Arial" w:cs="Arial" w:eastAsia="Arial" w:hAnsi="Arial"/>
          <w:sz w:val="16"/>
          <w:szCs w:val="16"/>
          <w:b w:val="1"/>
          <w:bCs w:val="1"/>
          <w:color w:val="auto"/>
        </w:rPr>
        <w:t>May Hold Securities and Act as Trustee under Other Indentures.</w:t>
      </w:r>
    </w:p>
    <w:p>
      <w:pPr>
        <w:spacing w:after="0" w:line="229"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Trustee, any Authenticating Agent, any Paying Agent, any Security Registrar or any other agent of the Company, in its individual or any other capacity, may become the owner or pledgee of Securities and, subject to Sections 6.8 and 6.13, may otherwise deal with the Company with the same rights it would have if it were not Trustee, Authenticating Agent, Paying Agent, Security Registrar or such other agent.</w:t>
      </w:r>
    </w:p>
    <w:p>
      <w:pPr>
        <w:spacing w:after="0" w:line="166"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Subject to the limitations imposed by the Trust Indenture Act, nothing in this Indenture shall prohibit the Trustee from becoming and acting as trustee under other indentures under which other securities, or certificates of interest of participation in other securities, of the Company are outstanding in the same manner as if it were not Trustee hereunder.</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6.6</w:t>
      </w:r>
      <w:r>
        <w:rPr>
          <w:sz w:val="20"/>
          <w:szCs w:val="20"/>
          <w:color w:val="auto"/>
        </w:rPr>
        <w:tab/>
      </w:r>
      <w:r>
        <w:rPr>
          <w:rFonts w:ascii="Arial" w:cs="Arial" w:eastAsia="Arial" w:hAnsi="Arial"/>
          <w:sz w:val="16"/>
          <w:szCs w:val="16"/>
          <w:b w:val="1"/>
          <w:bCs w:val="1"/>
          <w:color w:val="auto"/>
        </w:rPr>
        <w:t>Money Held in Trust.</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Money held by the Trustee in trust hereunder need not be segregated from other funds except to the extent required by law. The Trustee shall be under no liability for interest on any money received by it hereunder except as otherwise agreed with the Company.</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6.7</w:t>
      </w:r>
      <w:r>
        <w:rPr>
          <w:sz w:val="20"/>
          <w:szCs w:val="20"/>
          <w:color w:val="auto"/>
        </w:rPr>
        <w:tab/>
      </w:r>
      <w:r>
        <w:rPr>
          <w:rFonts w:ascii="Arial" w:cs="Arial" w:eastAsia="Arial" w:hAnsi="Arial"/>
          <w:sz w:val="16"/>
          <w:szCs w:val="16"/>
          <w:b w:val="1"/>
          <w:bCs w:val="1"/>
          <w:color w:val="auto"/>
        </w:rPr>
        <w:t>Compensation and Reimbursement.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agrees:</w:t>
      </w:r>
    </w:p>
    <w:p>
      <w:pPr>
        <w:spacing w:after="0" w:line="225" w:lineRule="exact"/>
        <w:rPr>
          <w:sz w:val="20"/>
          <w:szCs w:val="20"/>
          <w:color w:val="auto"/>
        </w:rPr>
      </w:pPr>
    </w:p>
    <w:p>
      <w:pPr>
        <w:ind w:left="660" w:right="340" w:firstLine="645"/>
        <w:spacing w:after="0" w:line="277" w:lineRule="auto"/>
        <w:tabs>
          <w:tab w:leader="none" w:pos="19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pay to the Trustee from time to time reasonable compensation for all services rendered by it hereunder (which compensation shall not be limited by any provision of law in regard to the compensation of a trustee of an express trust);</w:t>
      </w:r>
    </w:p>
    <w:p>
      <w:pPr>
        <w:spacing w:after="0" w:line="170" w:lineRule="exact"/>
        <w:rPr>
          <w:rFonts w:ascii="Arial" w:cs="Arial" w:eastAsia="Arial" w:hAnsi="Arial"/>
          <w:sz w:val="18"/>
          <w:szCs w:val="18"/>
          <w:color w:val="auto"/>
        </w:rPr>
      </w:pPr>
    </w:p>
    <w:p>
      <w:pPr>
        <w:ind w:left="660" w:right="40" w:firstLine="645"/>
        <w:spacing w:after="0" w:line="259" w:lineRule="auto"/>
        <w:tabs>
          <w:tab w:leader="none" w:pos="1939"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except as otherwise expressly provided herein, to reimburse the Trustee upon its request for all reasonable expenses, disbursements and advances incurred or made by the Trustee in accordance with any provision of this Indenture (including the reasonable compensation and the expenses and disbursements of its agents and counsel), except any such expense, disbursement or advance as may be attributable to its negligence or bad faith;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00" w:firstLine="645"/>
        <w:spacing w:after="0" w:line="293" w:lineRule="auto"/>
        <w:tabs>
          <w:tab w:leader="none" w:pos="1939"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to indemnify the Trustee for, and to hold it harmless against, any loss, liability or expense incurred without negligence or bad faith on its part, arising out of or in connection with the acceptance or administration of the trust or trusts hereunder, including the costs and expenses of defending itself against any claim or liability in connection with the exercise or performance of any of its powers or duties hereunder. The obligations of the Company under this Section 6.7 to compensate or indemnify the Trustee and to pay or reimburse the Trustee for expenses, disbursements and advances shall be secured by a lien prior to that of the Securities upon all property and funds held or collected by the Trustee as such. The obligation of the Company under this Section shall survive the satisfaction and discharge of this Indenture.</w:t>
      </w:r>
    </w:p>
    <w:p>
      <w:pPr>
        <w:spacing w:after="0" w:line="16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5.1(5) or Section 5.1(6) hereof occurs, the expenses and the compensation for the services (including the fees and expenses of its agents and counsel) are intended to constitute expenses of administration under any applicable bankruptcy, insolvency, reorganization or similar law.</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6.8</w:t>
      </w:r>
      <w:r>
        <w:rPr>
          <w:sz w:val="20"/>
          <w:szCs w:val="20"/>
          <w:color w:val="auto"/>
        </w:rPr>
        <w:tab/>
      </w:r>
      <w:r>
        <w:rPr>
          <w:rFonts w:ascii="Arial" w:cs="Arial" w:eastAsia="Arial" w:hAnsi="Arial"/>
          <w:sz w:val="16"/>
          <w:szCs w:val="16"/>
          <w:b w:val="1"/>
          <w:bCs w:val="1"/>
          <w:color w:val="auto"/>
        </w:rPr>
        <w:t>Conflicting Interests.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Trustee has or shall acquire a conflicting interest within the meaning of the Trust Indenture Act and there is an Event of Default under the Securities of that series, the Trustee shall either eliminate such interest or resign, to the extent and in the manner provided by, and subject to the provisions of, the Trust Indenture Act and this Indenture. To the extent permitted by the Trust Indenture Act, the Trustee shall not be deemed to have a conflicting interest by virtue of being a trustee under this Indenture with respect to Securities of more than one series.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6.9</w:t>
      </w:r>
      <w:r>
        <w:rPr>
          <w:sz w:val="20"/>
          <w:szCs w:val="20"/>
          <w:color w:val="auto"/>
        </w:rPr>
        <w:tab/>
      </w:r>
      <w:r>
        <w:rPr>
          <w:rFonts w:ascii="Arial" w:cs="Arial" w:eastAsia="Arial" w:hAnsi="Arial"/>
          <w:sz w:val="16"/>
          <w:szCs w:val="16"/>
          <w:b w:val="1"/>
          <w:bCs w:val="1"/>
          <w:color w:val="auto"/>
        </w:rPr>
        <w:t>Corporate Trustee Required; Eligibility.</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There shall at all times be one (and only one) Trustee hereunder with respect to the Securities of each series, which may be Trustee hereunder for Securities of one or more other series. Each Trustee shall be a Person that is eligible pursuant to the Trust Indenture Act to act as such and has (or if the Trustee is a member of a bank holding company system, its bank holding company has) a combined capital and surplus of at least $50,000,000. If any such Person or bank holding company publishes reports of condition at least annually, pursuant to law or to the requirements of its supervising or examining authority, then for the purposes of this Section and to the extent permitted by the Trust Indenture Act, the combined capital and surplus of such Person or bank</w:t>
      </w:r>
    </w:p>
    <w:p>
      <w:pPr>
        <w:sectPr>
          <w:pgSz w:w="11900" w:h="16941" w:orient="portrait"/>
          <w:cols w:equalWidth="0" w:num="1">
            <w:col w:w="11420"/>
          </w:cols>
          <w:pgMar w:left="240" w:top="125" w:right="239" w:bottom="0" w:gutter="0" w:footer="0" w:header="0"/>
        </w:sectPr>
      </w:pPr>
    </w:p>
    <w:bookmarkStart w:id="87" w:name="page88"/>
    <w:bookmarkEnd w:id="87"/>
    <w:p>
      <w:pPr>
        <w:spacing w:after="0" w:line="9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holding company shall be deemed to be its combined capital and surplus as set forth in its most recent report of condition so published. If at any time the Trustee with respect to the Securities of any series shall cease to be eligible in accordance with the provisions of this Section, it shall resign immediately in the manner and with the effect hereinafter specified in this Article.</w:t>
      </w:r>
    </w:p>
    <w:p>
      <w:pPr>
        <w:spacing w:after="0" w:line="17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5"/>
          <w:szCs w:val="15"/>
          <w:b w:val="1"/>
          <w:bCs w:val="1"/>
          <w:color w:val="auto"/>
        </w:rPr>
        <w:t>Resignation and Removal; Appointment of Successor.</w:t>
      </w:r>
    </w:p>
    <w:p>
      <w:pPr>
        <w:spacing w:after="0" w:line="229"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No resignation or removal of the Trustee and no appointment of a successor Trustee pursuant to this Article shall become effective until the acceptance of appointment by the successor Trustee in accordance with the applicable requirements of Section 6.11. The Trustee may resign at any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with respect to the Securities of one or more series by giving written notice thereof to the Company. If the instrument of acceptance by a successor Trustee required by Section 6.11 shall not have been delivered to the Trustee within 30 days after the giving of such notice of resignation, the resigning Trustee may petition any court of competent jurisdiction for the appointment of a successor Trustee with respect to the Securities of such series.</w:t>
      </w:r>
    </w:p>
    <w:p>
      <w:pPr>
        <w:spacing w:after="0" w:line="14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Trustee may be removed at any time with respect to the Securities of any series by Act of the Holders of a majority in principal amount of the Outstanding Securities of such series, delivered to the Trustee and to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at any time:</w:t>
      </w:r>
    </w:p>
    <w:p>
      <w:pPr>
        <w:spacing w:after="0" w:line="225" w:lineRule="exact"/>
        <w:rPr>
          <w:sz w:val="20"/>
          <w:szCs w:val="20"/>
          <w:color w:val="auto"/>
        </w:rPr>
      </w:pPr>
    </w:p>
    <w:p>
      <w:pPr>
        <w:ind w:left="660" w:right="260" w:firstLine="645"/>
        <w:spacing w:after="0" w:line="277" w:lineRule="auto"/>
        <w:tabs>
          <w:tab w:leader="none" w:pos="19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shall fail to comply with Section 6.8 after written request therefor by the Company or by any Holder who has been a bona fide Holder of a Security for at least six months, or</w:t>
      </w:r>
    </w:p>
    <w:p>
      <w:pPr>
        <w:spacing w:after="0" w:line="170" w:lineRule="exact"/>
        <w:rPr>
          <w:rFonts w:ascii="Arial" w:cs="Arial" w:eastAsia="Arial" w:hAnsi="Arial"/>
          <w:sz w:val="18"/>
          <w:szCs w:val="18"/>
          <w:color w:val="auto"/>
        </w:rPr>
      </w:pPr>
    </w:p>
    <w:p>
      <w:pPr>
        <w:ind w:left="660" w:right="160" w:firstLine="645"/>
        <w:spacing w:after="0" w:line="277" w:lineRule="auto"/>
        <w:tabs>
          <w:tab w:leader="none" w:pos="19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shall cease to be eligible under Section 6.9 and shall fail to resign after written request therefor by the Company or by any such Holder, or</w:t>
      </w:r>
    </w:p>
    <w:p>
      <w:pPr>
        <w:spacing w:after="0" w:line="170" w:lineRule="exact"/>
        <w:rPr>
          <w:rFonts w:ascii="Arial" w:cs="Arial" w:eastAsia="Arial" w:hAnsi="Arial"/>
          <w:sz w:val="18"/>
          <w:szCs w:val="18"/>
          <w:color w:val="auto"/>
        </w:rPr>
      </w:pPr>
    </w:p>
    <w:p>
      <w:pPr>
        <w:ind w:left="660" w:right="480" w:firstLine="645"/>
        <w:spacing w:after="0" w:line="264" w:lineRule="auto"/>
        <w:tabs>
          <w:tab w:leader="none" w:pos="193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Trustee shall become incapable of acting or shall be adjudged a bankrupt or insolvent or a receiver of the Trustee or of its property shall be appointed or any public officer shall take charge or control of the Trustee or of its property or affairs for the purpose of rehabilitation, conservation or liquidation,</w:t>
      </w:r>
    </w:p>
    <w:p>
      <w:pPr>
        <w:spacing w:after="0" w:line="18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then, in any such case, (A) the Company by a Board Resolution may remove the Trustee with respect to all Securities, or (B) subject to Section 5.14, any Holder who has been a bona fide Holder of a Security for at least six months may, on behalf of himself and all others similarly situated, petition any court of competent jurisdiction for the removal of the Trustee with respect to all Securities and the appointment of a successor Trustee or Trustees.</w:t>
      </w:r>
    </w:p>
    <w:p>
      <w:pPr>
        <w:spacing w:after="0" w:line="147"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If the Trustee shall resign, be removed or become incapable of acting, or if a vacancy shall occur in the office of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and that at any time there shall be only one Trustee with respect to the Securities of any particular series) and shall comply with the applicable requirements of Section 6.11.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in accordance with the applicable requirements of Section 6.11,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required by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Section 6.11, the retiring Trustee may petition, or any Holder who has been a bona fide Holder of a Security of such series for at least six months may petition, on behalf of himself and all others similarly situated, any court of competent jurisdiction for the appointment of a successor Trustee with respect to the Securities of such series.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shall give notice of each resignation and each removal of the Trustee with respect to the Securities of any series and each appointment of a successor Trustee with respect to the Securities of any series to all Holders of Securities of such series in the manner provided in Section 1.6. Each notice shall include the name of the successor Trustee with respect to the Securities of such series and the address of its Corporate Trust Office.</w:t>
      </w:r>
    </w:p>
    <w:p>
      <w:pPr>
        <w:spacing w:after="0" w:line="14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5"/>
          <w:szCs w:val="15"/>
          <w:b w:val="1"/>
          <w:bCs w:val="1"/>
          <w:color w:val="auto"/>
        </w:rPr>
        <w:t>Acceptance of Appointment by Successor.</w:t>
      </w:r>
    </w:p>
    <w:p>
      <w:pPr>
        <w:spacing w:after="0" w:line="22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65"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w:t>
      </w:r>
    </w:p>
    <w:p>
      <w:pPr>
        <w:sectPr>
          <w:pgSz w:w="11900" w:h="16933" w:orient="portrait"/>
          <w:cols w:equalWidth="0" w:num="1">
            <w:col w:w="11420"/>
          </w:cols>
          <w:pgMar w:left="240" w:top="125" w:right="239" w:bottom="0" w:gutter="0" w:footer="0" w:header="0"/>
        </w:sectPr>
      </w:pPr>
    </w:p>
    <w:bookmarkStart w:id="88" w:name="page89"/>
    <w:bookmarkEnd w:id="88"/>
    <w:p>
      <w:pPr>
        <w:ind w:right="80"/>
        <w:spacing w:after="0" w:line="276" w:lineRule="auto"/>
        <w:rPr>
          <w:sz w:val="20"/>
          <w:szCs w:val="20"/>
          <w:color w:val="auto"/>
        </w:rPr>
      </w:pPr>
      <w:r>
        <w:rPr>
          <w:rFonts w:ascii="Arial" w:cs="Arial" w:eastAsia="Arial" w:hAnsi="Arial"/>
          <w:sz w:val="17"/>
          <w:szCs w:val="17"/>
          <w:color w:val="auto"/>
        </w:rPr>
        <w:t>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w:t>
      </w:r>
    </w:p>
    <w:p>
      <w:pPr>
        <w:spacing w:after="0" w:line="181" w:lineRule="exact"/>
        <w:rPr>
          <w:sz w:val="20"/>
          <w:szCs w:val="20"/>
          <w:color w:val="auto"/>
        </w:rPr>
      </w:pPr>
    </w:p>
    <w:p>
      <w:pPr>
        <w:ind w:right="760" w:firstLine="648"/>
        <w:spacing w:after="0" w:line="342" w:lineRule="auto"/>
        <w:rPr>
          <w:sz w:val="20"/>
          <w:szCs w:val="20"/>
          <w:color w:val="auto"/>
        </w:rPr>
      </w:pPr>
      <w:r>
        <w:rPr>
          <w:rFonts w:ascii="Arial" w:cs="Arial" w:eastAsia="Arial" w:hAnsi="Arial"/>
          <w:sz w:val="16"/>
          <w:szCs w:val="16"/>
          <w:color w:val="auto"/>
        </w:rPr>
        <w:t>Upon request of any such successor Trustee, the Company shall execute any and all instruments for more fully and certainly vesting in and confirming to such successor Trustee all such rights, powers and trusts referred to in the first or second preceding paragraph, as the case may be.</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6.12</w:t>
      </w:r>
      <w:r>
        <w:rPr>
          <w:sz w:val="20"/>
          <w:szCs w:val="20"/>
          <w:color w:val="auto"/>
        </w:rPr>
        <w:tab/>
      </w:r>
      <w:r>
        <w:rPr>
          <w:rFonts w:ascii="Arial" w:cs="Arial" w:eastAsia="Arial" w:hAnsi="Arial"/>
          <w:sz w:val="15"/>
          <w:szCs w:val="15"/>
          <w:b w:val="1"/>
          <w:bCs w:val="1"/>
          <w:color w:val="auto"/>
        </w:rPr>
        <w:t>Merger, Conversion, Consolidation or Succession to Business.</w:t>
      </w:r>
    </w:p>
    <w:p>
      <w:pPr>
        <w:spacing w:after="0" w:line="229"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such corporation shall be otherwise qualified and eligible under this Article, without the execution or filing of any paper or any further act on the part of any of the parties hereto.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 In the event that any Securities shall not have been authenticated by such predecessor Trustee, any such successor Trustee may authenticate and deliver such Securities in either its own name or that of such predecessor Trustee, with the full force and effect which this Indenture provides for the certificate of authentication of the Trustee.</w:t>
      </w:r>
    </w:p>
    <w:p>
      <w:pPr>
        <w:spacing w:after="0" w:line="178"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6.13</w:t>
      </w:r>
      <w:r>
        <w:rPr>
          <w:sz w:val="20"/>
          <w:szCs w:val="20"/>
          <w:color w:val="auto"/>
        </w:rPr>
        <w:tab/>
      </w:r>
      <w:r>
        <w:rPr>
          <w:rFonts w:ascii="Arial" w:cs="Arial" w:eastAsia="Arial" w:hAnsi="Arial"/>
          <w:sz w:val="16"/>
          <w:szCs w:val="16"/>
          <w:b w:val="1"/>
          <w:bCs w:val="1"/>
          <w:color w:val="auto"/>
        </w:rPr>
        <w:t>Preferential Collection of Claims Against Company.</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If and when the Trustee shall be or become a creditor of the Company (or any other obligor upon the Securities), the Trustee shall be subject to the provisions of the Trust Indenture Act regarding the collection of claims against the Company (or any such other obligor).</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6"/>
          <w:szCs w:val="16"/>
          <w:b w:val="1"/>
          <w:bCs w:val="1"/>
          <w:color w:val="auto"/>
        </w:rPr>
        <w:t>Appointment of Authenticating Agent.</w:t>
      </w:r>
    </w:p>
    <w:p>
      <w:pPr>
        <w:spacing w:after="0" w:line="229" w:lineRule="exact"/>
        <w:rPr>
          <w:sz w:val="20"/>
          <w:szCs w:val="20"/>
          <w:color w:val="auto"/>
        </w:rPr>
      </w:pPr>
    </w:p>
    <w:p>
      <w:pPr>
        <w:ind w:right="320" w:firstLine="648"/>
        <w:spacing w:after="0" w:line="255" w:lineRule="auto"/>
        <w:rPr>
          <w:sz w:val="20"/>
          <w:szCs w:val="20"/>
          <w:color w:val="auto"/>
        </w:rPr>
      </w:pPr>
      <w:r>
        <w:rPr>
          <w:rFonts w:ascii="Arial" w:cs="Arial" w:eastAsia="Arial" w:hAnsi="Arial"/>
          <w:sz w:val="18"/>
          <w:szCs w:val="18"/>
          <w:color w:val="auto"/>
        </w:rPr>
        <w:t>The Trustee may appoint an Authenticating Agent or Agents with respect to one or more series of Securities which shall be authorized to act on behalf of the Trustee to authenticate Securities of such series issued upon original issue and upon exchange, registration of transfer or partial redemption thereof or pursuant to Section 3.6, and Securities so authenticated shall be entitled to the benefits of this Indenture and shall be valid and obligatory for all purposes as if authenticated by the Trustee hereunder. Wherever reference is made in this Indenture to the authentication and delivery of Securities by the Trustee or the Trustee’s certificate of authentication, such reference shall be deemed to include authentication and delivery on behalf of the Trustee by an Authenticating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Agent and a certificate of authentication executed on behalf of the Trustee by an Authenticating Agent. Each Authenticating Agent shall be acceptable to the Company and shall at all times be a corporation organized and doing business under the laws of the United States of America, any State thereof or the District of Columbia, authorized under such laws to act as Authenticating Agent, having (or if the Authenticating Agent is a member of a bank holding company system, its bank holding company has) a combined capital and surplus of not less than $50,000,000 and subject to supervision or examination by Federal or State authority. If such Authenticating Agent publishes reports of condition at least annually, pursuant to law or to the requirements of said supervising or examining authority, then for the purposes of this Section, the combined capital and surplus of such Authenticating Agent shall be deemed to be its combined capital and surplus as set forth in its most recent report of condition so published. If at any time an Authenticating Agent shall cease to be eligible in accordance with the provisions of this Section, such Authenticating Agent shall resign immediately in the manner and with the effect specified in this Section.</w:t>
      </w:r>
    </w:p>
    <w:p>
      <w:pPr>
        <w:spacing w:after="0" w:line="166"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provided such corporation shall be otherwise eligible under this Section, without the execution or filing of any paper or any further act on the part of the Trustee or the Authenticating Agent.</w:t>
      </w:r>
    </w:p>
    <w:p>
      <w:pPr>
        <w:spacing w:after="0" w:line="154"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An Authenticating Agent may resign at any time by giving written notice thereof to the Trustee and to the Company. The Trustee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the Trustee may appoint a successor Authenticating Agent which shall be acceptable to the Company and shall give notice of such appointment in the manner provided in Section 1.6 to all Holders of Securities of the series with respect to which such Authenticating Agent will serve.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agrees to pay to each Authenticating Agent from time to time reasonable compensation for its services under this Section.</w:t>
      </w:r>
    </w:p>
    <w:p>
      <w:pPr>
        <w:sectPr>
          <w:pgSz w:w="11900" w:h="16838" w:orient="portrait"/>
          <w:cols w:equalWidth="0" w:num="1">
            <w:col w:w="11420"/>
          </w:cols>
          <w:pgMar w:left="240" w:top="125" w:right="239" w:bottom="44" w:gutter="0" w:footer="0" w:header="0"/>
        </w:sectPr>
      </w:pPr>
    </w:p>
    <w:bookmarkStart w:id="89" w:name="page90"/>
    <w:bookmarkEnd w:id="89"/>
    <w:p>
      <w:pPr>
        <w:ind w:right="20" w:firstLine="648"/>
        <w:spacing w:after="0" w:line="277" w:lineRule="auto"/>
        <w:rPr>
          <w:sz w:val="20"/>
          <w:szCs w:val="20"/>
          <w:color w:val="auto"/>
        </w:rPr>
      </w:pPr>
      <w:r>
        <w:rPr>
          <w:rFonts w:ascii="Arial" w:cs="Arial" w:eastAsia="Arial" w:hAnsi="Arial"/>
          <w:sz w:val="18"/>
          <w:szCs w:val="18"/>
          <w:color w:val="auto"/>
        </w:rPr>
        <w:t>If an appointment with respect to one or more series is made pursuant to this Section 6.12, the Securities of such series may have endorsed thereon, in lieu of the Trustee’s certificate of authentication, an alternative certificate of authentication in the following form:</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is one of the Securities of the series designated therein referred to in the within-mentioned Indenture.</w:t>
      </w:r>
    </w:p>
    <w:p>
      <w:pPr>
        <w:spacing w:after="0" w:line="225"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As Trustee</w:t>
      </w:r>
    </w:p>
    <w:p>
      <w:pPr>
        <w:spacing w:after="0" w:line="211"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As Authenticating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4"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40"/>
        <w:spacing w:after="0"/>
        <w:rPr>
          <w:sz w:val="20"/>
          <w:szCs w:val="20"/>
          <w:color w:val="auto"/>
        </w:rPr>
      </w:pPr>
      <w:r>
        <w:rPr>
          <w:rFonts w:ascii="Arial" w:cs="Arial" w:eastAsia="Arial" w:hAnsi="Arial"/>
          <w:sz w:val="18"/>
          <w:szCs w:val="18"/>
          <w:color w:val="auto"/>
        </w:rPr>
        <w:t>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-130810</wp:posOffset>
            </wp:positionV>
            <wp:extent cx="316420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164205" cy="8890"/>
                    </a:xfrm>
                    <a:prstGeom prst="rect">
                      <a:avLst/>
                    </a:prstGeom>
                    <a:noFill/>
                  </pic:spPr>
                </pic:pic>
              </a:graphicData>
            </a:graphic>
          </wp:anchor>
        </w:drawing>
      </w:r>
    </w:p>
    <w:p>
      <w:pPr>
        <w:spacing w:after="0" w:line="20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7.1</w:t>
      </w:r>
      <w:r>
        <w:rPr>
          <w:sz w:val="20"/>
          <w:szCs w:val="20"/>
          <w:color w:val="auto"/>
        </w:rPr>
        <w:tab/>
      </w:r>
      <w:r>
        <w:rPr>
          <w:rFonts w:ascii="Arial" w:cs="Arial" w:eastAsia="Arial" w:hAnsi="Arial"/>
          <w:sz w:val="16"/>
          <w:szCs w:val="16"/>
          <w:b w:val="1"/>
          <w:bCs w:val="1"/>
          <w:color w:val="auto"/>
        </w:rPr>
        <w:t>Company to Furnish Trustee Names and Addresses of 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furnish or cause to be furnished to the Trustee</w:t>
      </w:r>
    </w:p>
    <w:p>
      <w:pPr>
        <w:spacing w:after="0" w:line="225" w:lineRule="exact"/>
        <w:rPr>
          <w:sz w:val="20"/>
          <w:szCs w:val="20"/>
          <w:color w:val="auto"/>
        </w:rPr>
      </w:pPr>
    </w:p>
    <w:p>
      <w:pPr>
        <w:ind w:left="660" w:right="60" w:firstLine="645"/>
        <w:spacing w:after="0" w:line="264" w:lineRule="auto"/>
        <w:tabs>
          <w:tab w:leader="none" w:pos="19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semi-annually, not later than 15 days after the Regular Record Date for each respective series of Securities, a list, in such form as the Trustee may reasonably require, of the names and addresses of the Holders of Securities of each series as of such Regular Record Date, as the case may be, or if there is no Regular Record Date for such series of Securities, semi-annually, and</w:t>
      </w:r>
    </w:p>
    <w:p>
      <w:pPr>
        <w:spacing w:after="0" w:line="181" w:lineRule="exact"/>
        <w:rPr>
          <w:rFonts w:ascii="Arial" w:cs="Arial" w:eastAsia="Arial" w:hAnsi="Arial"/>
          <w:sz w:val="18"/>
          <w:szCs w:val="18"/>
          <w:color w:val="auto"/>
        </w:rPr>
      </w:pPr>
    </w:p>
    <w:p>
      <w:pPr>
        <w:ind w:left="660" w:right="120" w:firstLine="645"/>
        <w:spacing w:after="0" w:line="277" w:lineRule="auto"/>
        <w:tabs>
          <w:tab w:leader="none" w:pos="1939"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at such other times as the Trustee may request in writing, within 30 days after the receipt by the Company of any such request, a list of similar form and content as of a date not more than 15 days prior to the time such list is furnished;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provided that no such list need be furnished by the Company to the Trustee so long as the Trustee is acting as Security Registrar.</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6"/>
          <w:szCs w:val="16"/>
          <w:b w:val="1"/>
          <w:bCs w:val="1"/>
          <w:color w:val="auto"/>
        </w:rPr>
        <w:t>Preservation of Information; Communications to Holders.</w:t>
      </w:r>
    </w:p>
    <w:p>
      <w:pPr>
        <w:spacing w:after="0" w:line="229"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Trustee shall preserve, in as current a form as is reasonably practicable, the names and addresses of Holders contained in the most recent list furnished to the Trustee as provided in Section 7.1 and the names and addresses of Holders received by the Trustee in its capacity as Security Registrar. The Trustee may destroy any list furnished to it as provided in Section 7.1 upon receipt of a new list so furnished.</w:t>
      </w:r>
    </w:p>
    <w:p>
      <w:pPr>
        <w:spacing w:after="0" w:line="16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rights of Holders to communicate with other Holders with respect to their rights under this Indenture or under the Securities, and the corresponding rights and privileges of the Trustee, shall be as provided by the Trust Indenture Act. Every Holder of Securities, by receiving and holding the same, agrees with the Company and the Trustee that neither the Company nor the</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Trustee nor any agent of either of them shall be held accountable by reason of any disclosure of information as to names and addresses of Holders made pursuant to the Trust Indenture Act.</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5"/>
          <w:szCs w:val="15"/>
          <w:b w:val="1"/>
          <w:bCs w:val="1"/>
          <w:color w:val="auto"/>
        </w:rPr>
        <w:t>Reports by Trustee.</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Trustee shall transmit to Holders such reports concerning the Trustee and its actions under this Indenture as may be required pursuant to the Trust Indenture Act at the times and in the manner provided pursuant thereto.</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Reports so required to be transmitted at stated intervals of not more than 12 months shall be transmitted no later than July 15 in each calendar year, commencing with the first July 15 after the first issuance of Securities pursuant to this Indenture.</w:t>
      </w:r>
    </w:p>
    <w:p>
      <w:pPr>
        <w:spacing w:after="0" w:line="170" w:lineRule="exact"/>
        <w:rPr>
          <w:sz w:val="20"/>
          <w:szCs w:val="20"/>
          <w:color w:val="auto"/>
        </w:rPr>
      </w:pPr>
    </w:p>
    <w:p>
      <w:pPr>
        <w:ind w:right="340" w:firstLine="648"/>
        <w:spacing w:after="0" w:line="264"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upon which any Securities are listed, with the Commission and with the Company. The Company will notify the Trustee when any Securities are listed on any stock exchange.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7.4</w:t>
      </w:r>
      <w:r>
        <w:rPr>
          <w:sz w:val="20"/>
          <w:szCs w:val="20"/>
          <w:color w:val="auto"/>
        </w:rPr>
        <w:tab/>
      </w:r>
      <w:r>
        <w:rPr>
          <w:rFonts w:ascii="Arial" w:cs="Arial" w:eastAsia="Arial" w:hAnsi="Arial"/>
          <w:sz w:val="16"/>
          <w:szCs w:val="16"/>
          <w:b w:val="1"/>
          <w:bCs w:val="1"/>
          <w:color w:val="auto"/>
        </w:rPr>
        <w:t>Reports by Company.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Any information, documents or other reports that the Company shall file with the Commission pursuant to Section 13 or 15(d) of the Exchange Act shall be filed with the Trustee within 15 days after the same is filed with the Commission;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information, documents or reports filed or furnished with the Commission pursuant to its Electronic Data Gathering, Analysis and Retrieval (or EDGAR) system shall be deemed to be filed with the Trustee as of the time such information, documents or reports are filed or furnished via EDGAR.</w:t>
      </w:r>
    </w:p>
    <w:p>
      <w:pPr>
        <w:spacing w:after="0" w:line="18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CONSOLIDATION, MERGER, CONVEYANCE, TRANSFER OR LEASE</w:t>
      </w:r>
    </w:p>
    <w:p>
      <w:pPr>
        <w:sectPr>
          <w:pgSz w:w="11900" w:h="16838" w:orient="portrait"/>
          <w:cols w:equalWidth="0" w:num="1">
            <w:col w:w="11280"/>
          </w:cols>
          <w:pgMar w:left="240" w:top="125" w:right="379" w:bottom="9" w:gutter="0" w:footer="0" w:header="0"/>
        </w:sectPr>
      </w:pPr>
    </w:p>
    <w:bookmarkStart w:id="90" w:name="page91"/>
    <w:bookmarkEnd w:id="90"/>
    <w:p>
      <w:pPr>
        <w:spacing w:after="0" w:line="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8.1</w:t>
      </w:r>
      <w:r>
        <w:rPr>
          <w:sz w:val="20"/>
          <w:szCs w:val="20"/>
          <w:color w:val="auto"/>
        </w:rPr>
        <w:tab/>
      </w:r>
      <w:r>
        <w:rPr>
          <w:rFonts w:ascii="Arial" w:cs="Arial" w:eastAsia="Arial" w:hAnsi="Arial"/>
          <w:sz w:val="16"/>
          <w:szCs w:val="16"/>
          <w:b w:val="1"/>
          <w:bCs w:val="1"/>
          <w:color w:val="auto"/>
        </w:rPr>
        <w:t>Company May Consolidate, etc., Only on Certain Terms.</w:t>
      </w:r>
    </w:p>
    <w:p>
      <w:pPr>
        <w:spacing w:after="0" w:line="229" w:lineRule="exact"/>
        <w:rPr>
          <w:sz w:val="20"/>
          <w:szCs w:val="20"/>
          <w:color w:val="auto"/>
        </w:rPr>
      </w:pPr>
    </w:p>
    <w:p>
      <w:pPr>
        <w:ind w:right="400" w:firstLine="648"/>
        <w:spacing w:after="0" w:line="264" w:lineRule="auto"/>
        <w:rPr>
          <w:sz w:val="20"/>
          <w:szCs w:val="20"/>
          <w:color w:val="auto"/>
        </w:rPr>
      </w:pPr>
      <w:r>
        <w:rPr>
          <w:rFonts w:ascii="Arial" w:cs="Arial" w:eastAsia="Arial" w:hAnsi="Arial"/>
          <w:sz w:val="18"/>
          <w:szCs w:val="18"/>
          <w:color w:val="auto"/>
        </w:rPr>
        <w:t>The Company shall not consolidate with or merge into any other Person (other than a Subsidiary of the Company) (in a transaction in which the Company is not the surviving corporation) or convey, transfer or lease its properties and assets substantially as an entirety to any Person (other than a Subsidiary of the Company), unless:</w:t>
      </w:r>
    </w:p>
    <w:p>
      <w:pPr>
        <w:spacing w:after="0" w:line="181" w:lineRule="exact"/>
        <w:rPr>
          <w:sz w:val="20"/>
          <w:szCs w:val="20"/>
          <w:color w:val="auto"/>
        </w:rPr>
      </w:pPr>
    </w:p>
    <w:p>
      <w:pPr>
        <w:ind w:left="660" w:right="20" w:firstLine="645"/>
        <w:spacing w:after="0" w:line="257" w:lineRule="auto"/>
        <w:tabs>
          <w:tab w:leader="none" w:pos="1939"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in case the Company shall consolidate with or merge into another Person (in a transaction in which the Company is not the surviving corporation) or convey, transfer or lease its properties and assets substantially as an entirety to any Person, the Person formed by such consolidation or into which the Company is merged or the Person which acquires by conveyance or transfer, or which leases, the properties and assets of the Company substantially as an entirety shall be a corporation, limited liability company, partnership, trust or other business entity, shall be organized and validly existing under the laws of the United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States of America, any State thereof or the District of Columbia and shall expressly assume, by an indenture supplemental hereto, executed and delivered to the Trustee, in form satisfactory to the Trustee, the due and punctual payment of the principal of and any premium and interest on all the Securities and the performance or observance of every covenant of this Indenture on the part of the Company to be performed or observed and the conversion rights shall be provided for in accordance with Article 14, if applicable, or as otherwise specified pursuant to Section 3.1, by supplemental indenture satisfactory in form to the Trustee, executed and delivered to the Trustee, by the Person (if other than the Company) formed by such consolidation or into which the Company shall have been merged or by the Person which shall have acquired the Company’s assets;</w:t>
      </w:r>
    </w:p>
    <w:p>
      <w:pPr>
        <w:spacing w:after="0" w:line="165" w:lineRule="exact"/>
        <w:rPr>
          <w:sz w:val="20"/>
          <w:szCs w:val="20"/>
          <w:color w:val="auto"/>
        </w:rPr>
      </w:pPr>
    </w:p>
    <w:p>
      <w:pPr>
        <w:ind w:left="660" w:firstLine="645"/>
        <w:spacing w:after="0" w:line="312" w:lineRule="auto"/>
        <w:tabs>
          <w:tab w:leader="none" w:pos="193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and treating any indebtedness which becomes an obligation of the Company or any Subsidiary as a result of such transaction as having been incurred by the Company or such Subsidiary at the time of such transaction, no Event of Default, and no event which, after notice or lapse of time or both, would become an Event of Default, shall have occurred and be continuing; and</w:t>
      </w:r>
    </w:p>
    <w:p>
      <w:pPr>
        <w:spacing w:after="0" w:line="146" w:lineRule="exact"/>
        <w:rPr>
          <w:rFonts w:ascii="Arial" w:cs="Arial" w:eastAsia="Arial" w:hAnsi="Arial"/>
          <w:sz w:val="16"/>
          <w:szCs w:val="16"/>
          <w:color w:val="auto"/>
        </w:rPr>
      </w:pPr>
    </w:p>
    <w:p>
      <w:pPr>
        <w:jc w:val="both"/>
        <w:ind w:left="660" w:right="120" w:firstLine="645"/>
        <w:spacing w:after="0" w:line="312" w:lineRule="auto"/>
        <w:tabs>
          <w:tab w:leader="none" w:pos="193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 has delivered to the Trustee an Officers’ Certificate and an Opinion of Counsel, each stating that such consolidation, merger, conveyance, transfer or lease and, if a supplemental indenture is required in connection with such transaction, such supplemental indenture comply with this Article and that all conditions precedent herein provided for relating to such transaction have been complied with.</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8.2</w:t>
      </w:r>
      <w:r>
        <w:rPr>
          <w:sz w:val="20"/>
          <w:szCs w:val="20"/>
          <w:color w:val="auto"/>
        </w:rPr>
        <w:tab/>
      </w:r>
      <w:r>
        <w:rPr>
          <w:rFonts w:ascii="Arial" w:cs="Arial" w:eastAsia="Arial" w:hAnsi="Arial"/>
          <w:sz w:val="15"/>
          <w:szCs w:val="15"/>
          <w:b w:val="1"/>
          <w:bCs w:val="1"/>
          <w:color w:val="auto"/>
        </w:rPr>
        <w:t>Successor Substituted.</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Upon any consolidation of the Company with, or merger of the Company into, any other Person or any conveyance, transfer or lease of the properties and assets of the Company substantially as an entirety in accordance with Section 8.1, the successor Person formed by such consolidation or into which the Company is merged or to which such conveyance, transfer or lease is made shall succeed to, and be substituted for, and may exercise every right and power of, the Company under this Indenture with the same effect as if such successor Person had been named as the Company herein, and thereafter, except in the case of a lease, the predecessor Person shall be relieved of all obligations and covenants under this Indenture and the Securities.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SUPPLEMENTAL INDENTURES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9.1</w:t>
      </w:r>
      <w:r>
        <w:rPr>
          <w:sz w:val="20"/>
          <w:szCs w:val="20"/>
          <w:color w:val="auto"/>
        </w:rPr>
        <w:tab/>
      </w:r>
      <w:r>
        <w:rPr>
          <w:rFonts w:ascii="Arial" w:cs="Arial" w:eastAsia="Arial" w:hAnsi="Arial"/>
          <w:sz w:val="16"/>
          <w:szCs w:val="16"/>
          <w:b w:val="1"/>
          <w:bCs w:val="1"/>
          <w:color w:val="auto"/>
        </w:rPr>
        <w:t>Supplemental Indentures Without Consent of Holders.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Without the consent of any Holders, the Company, when authorized by a Board Resolution, and the Trustee, at any time and from time to time, may enter into one or more indentures supplemental hereto, in form satisfactory to the Trustee, for any of the following purposes: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right="40" w:firstLine="645"/>
        <w:spacing w:after="0" w:line="277" w:lineRule="auto"/>
        <w:tabs>
          <w:tab w:leader="none" w:pos="193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or successive successions, and the assumption by any such successor of the covenants of the Company herein and in the Securities in compliance with Article 8; or</w:t>
      </w:r>
    </w:p>
    <w:p>
      <w:pPr>
        <w:spacing w:after="0" w:line="170" w:lineRule="exact"/>
        <w:rPr>
          <w:rFonts w:ascii="Arial" w:cs="Arial" w:eastAsia="Arial" w:hAnsi="Arial"/>
          <w:sz w:val="18"/>
          <w:szCs w:val="18"/>
          <w:color w:val="auto"/>
        </w:rPr>
      </w:pPr>
    </w:p>
    <w:p>
      <w:pPr>
        <w:jc w:val="both"/>
        <w:ind w:left="660" w:right="40" w:firstLine="645"/>
        <w:spacing w:after="0" w:line="264" w:lineRule="auto"/>
        <w:tabs>
          <w:tab w:leader="none" w:pos="193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 or</w:t>
      </w:r>
    </w:p>
    <w:p>
      <w:pPr>
        <w:spacing w:after="0" w:line="181" w:lineRule="exact"/>
        <w:rPr>
          <w:rFonts w:ascii="Arial" w:cs="Arial" w:eastAsia="Arial" w:hAnsi="Arial"/>
          <w:sz w:val="18"/>
          <w:szCs w:val="18"/>
          <w:color w:val="auto"/>
        </w:rPr>
      </w:pPr>
    </w:p>
    <w:p>
      <w:pPr>
        <w:jc w:val="both"/>
        <w:ind w:left="660" w:right="500" w:firstLine="645"/>
        <w:spacing w:after="0" w:line="264" w:lineRule="auto"/>
        <w:tabs>
          <w:tab w:leader="none" w:pos="193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add any additional Events of Default for the benefit of the Holders of all or any series of Securities (and if such additional Events of Default are to be for the benefit of less than all series of Securities, stating that such additional Events of Default are expressly being included solely for the benefit of such series); or</w:t>
      </w:r>
    </w:p>
    <w:p>
      <w:pPr>
        <w:spacing w:after="0" w:line="181" w:lineRule="exact"/>
        <w:rPr>
          <w:rFonts w:ascii="Arial" w:cs="Arial" w:eastAsia="Arial" w:hAnsi="Arial"/>
          <w:sz w:val="18"/>
          <w:szCs w:val="18"/>
          <w:color w:val="auto"/>
        </w:rPr>
      </w:pPr>
    </w:p>
    <w:p>
      <w:pPr>
        <w:ind w:left="660" w:right="40" w:firstLine="645"/>
        <w:spacing w:after="0" w:line="264" w:lineRule="auto"/>
        <w:tabs>
          <w:tab w:leader="none" w:pos="1939"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to add to or change any of the provisions of this Indenture to such extent as shall be necessary to permit or facilitate the issuance of Securities in bearer form, registrable or not registrable as to principal, and with or without interest coupons, or to permit or facilitate the issuance of Securities in uncertificated form; or</w:t>
      </w:r>
    </w:p>
    <w:p>
      <w:pPr>
        <w:spacing w:after="0" w:line="181" w:lineRule="exact"/>
        <w:rPr>
          <w:rFonts w:ascii="Arial" w:cs="Arial" w:eastAsia="Arial" w:hAnsi="Arial"/>
          <w:sz w:val="18"/>
          <w:szCs w:val="18"/>
          <w:color w:val="auto"/>
        </w:rPr>
      </w:pPr>
    </w:p>
    <w:p>
      <w:pPr>
        <w:ind w:left="660" w:right="140" w:firstLine="645"/>
        <w:spacing w:after="0" w:line="288" w:lineRule="auto"/>
        <w:tabs>
          <w:tab w:leader="none" w:pos="1939" w:val="left"/>
        </w:tabs>
        <w:numPr>
          <w:ilvl w:val="1"/>
          <w:numId w:val="108"/>
        </w:numPr>
        <w:rPr>
          <w:rFonts w:ascii="Arial" w:cs="Arial" w:eastAsia="Arial" w:hAnsi="Arial"/>
          <w:sz w:val="16"/>
          <w:szCs w:val="16"/>
          <w:color w:val="auto"/>
        </w:rPr>
      </w:pPr>
      <w:r>
        <w:rPr>
          <w:rFonts w:ascii="Arial" w:cs="Arial" w:eastAsia="Arial" w:hAnsi="Arial"/>
          <w:sz w:val="16"/>
          <w:szCs w:val="16"/>
          <w:color w:val="auto"/>
        </w:rPr>
        <w:t>to add to, change or eliminate any of the provisions of this Indenture in respect of one or more series of Securities, provided that any such addition, change or elimination (A) shall neither (i) apply to any Security of any series created prior to the execution of such supplemental indenture and entitled to the benefit of such provision nor (ii) modify the rights of the Holder of any such Security with respect to such provision or</w:t>
      </w:r>
    </w:p>
    <w:p>
      <w:pPr>
        <w:ind w:left="940" w:hanging="284"/>
        <w:spacing w:after="0"/>
        <w:tabs>
          <w:tab w:leader="none" w:pos="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shall become effective only when there is no such Security Outstanding; or</w:t>
      </w:r>
    </w:p>
    <w:p>
      <w:pPr>
        <w:spacing w:after="0" w:line="210" w:lineRule="exact"/>
        <w:rPr>
          <w:rFonts w:ascii="Arial" w:cs="Arial" w:eastAsia="Arial" w:hAnsi="Arial"/>
          <w:sz w:val="18"/>
          <w:szCs w:val="18"/>
          <w:color w:val="auto"/>
        </w:rPr>
      </w:pPr>
    </w:p>
    <w:p>
      <w:pPr>
        <w:ind w:left="1940" w:hanging="635"/>
        <w:spacing w:after="0"/>
        <w:tabs>
          <w:tab w:leader="none" w:pos="19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to secure the Securities, including provisions regarding the circumstances under which collateral may be released or substituted; or</w:t>
      </w:r>
    </w:p>
    <w:p>
      <w:pPr>
        <w:spacing w:after="0" w:line="248" w:lineRule="exact"/>
        <w:rPr>
          <w:rFonts w:ascii="Arial" w:cs="Arial" w:eastAsia="Arial" w:hAnsi="Arial"/>
          <w:sz w:val="16"/>
          <w:szCs w:val="16"/>
          <w:color w:val="auto"/>
        </w:rPr>
      </w:pPr>
    </w:p>
    <w:p>
      <w:pPr>
        <w:ind w:left="1940" w:hanging="635"/>
        <w:spacing w:after="0"/>
        <w:tabs>
          <w:tab w:leader="none" w:pos="19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add or provide for a guaranty of the Securities or additional obligors on the Securities; or</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2.1 and 3.1; or</w:t>
      </w:r>
    </w:p>
    <w:p>
      <w:pPr>
        <w:sectPr>
          <w:pgSz w:w="11900" w:h="16847" w:orient="portrait"/>
          <w:cols w:equalWidth="0" w:num="1">
            <w:col w:w="11420"/>
          </w:cols>
          <w:pgMar w:left="240" w:top="121" w:right="239" w:bottom="0" w:gutter="0" w:footer="0" w:header="0"/>
        </w:sectPr>
      </w:pPr>
    </w:p>
    <w:bookmarkStart w:id="91" w:name="page92"/>
    <w:bookmarkEnd w:id="91"/>
    <w:p>
      <w:pPr>
        <w:spacing w:after="0" w:line="32" w:lineRule="exact"/>
        <w:rPr>
          <w:sz w:val="20"/>
          <w:szCs w:val="20"/>
          <w:color w:val="auto"/>
        </w:rPr>
      </w:pPr>
    </w:p>
    <w:p>
      <w:pPr>
        <w:ind w:left="660" w:right="20" w:firstLine="645"/>
        <w:spacing w:after="0" w:line="264" w:lineRule="auto"/>
        <w:tabs>
          <w:tab w:leader="none" w:pos="193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6.11; or</w:t>
      </w:r>
    </w:p>
    <w:p>
      <w:pPr>
        <w:spacing w:after="0" w:line="181" w:lineRule="exact"/>
        <w:rPr>
          <w:rFonts w:ascii="Arial" w:cs="Arial" w:eastAsia="Arial" w:hAnsi="Arial"/>
          <w:sz w:val="18"/>
          <w:szCs w:val="18"/>
          <w:color w:val="auto"/>
        </w:rPr>
      </w:pPr>
    </w:p>
    <w:p>
      <w:pPr>
        <w:ind w:left="660" w:right="600" w:firstLine="645"/>
        <w:spacing w:after="0" w:line="308" w:lineRule="auto"/>
        <w:tabs>
          <w:tab w:leader="none" w:pos="1952"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to cure any ambiguity, to correct or supplement any provision herein which may be defective or inconsistent with any other provision herein, or to make any other provisions with respect to matters or questions arising under this Indenture, provided that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such action pursuant to this clause (10) shall not adversely affect the interests of the Holders of Securities of any series in any material respect; or</w:t>
      </w:r>
    </w:p>
    <w:p>
      <w:pPr>
        <w:spacing w:after="0" w:line="248" w:lineRule="exact"/>
        <w:rPr>
          <w:sz w:val="20"/>
          <w:szCs w:val="20"/>
          <w:color w:val="auto"/>
        </w:rPr>
      </w:pPr>
    </w:p>
    <w:p>
      <w:pPr>
        <w:ind w:left="660" w:firstLine="645"/>
        <w:spacing w:after="0" w:line="264" w:lineRule="auto"/>
        <w:tabs>
          <w:tab w:leader="none" w:pos="194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supplement any of the provisions of the Indenture to such extent as shall be necessary to permit or facilitate the defeasance and discharge of any series of Securities pursuant to Articles 4 and 13, provided that any such action shall not adversely affect the interests of the Holders of Securities of such series or any other series of Securities in any material respect.</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9.2</w:t>
      </w:r>
      <w:r>
        <w:rPr>
          <w:sz w:val="20"/>
          <w:szCs w:val="20"/>
          <w:color w:val="auto"/>
        </w:rPr>
        <w:tab/>
      </w:r>
      <w:r>
        <w:rPr>
          <w:rFonts w:ascii="Arial" w:cs="Arial" w:eastAsia="Arial" w:hAnsi="Arial"/>
          <w:sz w:val="16"/>
          <w:szCs w:val="16"/>
          <w:b w:val="1"/>
          <w:bCs w:val="1"/>
          <w:color w:val="auto"/>
        </w:rPr>
        <w:t>Supplemental Indentures with Consent of Holders.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With the consent of the Holders of a majority in principal amount of the Outstanding Securities of each series affected by such supplemental indenture, by Act of said Holders delivered to the Company and the Trustee, the Company, when authorized by a Board Resolution, and the Trustee may enter into an indenture or indentures supplemental hereto for the purpose of adding any provisions to or changing in any manner or eliminating any of the provisions of this Indenture or of modifying in any manner the rights of the Holders of Securities of such series under this Indenture;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no such supplemental indenture shall, without the consent of the Holder of each Outstanding Security affected thereby,</w:t>
      </w:r>
    </w:p>
    <w:p>
      <w:pPr>
        <w:spacing w:after="0" w:line="173" w:lineRule="exact"/>
        <w:rPr>
          <w:sz w:val="20"/>
          <w:szCs w:val="20"/>
          <w:color w:val="auto"/>
        </w:rPr>
      </w:pPr>
    </w:p>
    <w:p>
      <w:pPr>
        <w:ind w:left="660" w:firstLine="645"/>
        <w:spacing w:after="0" w:line="253" w:lineRule="auto"/>
        <w:tabs>
          <w:tab w:leader="none" w:pos="19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principal of or interest on, any Security, or reduce the principal amount thereof or the rate of interest thereon or any premium payable upon the redemption thereof, or reduce the amount of the principal of an Original Issue Discount Security or any other Security which would be due and payable upon a declaration of acceleration of the Maturity thereof pursuant to Section 5.2, or change the place of payment or the coin or currency in which, any Security or any premium or interest thereon is payable, or impair the right to institute suit for the enforcement of any such payment on or after the Stated Maturity thereof (or, in the case of redemption, on or after the Redemption Date), or modify the provisions of this Indenture with respect to the subordination of such series of Securities in a manner materially adverse to the Holders of Securities of such series, or, in the case of Securities of any series that are convertible into Securities or other securities of the Company, adversely affect the right of Holders to convert any of the Securities of such series other than as provided in or pursuant to this Indenture, or</w:t>
      </w:r>
    </w:p>
    <w:p>
      <w:pPr>
        <w:spacing w:after="0" w:line="197" w:lineRule="exact"/>
        <w:rPr>
          <w:rFonts w:ascii="Arial" w:cs="Arial" w:eastAsia="Arial" w:hAnsi="Arial"/>
          <w:sz w:val="18"/>
          <w:szCs w:val="18"/>
          <w:color w:val="auto"/>
        </w:rPr>
      </w:pPr>
    </w:p>
    <w:p>
      <w:pPr>
        <w:jc w:val="both"/>
        <w:ind w:left="660" w:right="20" w:firstLine="645"/>
        <w:spacing w:after="0" w:line="264" w:lineRule="auto"/>
        <w:tabs>
          <w:tab w:leader="none" w:pos="19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reduce the percentage in principal amount of the Outstanding Securities of any series, the consent of whose Holders is required for any such supplemental indenture, or the consent of whose Holders is required for any waiver (of compliance with certain provisions of this Indenture or certain defaults hereunder and their consequences) provided for in this Indenture, or</w:t>
      </w:r>
    </w:p>
    <w:p>
      <w:pPr>
        <w:spacing w:after="0" w:line="181" w:lineRule="exact"/>
        <w:rPr>
          <w:rFonts w:ascii="Arial" w:cs="Arial" w:eastAsia="Arial" w:hAnsi="Arial"/>
          <w:sz w:val="18"/>
          <w:szCs w:val="18"/>
          <w:color w:val="auto"/>
        </w:rPr>
      </w:pPr>
    </w:p>
    <w:p>
      <w:pPr>
        <w:ind w:left="660" w:right="20" w:firstLine="645"/>
        <w:spacing w:after="0" w:line="264" w:lineRule="auto"/>
        <w:tabs>
          <w:tab w:leader="none" w:pos="193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modify any of the provisions of this Section, Section 5.13 or Section 10.8, except to increase any such percentage or to provide that certain other provisions of this Indenture cannot be modified or waived without the consent of the Holder of each Outstanding Security affected thereby;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this clause shall not be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deemed to require the consent of any Holder with respect to changes in the references to “the Trustee” and concomitant changes in this Section and Section 10.8, or the deletion of this proviso, in accordance with the requirements of Sections 6.11 and 9.1(8), or</w:t>
      </w:r>
    </w:p>
    <w:p>
      <w:pPr>
        <w:spacing w:after="0" w:line="170" w:lineRule="exact"/>
        <w:rPr>
          <w:sz w:val="20"/>
          <w:szCs w:val="20"/>
          <w:color w:val="auto"/>
        </w:rPr>
      </w:pPr>
    </w:p>
    <w:p>
      <w:pPr>
        <w:ind w:left="660" w:right="460" w:firstLine="645"/>
        <w:spacing w:after="0" w:line="342" w:lineRule="auto"/>
        <w:tabs>
          <w:tab w:leader="none" w:pos="193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applicable, make any change that adversely affects the right to convert any security as provided in Article 14 or pursuant to Section 3.1 (except as permitted by Section 9.1(9)) or decrease the conversion rate or increase the conversion price of any such security.</w:t>
      </w:r>
    </w:p>
    <w:p>
      <w:pPr>
        <w:spacing w:after="0" w:line="124"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It shall not be necessary for any Act of Holders under this Section to approve the particular form of any proposed supplemental indenture, but it shall be sufficient if such Act shall approve the substance thereof.</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9.3</w:t>
      </w:r>
      <w:r>
        <w:rPr>
          <w:sz w:val="20"/>
          <w:szCs w:val="20"/>
          <w:color w:val="auto"/>
        </w:rPr>
        <w:tab/>
      </w:r>
      <w:r>
        <w:rPr>
          <w:rFonts w:ascii="Arial" w:cs="Arial" w:eastAsia="Arial" w:hAnsi="Arial"/>
          <w:sz w:val="16"/>
          <w:szCs w:val="16"/>
          <w:b w:val="1"/>
          <w:bCs w:val="1"/>
          <w:color w:val="auto"/>
        </w:rPr>
        <w:t>Execution of Supplemental Indentures.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Sections 6.1 and 6.3) shall be fully protected in relying upon, an Officers’ Certificate and an Opinion of Counsel stating that the execution of such supplemental indenture is authorized or permitted by this Indenture. The Trustee may, but shall not be obligated to, enter into any such supplemental indenture which affects the Trustee’s own rights, duties or immunities under this Indenture or otherwise.</w:t>
      </w:r>
    </w:p>
    <w:p>
      <w:pPr>
        <w:spacing w:after="0" w:line="18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9.4</w:t>
      </w:r>
      <w:r>
        <w:rPr>
          <w:sz w:val="20"/>
          <w:szCs w:val="20"/>
          <w:color w:val="auto"/>
        </w:rPr>
        <w:tab/>
      </w:r>
      <w:r>
        <w:rPr>
          <w:rFonts w:ascii="Arial" w:cs="Arial" w:eastAsia="Arial" w:hAnsi="Arial"/>
          <w:sz w:val="16"/>
          <w:szCs w:val="16"/>
          <w:b w:val="1"/>
          <w:bCs w:val="1"/>
          <w:color w:val="auto"/>
        </w:rPr>
        <w:t>Effect of Supplemental Indentures.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Upon the execution of any supplemental indenture under this Article,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9.5</w:t>
      </w:r>
      <w:r>
        <w:rPr>
          <w:sz w:val="20"/>
          <w:szCs w:val="20"/>
          <w:color w:val="auto"/>
        </w:rPr>
        <w:tab/>
      </w:r>
      <w:r>
        <w:rPr>
          <w:rFonts w:ascii="Arial" w:cs="Arial" w:eastAsia="Arial" w:hAnsi="Arial"/>
          <w:sz w:val="16"/>
          <w:szCs w:val="16"/>
          <w:b w:val="1"/>
          <w:bCs w:val="1"/>
          <w:color w:val="auto"/>
        </w:rPr>
        <w:t>Conformity with Trust Indenture Act.</w:t>
      </w:r>
    </w:p>
    <w:p>
      <w:pPr>
        <w:sectPr>
          <w:pgSz w:w="11900" w:h="16870" w:orient="portrait"/>
          <w:cols w:equalWidth="0" w:num="1">
            <w:col w:w="11420"/>
          </w:cols>
          <w:pgMar w:left="240" w:top="341" w:right="239" w:bottom="0" w:gutter="0" w:footer="0" w:header="0"/>
        </w:sectPr>
      </w:pPr>
    </w:p>
    <w:bookmarkStart w:id="92" w:name="page93"/>
    <w:bookmarkEnd w:id="92"/>
    <w:p>
      <w:pPr>
        <w:spacing w:after="0" w:line="1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Every supplemental indenture executed pursuant to this Article shall conform to the requirements of the Trust Indenture Act.</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9.6</w:t>
      </w:r>
      <w:r>
        <w:rPr>
          <w:sz w:val="20"/>
          <w:szCs w:val="20"/>
          <w:color w:val="auto"/>
        </w:rPr>
        <w:tab/>
      </w:r>
      <w:r>
        <w:rPr>
          <w:rFonts w:ascii="Arial" w:cs="Arial" w:eastAsia="Arial" w:hAnsi="Arial"/>
          <w:sz w:val="16"/>
          <w:szCs w:val="16"/>
          <w:b w:val="1"/>
          <w:bCs w:val="1"/>
          <w:color w:val="auto"/>
        </w:rPr>
        <w:t>Reference in Securities to Supplemental Indentures.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Securities of any series authenticated and delivered after the execution of any supplemental indenture pursuant to this Article may, and shall if required by the Trustee, bear a notation in form</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approved by the Trustee as to any matter provided for in such supplemental indenture. If the Company shall so determine, new Securities of any series so modified as to conform, in the opinion of the Trustee and the Company, to any such supplemental indenture may be prepared and executed by the Company and authenticated and delivered by the Trustee in exchange for Outstanding Securities of such series.</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9.7</w:t>
      </w:r>
      <w:r>
        <w:rPr>
          <w:sz w:val="20"/>
          <w:szCs w:val="20"/>
          <w:color w:val="auto"/>
        </w:rPr>
        <w:tab/>
      </w:r>
      <w:r>
        <w:rPr>
          <w:rFonts w:ascii="Arial" w:cs="Arial" w:eastAsia="Arial" w:hAnsi="Arial"/>
          <w:sz w:val="16"/>
          <w:szCs w:val="16"/>
          <w:b w:val="1"/>
          <w:bCs w:val="1"/>
          <w:color w:val="auto"/>
        </w:rPr>
        <w:t>Subordination Unimpaired.</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No provision in any supplemental indenture that affects the superior position of the holders of Senior Debt shall be effective against holders of Senior Debt.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COVENANTS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Payment of Principal, Premium and Interest.</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Company covenants and agrees for the benefit of each series of Securities that it will duly and punctually pay the principal of and any premium and interest on the Securities of that series in accordance with the terms of the Securities and this Indenture.</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6"/>
          <w:szCs w:val="16"/>
          <w:b w:val="1"/>
          <w:bCs w:val="1"/>
          <w:color w:val="auto"/>
        </w:rPr>
        <w:t>Maintenance of Office or Agency.</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may be surrendered for conversion and where notices and demands to or upon the Company in respect of the Securities of that series and this Indenture may be served. The Company will give prompt written notice to the Trustee of the location, and any change in the location, of such office or agency. If at any time the Company shall fail to maintain any such required office or agency or shall fail to furnish the Trustee with the address thereof, such presentations, surrenders, notices and demands may be made or served at the Corporate Trust Office of the Trustee, and the Company hereby appoints the Trustee as its agent to receive all such presentations, surrenders, notices and demands. Unless otherwise provided in a supplemental indenture or pursuant to Section 3.1 hereof, the Place of Payment for any series of Securities shall be the Corporate Trust Office of the Trustee.</w:t>
      </w:r>
    </w:p>
    <w:p>
      <w:pPr>
        <w:spacing w:after="0" w:line="166"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 to maintain an office or agency in each Place of Payment for Securities of any series for such purposes. The Company will give prompt written notice to the Trustee of any such designation or rescission and of any change in the location of any such other office or agency.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color w:val="auto"/>
        </w:rPr>
        <w:t>Money for Securities Payments to be Held in Trust.</w:t>
      </w:r>
    </w:p>
    <w:p>
      <w:pPr>
        <w:spacing w:after="0" w:line="229"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it will, on or before each due date of the principal of or any premium or interest on any of the Securities of that series, segregate and hold in trust for the benefit of the Persons entitled thereto a sum sufficient to pay the principal and any premium and interest so becoming due until such sums shall be paid to such Persons or otherwise disposed of as herein provided and will promptly notify the Trustee of its action or failure so to act.</w:t>
      </w:r>
    </w:p>
    <w:p>
      <w:pPr>
        <w:spacing w:after="0" w:line="18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Whenever the Company shall have one or more Paying Agents for any series of Securities, it will, on or prior to each due date of the principal of or any premium or interest on any Securities of that series, deposit with a Paying Agent a sum sufficient to pay such amount, such sum to be held as provided by the Trust Indenture Act, and (unless such Paying Agent is the Trustee) the Company will promptly notify the Trustee of its action or failure so to act.</w:t>
      </w:r>
    </w:p>
    <w:p>
      <w:pPr>
        <w:spacing w:after="0" w:line="147"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The Company will cause each Paying Agent for any series of Securities other than the Trustee to execute and deliver to the Trustee an instrument in which such Paying Agent shall agree with the Trustee, subject to the provisions of this Section, that such Paying Agent will (1) comply with the provisions of the Trust Indenture Act applicable to it as a Paying Agent and (2) during the continuance of any default by the Company (or any other obligor upon the Securities of that series) in the making of any payment in respect of the Securities of that series, upon the written request of the Trustee, forthwith pay to the Trustee all sums held in trust by such Paying Agent for payment in respect of the Securities of that series.</w:t>
      </w:r>
    </w:p>
    <w:p>
      <w:pPr>
        <w:spacing w:after="0" w:line="173"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 all sums held in trust by the Company or such Paying Agent, such sums to be held by the Trustee upon the same trusts as those upon which such sums were held by the Company or such Paying Agent; and, upon such payment by any Paying Agent to the Trustee, such Paying Agent shall be released from all further liability with respect to such money.</w:t>
      </w:r>
    </w:p>
    <w:p>
      <w:pPr>
        <w:spacing w:after="0" w:line="171"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Any money deposited with the Trustee or any Paying Agent, or then held by the Company, in trust for the payment of the principal of or any premium or interest on any Security of any series and remaining unclaimed for a period ending on the earlier of the date that is ten Business Days prior to the date such money would escheat to the State or two years after such principal, premium or interest has become due and payable shall be paid to the Company</w:t>
      </w:r>
    </w:p>
    <w:p>
      <w:pPr>
        <w:sectPr>
          <w:pgSz w:w="11900" w:h="16952" w:orient="portrait"/>
          <w:cols w:equalWidth="0" w:num="1">
            <w:col w:w="11380"/>
          </w:cols>
          <w:pgMar w:left="240" w:top="341" w:right="279" w:bottom="0" w:gutter="0" w:footer="0" w:header="0"/>
        </w:sectPr>
      </w:pPr>
    </w:p>
    <w:bookmarkStart w:id="93" w:name="page94"/>
    <w:bookmarkEnd w:id="93"/>
    <w:p>
      <w:pPr>
        <w:ind w:right="80"/>
        <w:spacing w:after="0" w:line="273" w:lineRule="auto"/>
        <w:rPr>
          <w:sz w:val="20"/>
          <w:szCs w:val="20"/>
          <w:color w:val="auto"/>
        </w:rPr>
      </w:pPr>
      <w:r>
        <w:rPr>
          <w:rFonts w:ascii="Arial" w:cs="Arial" w:eastAsia="Arial" w:hAnsi="Arial"/>
          <w:sz w:val="17"/>
          <w:szCs w:val="17"/>
          <w:color w:val="auto"/>
        </w:rPr>
        <w:t xml:space="preserve">on Company Request, or (if then held by the Company) shall be discharged from such trust; and the Holder of such Security shall thereafter, as an unsecured general creditor, look only to the Company for payment thereof, and all liability of the Trustee or such Paying Agent with respect to such trust money, and all liability of the Company as trustee thereof, shall thereupon cease;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Trustee or such Paying Agent, before being required to make any such repayment, may at the expense of the Company cause to be published once, in a newspaper published in the English language, customarily published on each Business Day and of general circulation in each Place of Payment, notice that such money remains unclaimed and that, after a date specified therein, which shall not be less than 30 days from the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of such publication, any unclaimed balance of such money then remaining will be repaid to the Company.</w:t>
      </w:r>
    </w:p>
    <w:p>
      <w:pPr>
        <w:spacing w:after="0" w:line="22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Statement by Officers as to Default.</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will deliver to the Trustee, within 120 days after the end of each fiscal year of the Company ending after the date hereof, an Officers’ Certificate, stating whether or not to the best knowledge of the signers thereof the Company is in default in the performance and observance of any of the terms, provisions and conditions of this Indenture (without regard to any period of grace or requirement of notice provided hereunder) and, if the Company shall be in default, specifying all such defaults and the nature and status thereof of which they may have knowledge. The Company will give the Trustee prompt written notice of any change of its fiscal year.</w:t>
      </w:r>
    </w:p>
    <w:p>
      <w:pPr>
        <w:spacing w:after="0" w:line="18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5"/>
          <w:szCs w:val="15"/>
          <w:b w:val="1"/>
          <w:bCs w:val="1"/>
          <w:color w:val="auto"/>
        </w:rPr>
        <w:t>Existence.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Subject to Article 8, the Company will do or cause to be done all things necessary to preserve and keep in full force and effect its existence.</w:t>
      </w:r>
    </w:p>
    <w:p>
      <w:pPr>
        <w:spacing w:after="0" w:line="23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Maintenance of Properties.</w:t>
      </w:r>
    </w:p>
    <w:p>
      <w:pPr>
        <w:spacing w:after="0" w:line="229"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The Company will cause all properties used or useful in the conduct of its business to be maintained and kept in good condition, repair and working order and supplied with all necessary equipment and will cause to be made all necessary repairs, renewals, replacements, betterments and improvements thereof, all as, and to the extent, in the judgment of the Company may be necessary so that the business carried on in connection therewith may be properly and advantageously conducted at all times;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in this Section shall prevent the Company from discontinuing the operation or maintenance of any of such properties if such discontinuance is, in the judgment of the Company, desirable in the conduct of its business and not disadvantageous in any material respect to the Holders.</w:t>
      </w:r>
    </w:p>
    <w:p>
      <w:pPr>
        <w:spacing w:after="0" w:line="18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color w:val="auto"/>
        </w:rPr>
        <w:t>Payment of Taxes and Other Claims.</w:t>
      </w:r>
    </w:p>
    <w:p>
      <w:pPr>
        <w:spacing w:after="0" w:line="229" w:lineRule="exact"/>
        <w:rPr>
          <w:sz w:val="20"/>
          <w:szCs w:val="20"/>
          <w:color w:val="auto"/>
        </w:rPr>
      </w:pPr>
    </w:p>
    <w:p>
      <w:pPr>
        <w:ind w:right="260" w:firstLine="648"/>
        <w:spacing w:after="0" w:line="293" w:lineRule="auto"/>
        <w:rPr>
          <w:sz w:val="20"/>
          <w:szCs w:val="20"/>
          <w:color w:val="auto"/>
        </w:rPr>
      </w:pPr>
      <w:r>
        <w:rPr>
          <w:rFonts w:ascii="Arial" w:cs="Arial" w:eastAsia="Arial" w:hAnsi="Arial"/>
          <w:sz w:val="16"/>
          <w:szCs w:val="16"/>
          <w:color w:val="auto"/>
        </w:rPr>
        <w:t xml:space="preserve">The Company will pay or discharge or cause to be paid or discharged, before the same shall become delinquent, (1) all taxes, assessments and governmental charges levied or imposed upon the Company or upon the income, profits or property of the Company, and (2) all lawful claims for labor, materials and supplies which, if unpaid, might by law become a lien upon the property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required to pay or discharge or cause to be paid or discharged any such tax, assessment, charge or claim (i) whose amount, applicability or validity is being contested in good faith by appropriate proceedings or (ii) if the failure to pay or discharge would not have a material adverse effect on the assets, business, operations, properties or condition (financial or otherwise) of the Company and its subsidiaries, taken as a whole.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6"/>
          <w:szCs w:val="16"/>
          <w:b w:val="1"/>
          <w:bCs w:val="1"/>
          <w:color w:val="auto"/>
        </w:rPr>
        <w:t>Waiver of Certain Covenants.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Except as otherwise specified as contemplated by Section 3.1 for Securities of such series, the Company may, with respect to the Securities of any series, omit in any particular instance to comply with any term, provision or condition set forth in any covenant provided pursuant to Section 3.1(19), 9.1(2), 9.1(7), 10.6 or 10.7 for the benefit of the Holders of such series if before the time for such compliance the Holders of at least a majority in principal amount of the Outstanding Securities of such series shall, by Act of such Holders, either waive such compliance in such instance or generally waive compliance with such term, provision or condition, but no such waiver shall extend to or affect such term, provision or condition except to the extent so expressly waived, and, until such waiver shall become effective, the obligations of the Company and the duties of the Trustee in respect of any such term, provision or condition shall remain in full force and effect.</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 OF SECURITIES</w:t>
      </w:r>
    </w:p>
    <w:p>
      <w:pPr>
        <w:spacing w:after="0" w:line="22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Applicability of Article.</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Securities of any series that are redeemable before their Stated Maturity shall be redeemable in accordance with their terms and (except as otherwise specified as contemplated by Section 3.1 for such Securities) in accordance with this Article.</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6"/>
          <w:szCs w:val="16"/>
          <w:b w:val="1"/>
          <w:bCs w:val="1"/>
          <w:color w:val="auto"/>
        </w:rPr>
        <w:t>Election to Redeem; Notice to Trustee.</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 election of the Company to redeem any Securities shall be evidenced by a Board Resolution or in another manner specified as contemplated by Section 3.1 for such Securities. In case of any redemption at the election of the Company of less than all the Securities of any series (including any such redemption affecting only a single Security), the Company shall, at least 45 days prior to the Redemption Date fixed by the Company (unless a shorter notice shall be satisfactory to the Trustee), notify the Trustee of such Redemption Date, of the principal amount of Securities of such series to be redeemed and, if applicable, of the tenor of the Securities to be redeemed. In the case of any redemption of Securities prior to the expiration of any restriction on such redemption provided in the terms of such Securities or elsewhere in this Indenture, the Company shall furnish the Trustee with an Officers’ Certificate evidencing compliance with such restriction.</w:t>
      </w:r>
    </w:p>
    <w:p>
      <w:pPr>
        <w:sectPr>
          <w:pgSz w:w="11900" w:h="16838" w:orient="portrait"/>
          <w:cols w:equalWidth="0" w:num="1">
            <w:col w:w="11420"/>
          </w:cols>
          <w:pgMar w:left="240" w:top="125" w:right="239" w:bottom="0" w:gutter="0" w:footer="0" w:header="0"/>
        </w:sectPr>
      </w:pPr>
    </w:p>
    <w:bookmarkStart w:id="94" w:name="page95"/>
    <w:bookmarkEnd w:id="94"/>
    <w:p>
      <w:pPr>
        <w:spacing w:after="0"/>
        <w:tabs>
          <w:tab w:leader="none" w:pos="124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5"/>
          <w:szCs w:val="15"/>
          <w:b w:val="1"/>
          <w:bCs w:val="1"/>
          <w:color w:val="auto"/>
        </w:rPr>
        <w:t>Selection by Trustee of Securities to Be Redeemed.</w:t>
      </w:r>
    </w:p>
    <w:p>
      <w:pPr>
        <w:spacing w:after="0" w:line="229"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If less than all the Securities of any series are to be redeemed (unless all the Securities of such series and of a specified tenor are to be redeemed or unless such redemption affects only a single Security), the particular Securities to be redeemed shall be selected not more than 45 days prior to the Redemption Date by the Trustee, from the Outstanding Securities of such series not previously called for redemption, by lot, or in the Trustee’s discretion, on a pro-rata basis, provided that the unredeemed portion of the principal amount of any Security shall be in an authorized denomination (which shall not be less than the minimum authorized denomination) for such</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Security. If less than all the Securities of such series and of a specified tenor are to be redeemed (unless such redemption affects only a single Security), the particular Securities to be redeemed shall be selected not more than 45 days prior to the Redemption Date by the Trustee, from the Outstanding Securities of such series and specified tenor not previously called for redemption in accordance with the preceding sentence.</w:t>
      </w:r>
    </w:p>
    <w:p>
      <w:pPr>
        <w:spacing w:after="0" w:line="166"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If any Security selected for partial redemption is converted in part before termination of the conversion right with respect to the portion of the Security so selected, the converted portion of such Security shall be deemed (so far as may be) to be the portion selected for redemption. Securities that have been converted during a selection of Securities to be redeemed shall be treated by the Trustee as Outstanding for the purpose of such selection.</w:t>
      </w:r>
    </w:p>
    <w:p>
      <w:pPr>
        <w:spacing w:after="0" w:line="147"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Trustee shall promptly notify the Company in writing of the Securities selected for redemption as aforesaid and, in case of any Securities selected for partial redemption as aforesaid, the principal amount thereof to be redeemed.</w:t>
      </w:r>
    </w:p>
    <w:p>
      <w:pPr>
        <w:spacing w:after="0" w:line="170"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The provisions of the two preceding paragraphs shall not apply with respect to any redemption affecting only a single Security, whether such Security is to be redeemed in whole or in part. In the case of any such redemption in part, the unredeemed portion of the principal amount of the Security shall be in an authorized denomination (which shall not be less than the minimum authorized denomination) for such Security.</w:t>
      </w:r>
    </w:p>
    <w:p>
      <w:pPr>
        <w:spacing w:after="0" w:line="166"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Securities redeemed or to be redeemed only in part, to the portion of the principal amount of such Securities which has been or is to be redeemed.</w:t>
      </w:r>
    </w:p>
    <w:p>
      <w:pPr>
        <w:spacing w:after="0" w:line="12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11.4</w:t>
      </w:r>
      <w:r>
        <w:rPr>
          <w:sz w:val="20"/>
          <w:szCs w:val="20"/>
          <w:color w:val="auto"/>
        </w:rPr>
        <w:tab/>
      </w:r>
      <w:r>
        <w:rPr>
          <w:rFonts w:ascii="Arial" w:cs="Arial" w:eastAsia="Arial" w:hAnsi="Arial"/>
          <w:sz w:val="16"/>
          <w:szCs w:val="16"/>
          <w:b w:val="1"/>
          <w:bCs w:val="1"/>
          <w:color w:val="auto"/>
        </w:rPr>
        <w:t>Notice of Redemption.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Notice of redemption shall be given electronically or by first-class mail, postage prepaid, mailed not fewer than 30 nor more than 60 days prior to the Redemption Date, unless a shorter period is specified in the Securities to be redeemed, to each Holder of Securities to be redeemed, at its address appearing in the Security Register.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notices of redemption shall state:</w:t>
      </w:r>
    </w:p>
    <w:p>
      <w:pPr>
        <w:spacing w:after="0" w:line="225" w:lineRule="exact"/>
        <w:rPr>
          <w:sz w:val="20"/>
          <w:szCs w:val="20"/>
          <w:color w:val="auto"/>
        </w:rPr>
      </w:pPr>
    </w:p>
    <w:p>
      <w:pPr>
        <w:ind w:left="1940" w:hanging="635"/>
        <w:spacing w:after="0"/>
        <w:tabs>
          <w:tab w:leader="none" w:pos="1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Redemption Price (including accrued interest, if any),</w:t>
      </w:r>
    </w:p>
    <w:p>
      <w:pPr>
        <w:spacing w:after="0" w:line="225" w:lineRule="exact"/>
        <w:rPr>
          <w:rFonts w:ascii="Arial" w:cs="Arial" w:eastAsia="Arial" w:hAnsi="Arial"/>
          <w:sz w:val="18"/>
          <w:szCs w:val="18"/>
          <w:color w:val="auto"/>
        </w:rPr>
      </w:pPr>
    </w:p>
    <w:p>
      <w:pPr>
        <w:ind w:left="660" w:right="60" w:firstLine="645"/>
        <w:spacing w:after="0" w:line="259" w:lineRule="auto"/>
        <w:tabs>
          <w:tab w:leader="none" w:pos="193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consisting of more than a single Security are to be redeemed, the identification (and, in the case of partial redemption of any such Securities, the principal amounts) of the particular Securities to be redeemed and, if less than all the Outstanding Securities of any series consisting of a single Security are to be redeemed, the principal amount of the particular Security to be redeemed,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20" w:firstLine="645"/>
        <w:spacing w:after="0" w:line="264" w:lineRule="auto"/>
        <w:tabs>
          <w:tab w:leader="none" w:pos="193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that on and after the Redemption Date, upon surrender of such Security, the Holder of such Security will receive, without charge, a new Security or Securities of authorized denominations for the principal amount thereof remaining unredeemed,</w:t>
      </w:r>
    </w:p>
    <w:p>
      <w:pPr>
        <w:spacing w:after="0" w:line="181" w:lineRule="exact"/>
        <w:rPr>
          <w:rFonts w:ascii="Arial" w:cs="Arial" w:eastAsia="Arial" w:hAnsi="Arial"/>
          <w:sz w:val="18"/>
          <w:szCs w:val="18"/>
          <w:color w:val="auto"/>
        </w:rPr>
      </w:pPr>
    </w:p>
    <w:p>
      <w:pPr>
        <w:ind w:left="660" w:right="200" w:firstLine="645"/>
        <w:spacing w:after="0" w:line="277" w:lineRule="auto"/>
        <w:tabs>
          <w:tab w:leader="none" w:pos="1939"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on the Redemption Date the Redemption Price will become due and payable upon each such Security to be redeemed and, if applicable, that interest thereon will cease to accrue on and after said date,</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place or places where each such Security is to be surrendered for payment of the Redemption Price,</w:t>
      </w:r>
    </w:p>
    <w:p>
      <w:pPr>
        <w:spacing w:after="0" w:line="225" w:lineRule="exact"/>
        <w:rPr>
          <w:rFonts w:ascii="Arial" w:cs="Arial" w:eastAsia="Arial" w:hAnsi="Arial"/>
          <w:sz w:val="18"/>
          <w:szCs w:val="18"/>
          <w:color w:val="auto"/>
        </w:rPr>
      </w:pPr>
    </w:p>
    <w:p>
      <w:pPr>
        <w:ind w:left="660" w:right="60" w:firstLine="645"/>
        <w:spacing w:after="0" w:line="342" w:lineRule="auto"/>
        <w:tabs>
          <w:tab w:leader="none" w:pos="1939" w:val="left"/>
        </w:tabs>
        <w:numPr>
          <w:ilvl w:val="0"/>
          <w:numId w:val="115"/>
        </w:numPr>
        <w:rPr>
          <w:rFonts w:ascii="Arial" w:cs="Arial" w:eastAsia="Arial" w:hAnsi="Arial"/>
          <w:sz w:val="16"/>
          <w:szCs w:val="16"/>
          <w:color w:val="auto"/>
        </w:rPr>
      </w:pPr>
      <w:r>
        <w:rPr>
          <w:rFonts w:ascii="Arial" w:cs="Arial" w:eastAsia="Arial" w:hAnsi="Arial"/>
          <w:sz w:val="16"/>
          <w:szCs w:val="16"/>
          <w:color w:val="auto"/>
        </w:rPr>
        <w:t>if applicable, the conversion price or conversion rate, as the case may be, the date on which the right to convert the principal of the Securities or the portions thereof to be redeemed will terminate, and the place or places where such Securities may be surrendered for conversion,</w:t>
      </w:r>
    </w:p>
    <w:p>
      <w:pPr>
        <w:spacing w:after="0" w:line="123" w:lineRule="exact"/>
        <w:rPr>
          <w:rFonts w:ascii="Arial" w:cs="Arial" w:eastAsia="Arial" w:hAnsi="Arial"/>
          <w:sz w:val="16"/>
          <w:szCs w:val="16"/>
          <w:color w:val="auto"/>
        </w:rPr>
      </w:pPr>
    </w:p>
    <w:p>
      <w:pPr>
        <w:ind w:left="1940" w:hanging="635"/>
        <w:spacing w:after="0"/>
        <w:tabs>
          <w:tab w:leader="none" w:pos="1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CUSIP number or numbers and/or common code(s) of the Security being redeemed.</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 in the name and at the expense of the Company and shall be irrevocable.</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Deposit of Redemption Price.</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On or prior to any Redemption Date, the Company shall deposit with the Trustee or with a Paying Agent (or, if the Company is acting as its own Paying Agent, segregate and hold in trust as provided in Section 10.3) an amount of money sufficient to pay the Redemption Price of, and (except if the Redemption Date shall be an Interest Payment Date) accrued interest on, all the Securities which are to be redeemed on that date.</w:t>
      </w:r>
    </w:p>
    <w:p>
      <w:pPr>
        <w:sectPr>
          <w:pgSz w:w="11900" w:h="16838" w:orient="portrait"/>
          <w:cols w:equalWidth="0" w:num="1">
            <w:col w:w="11400"/>
          </w:cols>
          <w:pgMar w:left="240" w:top="121" w:right="259" w:bottom="0" w:gutter="0" w:footer="0" w:header="0"/>
        </w:sectPr>
      </w:pPr>
    </w:p>
    <w:bookmarkStart w:id="95" w:name="page96"/>
    <w:bookmarkEnd w:id="95"/>
    <w:p>
      <w:pPr>
        <w:ind w:right="220" w:firstLine="648"/>
        <w:spacing w:after="0" w:line="286" w:lineRule="auto"/>
        <w:rPr>
          <w:sz w:val="20"/>
          <w:szCs w:val="20"/>
          <w:color w:val="auto"/>
        </w:rPr>
      </w:pPr>
      <w:r>
        <w:rPr>
          <w:rFonts w:ascii="Arial" w:cs="Arial" w:eastAsia="Arial" w:hAnsi="Arial"/>
          <w:sz w:val="17"/>
          <w:szCs w:val="17"/>
          <w:color w:val="auto"/>
        </w:rPr>
        <w:t>If any Security called for redemption is converted, any money deposited with the Trustee or with a Paying Agent or so segregated and held in trust for the redemption of such Security shall (subject to the right of any Holder of such Security to receive interest as provided in the last paragraph of Section 3.7) be paid to the Company on Company Request, or if then held by the Company, shall be discharged from such trust.</w:t>
      </w:r>
    </w:p>
    <w:p>
      <w:pPr>
        <w:spacing w:after="0" w:line="16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11.6</w:t>
      </w:r>
      <w:r>
        <w:rPr>
          <w:sz w:val="20"/>
          <w:szCs w:val="20"/>
          <w:color w:val="auto"/>
        </w:rPr>
        <w:tab/>
      </w:r>
      <w:r>
        <w:rPr>
          <w:rFonts w:ascii="Arial" w:cs="Arial" w:eastAsia="Arial" w:hAnsi="Arial"/>
          <w:sz w:val="16"/>
          <w:szCs w:val="16"/>
          <w:b w:val="1"/>
          <w:bCs w:val="1"/>
          <w:color w:val="auto"/>
        </w:rPr>
        <w:t>Securities Payable on Redemption Date.</w:t>
      </w:r>
    </w:p>
    <w:p>
      <w:pPr>
        <w:spacing w:after="0" w:line="229"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Notice of redemption having been given as aforesaid, the Securities so to be redeemed shall, on the Redemption Date, become due and payable at the Redemption Price therein specified, and from and after such date (unless the Company shall default in the payment of the Redemption Price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and accrued interest) such Securities shall cease to bear interest. Upon surrender of any such Security for redemption in accordance with said notice, such Security shall be paid by the Company at the Redemption Price, together with accrued interest to the Redemption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unless otherwise specified as contemplated by Section 3.1, installments of interest whose Stated Maturity is on or prior to the Redemption Date will be payable to the Holders of such Securities, or one or more Predecessor Securities, registered as such at the close of business on the relevant Record Dates according to their terms and the provisions of Section 3.7.</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any Security called for redemption shall not be so paid upon surrender thereof for redemption, the principal and any premium shall, until paid, bear interest from the Redemption Date at the rate prescribed therefor in the Security.</w:t>
      </w:r>
    </w:p>
    <w:p>
      <w:pPr>
        <w:spacing w:after="0" w:line="1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b w:val="1"/>
          <w:bCs w:val="1"/>
          <w:color w:val="auto"/>
        </w:rPr>
        <w:t>Securities Redeemed in Part.</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Any Security which is to be redeemed only in part shall be surrendered at a Place of Payment therefor (with, if the Company or the Trustee so requires, due endorsement by, or a written instrument of transfer in form satisfactory to the Company and the Trustee duly executed by, the Holder thereof or its attorney duly authorized in writing), and the Company shall execute, and the Trustee shall authenticate and deliver to the Holder of such Security without service charge, a new Security or Securities of the same series and of like tenor, of any authorized denomination as requested by such Holder, in aggregate principal amount equal to and in exchange for the unredeemed portion of the principal of the Security so surrendered.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SINKING FUNDS</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b w:val="1"/>
          <w:bCs w:val="1"/>
          <w:color w:val="auto"/>
        </w:rPr>
        <w:t>Applicability of Article.</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provisions of this Article shall be applicable to any sinking fund for the retirement of Securities of any series except as otherwise specified as contemplated by Section 3.1 for such Securities.</w:t>
      </w:r>
    </w:p>
    <w:p>
      <w:pPr>
        <w:spacing w:after="0" w:line="170"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minimum amount of any sinking fund payment provided for by the terms of any Securities is herein referred to as a “mandatory sinking fund payment,” and any payment in excess of such minimum amount provided for by the terms of such Securities is herein referred to as an “optional sinking fund payment.” If provided for by the terms of any Securities, the cash amount of any sinking fund payment may be subject to reduction as provided in Section 12.2. Each sinking fund payment shall be applied to the redemption of Securities as provided for by the terms of such Securities.</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12.2</w:t>
      </w:r>
      <w:r>
        <w:rPr>
          <w:sz w:val="20"/>
          <w:szCs w:val="20"/>
          <w:color w:val="auto"/>
        </w:rPr>
        <w:tab/>
      </w:r>
      <w:r>
        <w:rPr>
          <w:rFonts w:ascii="Arial" w:cs="Arial" w:eastAsia="Arial" w:hAnsi="Arial"/>
          <w:sz w:val="16"/>
          <w:szCs w:val="16"/>
          <w:b w:val="1"/>
          <w:bCs w:val="1"/>
          <w:color w:val="auto"/>
        </w:rPr>
        <w:t>Satisfaction of Sinking Fund Payments with Securities.</w:t>
      </w:r>
    </w:p>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Company (1) may deliver Outstanding Securities of a series (other than any previously called for redemption) and (2) may apply as a credit Securities of a series which have been redeemed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any Securities of such series required to be made pursuant to the terms of such Securities as and to the extent provided for by the terms of such Securities; provided that the Securities to be so credited have not been previously so credited. The Securities to be so credited shall be received and credited for such purpose by the Trustee at the Redemption Price, as specified in the Securities so to be redeemed, for redemption through operation of the sinking fund and the amount of such sinking fund payment shall be reduced accordingly.</w:t>
      </w:r>
    </w:p>
    <w:p>
      <w:pPr>
        <w:spacing w:after="0" w:line="189"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12.3</w:t>
      </w:r>
      <w:r>
        <w:rPr>
          <w:sz w:val="20"/>
          <w:szCs w:val="20"/>
          <w:color w:val="auto"/>
        </w:rPr>
        <w:tab/>
      </w:r>
      <w:r>
        <w:rPr>
          <w:rFonts w:ascii="Arial" w:cs="Arial" w:eastAsia="Arial" w:hAnsi="Arial"/>
          <w:sz w:val="16"/>
          <w:szCs w:val="16"/>
          <w:b w:val="1"/>
          <w:bCs w:val="1"/>
          <w:color w:val="auto"/>
        </w:rPr>
        <w:t>Redemption of Securities for Sinking Fund.</w:t>
      </w:r>
    </w:p>
    <w:p>
      <w:pPr>
        <w:spacing w:after="0" w:line="22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Not fewer than 60 days prior to each sinking fund payment date for any Securities, the Company will deliver to the Trustee an Officers’ Certificate specifying the amount of the next ensuing sinking fund payment for such Securities pursuant to the terms of such Securities, the portion thereof, if any, which is to be satisfied by payment of cash and the portion thereof, if any, which is to be satisfied by delivering and crediting Securities pursuant to Section 12.2 and will also deliver to the Trustee any Securities to be so delivered. Not fewer than 30 days prior to each such sinking fund payment date, the Trustee shall select the Securities to be redeemed upon such sinking fund payment date in the manner specified in Section 11.3 and cause notice of the redemption thereof to be given in the name of and at the expense of the Company in the manner provided in Section 11.4. Such notice having been duly given, the redemption of such Securities shall be made upon the terms and in the manner stated in Sections 11.6 and 11.7.</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DEFEASANCE AND COVENANT DEFEASANCE</w:t>
      </w:r>
    </w:p>
    <w:p>
      <w:pPr>
        <w:spacing w:after="0" w:line="22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13.1</w:t>
      </w:r>
      <w:r>
        <w:rPr>
          <w:sz w:val="20"/>
          <w:szCs w:val="20"/>
          <w:color w:val="auto"/>
        </w:rPr>
        <w:tab/>
      </w:r>
      <w:r>
        <w:rPr>
          <w:rFonts w:ascii="Arial" w:cs="Arial" w:eastAsia="Arial" w:hAnsi="Arial"/>
          <w:sz w:val="16"/>
          <w:szCs w:val="16"/>
          <w:b w:val="1"/>
          <w:bCs w:val="1"/>
          <w:color w:val="auto"/>
        </w:rPr>
        <w:t>Company’s Option to Effect Defeasance or Covenant Defeasance.</w:t>
      </w:r>
    </w:p>
    <w:p>
      <w:pPr>
        <w:sectPr>
          <w:pgSz w:w="11900" w:h="16838" w:orient="portrait"/>
          <w:cols w:equalWidth="0" w:num="1">
            <w:col w:w="11420"/>
          </w:cols>
          <w:pgMar w:left="240" w:top="125" w:right="239" w:bottom="0" w:gutter="0" w:footer="0" w:header="0"/>
        </w:sectPr>
      </w:pPr>
    </w:p>
    <w:bookmarkStart w:id="96" w:name="page97"/>
    <w:bookmarkEnd w:id="96"/>
    <w:p>
      <w:pPr>
        <w:spacing w:after="0" w:line="36" w:lineRule="exact"/>
        <w:rPr>
          <w:sz w:val="20"/>
          <w:szCs w:val="20"/>
          <w:color w:val="auto"/>
        </w:rPr>
      </w:pPr>
    </w:p>
    <w:p>
      <w:pPr>
        <w:jc w:val="both"/>
        <w:ind w:right="260" w:firstLine="648"/>
        <w:spacing w:after="0" w:line="279" w:lineRule="auto"/>
        <w:rPr>
          <w:sz w:val="20"/>
          <w:szCs w:val="20"/>
          <w:color w:val="auto"/>
        </w:rPr>
      </w:pPr>
      <w:r>
        <w:rPr>
          <w:rFonts w:ascii="Arial" w:cs="Arial" w:eastAsia="Arial" w:hAnsi="Arial"/>
          <w:sz w:val="17"/>
          <w:szCs w:val="17"/>
          <w:color w:val="auto"/>
        </w:rPr>
        <w:t>The Company may elect, at its option at any time, to have Section 13.2 or Section 13.3 applied to any Securities or any series of Securities, as the case may be, designated pursuant to Section 3.1 as being defeasible pursuant to such Section 13.2 or 13.3, in accordance with any applicable requirements provided pursuant to Section 3.1 and upon compliance with the conditions set forth below in this Article. Any such election shall be evidenced by a Board Resolution or in another manner specified as contemplated by Section 3.1 for such Securities.</w:t>
      </w:r>
    </w:p>
    <w:p>
      <w:pPr>
        <w:spacing w:after="0" w:line="167"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13.2</w:t>
      </w:r>
      <w:r>
        <w:rPr>
          <w:sz w:val="20"/>
          <w:szCs w:val="20"/>
          <w:color w:val="auto"/>
        </w:rPr>
        <w:tab/>
      </w:r>
      <w:r>
        <w:rPr>
          <w:rFonts w:ascii="Arial" w:cs="Arial" w:eastAsia="Arial" w:hAnsi="Arial"/>
          <w:sz w:val="15"/>
          <w:szCs w:val="15"/>
          <w:b w:val="1"/>
          <w:bCs w:val="1"/>
          <w:color w:val="auto"/>
        </w:rPr>
        <w:t>Defeasance and Discharge.</w:t>
      </w:r>
    </w:p>
    <w:p>
      <w:pPr>
        <w:spacing w:after="0" w:line="229"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Upon the Company’s exercise of its option (if any) to have this Section applied to any Securities or any series of Securities, as the case may be, the Company shall be deemed to have been discharged from its obligations, and the provisions of Article 15 shall cease to be effective, with respect to such Securities as provided in this Section on and after the date the conditions set forth in Section 13.4 are satisfied (hereinafter called “Defeasance”). For this purpose, such Defeasance means that the Company shall be deemed to have paid and discharged the entire indebtedness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represented by such Securities and to have satisfied all its other obligations under such Securities and this Indenture insofar as such Securities are concerned (and the Trustee, at the expense of the Company, shall execute proper instruments acknowledging the same), subject to the following which shall survive until otherwise terminated or discharged hereunder:</w:t>
      </w:r>
    </w:p>
    <w:p>
      <w:pPr>
        <w:spacing w:after="0" w:line="181" w:lineRule="exact"/>
        <w:rPr>
          <w:sz w:val="20"/>
          <w:szCs w:val="20"/>
          <w:color w:val="auto"/>
        </w:rPr>
      </w:pPr>
    </w:p>
    <w:p>
      <w:pPr>
        <w:ind w:left="660" w:right="20" w:firstLine="645"/>
        <w:spacing w:after="0" w:line="308" w:lineRule="auto"/>
        <w:tabs>
          <w:tab w:leader="none" w:pos="1939"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rights of Holders of such Securities to receive, solely from the trust fund described in Section 13.4 and as more fully set forth in such Section, payments in respect of the principal of and any premium and interest on such Securities when payments are due,</w:t>
      </w:r>
    </w:p>
    <w:p>
      <w:pPr>
        <w:spacing w:after="0" w:line="146" w:lineRule="exact"/>
        <w:rPr>
          <w:rFonts w:ascii="Arial" w:cs="Arial" w:eastAsia="Arial" w:hAnsi="Arial"/>
          <w:sz w:val="17"/>
          <w:szCs w:val="17"/>
          <w:color w:val="auto"/>
        </w:rPr>
      </w:pPr>
    </w:p>
    <w:p>
      <w:pPr>
        <w:ind w:left="1940" w:hanging="635"/>
        <w:spacing w:after="0"/>
        <w:tabs>
          <w:tab w:leader="none" w:pos="19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Company’s obligations with respect to such Securities under Sections 3.4, 3.5, 3.6, 10.2 and 10.3, and, if applicable, Article 14,</w:t>
      </w:r>
    </w:p>
    <w:p>
      <w:pPr>
        <w:spacing w:after="0" w:line="248" w:lineRule="exact"/>
        <w:rPr>
          <w:rFonts w:ascii="Arial" w:cs="Arial" w:eastAsia="Arial" w:hAnsi="Arial"/>
          <w:sz w:val="16"/>
          <w:szCs w:val="16"/>
          <w:color w:val="auto"/>
        </w:rPr>
      </w:pPr>
    </w:p>
    <w:p>
      <w:pPr>
        <w:ind w:left="1940" w:hanging="635"/>
        <w:spacing w:after="0"/>
        <w:tabs>
          <w:tab w:leader="none" w:pos="19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hereunder, and</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this Article.</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Subject to compliance with this Article, the Company may exercise its option (if any) to have this Section applied to any Securities notwithstanding the prior exercise of its option (if any) to have Section 13.3 applied to such Securities.</w:t>
      </w:r>
    </w:p>
    <w:p>
      <w:pPr>
        <w:spacing w:after="0" w:line="16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13.3</w:t>
      </w:r>
      <w:r>
        <w:rPr>
          <w:sz w:val="20"/>
          <w:szCs w:val="20"/>
          <w:color w:val="auto"/>
        </w:rPr>
        <w:tab/>
      </w:r>
      <w:r>
        <w:rPr>
          <w:rFonts w:ascii="Arial" w:cs="Arial" w:eastAsia="Arial" w:hAnsi="Arial"/>
          <w:sz w:val="15"/>
          <w:szCs w:val="15"/>
          <w:b w:val="1"/>
          <w:bCs w:val="1"/>
          <w:color w:val="auto"/>
        </w:rPr>
        <w:t>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Upon the Company’s exercise of its option (if any) to have this Section applied to any Securities or any series of Securities, as the case may be,</w:t>
      </w:r>
    </w:p>
    <w:p>
      <w:pPr>
        <w:spacing w:after="0" w:line="248" w:lineRule="exact"/>
        <w:rPr>
          <w:sz w:val="20"/>
          <w:szCs w:val="20"/>
          <w:color w:val="auto"/>
        </w:rPr>
      </w:pPr>
    </w:p>
    <w:p>
      <w:pPr>
        <w:ind w:left="660" w:right="780" w:firstLine="645"/>
        <w:spacing w:after="0" w:line="277" w:lineRule="auto"/>
        <w:tabs>
          <w:tab w:leader="none" w:pos="193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be released from its obligations under Sections 10.6 and 10.7 and any covenants provided pursuant to Sections 3.1(19), 9.1(2) or 9.1(7) for the benefit of the Holders of such Securities,</w:t>
      </w:r>
    </w:p>
    <w:p>
      <w:pPr>
        <w:spacing w:after="0" w:line="170" w:lineRule="exact"/>
        <w:rPr>
          <w:rFonts w:ascii="Arial" w:cs="Arial" w:eastAsia="Arial" w:hAnsi="Arial"/>
          <w:sz w:val="18"/>
          <w:szCs w:val="18"/>
          <w:color w:val="auto"/>
        </w:rPr>
      </w:pPr>
    </w:p>
    <w:p>
      <w:pPr>
        <w:ind w:left="660" w:right="100" w:firstLine="645"/>
        <w:spacing w:after="0" w:line="264" w:lineRule="auto"/>
        <w:tabs>
          <w:tab w:leader="none" w:pos="193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occurrence of any event specified in Section 5.1(4) (with respect to any of Sections 10.6 and 10.7 and any such covenants provided pursuant to Section 3.1(19), 9.1(2) or 9.1(7)) and the occurrence of any Event of Default specified pursuant to Section 3.1 shall be deemed not to be or result in an Event of Default, and</w:t>
      </w:r>
    </w:p>
    <w:p>
      <w:pPr>
        <w:spacing w:after="0" w:line="181" w:lineRule="exact"/>
        <w:rPr>
          <w:rFonts w:ascii="Arial" w:cs="Arial" w:eastAsia="Arial" w:hAnsi="Arial"/>
          <w:sz w:val="18"/>
          <w:szCs w:val="18"/>
          <w:color w:val="auto"/>
        </w:rPr>
      </w:pPr>
    </w:p>
    <w:p>
      <w:pPr>
        <w:ind w:left="1940" w:hanging="635"/>
        <w:spacing w:after="0"/>
        <w:tabs>
          <w:tab w:leader="none" w:pos="194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provisions of Article 15 shall cease to be effective,</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each case with respect to such Securities or any series of Securities as provided in this Section on and after the date the conditions set forth in Section 13.4 are satisfied (hereinafter called “Covenant Defeasance”). For this purpose, such Covenant Defeasance means that, with respect to such Securities, the Company may omit to comply with and shall have no liability in respect of any term, condition or limitation set forth in any such specified Section (to the extent so specified in the case of Section 5.1(4) and the occurrence of any Event of Default specified pursuant to Section 3.1) or Article 15, whether directly or indirectly by reason of any reference elsewhere herein to any such Section or Article or by reason of any reference in any such Section or Article to any other provision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herein or in any other document, but the remainder of this Indenture and such Securities shall be unaffected thereby.</w:t>
      </w:r>
    </w:p>
    <w:p>
      <w:pPr>
        <w:spacing w:after="0" w:line="22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Section 13.4</w:t>
      </w:r>
      <w:r>
        <w:rPr>
          <w:sz w:val="20"/>
          <w:szCs w:val="20"/>
          <w:color w:val="auto"/>
        </w:rPr>
        <w:tab/>
      </w:r>
      <w:r>
        <w:rPr>
          <w:rFonts w:ascii="Arial" w:cs="Arial" w:eastAsia="Arial" w:hAnsi="Arial"/>
          <w:sz w:val="15"/>
          <w:szCs w:val="15"/>
          <w:b w:val="1"/>
          <w:bCs w:val="1"/>
          <w:color w:val="auto"/>
        </w:rPr>
        <w:t>Conditions to Defeasance or Covenant Defeasance.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shall be the conditions to the application of Section 13.2 or Section 13.3 to any Securities or any series of Securities, as the case may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w:t>
      </w:r>
    </w:p>
    <w:p>
      <w:pPr>
        <w:spacing w:after="0" w:line="211" w:lineRule="exact"/>
        <w:rPr>
          <w:sz w:val="20"/>
          <w:szCs w:val="20"/>
          <w:color w:val="auto"/>
        </w:rPr>
      </w:pPr>
    </w:p>
    <w:p>
      <w:pPr>
        <w:ind w:left="660" w:right="280" w:firstLine="645"/>
        <w:spacing w:after="0" w:line="259" w:lineRule="auto"/>
        <w:tabs>
          <w:tab w:leader="none" w:pos="1939"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Company shall irrevocably have deposited or caused to be deposited with the Trustee (or another trustee which satisfies the requirements contemplated by Section 6.9 and agrees to comply with the provisions of this Article applicable to it) as trust funds in trust for the purpose of making the following payments, specifically pledged as security for, and dedicated solely to, the benefits of the Holders of such Securities,</w:t>
      </w:r>
    </w:p>
    <w:p>
      <w:pPr>
        <w:spacing w:after="0" w:line="186" w:lineRule="exact"/>
        <w:rPr>
          <w:rFonts w:ascii="Arial" w:cs="Arial" w:eastAsia="Arial" w:hAnsi="Arial"/>
          <w:sz w:val="18"/>
          <w:szCs w:val="18"/>
          <w:color w:val="auto"/>
        </w:rPr>
      </w:pPr>
    </w:p>
    <w:p>
      <w:pPr>
        <w:ind w:left="2580" w:hanging="627"/>
        <w:spacing w:after="0"/>
        <w:tabs>
          <w:tab w:leader="none" w:pos="25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of the United States of America,</w:t>
      </w:r>
    </w:p>
    <w:p>
      <w:pPr>
        <w:spacing w:after="0" w:line="225" w:lineRule="exact"/>
        <w:rPr>
          <w:rFonts w:ascii="Arial" w:cs="Arial" w:eastAsia="Arial" w:hAnsi="Arial"/>
          <w:sz w:val="18"/>
          <w:szCs w:val="18"/>
          <w:color w:val="auto"/>
        </w:rPr>
      </w:pPr>
    </w:p>
    <w:p>
      <w:pPr>
        <w:ind w:left="3220" w:hanging="619"/>
        <w:spacing w:after="0"/>
        <w:tabs>
          <w:tab w:leader="none" w:pos="322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cash in currency of the United States of America in an amount, or</w:t>
      </w:r>
    </w:p>
    <w:p>
      <w:pPr>
        <w:spacing w:after="0" w:line="225" w:lineRule="exact"/>
        <w:rPr>
          <w:rFonts w:ascii="Arial" w:cs="Arial" w:eastAsia="Arial" w:hAnsi="Arial"/>
          <w:sz w:val="18"/>
          <w:szCs w:val="18"/>
          <w:color w:val="auto"/>
        </w:rPr>
      </w:pPr>
    </w:p>
    <w:p>
      <w:pPr>
        <w:ind w:left="1960" w:firstLine="641"/>
        <w:spacing w:after="0" w:line="342" w:lineRule="auto"/>
        <w:tabs>
          <w:tab w:leader="none" w:pos="3249" w:val="left"/>
        </w:tabs>
        <w:numPr>
          <w:ilvl w:val="2"/>
          <w:numId w:val="118"/>
        </w:numPr>
        <w:rPr>
          <w:rFonts w:ascii="Arial" w:cs="Arial" w:eastAsia="Arial" w:hAnsi="Arial"/>
          <w:sz w:val="16"/>
          <w:szCs w:val="16"/>
          <w:color w:val="auto"/>
        </w:rPr>
      </w:pPr>
      <w:r>
        <w:rPr>
          <w:rFonts w:ascii="Arial" w:cs="Arial" w:eastAsia="Arial" w:hAnsi="Arial"/>
          <w:sz w:val="16"/>
          <w:szCs w:val="16"/>
          <w:color w:val="auto"/>
        </w:rPr>
        <w:t>U.S. Government Obligations which through the scheduled payment of principal and interest in respect thereof in accordance with their terms will provide, not later than one day before the due date of any payment, an amount in cash, or</w:t>
      </w:r>
    </w:p>
    <w:p>
      <w:pPr>
        <w:spacing w:after="0" w:line="123" w:lineRule="exact"/>
        <w:rPr>
          <w:rFonts w:ascii="Arial" w:cs="Arial" w:eastAsia="Arial" w:hAnsi="Arial"/>
          <w:sz w:val="16"/>
          <w:szCs w:val="16"/>
          <w:color w:val="auto"/>
        </w:rPr>
      </w:pPr>
    </w:p>
    <w:p>
      <w:pPr>
        <w:ind w:left="3260" w:hanging="659"/>
        <w:spacing w:after="0"/>
        <w:tabs>
          <w:tab w:leader="none" w:pos="3260" w:val="left"/>
        </w:tabs>
        <w:numPr>
          <w:ilvl w:val="2"/>
          <w:numId w:val="118"/>
        </w:numPr>
        <w:rPr>
          <w:rFonts w:ascii="Arial" w:cs="Arial" w:eastAsia="Arial" w:hAnsi="Arial"/>
          <w:sz w:val="18"/>
          <w:szCs w:val="18"/>
          <w:color w:val="auto"/>
        </w:rPr>
      </w:pPr>
      <w:r>
        <w:rPr>
          <w:rFonts w:ascii="Arial" w:cs="Arial" w:eastAsia="Arial" w:hAnsi="Arial"/>
          <w:sz w:val="18"/>
          <w:szCs w:val="18"/>
          <w:color w:val="auto"/>
        </w:rPr>
        <w:t>a combination thereof, or</w:t>
      </w:r>
    </w:p>
    <w:p>
      <w:pPr>
        <w:sectPr>
          <w:pgSz w:w="11900" w:h="16874" w:orient="portrait"/>
          <w:cols w:equalWidth="0" w:num="1">
            <w:col w:w="11420"/>
          </w:cols>
          <w:pgMar w:left="240" w:top="125" w:right="239" w:bottom="0" w:gutter="0" w:footer="0" w:header="0"/>
        </w:sectPr>
      </w:pPr>
    </w:p>
    <w:bookmarkStart w:id="97" w:name="page98"/>
    <w:bookmarkEnd w:id="97"/>
    <w:p>
      <w:pPr>
        <w:ind w:left="1960" w:hanging="667"/>
        <w:spacing w:after="0"/>
        <w:tabs>
          <w:tab w:leader="none" w:pos="19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Securities of a series denominated in currency other than that of the United States of America,</w:t>
      </w:r>
    </w:p>
    <w:p>
      <w:pPr>
        <w:spacing w:after="0" w:line="225" w:lineRule="exact"/>
        <w:rPr>
          <w:rFonts w:ascii="Arial" w:cs="Arial" w:eastAsia="Arial" w:hAnsi="Arial"/>
          <w:sz w:val="18"/>
          <w:szCs w:val="18"/>
          <w:color w:val="auto"/>
        </w:rPr>
      </w:pPr>
    </w:p>
    <w:p>
      <w:pPr>
        <w:ind w:left="2560" w:hanging="619"/>
        <w:spacing w:after="0"/>
        <w:tabs>
          <w:tab w:leader="none" w:pos="25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cash in the currency in which such series of Securities is denominated in an amount, or</w:t>
      </w:r>
    </w:p>
    <w:p>
      <w:pPr>
        <w:spacing w:after="0" w:line="225" w:lineRule="exact"/>
        <w:rPr>
          <w:rFonts w:ascii="Arial" w:cs="Arial" w:eastAsia="Arial" w:hAnsi="Arial"/>
          <w:sz w:val="18"/>
          <w:szCs w:val="18"/>
          <w:color w:val="auto"/>
        </w:rPr>
      </w:pPr>
    </w:p>
    <w:p>
      <w:pPr>
        <w:ind w:left="1300" w:right="140" w:firstLine="641"/>
        <w:spacing w:after="0" w:line="264" w:lineRule="auto"/>
        <w:tabs>
          <w:tab w:leader="none" w:pos="2589" w:val="left"/>
        </w:tabs>
        <w:numPr>
          <w:ilvl w:val="1"/>
          <w:numId w:val="119"/>
        </w:numPr>
        <w:rPr>
          <w:rFonts w:ascii="Arial" w:cs="Arial" w:eastAsia="Arial" w:hAnsi="Arial"/>
          <w:sz w:val="18"/>
          <w:szCs w:val="18"/>
          <w:color w:val="auto"/>
        </w:rPr>
      </w:pPr>
      <w:r>
        <w:rPr>
          <w:rFonts w:ascii="Arial" w:cs="Arial" w:eastAsia="Arial" w:hAnsi="Arial"/>
          <w:sz w:val="18"/>
          <w:szCs w:val="18"/>
          <w:color w:val="auto"/>
        </w:rPr>
        <w:t>Foreign Government Obligations which through the scheduled payment of principal and interest in respect thereof in accordance with their terms will provide, not later than one day before the due date of any payment, an amount in cash, or</w:t>
      </w:r>
    </w:p>
    <w:p>
      <w:pPr>
        <w:spacing w:after="0" w:line="181" w:lineRule="exact"/>
        <w:rPr>
          <w:rFonts w:ascii="Arial" w:cs="Arial" w:eastAsia="Arial" w:hAnsi="Arial"/>
          <w:sz w:val="18"/>
          <w:szCs w:val="18"/>
          <w:color w:val="auto"/>
        </w:rPr>
      </w:pPr>
    </w:p>
    <w:p>
      <w:pPr>
        <w:ind w:left="2600" w:hanging="659"/>
        <w:spacing w:after="0"/>
        <w:tabs>
          <w:tab w:leader="none" w:pos="260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 combination thereof,</w:t>
      </w:r>
    </w:p>
    <w:p>
      <w:pPr>
        <w:spacing w:after="0" w:line="225"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each case sufficient, in the opinion of a nationally recognized firm of independent public accountants expressed in a written certification thereof delivered to the Trustee, to pay and discharge, and which shall be applied by the Trustee (or any such other qualifying trustee) to pay and discharge, the principal of and any premium and interest on such Securities on the</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respective Stated Maturities, in accordance with the terms of this Indenture and such Securities.</w:t>
      </w:r>
    </w:p>
    <w:p>
      <w:pPr>
        <w:spacing w:after="0" w:line="225" w:lineRule="exact"/>
        <w:rPr>
          <w:sz w:val="20"/>
          <w:szCs w:val="20"/>
          <w:color w:val="auto"/>
        </w:rPr>
      </w:pPr>
    </w:p>
    <w:p>
      <w:pPr>
        <w:ind w:right="20" w:firstLine="645"/>
        <w:spacing w:after="0" w:line="277" w:lineRule="auto"/>
        <w:tabs>
          <w:tab w:leader="none" w:pos="127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the event of an election to have Section 13.2 apply to any Securities or any series of Securities, as the case may be, the Company shall have delivered to the Trustee an Opinion of Counsel stating that</w:t>
      </w:r>
    </w:p>
    <w:p>
      <w:pPr>
        <w:spacing w:after="0" w:line="170" w:lineRule="exact"/>
        <w:rPr>
          <w:rFonts w:ascii="Arial" w:cs="Arial" w:eastAsia="Arial" w:hAnsi="Arial"/>
          <w:sz w:val="18"/>
          <w:szCs w:val="18"/>
          <w:color w:val="auto"/>
        </w:rPr>
      </w:pPr>
    </w:p>
    <w:p>
      <w:pPr>
        <w:ind w:left="1920" w:hanging="627"/>
        <w:spacing w:after="0"/>
        <w:tabs>
          <w:tab w:leader="none" w:pos="192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Company has received from, or there has been published by, the Internal Revenue Service a ruling or</w:t>
      </w:r>
    </w:p>
    <w:p>
      <w:pPr>
        <w:spacing w:after="0" w:line="225" w:lineRule="exact"/>
        <w:rPr>
          <w:rFonts w:ascii="Arial" w:cs="Arial" w:eastAsia="Arial" w:hAnsi="Arial"/>
          <w:sz w:val="18"/>
          <w:szCs w:val="18"/>
          <w:color w:val="auto"/>
        </w:rPr>
      </w:pPr>
    </w:p>
    <w:p>
      <w:pPr>
        <w:ind w:left="1960" w:hanging="667"/>
        <w:spacing w:after="0"/>
        <w:tabs>
          <w:tab w:leader="none" w:pos="19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since the date of this instrument, there has been a change in the applicable Federal income tax law,</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either case (A) or (B) to the effect that, and based thereon such opinion shall confirm that, the Holders of such Securities will not recognize gain or loss for Federal income tax purposes as a result of the deposit, Defeasance and discharge to be effected with respect to such Securities and will be subject to Federal income tax on the same amount, in the same manner and at the same times as would be the case if such deposit, Defeasance and discharge were not to occur.</w:t>
      </w:r>
    </w:p>
    <w:p>
      <w:pPr>
        <w:spacing w:after="0" w:line="187" w:lineRule="exact"/>
        <w:rPr>
          <w:sz w:val="20"/>
          <w:szCs w:val="20"/>
          <w:color w:val="auto"/>
        </w:rPr>
      </w:pPr>
    </w:p>
    <w:p>
      <w:pPr>
        <w:ind w:firstLine="645"/>
        <w:spacing w:after="0" w:line="257" w:lineRule="auto"/>
        <w:tabs>
          <w:tab w:leader="none" w:pos="127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the event of an election to have Section 13.3 apply to any Securities or any series of Securities, as the case may be, the Company shall have delivered to the Trustee an Opinion of Counsel to the effect that the Holders of such Securities will not recognize gain or loss for Federal income tax purposes as a result of the deposit and Covenant Defeasance to be effected with respect to such Securities and will be subject to Federal income tax on the same amount, in the same manner and at the same times as would be the case if such deposit and Covenant Defeasance were not to occur.</w:t>
      </w:r>
    </w:p>
    <w:p>
      <w:pPr>
        <w:spacing w:after="0" w:line="188" w:lineRule="exact"/>
        <w:rPr>
          <w:rFonts w:ascii="Arial" w:cs="Arial" w:eastAsia="Arial" w:hAnsi="Arial"/>
          <w:sz w:val="18"/>
          <w:szCs w:val="18"/>
          <w:color w:val="auto"/>
        </w:rPr>
      </w:pPr>
    </w:p>
    <w:p>
      <w:pPr>
        <w:ind w:right="340" w:firstLine="645"/>
        <w:spacing w:after="0" w:line="277" w:lineRule="auto"/>
        <w:tabs>
          <w:tab w:leader="none" w:pos="127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to the effect that neither such Securities nor any other Securities of the same series, if then listed on any securities exchange, will be delisted as a result of such deposit.</w:t>
      </w:r>
    </w:p>
    <w:p>
      <w:pPr>
        <w:spacing w:after="0" w:line="170" w:lineRule="exact"/>
        <w:rPr>
          <w:rFonts w:ascii="Arial" w:cs="Arial" w:eastAsia="Arial" w:hAnsi="Arial"/>
          <w:sz w:val="18"/>
          <w:szCs w:val="18"/>
          <w:color w:val="auto"/>
        </w:rPr>
      </w:pPr>
    </w:p>
    <w:p>
      <w:pPr>
        <w:ind w:right="20" w:firstLine="645"/>
        <w:spacing w:after="0" w:line="291" w:lineRule="auto"/>
        <w:tabs>
          <w:tab w:leader="none" w:pos="127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No event which is, or after notice or lapse of time or both would become, an Event of Default with respect to such Securities or any other Securities shall have occurred and be continuing at the time of such deposit or, with regard to any such event specified in Sections 5.1(5) and</w:t>
      </w: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(6), at any time on or prior to the 90th day after the date of such deposit (it being understood that this condition shall not be deemed satisfied until after such 90th day).</w:t>
      </w:r>
    </w:p>
    <w:p>
      <w:pPr>
        <w:spacing w:after="0" w:line="183" w:lineRule="exact"/>
        <w:rPr>
          <w:rFonts w:ascii="Arial" w:cs="Arial" w:eastAsia="Arial" w:hAnsi="Arial"/>
          <w:sz w:val="16"/>
          <w:szCs w:val="16"/>
          <w:color w:val="auto"/>
        </w:rPr>
      </w:pPr>
    </w:p>
    <w:p>
      <w:pPr>
        <w:ind w:right="100" w:firstLine="645"/>
        <w:spacing w:after="0" w:line="277" w:lineRule="auto"/>
        <w:tabs>
          <w:tab w:leader="none" w:pos="127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Such Defeasance or Covenant Defeasance shall not cause the Trustee to have a conflicting interest within the meaning of the Trust Indenture Act (assuming all Securities are in default within the meaning of such Act).</w:t>
      </w:r>
    </w:p>
    <w:p>
      <w:pPr>
        <w:spacing w:after="0" w:line="17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40" w:firstLine="645"/>
        <w:spacing w:after="0" w:line="277" w:lineRule="auto"/>
        <w:tabs>
          <w:tab w:leader="none" w:pos="129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right="560" w:firstLine="645"/>
        <w:spacing w:after="0" w:line="264" w:lineRule="auto"/>
        <w:tabs>
          <w:tab w:leader="none" w:pos="129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Such Defeasance or Covenant Defeasance shall not result in the trust arising from such deposit constituting an investment company within the meaning of the Investment Company Act unless such trust shall be registered under such Act or exempt from registration thereunder.</w:t>
      </w:r>
    </w:p>
    <w:p>
      <w:pPr>
        <w:spacing w:after="0" w:line="181" w:lineRule="exact"/>
        <w:rPr>
          <w:rFonts w:ascii="Arial" w:cs="Arial" w:eastAsia="Arial" w:hAnsi="Arial"/>
          <w:sz w:val="18"/>
          <w:szCs w:val="18"/>
          <w:color w:val="auto"/>
        </w:rPr>
      </w:pPr>
    </w:p>
    <w:p>
      <w:pPr>
        <w:ind w:left="1280" w:hanging="635"/>
        <w:spacing w:after="0"/>
        <w:tabs>
          <w:tab w:leader="none" w:pos="12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 the time of such deposit,</w:t>
      </w:r>
    </w:p>
    <w:p>
      <w:pPr>
        <w:spacing w:after="0" w:line="225" w:lineRule="exact"/>
        <w:rPr>
          <w:rFonts w:ascii="Arial" w:cs="Arial" w:eastAsia="Arial" w:hAnsi="Arial"/>
          <w:sz w:val="18"/>
          <w:szCs w:val="18"/>
          <w:color w:val="auto"/>
        </w:rPr>
      </w:pPr>
    </w:p>
    <w:p>
      <w:pPr>
        <w:ind w:left="2000" w:hanging="707"/>
        <w:spacing w:after="0"/>
        <w:tabs>
          <w:tab w:leader="none" w:pos="200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no default in the payment of any principal of or premium or interest on any Senior Debt shall have occurred and be</w:t>
      </w:r>
    </w:p>
    <w:p>
      <w:pPr>
        <w:spacing w:after="0" w:line="34" w:lineRule="exact"/>
        <w:rPr>
          <w:rFonts w:ascii="Arial" w:cs="Arial" w:eastAsia="Arial" w:hAnsi="Arial"/>
          <w:sz w:val="17"/>
          <w:szCs w:val="17"/>
          <w:color w:val="auto"/>
        </w:rPr>
      </w:pPr>
    </w:p>
    <w:p>
      <w:pPr>
        <w:ind w:left="640"/>
        <w:spacing w:after="0"/>
        <w:rPr>
          <w:rFonts w:ascii="Arial" w:cs="Arial" w:eastAsia="Arial" w:hAnsi="Arial"/>
          <w:sz w:val="17"/>
          <w:szCs w:val="17"/>
          <w:color w:val="auto"/>
        </w:rPr>
      </w:pPr>
      <w:r>
        <w:rPr>
          <w:rFonts w:ascii="Arial" w:cs="Arial" w:eastAsia="Arial" w:hAnsi="Arial"/>
          <w:sz w:val="18"/>
          <w:szCs w:val="18"/>
          <w:color w:val="auto"/>
        </w:rPr>
        <w:t>continuing,</w:t>
      </w:r>
    </w:p>
    <w:p>
      <w:pPr>
        <w:spacing w:after="0" w:line="210" w:lineRule="exact"/>
        <w:rPr>
          <w:rFonts w:ascii="Arial" w:cs="Arial" w:eastAsia="Arial" w:hAnsi="Arial"/>
          <w:sz w:val="17"/>
          <w:szCs w:val="17"/>
          <w:color w:val="auto"/>
        </w:rPr>
      </w:pPr>
    </w:p>
    <w:p>
      <w:pPr>
        <w:ind w:left="640" w:right="100" w:firstLine="653"/>
        <w:spacing w:after="0" w:line="264" w:lineRule="auto"/>
        <w:tabs>
          <w:tab w:leader="none" w:pos="202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 event of default with respect to any Senior Debt shall have resulted in such Senior Debt becoming, and continuing to be, due and payable prior to the date on which it would otherwise have become due and payable (unless payment of such Senior Debt has been made or duly provided for), and</w:t>
      </w:r>
    </w:p>
    <w:p>
      <w:pPr>
        <w:spacing w:after="0" w:line="181" w:lineRule="exact"/>
        <w:rPr>
          <w:rFonts w:ascii="Arial" w:cs="Arial" w:eastAsia="Arial" w:hAnsi="Arial"/>
          <w:sz w:val="18"/>
          <w:szCs w:val="18"/>
          <w:color w:val="auto"/>
        </w:rPr>
      </w:pPr>
    </w:p>
    <w:p>
      <w:pPr>
        <w:ind w:left="640" w:right="160" w:firstLine="653"/>
        <w:spacing w:after="0" w:line="264" w:lineRule="auto"/>
        <w:tabs>
          <w:tab w:leader="none" w:pos="2023" w:val="left"/>
        </w:tabs>
        <w:numPr>
          <w:ilvl w:val="1"/>
          <w:numId w:val="122"/>
        </w:numPr>
        <w:rPr>
          <w:rFonts w:ascii="Arial" w:cs="Arial" w:eastAsia="Arial" w:hAnsi="Arial"/>
          <w:sz w:val="18"/>
          <w:szCs w:val="18"/>
          <w:color w:val="auto"/>
        </w:rPr>
      </w:pPr>
      <w:r>
        <w:rPr>
          <w:rFonts w:ascii="Arial" w:cs="Arial" w:eastAsia="Arial" w:hAnsi="Arial"/>
          <w:sz w:val="18"/>
          <w:szCs w:val="18"/>
          <w:color w:val="auto"/>
        </w:rPr>
        <w:t>no other event of default with respect to any Senior Debt shall have occurred and be continuing permitting (after notice or lapse of time or both) the holders of such Senior Debt (or a trustee on behalf of such holders) to declare such Senior Debt due and payable prior to the date on which it would otherwise have become due and payable.</w:t>
      </w:r>
    </w:p>
    <w:p>
      <w:pPr>
        <w:spacing w:after="0" w:line="181" w:lineRule="exact"/>
        <w:rPr>
          <w:rFonts w:ascii="Arial" w:cs="Arial" w:eastAsia="Arial" w:hAnsi="Arial"/>
          <w:sz w:val="18"/>
          <w:szCs w:val="18"/>
          <w:color w:val="auto"/>
        </w:rPr>
      </w:pPr>
    </w:p>
    <w:p>
      <w:pPr>
        <w:ind w:right="760" w:firstLine="645"/>
        <w:spacing w:after="0" w:line="277" w:lineRule="auto"/>
        <w:tabs>
          <w:tab w:leader="none" w:pos="1299"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with respect to such Defeasance or Covenant Defeasance have been complied with.</w:t>
      </w:r>
    </w:p>
    <w:p>
      <w:pPr>
        <w:sectPr>
          <w:pgSz w:w="11900" w:h="16838" w:orient="portrait"/>
          <w:cols w:equalWidth="0" w:num="1">
            <w:col w:w="10760"/>
          </w:cols>
          <w:pgMar w:left="900" w:top="341" w:right="239" w:bottom="0" w:gutter="0" w:footer="0" w:header="0"/>
        </w:sectPr>
      </w:pPr>
    </w:p>
    <w:bookmarkStart w:id="98" w:name="page99"/>
    <w:bookmarkEnd w:id="98"/>
    <w:p>
      <w:pPr>
        <w:spacing w:after="0" w:line="79"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Section 13.5 Deposited Money, U.S. Government Obligations and Foreign Government Obligations to be Held in Trust; Miscellaneous Provisions</w:t>
      </w:r>
      <w:r>
        <w:rPr>
          <w:rFonts w:ascii="Arial" w:cs="Arial" w:eastAsia="Arial" w:hAnsi="Arial"/>
          <w:sz w:val="18"/>
          <w:szCs w:val="18"/>
          <w:color w:val="auto"/>
        </w:rPr>
        <w:t>.</w:t>
      </w:r>
    </w:p>
    <w:p>
      <w:pPr>
        <w:spacing w:after="0" w:line="166"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Subject to the provisions of the last paragraph of Section 10.3, all money, U.S. Government Obligations and Foreign Government Obligations (including the proceeds thereof) deposited with the Trustee or other qualifying trustee (solely for purposes of this Section and Section 13.6, the Trustee and any such other trustee are referred to collectively as the “Trustee”) pursuant to Section 13.4 in respect of any Securities shall be held in trust and applied by the Trustee, in accordance with the provisions of such Securities and this Indenture, to the payment, either directly or through any such Paying Agent (including the Company acting as its own Paying Agent) as the Trustee may determine, to the Holders of such Securities, of all sums due and to become due thereon in respect of principal and any premium and interest, but money so held in trust need not be segregated from other funds except to the extent required by law. Money, U.S. Government Obligations and Foreign Government Obligations so held in trust shall not be subject to the provisions of Article 15.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The Company shall pay and indemnify the Trustee against any tax, fee or other charge imposed on or assessed against the U.S. Government Obligations or Foreign Government Obligations deposited pursuant to Section 13.4 or the principal and interest received in respect thereof other than any such tax, fee or other charge which by law is for the account of the Holders of Outstanding Securities.</w:t>
      </w:r>
    </w:p>
    <w:p>
      <w:pPr>
        <w:spacing w:after="0" w:line="181"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Anything in this Article to the contrary notwithstanding, the Trustee shall deliver or pay to the Company from time to time upon Company Request any money, U.S. Government Obligations or Foreign Government Obligations held by it as provided in Section 13.4 with respect to any Securities which, in the opinion of a nationally recognized firm of independent public accountants expressed in a written certification thereof delivered to the Trustee, are in excess of the amount thereof which would then be required to be deposited to effect the Defeasance or Covenant Defeasance, as the case may be, with respect to such Securities.</w:t>
      </w:r>
    </w:p>
    <w:p>
      <w:pPr>
        <w:spacing w:after="0" w:line="18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13.6</w:t>
      </w:r>
      <w:r>
        <w:rPr>
          <w:sz w:val="20"/>
          <w:szCs w:val="20"/>
          <w:color w:val="auto"/>
        </w:rPr>
        <w:tab/>
      </w:r>
      <w:r>
        <w:rPr>
          <w:rFonts w:ascii="Arial" w:cs="Arial" w:eastAsia="Arial" w:hAnsi="Arial"/>
          <w:sz w:val="15"/>
          <w:szCs w:val="15"/>
          <w:b w:val="1"/>
          <w:bCs w:val="1"/>
          <w:color w:val="auto"/>
        </w:rPr>
        <w:t>Reinstatement</w:t>
      </w:r>
      <w:r>
        <w:rPr>
          <w:rFonts w:ascii="Arial" w:cs="Arial" w:eastAsia="Arial" w:hAnsi="Arial"/>
          <w:sz w:val="15"/>
          <w:szCs w:val="15"/>
          <w:color w:val="auto"/>
        </w:rPr>
        <w:t>.</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If the Trustee or the Paying Agent is unable to apply any money in accordance with this Article with respect to any Securities by reason of any order or judgment of any court or governmental authority enjoining, restraining or otherwise prohibiting such application, then the obligations under this Indenture and such Securities from which the Company has been discharged or released pursuant to Section 13.2 or 13.3 shall be revived and reinstated as though no deposit had occurred pursuant to this Article with respect to such Securities, until such time as the Trustee or Paying Agent is permitted to apply all money held in trust pursuant to Section 13.5 with respect to such Securities in accordance with this Article;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makes any payment of principal of or any premium or interest on any such Security following such reinstatement of its obligations, the Company shall be subrogated to the rights (if any) of the Holders of such Securities to receive such payment from the money so held in trust.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OF SECURITIES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14.1</w:t>
      </w:r>
      <w:r>
        <w:rPr>
          <w:sz w:val="20"/>
          <w:szCs w:val="20"/>
          <w:color w:val="auto"/>
        </w:rPr>
        <w:tab/>
      </w:r>
      <w:r>
        <w:rPr>
          <w:rFonts w:ascii="Arial" w:cs="Arial" w:eastAsia="Arial" w:hAnsi="Arial"/>
          <w:sz w:val="16"/>
          <w:szCs w:val="16"/>
          <w:b w:val="1"/>
          <w:bCs w:val="1"/>
          <w:color w:val="auto"/>
        </w:rPr>
        <w:t>Applicability of Article</w:t>
      </w:r>
      <w:r>
        <w:rPr>
          <w:rFonts w:ascii="Arial" w:cs="Arial" w:eastAsia="Arial" w:hAnsi="Arial"/>
          <w:sz w:val="16"/>
          <w:szCs w:val="16"/>
          <w:color w:val="auto"/>
        </w:rPr>
        <w: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provisions of this Article shall be applicable to the Securities of any series which are convertible into shares of Common Stock of the Company, and the issuance of such shares of Common Stock upon the conversion of such Securities, except as otherwise specified as contemplated by Section 3.1 for the Securities of such series.</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14.2</w:t>
      </w:r>
      <w:r>
        <w:rPr>
          <w:sz w:val="20"/>
          <w:szCs w:val="20"/>
          <w:color w:val="auto"/>
        </w:rPr>
        <w:tab/>
      </w:r>
      <w:r>
        <w:rPr>
          <w:rFonts w:ascii="Arial" w:cs="Arial" w:eastAsia="Arial" w:hAnsi="Arial"/>
          <w:sz w:val="15"/>
          <w:szCs w:val="15"/>
          <w:b w:val="1"/>
          <w:bCs w:val="1"/>
          <w:color w:val="auto"/>
        </w:rPr>
        <w:t>Exercise of Conversion Privilege</w:t>
      </w:r>
      <w:r>
        <w:rPr>
          <w:rFonts w:ascii="Arial" w:cs="Arial" w:eastAsia="Arial" w:hAnsi="Arial"/>
          <w:sz w:val="15"/>
          <w:szCs w:val="15"/>
          <w:color w:val="auto"/>
        </w:rPr>
        <w:t>.</w:t>
      </w:r>
    </w:p>
    <w:p>
      <w:pPr>
        <w:spacing w:after="0" w:line="229"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In order to exercise a conversion privilege, the Holder of a Security of a series with such a privilege shall surrender such Security to the Company at the office or agency maintained for that purpose pursuant to Section 10.2, accompanied by a duly executed conversion notice to the Company substantially in the form set forth in Section 2.6 stating that the Holder elects to convert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such Security or a specified portion thereof. Such notice shall also state, if different from the name and address of such Holder, the name or names (with address) in which the certificate or certificates for shares of Common Stock which shall be issuable on such conversion shall be issued. Securities surrendered for conversion shall (if so required by the Company or the Trustee) be duly endorsed by or accompanied by instruments of transfer in forms satisfactory to the Company and the Trustee duly executed by the Holder or its attorney duly authorized in writing; and Securities so surrendered for conversion (in whole or in part) during the period from the close of business on any Regular Record Date to the opening of business on the next succeeding Interest Payment Date (excluding Securities or portions thereof called for redemption during the period beginning at the close of business on a Regular Record Date and ending at the opening of business on the first Business Day after the next succeeding Interest Payment Date, or if such Interest Payment Date is not a Business Day, the second such Business Day) shall also be accompanied by payment in funds acceptable to the Company of an amount equal to the interest payable on such Interest Payment Date on the principal amount of such Security then being converted, and such interest shall be payable to such Holder notwithstanding the conversion of such Security, subject to the provisions of Section 3.7 relating to the payment of Defaulted Interest by the Company. As promptly as practicable after the receipt of such notice and of any payment required pursuant to a Board Resolution and, subject to Section 3.3, set forth, or determined in the manner provided, in an Officers’ Certificate, or established in one or more indentures supplemental hereto setting forth the terms of such series of Security, and the surrender of such Security in accordance with such reasonable regulations as the Company may prescribe, the Company shall issue and shall deliver, at the office or agency at which such Security is surrendered, to such Holder or on its written order, a certificate or certificates for the number of full shares of Common Stock issuable upon the conversion of such Security (or specified portion thereof), in accordance with the provisions of such Board Resolution, Officers’ Certificate or supplemental indenture, and cash as provided therein in respect of any fractional share of such Common Stock otherwise issuable upon such conversion. Such conversion shall be deemed to have been effected immediately prior to the close of business on the date on which such notice and such payment, if required, shall have been received in proper order for conversion by the Company and such Security shall have been surrendered as aforesaid (unless such Holder shall have so surrendered such Security and shall have instructed the Company to effect the conversion on a particular date following such surrender and such Holder shall be entitled to convert such Security on such date, in which case such conversion shall be deemed to be effected immediately prior to the close of business on such date) and at such time the rights of the Holder of such Security</w:t>
      </w:r>
    </w:p>
    <w:p>
      <w:pPr>
        <w:sectPr>
          <w:pgSz w:w="11900" w:h="16917" w:orient="portrait"/>
          <w:cols w:equalWidth="0" w:num="1">
            <w:col w:w="11420"/>
          </w:cols>
          <w:pgMar w:left="240" w:top="121" w:right="239" w:bottom="0" w:gutter="0" w:footer="0" w:header="0"/>
        </w:sectPr>
      </w:pPr>
    </w:p>
    <w:bookmarkStart w:id="99" w:name="page100"/>
    <w:bookmarkEnd w:id="99"/>
    <w:p>
      <w:pPr>
        <w:ind w:right="40"/>
        <w:spacing w:after="0" w:line="257" w:lineRule="auto"/>
        <w:rPr>
          <w:sz w:val="20"/>
          <w:szCs w:val="20"/>
          <w:color w:val="auto"/>
        </w:rPr>
      </w:pPr>
      <w:r>
        <w:rPr>
          <w:rFonts w:ascii="Arial" w:cs="Arial" w:eastAsia="Arial" w:hAnsi="Arial"/>
          <w:sz w:val="18"/>
          <w:szCs w:val="18"/>
          <w:color w:val="auto"/>
        </w:rPr>
        <w:t>as such Security Holder shall cease and the person or persons in whose name or names any certificate or certificates for shares of Common Stock of the Company shall be issuable upon such conversion shall be deemed to have become the Holder or Holders of record of the shares represented thereby. Except as set forth above and subject to the final paragraph of Section 3.7, no payment or adjustment shall be made upon any conversion on account of any interest accrued on the Securities (or any part thereof) surrendered for conversion or on account of any dividends on the Common Stock of the Company issued upon such conversion.</w:t>
      </w:r>
    </w:p>
    <w:p>
      <w:pPr>
        <w:spacing w:after="0" w:line="188"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In the case of any Security which is converted in part only, upon such conversion the Company shall execute and the Trustee shall authenticate and deliver to or on the order of the Holder thereof, at the expense of the Company, a new Security or Securities of the same series, of</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authorized denominations, in aggregate principal amount equal to the unconverted portion of such Security.</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14.3</w:t>
      </w:r>
      <w:r>
        <w:rPr>
          <w:sz w:val="20"/>
          <w:szCs w:val="20"/>
          <w:color w:val="auto"/>
        </w:rPr>
        <w:tab/>
      </w:r>
      <w:r>
        <w:rPr>
          <w:rFonts w:ascii="Arial" w:cs="Arial" w:eastAsia="Arial" w:hAnsi="Arial"/>
          <w:sz w:val="16"/>
          <w:szCs w:val="16"/>
          <w:b w:val="1"/>
          <w:bCs w:val="1"/>
          <w:color w:val="auto"/>
        </w:rPr>
        <w:t>No Fractional Shares</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No fractional share of Common Stock of the Company shall be issued upon conversions of Securities of any series. If more than one Security shall be surrendered for conversion at one time by the same Holder, the number of full shares which shall be issuable upon conversion shall be computed on the basis of the aggregate principal amount of the Securities (or specified portions thereof to the extent permitted hereby) so surrendered. If, except for the provisions of this Section 14.3, any Holder of a Security or Securities would be entitled to a fractional share of Common Stock of the Company upon the conversion of such Security or Securities, or specified portions thereof, the Company shall pay to such Holder an amount in cash equal to the current market value of such fractional share computed, (i) if such Common Stock is listed or admitted to unlisted trading privileges on a national securities exchange or market, on the basis of the last reported sale price regular way on such exchange or market on the last trading day prior to the date of conversion upon which such a sale shall have been effected, or (ii) if such Common Stock is not at the time so listed or admitted to unlisted trading privileges on a national securities exchange or market, on the basis of the average of the bid and asked prices of such Common Stock in the over-the-counter market, on the last trading day prior to the date of conversion, as reported by the National Quotation Bureau, Incorporated or similar organization if the National Quotation Bureau, Incorporated is no longer reporting such information, or if not so available, the fair market price as determined by the Board of Directors. For purposes of this Section, “trading day” shall mean each Monday, Tuesday, Wednesday, Thursday and Friday other than any day on which the Common Stock is not traded on the New York Stock Exchange, or if the Common Stock is not traded on the New York Stock Exchange, on the principal exchange or market on which the Common Stock is traded or quoted.</w:t>
      </w:r>
    </w:p>
    <w:p>
      <w:pPr>
        <w:spacing w:after="0" w:line="18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14.4</w:t>
      </w:r>
      <w:r>
        <w:rPr>
          <w:sz w:val="20"/>
          <w:szCs w:val="20"/>
          <w:color w:val="auto"/>
        </w:rPr>
        <w:tab/>
      </w:r>
      <w:r>
        <w:rPr>
          <w:rFonts w:ascii="Arial" w:cs="Arial" w:eastAsia="Arial" w:hAnsi="Arial"/>
          <w:sz w:val="16"/>
          <w:szCs w:val="16"/>
          <w:b w:val="1"/>
          <w:bCs w:val="1"/>
          <w:color w:val="auto"/>
        </w:rPr>
        <w:t>Adjustment of Conversion Price or Conversion Rate</w:t>
      </w:r>
      <w:r>
        <w:rPr>
          <w:rFonts w:ascii="Arial" w:cs="Arial" w:eastAsia="Arial" w:hAnsi="Arial"/>
          <w:sz w:val="16"/>
          <w:szCs w:val="16"/>
          <w:color w:val="auto"/>
        </w:rPr>
        <w: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conversion price or conversion rate, as the case may be, of Securities of any series that is convertible into Common Stock of the Company shall be adjusted for any stock dividends, stock splits, reclassifications, combinations or similar transactions in accordance with the terms of the supplemental indenture or Board Resolutions setting forth the terms of the Securities of such series.</w:t>
      </w:r>
    </w:p>
    <w:p>
      <w:pPr>
        <w:spacing w:after="0" w:line="181"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Whenever the conversion price or conversion rate, as the case may be, is adjusted, the Company shall compute the adjusted conversion price or conversion rate, as the case may be, in accordance with terms of the applicable Board Resolution or supplemental indenture and shall prepare an Officers’ Certificate setting forth the adjusted conversion price or conversion rate, as the case may be, and showing in reasonable detail the facts upon which such adjustment is based, and such certificate shall forthwith be filed at each office or agency maintained for the purpose of conversion of Securities pursuant to Section 10.2 and, if different, with the Trustee. The Company shall forthwith cause a notice setting forth the adjusted conversion price or conversion rate, as the case may be, to be sent electronically or mailed, first class postage prepaid, to each Holder of</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Securities of such series at its address appearing on the Security Register and to any conversion agent other than the Trustee.</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14.5</w:t>
      </w:r>
      <w:r>
        <w:rPr>
          <w:sz w:val="20"/>
          <w:szCs w:val="20"/>
          <w:color w:val="auto"/>
        </w:rPr>
        <w:tab/>
      </w:r>
      <w:r>
        <w:rPr>
          <w:rFonts w:ascii="Arial" w:cs="Arial" w:eastAsia="Arial" w:hAnsi="Arial"/>
          <w:sz w:val="16"/>
          <w:szCs w:val="16"/>
          <w:b w:val="1"/>
          <w:bCs w:val="1"/>
          <w:color w:val="auto"/>
        </w:rPr>
        <w:t>Notice of Certain Corporate Actions</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case:</w:t>
      </w:r>
    </w:p>
    <w:p>
      <w:pPr>
        <w:spacing w:after="0" w:line="225" w:lineRule="exact"/>
        <w:rPr>
          <w:sz w:val="20"/>
          <w:szCs w:val="20"/>
          <w:color w:val="auto"/>
        </w:rPr>
      </w:pPr>
    </w:p>
    <w:p>
      <w:pPr>
        <w:ind w:left="660" w:right="200" w:firstLine="645"/>
        <w:spacing w:after="0" w:line="264" w:lineRule="auto"/>
        <w:tabs>
          <w:tab w:leader="none" w:pos="20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shall declare a dividend (or any other distribution) on its Common Stock payable otherwise than in cash out of its retained earnings (other than a dividend for which approval of any shareholders of the Company is required) that would require an adjustment pursuant to Section 14.4; or</w:t>
      </w:r>
    </w:p>
    <w:p>
      <w:pPr>
        <w:spacing w:after="0" w:line="181" w:lineRule="exact"/>
        <w:rPr>
          <w:rFonts w:ascii="Arial" w:cs="Arial" w:eastAsia="Arial" w:hAnsi="Arial"/>
          <w:sz w:val="18"/>
          <w:szCs w:val="18"/>
          <w:color w:val="auto"/>
        </w:rPr>
      </w:pPr>
    </w:p>
    <w:p>
      <w:pPr>
        <w:ind w:left="660" w:right="120" w:firstLine="645"/>
        <w:spacing w:after="0" w:line="264" w:lineRule="auto"/>
        <w:tabs>
          <w:tab w:leader="none" w:pos="2013"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shall authorize the granting to all or substantially all of the holders of its Common Stock of rights, options or warrants to subscribe for or purchase any shares of capital stock of any class or of any other rights (other than any such grant for which approval of any shareholders of the Company is required); or</w:t>
      </w:r>
    </w:p>
    <w:p>
      <w:pPr>
        <w:spacing w:after="0" w:line="181" w:lineRule="exact"/>
        <w:rPr>
          <w:rFonts w:ascii="Arial" w:cs="Arial" w:eastAsia="Arial" w:hAnsi="Arial"/>
          <w:sz w:val="18"/>
          <w:szCs w:val="18"/>
          <w:color w:val="auto"/>
        </w:rPr>
      </w:pPr>
    </w:p>
    <w:p>
      <w:pPr>
        <w:ind w:left="660" w:firstLine="645"/>
        <w:spacing w:after="0" w:line="286" w:lineRule="auto"/>
        <w:tabs>
          <w:tab w:leader="none" w:pos="2013" w:val="left"/>
        </w:tabs>
        <w:numPr>
          <w:ilvl w:val="0"/>
          <w:numId w:val="123"/>
        </w:numPr>
        <w:rPr>
          <w:rFonts w:ascii="Arial" w:cs="Arial" w:eastAsia="Arial" w:hAnsi="Arial"/>
          <w:sz w:val="17"/>
          <w:szCs w:val="17"/>
          <w:color w:val="auto"/>
        </w:rPr>
      </w:pPr>
      <w:r>
        <w:rPr>
          <w:rFonts w:ascii="Arial" w:cs="Arial" w:eastAsia="Arial" w:hAnsi="Arial"/>
          <w:sz w:val="17"/>
          <w:szCs w:val="17"/>
          <w:color w:val="auto"/>
        </w:rPr>
        <w:t>of any reclassification of the Common Stock of the Company (other than a subdivision or combination of its outstanding shares of Common Stock, or of any consolidation, merger or share exchange to which the Company is a party and for which approval of any shareholders of the Company is required), or of the sale of all or substantially all of the assets of the Company; or</w:t>
      </w:r>
    </w:p>
    <w:p>
      <w:pPr>
        <w:spacing w:after="0" w:line="165" w:lineRule="exact"/>
        <w:rPr>
          <w:rFonts w:ascii="Arial" w:cs="Arial" w:eastAsia="Arial" w:hAnsi="Arial"/>
          <w:sz w:val="17"/>
          <w:szCs w:val="17"/>
          <w:color w:val="auto"/>
        </w:rPr>
      </w:pPr>
    </w:p>
    <w:p>
      <w:pPr>
        <w:ind w:left="2000" w:hanging="695"/>
        <w:spacing w:after="0"/>
        <w:tabs>
          <w:tab w:leader="none" w:pos="200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of the voluntary or involuntary dissolution, liquidation or winding up of the Company;</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then the Company shall cause to be filed with the Trustee, and shall cause to be sent to all Holders as they shall appear in the Security Register, at least 20 days (or 10 days in any case specified in clause (1) or (2) above) prior to the applicable record date hereinafter specified, a notice stating (i) the date on which a record is to be taken for the purpose of such dividend, distribution, rights, options or warrants, or, if a record is not to be taken, the date as of which the holders of Common Stock of record to be entitled to such dividend, distribution, rights, options or warrants are to be determined, or (ii) the date on which such reclassification, consolidation, merger, share exchange, sale, dissolution, liquidation or winding up is expected to become effective, and the date as of which it is expected that holders of Common Stock of record shall be entitled to exchange their shares of Common Stock for securities, cash or other property</w:t>
      </w:r>
    </w:p>
    <w:p>
      <w:pPr>
        <w:sectPr>
          <w:pgSz w:w="11900" w:h="16838" w:orient="portrait"/>
          <w:cols w:equalWidth="0" w:num="1">
            <w:col w:w="11380"/>
          </w:cols>
          <w:pgMar w:left="240" w:top="125" w:right="279" w:bottom="0" w:gutter="0" w:footer="0" w:header="0"/>
        </w:sectPr>
      </w:pPr>
    </w:p>
    <w:bookmarkStart w:id="100" w:name="page101"/>
    <w:bookmarkEnd w:id="100"/>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deliverable upon such reclassification, consolidation, merger, share exchange, sale, dissolution, liquidation or winding up. If at any time the Trustee shall not be the conversion agent, a copy of such notice shall also forthwith be filed by the Company with the Trustee.</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14.6</w:t>
      </w:r>
      <w:r>
        <w:rPr>
          <w:sz w:val="20"/>
          <w:szCs w:val="20"/>
          <w:color w:val="auto"/>
        </w:rPr>
        <w:tab/>
      </w:r>
      <w:r>
        <w:rPr>
          <w:rFonts w:ascii="Arial" w:cs="Arial" w:eastAsia="Arial" w:hAnsi="Arial"/>
          <w:sz w:val="15"/>
          <w:szCs w:val="15"/>
          <w:b w:val="1"/>
          <w:bCs w:val="1"/>
          <w:color w:val="auto"/>
        </w:rPr>
        <w:t>Reservation of Shares of Common Stock</w:t>
      </w:r>
      <w:r>
        <w:rPr>
          <w:rFonts w:ascii="Arial" w:cs="Arial" w:eastAsia="Arial" w:hAnsi="Arial"/>
          <w:sz w:val="15"/>
          <w:szCs w:val="15"/>
          <w:color w:val="auto"/>
        </w:rPr>
        <w:t>.</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Company shall at all times reserve and keep available, free from preemptive rights, out of its authorized but unissued Common Stock, for the purpose of effecting the conversion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Securities, the full number of shares of Common Stock of the Company then issuable upon the conversion of all outstanding Securities of any series that has conversion rights.</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14.7</w:t>
      </w:r>
      <w:r>
        <w:rPr>
          <w:sz w:val="20"/>
          <w:szCs w:val="20"/>
          <w:color w:val="auto"/>
        </w:rPr>
        <w:tab/>
      </w:r>
      <w:r>
        <w:rPr>
          <w:rFonts w:ascii="Arial" w:cs="Arial" w:eastAsia="Arial" w:hAnsi="Arial"/>
          <w:sz w:val="16"/>
          <w:szCs w:val="16"/>
          <w:b w:val="1"/>
          <w:bCs w:val="1"/>
          <w:color w:val="auto"/>
        </w:rPr>
        <w:t>Payment of Certain Taxes upon Conversion</w:t>
      </w:r>
      <w:r>
        <w:rPr>
          <w:rFonts w:ascii="Arial" w:cs="Arial" w:eastAsia="Arial" w:hAnsi="Arial"/>
          <w:sz w:val="16"/>
          <w:szCs w:val="16"/>
          <w:color w:val="auto"/>
        </w:rPr>
        <w:t>.</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Except as provided in the next sentence, the Company will pay any and all taxes that may be payable in respect of the issue or delivery of shares of its Common Stock on conversion of Securities pursuant hereto. The Company shall not, however, be required to pay any tax which may be payable in respect of any transfer involved in the issue and delivery of shares of its Common Stock in a name other than that of the Holder of the Security or Securities to be converted, and no such issue or delivery shall be made unless and until the person requesting such issue has paid to the Company the amount of any such tax, or has established, to the satisfaction of the Company, that such tax has been paid.</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14.8</w:t>
      </w:r>
      <w:r>
        <w:rPr>
          <w:sz w:val="20"/>
          <w:szCs w:val="20"/>
          <w:color w:val="auto"/>
        </w:rPr>
        <w:tab/>
      </w:r>
      <w:r>
        <w:rPr>
          <w:rFonts w:ascii="Arial" w:cs="Arial" w:eastAsia="Arial" w:hAnsi="Arial"/>
          <w:sz w:val="15"/>
          <w:szCs w:val="15"/>
          <w:b w:val="1"/>
          <w:bCs w:val="1"/>
          <w:color w:val="auto"/>
        </w:rPr>
        <w:t>Nonassessability</w:t>
      </w:r>
      <w:r>
        <w:rPr>
          <w:rFonts w:ascii="Arial" w:cs="Arial" w:eastAsia="Arial" w:hAnsi="Arial"/>
          <w:sz w:val="15"/>
          <w:szCs w:val="15"/>
          <w:color w:val="auto"/>
        </w:rPr>
        <w:t>.</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 covenants that all shares of its Common Stock that may be issued upon conversion of Securities will upon issue in accordance with the terms hereof be duly and validly issued and fully paid and nonassessable.</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14.9</w:t>
      </w:r>
      <w:r>
        <w:rPr>
          <w:sz w:val="20"/>
          <w:szCs w:val="20"/>
          <w:color w:val="auto"/>
        </w:rPr>
        <w:tab/>
      </w:r>
      <w:r>
        <w:rPr>
          <w:rFonts w:ascii="Arial" w:cs="Arial" w:eastAsia="Arial" w:hAnsi="Arial"/>
          <w:sz w:val="16"/>
          <w:szCs w:val="16"/>
          <w:b w:val="1"/>
          <w:bCs w:val="1"/>
          <w:color w:val="auto"/>
        </w:rPr>
        <w:t>Provision in Case of Consolidation, Merger or Sale of Assets</w:t>
      </w:r>
      <w:r>
        <w:rPr>
          <w:rFonts w:ascii="Arial" w:cs="Arial" w:eastAsia="Arial" w:hAnsi="Arial"/>
          <w:sz w:val="16"/>
          <w:szCs w:val="16"/>
          <w:color w:val="auto"/>
        </w:rPr>
        <w:t>.</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In case of any consolidation or merger of the Company with or into any other Person, any merger of another Person with or into the Company (other than a merger which does not result in any reclassification, conversion, exchange or cancellation of outstanding shares of Common Stock of the Company) or any conveyance, sale, transfer or lease of all or substantially all of the assets of the Company, the Person formed by such consolidation or resulting from such merger or which acquires such assets, as the case may be, shall execute and deliver to the Trustee a supplemental indenture providing that the Holder of each Security of a series then Outstanding that is convertible into Common Stock of the Company shall have the right thereafter (which right shall be the exclusive conversion right thereafter available to said Holder), during the period such Security shall be convertible, to convert such Security only into the kind and amount of securities, cash and other property receivable upon such consolidation, merger, conveyance, sale, transfer or lease by a holder of the number of shares of Common Stock of the Company into which such Security might have been converted immediately prior to such consolidation, merger, conveyance, sale, transfer or lease, assuming such holder of Common Stock of the Company (i) is not a Person with which the Company consolidated or merged with or into or which merged into or with the Company or to which such conveyance, sale, transfer or lease was made, as the case may be (a “Constituent Person”), or an Affiliate of a Constituent Person and (ii) failed to exercise his rights of election, if any, as to the kind or amount of securities, cash and other property receivable upon such consolidation, merger, conveyance, sale, transfer or lease (provided that if the kind or amount of securities, cash and other property receivable upon such consolidation, merger, conveyance, sale, transfer, or lease is not the same for each share of Common Stock of the Company held immediately prior to such consolidation, merger, conveyance, sale, transfer or lease by others than a Constituent Person or an Affiliate thereof and in respect of which such rights of election shall not have been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exercised (“Non-electing Share”), then for the purpose of this Section 14.9 the kind and amount of securities, cash and other property receivable upon such consolidation, merger, conveyance, sale, transfer or lease by the holders of each Non-electing Share shall be deemed to be the kind and amount so receivable per share by a plurality of the Non-electing Shares). Such supplemental indenture shall provide for adjustments which, for events subsequent to the effective date of such supplemental indenture, shall be as nearly equivalent as may be practicable to the adjustments provided for in this Article or in accordance with the terms of the supplemental indenture or Board Resolutions setting forth the terms of such adjustments. The above provisions of this Section 14.9 shall similarly apply to successive consolidations, mergers, conveyances, sales, transfers or leases. Notice of the execution of such a supplemental indenture shall be given by the Company to the Holder of each Security of a series that is convertible into Common Stock of the Company as provided in Section 1.6 promptly upon such execution.</w:t>
      </w:r>
    </w:p>
    <w:p>
      <w:pPr>
        <w:spacing w:after="0" w:line="17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Neither the Trustee nor any conversion agent, if any, shall be under any responsibility to determine the correctness of any provisions contained in any such supplemental indenture relating either to the kind or amount of shares of stock or other securities or property or cash receivable by Holders of Securities of a series convertible into Common Stock of the Company upon the conversion of their Securities after any such consolidation, merger, conveyance, transfer, sale or lease or to any such adjustment, but may accept as conclusive evidence of the correctness of any such provisions, and shall be protected in relying upon, an Opinion of Counsel with respect thereto, which the Company shall cause to be furnished to the Trustee upon request.</w:t>
      </w:r>
    </w:p>
    <w:p>
      <w:pPr>
        <w:spacing w:after="0" w:line="15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14.10</w:t>
      </w:r>
      <w:r>
        <w:rPr>
          <w:sz w:val="20"/>
          <w:szCs w:val="20"/>
          <w:color w:val="auto"/>
        </w:rPr>
        <w:tab/>
      </w:r>
      <w:r>
        <w:rPr>
          <w:rFonts w:ascii="Arial" w:cs="Arial" w:eastAsia="Arial" w:hAnsi="Arial"/>
          <w:sz w:val="16"/>
          <w:szCs w:val="16"/>
          <w:b w:val="1"/>
          <w:bCs w:val="1"/>
          <w:color w:val="auto"/>
        </w:rPr>
        <w:t>Duties of Trustee Regarding Conversion</w:t>
      </w:r>
      <w:r>
        <w:rPr>
          <w:rFonts w:ascii="Arial" w:cs="Arial" w:eastAsia="Arial" w:hAnsi="Arial"/>
          <w:sz w:val="16"/>
          <w:szCs w:val="16"/>
          <w:color w:val="auto"/>
        </w:rPr>
        <w:t>.</w:t>
      </w:r>
    </w:p>
    <w:p>
      <w:pPr>
        <w:spacing w:after="0" w:line="229"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Neither the Trustee nor any conversion agent shall at any time be under any duty or responsibility to any Holder of Securities of any series that is convertible into Common Stock of the Company to determine whether any facts exist which may require any adjustment of the conversion price or conversion rate, as the case may be, or with respect to the nature or extent of any such adjustment when made, or with respect to the method employed, whether herein or in any supplemental indenture, any resolutions of the Board of Directors or written instrument executed by one or more officers of the Company provided to be employed in making the same. Neither the Trustee nor any conversion agent shall be accountable with respect to the validity or value (or the kind or amount) of any shares of Common Stock of the Company, or of any securities or property, which may at any time be issued or delivered upon the conversion of any Securities and neither the Trustee nor any conversion agent makes any representation with respect thereto. Subject to the provisions of Section 6.1, neither the Trustee nor any conversion agent shall be responsible for any failure of the Company to issue, transfer or deliver any shares of its Common Stock or stock certificates or other securities or property upon the surrender of any Security for the purpose of conversion or to comply</w:t>
      </w:r>
    </w:p>
    <w:p>
      <w:pPr>
        <w:sectPr>
          <w:pgSz w:w="11900" w:h="16932" w:orient="portrait"/>
          <w:cols w:equalWidth="0" w:num="1">
            <w:col w:w="11420"/>
          </w:cols>
          <w:pgMar w:left="240" w:top="125" w:right="239" w:bottom="0" w:gutter="0" w:footer="0" w:header="0"/>
        </w:sectPr>
      </w:pPr>
    </w:p>
    <w:bookmarkStart w:id="101" w:name="page102"/>
    <w:bookmarkEnd w:id="101"/>
    <w:p>
      <w:pPr>
        <w:spacing w:after="0" w:line="6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with any of the covenants of the Company contained in this Article 14 or in the applicable supplemental indenture, resolutions of the Board of Directors or written instrument executed by one or more duly authorized officers of the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14.11</w:t>
      </w:r>
      <w:r>
        <w:rPr>
          <w:sz w:val="20"/>
          <w:szCs w:val="20"/>
          <w:color w:val="auto"/>
        </w:rPr>
        <w:tab/>
      </w:r>
      <w:r>
        <w:rPr>
          <w:rFonts w:ascii="Arial" w:cs="Arial" w:eastAsia="Arial" w:hAnsi="Arial"/>
          <w:sz w:val="16"/>
          <w:szCs w:val="16"/>
          <w:b w:val="1"/>
          <w:bCs w:val="1"/>
          <w:color w:val="auto"/>
        </w:rPr>
        <w:t>Repayment of Certain Funds upon Conversion</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Any funds which at any time shall have been deposited by the Company or on its behalf with the Trustee or any other paying agent for the purpose of paying the principal of, and premium, if any, and interest, if any, on any of the Securities (including, but not limited to, funds deposited for the sinking fund referred to in Article 12 hereof and funds deposited pursuant to Article 13 hereof) and which shall not be required for such purposes because of the conversion of such Securities as provided in this Article 14 shall after such conversion be repaid to the Company by the Trustee upon the Company’s written request.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OF SECURITIES</w:t>
      </w:r>
    </w:p>
    <w:p>
      <w:pPr>
        <w:spacing w:after="0" w:line="225"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15.1</w:t>
      </w:r>
      <w:r>
        <w:rPr>
          <w:sz w:val="20"/>
          <w:szCs w:val="20"/>
          <w:color w:val="auto"/>
        </w:rPr>
        <w:tab/>
      </w:r>
      <w:r>
        <w:rPr>
          <w:rFonts w:ascii="Arial" w:cs="Arial" w:eastAsia="Arial" w:hAnsi="Arial"/>
          <w:sz w:val="16"/>
          <w:szCs w:val="16"/>
          <w:b w:val="1"/>
          <w:bCs w:val="1"/>
          <w:color w:val="auto"/>
        </w:rPr>
        <w:t>Agreement of Subordination</w:t>
      </w:r>
      <w:r>
        <w:rPr>
          <w:rFonts w:ascii="Arial" w:cs="Arial" w:eastAsia="Arial" w:hAnsi="Arial"/>
          <w:sz w:val="16"/>
          <w:szCs w:val="16"/>
          <w:color w:val="auto"/>
        </w:rPr>
        <w:t>.</w:t>
      </w:r>
    </w:p>
    <w:p>
      <w:pPr>
        <w:spacing w:after="0" w:line="229" w:lineRule="exact"/>
        <w:rPr>
          <w:sz w:val="20"/>
          <w:szCs w:val="20"/>
          <w:color w:val="auto"/>
        </w:rPr>
      </w:pPr>
    </w:p>
    <w:p>
      <w:pPr>
        <w:ind w:right="420" w:firstLine="648"/>
        <w:spacing w:after="0" w:line="259" w:lineRule="auto"/>
        <w:rPr>
          <w:sz w:val="20"/>
          <w:szCs w:val="20"/>
          <w:color w:val="auto"/>
        </w:rPr>
      </w:pPr>
      <w:r>
        <w:rPr>
          <w:rFonts w:ascii="Arial" w:cs="Arial" w:eastAsia="Arial" w:hAnsi="Arial"/>
          <w:sz w:val="18"/>
          <w:szCs w:val="18"/>
          <w:color w:val="auto"/>
        </w:rPr>
        <w:t>Except as otherwise provided in a supplemental indenture or pursuant to Section 3.1, the Company covenants and agrees, and each Holder of Securities issued hereunder by its acceptance thereof likewise covenants and agrees, that all Securities shall be issued subject to the provisions of this Article 15; and each Person holding any Security, whether upon original issue or upon transfer, assignment or exchange thereof, accepts and agrees to be bound by such provisions.</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payment of the principal of, premium, if any, and interest on all Securities (including, but not limited to, the redemption price with respect to the Securities called for redemption in accordance with Article 11 as provided in the Indenture) issued hereunder shall, to the extent and in the manner hereinafter set forth, be subordinated and subject in right of payment to the prior payment in full of all Senior Debt, whether outstanding at the date of this Indenture or thereafter incurred.</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provision of this Article 15 shall prevent the occurrence of any default or Event of Default hereunder.</w:t>
      </w:r>
    </w:p>
    <w:p>
      <w:pPr>
        <w:spacing w:after="0" w:line="22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15.2</w:t>
      </w:r>
      <w:r>
        <w:rPr>
          <w:sz w:val="20"/>
          <w:szCs w:val="20"/>
          <w:color w:val="auto"/>
        </w:rPr>
        <w:tab/>
      </w:r>
      <w:r>
        <w:rPr>
          <w:rFonts w:ascii="Arial" w:cs="Arial" w:eastAsia="Arial" w:hAnsi="Arial"/>
          <w:sz w:val="16"/>
          <w:szCs w:val="16"/>
          <w:b w:val="1"/>
          <w:bCs w:val="1"/>
          <w:color w:val="auto"/>
        </w:rPr>
        <w:t>Payments to Holders</w:t>
      </w:r>
      <w:r>
        <w:rPr>
          <w:rFonts w:ascii="Arial" w:cs="Arial" w:eastAsia="Arial" w:hAnsi="Arial"/>
          <w:sz w:val="16"/>
          <w:szCs w:val="16"/>
          <w:color w:val="auto"/>
        </w:rPr>
        <w:t>.</w:t>
      </w:r>
    </w:p>
    <w:p>
      <w:pPr>
        <w:spacing w:after="0" w:line="229"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No payment shall be made with respect to the principal of, or premium, if any, or interest on the Securities (including, but not limited to, the redemption price with respect to the Securities to be called for redemption in accordance with Article 11 as provided in the Indenture), except payments and distributions made by the Trustee as permitted by the first or second paragraph of Section 15.5, if:</w:t>
      </w:r>
    </w:p>
    <w:p>
      <w:pPr>
        <w:spacing w:after="0" w:line="181" w:lineRule="exact"/>
        <w:rPr>
          <w:sz w:val="20"/>
          <w:szCs w:val="20"/>
          <w:color w:val="auto"/>
        </w:rPr>
      </w:pPr>
    </w:p>
    <w:p>
      <w:pPr>
        <w:ind w:left="1960" w:right="60" w:firstLine="641"/>
        <w:spacing w:after="0" w:line="259" w:lineRule="auto"/>
        <w:tabs>
          <w:tab w:leader="none" w:pos="3318"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default in the payment of principal, premium, if any, interest, rent or other obligations due on any Senior Debt occurs and is continuing (or, in the case of Senior Debt for which there is a period of grace, in the event of such a default that continues beyond the period of grace, if any, specified in the instrument or lease evidencing such Senior Debt) (a “Payment Default”),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unless and until such default shall have been cured or waived or shall have ceased to exist; or</w:t>
      </w:r>
    </w:p>
    <w:p>
      <w:pPr>
        <w:spacing w:after="0" w:line="225" w:lineRule="exact"/>
        <w:rPr>
          <w:sz w:val="20"/>
          <w:szCs w:val="20"/>
          <w:color w:val="auto"/>
        </w:rPr>
      </w:pPr>
    </w:p>
    <w:p>
      <w:pPr>
        <w:ind w:left="1960" w:right="480" w:firstLine="641"/>
        <w:spacing w:after="0" w:line="259" w:lineRule="auto"/>
        <w:tabs>
          <w:tab w:leader="none" w:pos="332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 default, other than a Payment Default, on any Designated Senior Debt occurs and is continuing that then permits holders of such Designated Senior Debt to accelerate its maturity and the Trustee receives a notice of the default (a “Payment Blockage Notice”) from a holder of Designated Senior Debt, a Representative of Designated Senior Debt or the Company (a “Non-Payment Default”).</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If the Trustee receives any Payment Blockage Notice pursuant to clause (ii) above, no subsequent Payment Blockage Notice shall be effective for purposes of this Section unless and until at least 365 days shall have elapsed since the initial effectiveness of the immediately prior Payment Blockage Notice. No Non-Payment Default that existed or was continuing on the date of delivery of any Payment Blockage Notice to the Trustee shall be, or be made, the basis for a subsequent Payment Blockage Notice.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and shall resume payments on and distributions in respect of the Securities upon the earlier of:</w:t>
      </w:r>
    </w:p>
    <w:p>
      <w:pPr>
        <w:spacing w:after="0" w:line="225" w:lineRule="exact"/>
        <w:rPr>
          <w:sz w:val="20"/>
          <w:szCs w:val="20"/>
          <w:color w:val="auto"/>
        </w:rPr>
      </w:pPr>
    </w:p>
    <w:p>
      <w:pPr>
        <w:ind w:left="2000" w:hanging="695"/>
        <w:spacing w:after="0"/>
        <w:tabs>
          <w:tab w:leader="none" w:pos="20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any Payment Default, the date upon which the Payment Default is cured or waived or ceases to exist, or</w:t>
      </w:r>
    </w:p>
    <w:p>
      <w:pPr>
        <w:spacing w:after="0" w:line="225" w:lineRule="exact"/>
        <w:rPr>
          <w:rFonts w:ascii="Arial" w:cs="Arial" w:eastAsia="Arial" w:hAnsi="Arial"/>
          <w:sz w:val="18"/>
          <w:szCs w:val="18"/>
          <w:color w:val="auto"/>
        </w:rPr>
      </w:pPr>
    </w:p>
    <w:p>
      <w:pPr>
        <w:ind w:left="660" w:right="20" w:firstLine="645"/>
        <w:spacing w:after="0" w:line="277" w:lineRule="auto"/>
        <w:tabs>
          <w:tab w:leader="none" w:pos="2013"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case of a Non-Payment Default, the earlier of (a) the date upon which such Non-Payment Default is cured, waived or ceases to exist or (b) 179 days after the date on which the applicable Payment Blockage Notice is received by the Trustee,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unless this Article 15 otherwise prohibits the payment or distribution at such time.</w:t>
      </w:r>
    </w:p>
    <w:p>
      <w:pPr>
        <w:spacing w:after="0" w:line="225" w:lineRule="exact"/>
        <w:rPr>
          <w:sz w:val="20"/>
          <w:szCs w:val="20"/>
          <w:color w:val="auto"/>
        </w:rPr>
      </w:pPr>
    </w:p>
    <w:p>
      <w:pPr>
        <w:ind w:right="180" w:firstLine="648"/>
        <w:spacing w:after="0" w:line="290" w:lineRule="auto"/>
        <w:rPr>
          <w:sz w:val="20"/>
          <w:szCs w:val="20"/>
          <w:color w:val="auto"/>
        </w:rPr>
      </w:pPr>
      <w:r>
        <w:rPr>
          <w:rFonts w:ascii="Arial" w:cs="Arial" w:eastAsia="Arial" w:hAnsi="Arial"/>
          <w:sz w:val="16"/>
          <w:szCs w:val="16"/>
          <w:color w:val="auto"/>
        </w:rPr>
        <w:t>Upon any payment or distribution of assets of the Company of any kind or character, whether in cash, property or securities, to creditors upon any dissolution or winding-up or liquidation or reorganization of the Company, whether voluntary or involuntary or in bankruptcy, insolvency, reorganization, liquidation, receivership or other proceedings, or upon an assignment for the benefit of creditors or any marshalling of the assets and liabilities of the Company, or otherwise, all amounts due or to become due upon all Senior Debt shall first be paid in full in cash or other payment satisfactory to the holders of such Senior Debt, or payment thereof in accordance with its terms provided for in cash or other payment satisfactory to the holders of such Senior Debt, before any payment is made on account of the principal of, premium, if any, or interest on the Securities (except payments made pursuant to Article 4 from monies deposited with the Trustee pursuant thereto prior to commencement of proceedings for such dissolution, winding-up, liquidation, reorganization, assignment for the benefit of creditors or the marshalling of assets and liabilities of the Company); and upon any such dissolution, winding-up, liquidation,</w:t>
      </w:r>
    </w:p>
    <w:p>
      <w:pPr>
        <w:sectPr>
          <w:pgSz w:w="11900" w:h="16906" w:orient="portrait"/>
          <w:cols w:equalWidth="0" w:num="1">
            <w:col w:w="11420"/>
          </w:cols>
          <w:pgMar w:left="240" w:top="125" w:right="239" w:bottom="0" w:gutter="0" w:footer="0" w:header="0"/>
        </w:sectPr>
      </w:pPr>
    </w:p>
    <w:bookmarkStart w:id="102" w:name="page103"/>
    <w:bookmarkEnd w:id="102"/>
    <w:p>
      <w:pPr>
        <w:spacing w:after="0" w:line="1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reorganization, assignment for the benefit of creditors or marshalling of assets and liabilities of the Company or bankruptcy, insolvency, receivership or other proceeding, any payment by the Company, or distribution of assets of the Company of any kind or character, whether in cash, property or securities, to which the Holders of</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Securities or the Trustee would be entitled, except for the provision of this Article 15, shall (except as aforesaid) be paid by the Company or by any receiver, trustee in bankruptcy, liquidating trustee, agent or other Person making such payment or distribution, or by the Holders of the Securities or by the Trustee under this Indenture if received by them or it and directed by the Company or a Representative of Senior Debt, directly to the Representative or Representatives of Senior Debt, or to the trustee or trustees under any indenture pursuant to which any instruments evidencing any Senior Debt may have been issued, as their respective interests may appear, to the extent necessary to pay all Senior Debt in full, in cash or other payment satisfactory to the holders of such Senior Debt, after giving effect to any concurrent payment or distribution to or for the holders of Senior Debt, before any payment or distribution or provision therefor is made to the Holders of the Securities or to the Trustee.</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 xml:space="preserve">For purposes of this Article 15, the words, “cash, property or securities” shall not be deemed to include shares of stock of the Company as reorganized or readjusted, or securities of the Company or any other corporation provided for by a plan of reorganization or readjustment, the payment of which is subordinated at least to the extent provided in this Article 15 with respect to the Securities to the payment of all Senior Debt which may at the time be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Senior Debt is assumed by the new corporation, if any, resulting from any reorganization or readjustment, and (ii) the rights of the holders of Senior Debt (other than leases which are not assumed by the Company or the new corporation, as the case may be) are not, without the consent of such holders, altered by such reorganization or readjustment. The consolidation of the Company with, or the merger of the Company into, another corporation or the liquidation or dissolution of the Company following the conveyance or transfer of its property as an entirety, or substantially as an entirety, to another corporation upon the terms and conditions provided for in Article 8 shall not be deemed a dissolution, winding-up, liquidation or reorganization for the purposes of this Section 15.2 if such other corporation shall, as a part of such consolidation, merger, conveyance or transfer, comply with the conditions stated in Article 8.</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In the event of the acceleration of the Securities because of an Event of Default, no payment or distribution shall be made to the Trustee or any Holder of Securities in respect of the principal of, premium, if any, or interest on the Securities (including, but not limited to, the redemption price with respect to the Securities called for redemption in accordance with Article 11 as provided in the Indenture), except payments and distributions made by the Trustee as permitted by the first or second paragraph of Section 15.5, until all Senior Debt has been paid in full in cash or other payment satisfactory to the holders of Senior Debt or such acceleration is rescinded in accordance with the terms of this Indenture. If payment of the Securities is accelerated because of an Event of Default, the Company shall promptly notify holders of Senior Debt of the acceleration.</w:t>
      </w:r>
    </w:p>
    <w:p>
      <w:pPr>
        <w:spacing w:after="0" w:line="17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In the event that, notwithstanding the foregoing provisions, any payment or distribution of assets of the Company of any kind or character, whether in cash, property or securities (including, without limitation, by way of setoff or otherwise), prohibited by the foregoing, shall be received by the Trustee or the Holders of the Securities before all Senior Debt is paid in full in cash or other payment satisfactory to the holders of such Senior Debt, or provision is made for such payment thereof in accordance with its terms in cash or other payment satisfactory to the holders of such</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Senior Debt, such payment or distribution shall be held in trust for the benefit of and shall be paid over or delivered to the holders of Senior Debt or their Representative or Representatives, or to the trustee or trustees under any indenture pursuant to which any instruments evidencing any Senior Debt may have been issued, as their respective interests may appear, as calculated by the Company, for application to the payment of all Senior Debt remaining unpaid to the extent necessary to pay all Senior Debt in full in cash or other payment satisfactory to the holders of such Senior Debt, after giving effect to any concurrent payment or distribution to or for the holders of such Senior Debt.</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Nothing in this Section 15.2 shall apply to claims of, or payments to, the Trustee under or pursuant to Section 6.7. This Section 15.2 shall be subject to the further provisions of Section 15.5.</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15.3</w:t>
      </w:r>
      <w:r>
        <w:rPr>
          <w:sz w:val="20"/>
          <w:szCs w:val="20"/>
          <w:color w:val="auto"/>
        </w:rPr>
        <w:tab/>
      </w:r>
      <w:r>
        <w:rPr>
          <w:rFonts w:ascii="Arial" w:cs="Arial" w:eastAsia="Arial" w:hAnsi="Arial"/>
          <w:sz w:val="15"/>
          <w:szCs w:val="15"/>
          <w:b w:val="1"/>
          <w:bCs w:val="1"/>
          <w:color w:val="auto"/>
        </w:rPr>
        <w:t>Subrogation of Securities</w:t>
      </w:r>
      <w:r>
        <w:rPr>
          <w:rFonts w:ascii="Arial" w:cs="Arial" w:eastAsia="Arial" w:hAnsi="Arial"/>
          <w:sz w:val="15"/>
          <w:szCs w:val="15"/>
          <w:color w:val="auto"/>
        </w:rPr>
        <w:t>.</w:t>
      </w:r>
    </w:p>
    <w:p>
      <w:pPr>
        <w:spacing w:after="0" w:line="229"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Subject to the payment in full of all Senior Debt, the rights of the Holders of the Securities shall be subrogated to the extent of the payments or distributions made to the holders of such Senior Debt pursuant to the provisions of this Article 15 (equally and ratably with the holders of all indebtedness of the Company which by its express terms is subordinated to other indebtedness of the Company to substantially the same extent as the Securities are subordinated and is entitled to like rights of subrogation) to the rights of the holders of Senior Debt to receive payments or distributions of cash, property or securities of the Company applicable to the Senior Debt until the principal, premium, if any, and interest on the Securities shall be paid in full; and, for the purposes of such subrogation, no payments or distributions to the holders of the Senior Debt of any cash, property or securities to which the Holders of the Securities or the Trustee would be entitled except for the provisions of this Article 15, and no payment over pursuant to the provisions of this Article 15, to or for the benefit of the holders of Senior Debt by Holders of the Securities or the Trustee, shall, as between the Company, its creditors other than holders of Senior Debt, and the Holders of the Securities, be deemed to be a payment by the Company to or on account of the Senior Debt; and no payments or distributions of cash, property or securities to or for the benefit of the Holders of the Securities pursuant to the subrogation provisions of this Article 15, which would otherwise have been paid to the holders of Senior Debt shall be deemed to be a payment by the Company to or for the account of the Securities. It is understood that the provisions of this Article 15 are and are intended solely for the purposes of defining the relative rights of the Holders of the Securities, on the one hand, and the holders of the Senior Debt, on the other hand.</w:t>
      </w:r>
    </w:p>
    <w:p>
      <w:pPr>
        <w:spacing w:after="0" w:line="188"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Nothing contained in this Article 15 or elsewhere in this Indenture or in the Securities is intended to or shall impair, as among the Company, its creditors other than the holders of Senior Debt, and the Holders of the Securities, the obligation of the Company,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Company other than the holders of the Senior Debt, nor shall anything herein or therein prevent the Trustee or the Holder of any Security from exercising all remedies otherwise permitted by applicable law upon default under this Indenture, subject to the rights, if any, under this</w:t>
      </w:r>
    </w:p>
    <w:p>
      <w:pPr>
        <w:sectPr>
          <w:pgSz w:w="11900" w:h="16851" w:orient="portrait"/>
          <w:cols w:equalWidth="0" w:num="1">
            <w:col w:w="11400"/>
          </w:cols>
          <w:pgMar w:left="240" w:top="125" w:right="259" w:bottom="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ectPr>
          <w:pgSz w:w="11900" w:h="16851" w:orient="portrait"/>
          <w:cols w:equalWidth="0" w:num="1">
            <w:col w:w="11400"/>
          </w:cols>
          <w:pgMar w:left="240" w:top="125" w:right="259" w:bottom="0" w:gutter="0" w:footer="0" w:header="0"/>
          <w:type w:val="continuous"/>
        </w:sectPr>
      </w:pPr>
    </w:p>
    <w:bookmarkStart w:id="103" w:name="page104"/>
    <w:bookmarkEnd w:id="10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Article 15 of the holders of Senior Debt in respect of cash, property or securities of the Company received upon the exercise of any such remedy.</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15, the Trustee, subject to the provisions of Section 6.1, and the Holders of the Securities shall be entitled to rely upon any order or decree made by any court of competent jurisdiction in which such bankruptcy,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Debt and other indebtedness of the Company, the amount thereof or payable thereon and all other facts pertinent thereto or to this Article 15.</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15.4</w:t>
      </w:r>
      <w:r>
        <w:rPr>
          <w:sz w:val="20"/>
          <w:szCs w:val="20"/>
          <w:color w:val="auto"/>
        </w:rPr>
        <w:tab/>
      </w:r>
      <w:r>
        <w:rPr>
          <w:rFonts w:ascii="Arial" w:cs="Arial" w:eastAsia="Arial" w:hAnsi="Arial"/>
          <w:sz w:val="16"/>
          <w:szCs w:val="16"/>
          <w:b w:val="1"/>
          <w:bCs w:val="1"/>
          <w:color w:val="auto"/>
        </w:rPr>
        <w:t>Authorization to Effect Subordination</w:t>
      </w:r>
      <w:r>
        <w:rPr>
          <w:rFonts w:ascii="Arial" w:cs="Arial" w:eastAsia="Arial" w:hAnsi="Arial"/>
          <w:sz w:val="16"/>
          <w:szCs w:val="16"/>
          <w:color w:val="auto"/>
        </w:rPr>
        <w:t>.</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Each Holder of a Security by the holder’s acceptance thereof authorizes and directs the Trustee on the holder’s behalf to take such action as may be necessary or appropriate to effectuate the subordination as provided in this Article 15 and appoints the Trustee to act as the holder’s attorney-in-fact for any and all such purposes.</w:t>
      </w:r>
    </w:p>
    <w:p>
      <w:pPr>
        <w:spacing w:after="0" w:line="17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15.5</w:t>
      </w:r>
      <w:r>
        <w:rPr>
          <w:sz w:val="20"/>
          <w:szCs w:val="20"/>
          <w:color w:val="auto"/>
        </w:rPr>
        <w:tab/>
      </w:r>
      <w:r>
        <w:rPr>
          <w:rFonts w:ascii="Arial" w:cs="Arial" w:eastAsia="Arial" w:hAnsi="Arial"/>
          <w:sz w:val="15"/>
          <w:szCs w:val="15"/>
          <w:b w:val="1"/>
          <w:bCs w:val="1"/>
          <w:color w:val="auto"/>
        </w:rPr>
        <w:t>Notice to Trustee</w:t>
      </w:r>
      <w:r>
        <w:rPr>
          <w:rFonts w:ascii="Arial" w:cs="Arial" w:eastAsia="Arial" w:hAnsi="Arial"/>
          <w:sz w:val="15"/>
          <w:szCs w:val="15"/>
          <w:color w:val="auto"/>
        </w:rPr>
        <w:t>.</w:t>
      </w:r>
    </w:p>
    <w:p>
      <w:pPr>
        <w:spacing w:after="0" w:line="22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6"/>
          <w:szCs w:val="16"/>
          <w:color w:val="auto"/>
        </w:rPr>
        <w:t xml:space="preserve">The Company shall give prompt written notice in the form of an Officers’ Certificate to a Responsible Officer of the Trustee and to any Paying Agent of any fact known to the Company which would prohibit the making of any payment of monies to or by the Trustee or any Paying Agent in respect of the Securities pursuant to the provisions of this Article 15. Notwithstanding the provisions of this Article 15 or any other provision of this Indenture, the Trustee shall not be charged with knowledge of the existence of any facts which would prohibit the making of any payment of monies to or by the Trustee in respect of the Securities pursuant to the provisions of this Article 15, unless and until a Responsible Officer of the Trustee shall have received written notice thereof at the Corporate Trust Office from the Company (in the form of an Officers’ Certificate) or a Representative or a holder or holders of Senior Debt or from any trustee therefor; and before the receipt of any such written notice, the Trustee, subject to the provisions of Section 6.1, shall be entitled in all respects to assume that no such facts exist;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on a date not fewer than two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15.5,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69"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Notwithstanding anything in this Article 15 to the contrary, nothing shall prevent any payment by the Trustee to the Holders of monies deposited with it pursuant to Section 4.1, and any such payment shall not be subject to the provisions of Section 15.1 or 15.2.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The Trustee, subject to the provisions of Section 6.1, shall be entitled to rely on the delivery to it of a written notice by a Representative of Senior Debt (or a trustee on behalf of such holder) to establish that such notice has been given by a Representative or a trustee on behalf of any such holder or holders. The Trustee shall not be required to make any payment or distribution to or on behalf of a holder of Senior Debt pursuant to this Article 15 unless it has received satisfactory evidence as to the amount of Senior Debt held by such person, the extent to which such person is entitled to participate in such payment or distribution and any other facts pertinent to the rights of such person under this Article 15.</w:t>
      </w:r>
    </w:p>
    <w:p>
      <w:pPr>
        <w:spacing w:after="0" w:line="16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15.6</w:t>
      </w:r>
      <w:r>
        <w:rPr>
          <w:sz w:val="20"/>
          <w:szCs w:val="20"/>
          <w:color w:val="auto"/>
        </w:rPr>
        <w:tab/>
      </w:r>
      <w:r>
        <w:rPr>
          <w:rFonts w:ascii="Arial" w:cs="Arial" w:eastAsia="Arial" w:hAnsi="Arial"/>
          <w:sz w:val="16"/>
          <w:szCs w:val="16"/>
          <w:b w:val="1"/>
          <w:bCs w:val="1"/>
          <w:color w:val="auto"/>
        </w:rPr>
        <w:t>Trustee’s Relation to Senior Debt</w:t>
      </w:r>
      <w:r>
        <w:rPr>
          <w:rFonts w:ascii="Arial" w:cs="Arial" w:eastAsia="Arial" w:hAnsi="Arial"/>
          <w:sz w:val="16"/>
          <w:szCs w:val="16"/>
          <w:color w:val="auto"/>
        </w:rPr>
        <w:t>.</w:t>
      </w:r>
    </w:p>
    <w:p>
      <w:pPr>
        <w:spacing w:after="0" w:line="22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Trustee in its individual capacity shall be entitled to all the rights set forth in this Article 15 in respect of any Senior Debt at any time held by it, to the same extent as any other holder of Senior Debt, and nothing in this Indenture shall deprive the Trustee of any of its rights as such holder.</w:t>
      </w:r>
    </w:p>
    <w:p>
      <w:pPr>
        <w:spacing w:after="0" w:line="14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With respect to the holders of Senior Debt, the Trustee undertakes to perform or to observe only such of its covenants and obligations as are specifically set forth in this Article 15, and no implied covenants or obligations with respect to the holders of Senior Debt shall be read into this Indenture against the Trustee. The Trustee shall not be deemed to owe any fiduciary duty to the holders of Senior Debt and, subject to the provisions of Section 6.1, the Trustee shall not be liable to any holder of Senior Debt (i) for any failure to make any payments or distributions to such holders or (ii) if it shall pay over or deliver to Holders of Securities, the Company or any other Person money or assets to which any holder of Senior Debt shall be entitled by virtue of this Article 15 or otherwise.</w:t>
      </w:r>
    </w:p>
    <w:p>
      <w:pPr>
        <w:spacing w:after="0" w:line="189"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15.7</w:t>
      </w:r>
      <w:r>
        <w:rPr>
          <w:sz w:val="20"/>
          <w:szCs w:val="20"/>
          <w:color w:val="auto"/>
        </w:rPr>
        <w:tab/>
      </w:r>
      <w:r>
        <w:rPr>
          <w:rFonts w:ascii="Arial" w:cs="Arial" w:eastAsia="Arial" w:hAnsi="Arial"/>
          <w:sz w:val="16"/>
          <w:szCs w:val="16"/>
          <w:b w:val="1"/>
          <w:bCs w:val="1"/>
          <w:color w:val="auto"/>
        </w:rPr>
        <w:t>No Impairment of Subordination</w:t>
      </w:r>
      <w:r>
        <w:rPr>
          <w:rFonts w:ascii="Arial" w:cs="Arial" w:eastAsia="Arial" w:hAnsi="Arial"/>
          <w:sz w:val="16"/>
          <w:szCs w:val="16"/>
          <w:color w:val="auto"/>
        </w:rPr>
        <w:t>.</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No right of any present or future holder of any Senior Debt to enforce subordination as herein provided shall at any time in any way be prejudiced or impaired by any act or failure to act on the part of the Company or by any act or failure to act, in good faith, by any such holder, or by any noncompliance by the Company, the Trustee or any Holder of Securities with the terms, provisions and covenants of this Indenture, regardless of any knowledge thereof which any such holder may have or otherwise be charged with.</w:t>
      </w:r>
    </w:p>
    <w:p>
      <w:pPr>
        <w:spacing w:after="0" w:line="183"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15.8</w:t>
      </w:r>
      <w:r>
        <w:rPr>
          <w:sz w:val="20"/>
          <w:szCs w:val="20"/>
          <w:color w:val="auto"/>
        </w:rPr>
        <w:tab/>
      </w:r>
      <w:r>
        <w:rPr>
          <w:rFonts w:ascii="Arial" w:cs="Arial" w:eastAsia="Arial" w:hAnsi="Arial"/>
          <w:sz w:val="16"/>
          <w:szCs w:val="16"/>
          <w:b w:val="1"/>
          <w:bCs w:val="1"/>
          <w:color w:val="auto"/>
        </w:rPr>
        <w:t>Certain Conversions/Exchanges Deemed Payment</w:t>
      </w:r>
      <w:r>
        <w:rPr>
          <w:rFonts w:ascii="Arial" w:cs="Arial" w:eastAsia="Arial" w:hAnsi="Arial"/>
          <w:sz w:val="16"/>
          <w:szCs w:val="16"/>
          <w:color w:val="auto"/>
        </w:rPr>
        <w:t>.</w:t>
      </w:r>
    </w:p>
    <w:p>
      <w:pPr>
        <w:spacing w:after="0" w:line="229" w:lineRule="exact"/>
        <w:rPr>
          <w:sz w:val="20"/>
          <w:szCs w:val="20"/>
          <w:color w:val="auto"/>
        </w:rPr>
      </w:pPr>
    </w:p>
    <w:p>
      <w:pPr>
        <w:ind w:right="240" w:firstLine="648"/>
        <w:spacing w:after="0" w:line="288" w:lineRule="auto"/>
        <w:rPr>
          <w:sz w:val="20"/>
          <w:szCs w:val="20"/>
          <w:color w:val="auto"/>
        </w:rPr>
      </w:pPr>
      <w:r>
        <w:rPr>
          <w:rFonts w:ascii="Arial" w:cs="Arial" w:eastAsia="Arial" w:hAnsi="Arial"/>
          <w:sz w:val="16"/>
          <w:szCs w:val="16"/>
          <w:color w:val="auto"/>
        </w:rPr>
        <w:t>For the purposes of this Article 15 only, (1) the issuance and delivery of junior securities upon conversion or exchange of Securities in accordance with Article 14 or otherwise (except upon conversion of the Securities in accordance with their terms) shall not be deemed to constitute a payment or distribution on account of the principal of (or premium, if any) or interest on Securities or on account of the purchase or other acquisition of Securities, and</w:t>
      </w:r>
    </w:p>
    <w:p>
      <w:pPr>
        <w:ind w:right="40" w:firstLine="8"/>
        <w:spacing w:after="0" w:line="255" w:lineRule="auto"/>
        <w:tabs>
          <w:tab w:leader="none" w:pos="25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payment, issuance or delivery of cash (except in satisfaction of fractional shares pursuant to Section 14.3), property or securities (other than junior securities) upon conversion or exchange of a Security shall be deemed to constitute payment on account of the principal of such Security. For the purposes of this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33" w:right="239" w:bottom="0" w:gutter="0" w:footer="0" w:header="0"/>
        </w:sectPr>
      </w:pPr>
    </w:p>
    <w:bookmarkStart w:id="104" w:name="page105"/>
    <w:bookmarkEnd w:id="104"/>
    <w:p>
      <w:pPr>
        <w:ind w:right="60"/>
        <w:spacing w:after="0" w:line="297" w:lineRule="auto"/>
        <w:rPr>
          <w:sz w:val="20"/>
          <w:szCs w:val="20"/>
          <w:color w:val="auto"/>
        </w:rPr>
      </w:pPr>
      <w:r>
        <w:rPr>
          <w:rFonts w:ascii="Arial" w:cs="Arial" w:eastAsia="Arial" w:hAnsi="Arial"/>
          <w:sz w:val="16"/>
          <w:szCs w:val="16"/>
          <w:color w:val="auto"/>
        </w:rPr>
        <w:t>Section 15.8, the term “junior securities” means (a) shares of any stock of any class of the Company, or (b) securities of the Company which are subordinated in right of payment to all Senior Debt which may be outstanding at the time of issuance or delivery of such securities to substantially the same extent as, or to a greater extent than, the Securities are so subordinated as provided in this Article. Nothing contained in this Article 15 or elsewhere in this Indenture or in the Securities is intended to or shall impair, as among the Company, its creditors other than holders of Senior Debt and the Holders of Securities, the right, which is absolute and unconditional, of the Holder of any Security to convert such Security in accordance with Article 14.</w:t>
      </w:r>
    </w:p>
    <w:p>
      <w:pPr>
        <w:spacing w:after="0" w:line="15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15.9</w:t>
      </w:r>
      <w:r>
        <w:rPr>
          <w:sz w:val="20"/>
          <w:szCs w:val="20"/>
          <w:color w:val="auto"/>
        </w:rPr>
        <w:tab/>
      </w:r>
      <w:r>
        <w:rPr>
          <w:rFonts w:ascii="Arial" w:cs="Arial" w:eastAsia="Arial" w:hAnsi="Arial"/>
          <w:sz w:val="16"/>
          <w:szCs w:val="16"/>
          <w:b w:val="1"/>
          <w:bCs w:val="1"/>
          <w:color w:val="auto"/>
        </w:rPr>
        <w:t>Article Applicable to Paying Agents</w:t>
      </w:r>
      <w:r>
        <w:rPr>
          <w:rFonts w:ascii="Arial" w:cs="Arial" w:eastAsia="Arial" w:hAnsi="Arial"/>
          <w:sz w:val="16"/>
          <w:szCs w:val="16"/>
          <w:color w:val="auto"/>
        </w:rPr>
        <w:t>.</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If at any time any Paying Agent other than the Trustee shall have been appointed by the Company and be then acting hereunder, the term “Trustee” as used in this Article shall (unless the context otherwise requires) be construed as extending to and including such Paying Agent within its meaning as fully for all intents and purposes as if such Paying Agent were named in this Article in addition to or in place of the Trustee;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first paragraph of Section 15.5 shall not apply to the Company or any Affiliate of the Company if the Company or such Affiliate acts as Paying Agent.</w:t>
      </w:r>
    </w:p>
    <w:p>
      <w:pPr>
        <w:spacing w:after="0" w:line="15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The Trustee shall not be responsible for the actions or inactions of any other Paying Agents (including the Company if acting as its own Paying Agent) and shall have no control of any funds held by such other Paying Agents.</w:t>
      </w:r>
    </w:p>
    <w:p>
      <w:pPr>
        <w:spacing w:after="0" w:line="166"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15.10</w:t>
      </w:r>
      <w:r>
        <w:rPr>
          <w:sz w:val="20"/>
          <w:szCs w:val="20"/>
          <w:color w:val="auto"/>
        </w:rPr>
        <w:tab/>
      </w:r>
      <w:r>
        <w:rPr>
          <w:rFonts w:ascii="Arial" w:cs="Arial" w:eastAsia="Arial" w:hAnsi="Arial"/>
          <w:sz w:val="16"/>
          <w:szCs w:val="16"/>
          <w:b w:val="1"/>
          <w:bCs w:val="1"/>
          <w:color w:val="auto"/>
        </w:rPr>
        <w:t>Senior Debt Entitled to Rely</w:t>
      </w:r>
      <w:r>
        <w:rPr>
          <w:rFonts w:ascii="Arial" w:cs="Arial" w:eastAsia="Arial" w:hAnsi="Arial"/>
          <w:sz w:val="16"/>
          <w:szCs w:val="16"/>
          <w:color w:val="auto"/>
        </w:rPr>
        <w:t>.</w:t>
      </w:r>
    </w:p>
    <w:p>
      <w:pPr>
        <w:spacing w:after="0" w:line="229"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The holders of Senior Debt (including, without limitation, Designated Senior Debt) shall have the right to rely upon this Article 15, and no amendment or modification of the provisions contained herein shall diminish the rights of such holders unless such holders shall have agreed in writing thereto.</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15.11</w:t>
      </w:r>
      <w:r>
        <w:rPr>
          <w:sz w:val="20"/>
          <w:szCs w:val="20"/>
          <w:color w:val="auto"/>
        </w:rPr>
        <w:tab/>
      </w:r>
      <w:r>
        <w:rPr>
          <w:rFonts w:ascii="Arial" w:cs="Arial" w:eastAsia="Arial" w:hAnsi="Arial"/>
          <w:sz w:val="16"/>
          <w:szCs w:val="16"/>
          <w:b w:val="1"/>
          <w:bCs w:val="1"/>
          <w:color w:val="auto"/>
        </w:rPr>
        <w:t>Reliance on Judicial Order or Certificate of Liquidating Agent</w:t>
      </w:r>
      <w:r>
        <w:rPr>
          <w:rFonts w:ascii="Arial" w:cs="Arial" w:eastAsia="Arial" w:hAnsi="Arial"/>
          <w:sz w:val="16"/>
          <w:szCs w:val="16"/>
          <w:color w:val="auto"/>
        </w:rPr>
        <w:t>.</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Upon any payment or distribution of assets of the Company referred to in this Article, the Trustee and the Holders shall be entitled to rely upon any order or decree entered by any court of competent jurisdiction in which such dissolution, winding up, liquidation, reorganization, assignment for the benefit of creditors or marshalling of assets and liabilities of the Company or bankruptcy, insolvency, receivership or other like proceeding is pending, or a certificate of the trustee in bankruptcy, liquidating trustee, custodian, receiver, assignee for the benefit of creditors, agent or other person making such payment or distribution, delivered to the Trustee or to the Holders, for the purpose of ascertaining the persons entitled to participate in such payment or distribution, the holders of Senior Debt and other indebtedness of the Company, the amount thereof or payable thereon, the amount or amounts paid or distributed thereon and all other facts pertinent thereto or to this Article.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15.12</w:t>
      </w:r>
      <w:r>
        <w:rPr>
          <w:sz w:val="20"/>
          <w:szCs w:val="20"/>
          <w:color w:val="auto"/>
        </w:rPr>
        <w:tab/>
      </w:r>
      <w:r>
        <w:rPr>
          <w:rFonts w:ascii="Arial" w:cs="Arial" w:eastAsia="Arial" w:hAnsi="Arial"/>
          <w:sz w:val="16"/>
          <w:szCs w:val="16"/>
          <w:b w:val="1"/>
          <w:bCs w:val="1"/>
          <w:color w:val="auto"/>
        </w:rPr>
        <w:t>Trust Monies Not Subordinated.</w:t>
      </w:r>
    </w:p>
    <w:p>
      <w:pPr>
        <w:spacing w:after="0" w:line="229"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Notwithstanding anything contained herein to the contrary, payments from money, U.S. Government Obligations and/or Foreign Government Obligations held in trust under Article 4 or Article 13 by the Trustee for the payment of the principal of, premium, if any, and interest on the Securities shall not be subordinated to the prior payment in full of any Senior Debt of the Company or subject to the restrictions set forth in this Article 15, and none of the Holders shall be obligated to pay over any such amount to the Company or any holder of Senior Debt of the Company or any other creditor of the Company.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remainder of this page is intentionally left blank.]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day and year first above written.</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426720</wp:posOffset>
            </wp:positionV>
            <wp:extent cx="361886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20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3975735</wp:posOffset>
            </wp:positionH>
            <wp:positionV relativeFrom="paragraph">
              <wp:posOffset>14605</wp:posOffset>
            </wp:positionV>
            <wp:extent cx="327596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417195</wp:posOffset>
            </wp:positionV>
            <wp:extent cx="36188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Lynn M. Steiner</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41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WELLS FARGO BANK, NATIONAL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pacing w:after="0" w:line="225"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b w:val="1"/>
          <w:bCs w:val="1"/>
          <w:color w:val="auto"/>
        </w:rPr>
        <w:t>Dated as of April</w:t>
      </w:r>
      <w:r>
        <w:rPr>
          <w:sz w:val="20"/>
          <w:szCs w:val="20"/>
          <w:color w:val="auto"/>
        </w:rPr>
        <w:tab/>
      </w:r>
      <w:r>
        <w:rPr>
          <w:rFonts w:ascii="Arial" w:cs="Arial" w:eastAsia="Arial" w:hAnsi="Arial"/>
          <w:sz w:val="15"/>
          <w:szCs w:val="15"/>
          <w:b w:val="1"/>
          <w:bCs w:val="1"/>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left="360"/>
        <w:spacing w:after="0"/>
        <w:rPr>
          <w:sz w:val="20"/>
          <w:szCs w:val="20"/>
          <w:color w:val="auto"/>
        </w:rPr>
      </w:pPr>
      <w:r>
        <w:rPr>
          <w:rFonts w:ascii="Arial" w:cs="Arial" w:eastAsia="Arial" w:hAnsi="Arial"/>
          <w:sz w:val="18"/>
          <w:szCs w:val="18"/>
          <w:b w:val="1"/>
          <w:bCs w:val="1"/>
          <w:color w:val="auto"/>
        </w:rPr>
        <w:t>% Convertible Senior Notes due October 15,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8480" w:type="dxa"/>
            <w:vAlign w:val="bottom"/>
          </w:tcPr>
          <w:p>
            <w:pPr>
              <w:ind w:left="4240"/>
              <w:spacing w:after="0"/>
              <w:rPr>
                <w:sz w:val="20"/>
                <w:szCs w:val="20"/>
                <w:color w:val="auto"/>
              </w:rPr>
            </w:pPr>
            <w:r>
              <w:rPr>
                <w:rFonts w:ascii="Arial" w:cs="Arial" w:eastAsia="Arial" w:hAnsi="Arial"/>
                <w:sz w:val="18"/>
                <w:szCs w:val="18"/>
                <w:b w:val="1"/>
                <w:bCs w:val="1"/>
                <w:color w:val="auto"/>
              </w:rPr>
              <w:t>Micron Technology, Inc.</w:t>
            </w: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418"/>
        </w:trPr>
        <w:tc>
          <w:tcPr>
            <w:tcW w:w="540" w:type="dxa"/>
            <w:vAlign w:val="bottom"/>
          </w:tcPr>
          <w:p>
            <w:pPr>
              <w:spacing w:after="0"/>
              <w:rPr>
                <w:sz w:val="24"/>
                <w:szCs w:val="24"/>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auto"/>
                <w:w w:val="92"/>
              </w:rPr>
              <w:t>Reconciliation and Tie between the Trust Indenture Act of 1939, as amended, and the Indenture, dated as of April</w:t>
            </w:r>
          </w:p>
        </w:tc>
        <w:tc>
          <w:tcPr>
            <w:tcW w:w="2400" w:type="dxa"/>
            <w:vAlign w:val="bottom"/>
            <w:gridSpan w:val="2"/>
          </w:tcPr>
          <w:p>
            <w:pPr>
              <w:jc w:val="right"/>
              <w:ind w:right="551"/>
              <w:spacing w:after="0"/>
              <w:rPr>
                <w:sz w:val="20"/>
                <w:szCs w:val="20"/>
                <w:color w:val="auto"/>
              </w:rPr>
            </w:pPr>
            <w:r>
              <w:rPr>
                <w:rFonts w:ascii="Arial" w:cs="Arial" w:eastAsia="Arial" w:hAnsi="Arial"/>
                <w:sz w:val="18"/>
                <w:szCs w:val="18"/>
                <w:color w:val="auto"/>
                <w:w w:val="92"/>
              </w:rPr>
              <w:t>, 2009, between Micron</w:t>
            </w: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Technology, Inc. and Wells Fargo Bank, National Association, as Trustee.</w:t>
            </w: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65"/>
        </w:trPr>
        <w:tc>
          <w:tcPr>
            <w:tcW w:w="90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Trust Indenture Act Section</w:t>
            </w:r>
          </w:p>
        </w:tc>
        <w:tc>
          <w:tcPr>
            <w:tcW w:w="240" w:type="dxa"/>
            <w:vAlign w:val="bottom"/>
            <w:tcBorders>
              <w:bottom w:val="single" w:sz="8" w:color="CCEEFF"/>
            </w:tcBorders>
          </w:tcPr>
          <w:p>
            <w:pPr>
              <w:spacing w:after="0"/>
              <w:rPr>
                <w:sz w:val="24"/>
                <w:szCs w:val="24"/>
                <w:color w:val="auto"/>
              </w:rPr>
            </w:pPr>
          </w:p>
        </w:tc>
        <w:tc>
          <w:tcPr>
            <w:tcW w:w="2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Indenture Section</w:t>
            </w:r>
          </w:p>
        </w:tc>
      </w:tr>
      <w:tr>
        <w:trPr>
          <w:trHeight w:val="21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310</w:t>
            </w: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(a)(1)</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(a)(2)</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(a)(3)</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(a)(4)</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(a)(5)</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7.08(a)(iii), 7.08(e)</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tcPr>
          <w:p>
            <w:pPr>
              <w:ind w:left="20"/>
              <w:spacing w:after="0"/>
              <w:rPr>
                <w:sz w:val="20"/>
                <w:szCs w:val="20"/>
                <w:color w:val="auto"/>
              </w:rPr>
            </w:pPr>
            <w:r>
              <w:rPr>
                <w:rFonts w:ascii="Arial" w:cs="Arial" w:eastAsia="Arial" w:hAnsi="Arial"/>
                <w:sz w:val="18"/>
                <w:szCs w:val="18"/>
                <w:color w:val="auto"/>
              </w:rPr>
              <w:t>§ 311</w:t>
            </w:r>
          </w:p>
        </w:tc>
        <w:tc>
          <w:tcPr>
            <w:tcW w:w="8480" w:type="dxa"/>
            <w:vAlign w:val="bottom"/>
          </w:tcPr>
          <w:p>
            <w:pPr>
              <w:ind w:left="140"/>
              <w:spacing w:after="0"/>
              <w:rPr>
                <w:sz w:val="20"/>
                <w:szCs w:val="20"/>
                <w:color w:val="auto"/>
              </w:rPr>
            </w:pPr>
            <w:r>
              <w:rPr>
                <w:rFonts w:ascii="Arial" w:cs="Arial" w:eastAsia="Arial" w:hAnsi="Arial"/>
                <w:sz w:val="18"/>
                <w:szCs w:val="18"/>
                <w:color w:val="auto"/>
              </w:rPr>
              <w:t>(a)</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(c)</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312</w:t>
            </w: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13.02(a), 13.04</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13.02(a), 13.04</w:t>
            </w:r>
          </w:p>
        </w:tc>
      </w:tr>
      <w:tr>
        <w:trPr>
          <w:trHeight w:val="216"/>
        </w:trPr>
        <w:tc>
          <w:tcPr>
            <w:tcW w:w="540" w:type="dxa"/>
            <w:vAlign w:val="bottom"/>
          </w:tcPr>
          <w:p>
            <w:pPr>
              <w:ind w:left="20"/>
              <w:spacing w:after="0"/>
              <w:rPr>
                <w:sz w:val="20"/>
                <w:szCs w:val="20"/>
                <w:color w:val="auto"/>
              </w:rPr>
            </w:pPr>
            <w:r>
              <w:rPr>
                <w:rFonts w:ascii="Arial" w:cs="Arial" w:eastAsia="Arial" w:hAnsi="Arial"/>
                <w:sz w:val="18"/>
                <w:szCs w:val="18"/>
                <w:color w:val="auto"/>
              </w:rPr>
              <w:t>§ 313</w:t>
            </w:r>
          </w:p>
        </w:tc>
        <w:tc>
          <w:tcPr>
            <w:tcW w:w="8480" w:type="dxa"/>
            <w:vAlign w:val="bottom"/>
          </w:tcPr>
          <w:p>
            <w:pPr>
              <w:ind w:left="140"/>
              <w:spacing w:after="0"/>
              <w:rPr>
                <w:sz w:val="20"/>
                <w:szCs w:val="20"/>
                <w:color w:val="auto"/>
              </w:rPr>
            </w:pPr>
            <w:r>
              <w:rPr>
                <w:rFonts w:ascii="Arial" w:cs="Arial" w:eastAsia="Arial" w:hAnsi="Arial"/>
                <w:sz w:val="18"/>
                <w:szCs w:val="18"/>
                <w:color w:val="auto"/>
              </w:rPr>
              <w:t>(a)</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(c)</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7.05, 7.06</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r>
      <w:tr>
        <w:trPr>
          <w:trHeight w:val="216"/>
        </w:trPr>
        <w:tc>
          <w:tcPr>
            <w:tcW w:w="540" w:type="dxa"/>
            <w:vAlign w:val="bottom"/>
          </w:tcPr>
          <w:p>
            <w:pPr>
              <w:ind w:left="20"/>
              <w:spacing w:after="0"/>
              <w:rPr>
                <w:sz w:val="20"/>
                <w:szCs w:val="20"/>
                <w:color w:val="auto"/>
              </w:rPr>
            </w:pPr>
            <w:r>
              <w:rPr>
                <w:rFonts w:ascii="Arial" w:cs="Arial" w:eastAsia="Arial" w:hAnsi="Arial"/>
                <w:sz w:val="18"/>
                <w:szCs w:val="18"/>
                <w:color w:val="auto"/>
              </w:rPr>
              <w:t>§ 314</w:t>
            </w:r>
          </w:p>
        </w:tc>
        <w:tc>
          <w:tcPr>
            <w:tcW w:w="8480" w:type="dxa"/>
            <w:vAlign w:val="bottom"/>
          </w:tcPr>
          <w:p>
            <w:pPr>
              <w:ind w:left="140"/>
              <w:spacing w:after="0"/>
              <w:rPr>
                <w:sz w:val="20"/>
                <w:szCs w:val="20"/>
                <w:color w:val="auto"/>
              </w:rPr>
            </w:pPr>
            <w:r>
              <w:rPr>
                <w:rFonts w:ascii="Arial" w:cs="Arial" w:eastAsia="Arial" w:hAnsi="Arial"/>
                <w:sz w:val="18"/>
                <w:szCs w:val="18"/>
                <w:color w:val="auto"/>
              </w:rPr>
              <w:t>(a)</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4.04, 4.05</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(c)(1)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13.05(1)</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13.05(2)</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(c)(3)</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315</w:t>
            </w: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 7.02(a)</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(b)</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(d)</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7.01(c)</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(d)(1)</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7.01(b), 7.02(a)</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(d)(2)</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7.02(c)</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(d)(3)</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7.02(e)</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(e)</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6.12</w:t>
            </w:r>
          </w:p>
        </w:tc>
      </w:tr>
      <w:tr>
        <w:trPr>
          <w:trHeight w:val="216"/>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316</w:t>
            </w: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(a)(1)(A)</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(a)(1)(B)</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(a)(2)</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(b)</w:t>
            </w:r>
          </w:p>
        </w:tc>
        <w:tc>
          <w:tcPr>
            <w:tcW w:w="240" w:type="dxa"/>
            <w:vAlign w:val="bottom"/>
          </w:tcPr>
          <w:p>
            <w:pPr>
              <w:spacing w:after="0"/>
              <w:rPr>
                <w:sz w:val="18"/>
                <w:szCs w:val="18"/>
                <w:color w:val="auto"/>
              </w:rPr>
            </w:pPr>
          </w:p>
        </w:tc>
        <w:tc>
          <w:tcPr>
            <w:tcW w:w="2160" w:type="dxa"/>
            <w:vAlign w:val="bottom"/>
          </w:tcPr>
          <w:p>
            <w:pPr>
              <w:jc w:val="right"/>
              <w:spacing w:after="0"/>
              <w:rPr>
                <w:sz w:val="20"/>
                <w:szCs w:val="20"/>
                <w:color w:val="auto"/>
              </w:rPr>
            </w:pPr>
            <w:r>
              <w:rPr>
                <w:rFonts w:ascii="Arial" w:cs="Arial" w:eastAsia="Arial" w:hAnsi="Arial"/>
                <w:sz w:val="18"/>
                <w:szCs w:val="18"/>
                <w:color w:val="auto"/>
              </w:rPr>
              <w:t>9.02(b)</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w:t>
            </w:r>
          </w:p>
        </w:tc>
        <w:tc>
          <w:tcPr>
            <w:tcW w:w="240" w:type="dxa"/>
            <w:vAlign w:val="bottom"/>
            <w:shd w:val="clear" w:color="auto" w:fill="CCEEFF"/>
          </w:tcPr>
          <w:p>
            <w:pPr>
              <w:spacing w:after="0"/>
              <w:rPr>
                <w:sz w:val="18"/>
                <w:szCs w:val="18"/>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13.02(d)</w:t>
            </w:r>
          </w:p>
        </w:tc>
      </w:tr>
      <w:tr>
        <w:trPr>
          <w:trHeight w:val="216"/>
        </w:trPr>
        <w:tc>
          <w:tcPr>
            <w:tcW w:w="540" w:type="dxa"/>
            <w:vAlign w:val="bottom"/>
          </w:tcPr>
          <w:p>
            <w:pPr>
              <w:ind w:left="20"/>
              <w:spacing w:after="0"/>
              <w:rPr>
                <w:sz w:val="20"/>
                <w:szCs w:val="20"/>
                <w:color w:val="auto"/>
              </w:rPr>
            </w:pPr>
            <w:r>
              <w:rPr>
                <w:rFonts w:ascii="Arial" w:cs="Arial" w:eastAsia="Arial" w:hAnsi="Arial"/>
                <w:sz w:val="18"/>
                <w:szCs w:val="18"/>
                <w:color w:val="auto"/>
              </w:rPr>
              <w:t>§ 317</w:t>
            </w:r>
          </w:p>
        </w:tc>
        <w:tc>
          <w:tcPr>
            <w:tcW w:w="8480" w:type="dxa"/>
            <w:vAlign w:val="bottom"/>
          </w:tcPr>
          <w:p>
            <w:pPr>
              <w:ind w:left="140"/>
              <w:spacing w:after="0"/>
              <w:rPr>
                <w:sz w:val="20"/>
                <w:szCs w:val="20"/>
                <w:color w:val="auto"/>
              </w:rPr>
            </w:pPr>
            <w:r>
              <w:rPr>
                <w:rFonts w:ascii="Arial" w:cs="Arial" w:eastAsia="Arial" w:hAnsi="Arial"/>
                <w:sz w:val="18"/>
                <w:szCs w:val="18"/>
                <w:color w:val="auto"/>
              </w:rPr>
              <w:t>(a)(1)</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6.03</w:t>
            </w:r>
          </w:p>
        </w:tc>
      </w:tr>
      <w:tr>
        <w:trPr>
          <w:trHeight w:val="216"/>
        </w:trPr>
        <w:tc>
          <w:tcPr>
            <w:tcW w:w="540" w:type="dxa"/>
            <w:vAlign w:val="bottom"/>
            <w:shd w:val="clear" w:color="auto" w:fill="CCEEFF"/>
          </w:tcPr>
          <w:p>
            <w:pPr>
              <w:spacing w:after="0"/>
              <w:rPr>
                <w:sz w:val="18"/>
                <w:szCs w:val="18"/>
                <w:color w:val="auto"/>
              </w:rPr>
            </w:pP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(a)(2)</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w:t>
            </w:r>
          </w:p>
        </w:tc>
      </w:tr>
      <w:tr>
        <w:trPr>
          <w:trHeight w:val="216"/>
        </w:trPr>
        <w:tc>
          <w:tcPr>
            <w:tcW w:w="540" w:type="dxa"/>
            <w:vAlign w:val="bottom"/>
          </w:tcPr>
          <w:p>
            <w:pPr>
              <w:spacing w:after="0"/>
              <w:rPr>
                <w:sz w:val="18"/>
                <w:szCs w:val="18"/>
                <w:color w:val="auto"/>
              </w:rPr>
            </w:pPr>
          </w:p>
        </w:tc>
        <w:tc>
          <w:tcPr>
            <w:tcW w:w="8480" w:type="dxa"/>
            <w:vAlign w:val="bottom"/>
          </w:tcPr>
          <w:p>
            <w:pPr>
              <w:ind w:left="140"/>
              <w:spacing w:after="0"/>
              <w:rPr>
                <w:sz w:val="20"/>
                <w:szCs w:val="20"/>
                <w:color w:val="auto"/>
              </w:rPr>
            </w:pPr>
            <w:r>
              <w:rPr>
                <w:rFonts w:ascii="Arial" w:cs="Arial" w:eastAsia="Arial" w:hAnsi="Arial"/>
                <w:sz w:val="18"/>
                <w:szCs w:val="18"/>
                <w:color w:val="auto"/>
              </w:rPr>
              <w:t>(b)</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8.02</w:t>
            </w:r>
          </w:p>
        </w:tc>
      </w:tr>
      <w:tr>
        <w:trPr>
          <w:trHeight w:val="216"/>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318</w:t>
            </w:r>
          </w:p>
        </w:tc>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a part of the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364" w:right="239" w:bottom="0" w:gutter="0" w:footer="0" w:header="0"/>
        </w:sectPr>
      </w:pPr>
    </w:p>
    <w:bookmarkStart w:id="106" w:name="page107"/>
    <w:bookmarkEnd w:id="106"/>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TABLE OF CONTENTS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(Continued)</w:t>
      </w: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4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r>
      <w:tr>
        <w:trPr>
          <w:trHeight w:val="358"/>
        </w:trPr>
        <w:tc>
          <w:tcPr>
            <w:tcW w:w="10780" w:type="dxa"/>
            <w:vAlign w:val="bottom"/>
            <w:gridSpan w:val="2"/>
          </w:tcPr>
          <w:p>
            <w:pPr>
              <w:ind w:left="20"/>
              <w:spacing w:after="0"/>
              <w:rPr>
                <w:sz w:val="20"/>
                <w:szCs w:val="20"/>
                <w:color w:val="auto"/>
              </w:rPr>
            </w:pPr>
            <w:r>
              <w:rPr>
                <w:rFonts w:ascii="Arial" w:cs="Arial" w:eastAsia="Arial" w:hAnsi="Arial"/>
                <w:sz w:val="18"/>
                <w:szCs w:val="18"/>
                <w:color w:val="auto"/>
              </w:rPr>
              <w:t>ARTICLE 1 Definitions and Incorporation by Reference</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1.01.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1.02.</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Other Definitions</w:t>
            </w: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1.03.</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Incorporation by Reference of Trust Indenture Act</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1.04.</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Rules of Construction</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8"/>
                <w:szCs w:val="18"/>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1.05.</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Acts of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0"/>
                <w:szCs w:val="20"/>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18"/>
                <w:szCs w:val="18"/>
                <w:color w:val="auto"/>
              </w:rPr>
              <w:t>ARTICLE 2 The Notes</w:t>
            </w:r>
          </w:p>
        </w:tc>
        <w:tc>
          <w:tcPr>
            <w:tcW w:w="8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2.01.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Form, Dating and Denominations; Legends</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4"/>
                <w:szCs w:val="24"/>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2.02.</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Execution and Authentication</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2.03.</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Registrar, Paying Agent and Conversion Agent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2.04.</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Paying Agent to Hold Money in Trust</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2.05.</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Noteholder Lists</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2.06.</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Transfer and Exchange</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2.07.</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Replacement Notes</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2.08.</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Outstanding Notes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2.09.</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Treasury Notes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2.10.</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Temporary Notes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2.11.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Cancellation</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2.12.</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CUSIP Numbers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2.13.</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Book-Entry Provisions for Global Notes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20"/>
                <w:szCs w:val="20"/>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18"/>
                <w:szCs w:val="18"/>
                <w:color w:val="auto"/>
                <w:w w:val="94"/>
              </w:rPr>
              <w:t>ARTICLE 3 Repurchases</w:t>
            </w:r>
          </w:p>
        </w:tc>
        <w:tc>
          <w:tcPr>
            <w:tcW w:w="8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3.01.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Repurchase at the Option of the Holders Upon Change in Control or Termination of Trading</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4"/>
                <w:szCs w:val="24"/>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3.02.</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Effect of Repurchase Notice</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3.03.</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Deposit of Repurchase Price</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3.04.</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Notes Repurchased in Part</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18"/>
                <w:szCs w:val="18"/>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3.05.</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Covenant to Comply with Securities Laws upon Repurchase of Notes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40" w:type="dxa"/>
            <w:vAlign w:val="bottom"/>
          </w:tcPr>
          <w:p>
            <w:pPr>
              <w:spacing w:after="0"/>
              <w:rPr>
                <w:sz w:val="20"/>
                <w:szCs w:val="20"/>
                <w:color w:val="auto"/>
              </w:rPr>
            </w:pPr>
          </w:p>
        </w:tc>
      </w:tr>
      <w:tr>
        <w:trPr>
          <w:trHeight w:val="432"/>
        </w:trPr>
        <w:tc>
          <w:tcPr>
            <w:tcW w:w="1940" w:type="dxa"/>
            <w:vAlign w:val="bottom"/>
          </w:tcPr>
          <w:p>
            <w:pPr>
              <w:ind w:left="20"/>
              <w:spacing w:after="0"/>
              <w:rPr>
                <w:sz w:val="20"/>
                <w:szCs w:val="20"/>
                <w:color w:val="auto"/>
              </w:rPr>
            </w:pPr>
            <w:r>
              <w:rPr>
                <w:rFonts w:ascii="Arial" w:cs="Arial" w:eastAsia="Arial" w:hAnsi="Arial"/>
                <w:sz w:val="18"/>
                <w:szCs w:val="18"/>
                <w:color w:val="auto"/>
              </w:rPr>
              <w:t>ARTICLE 4 Covenants</w:t>
            </w:r>
          </w:p>
        </w:tc>
        <w:tc>
          <w:tcPr>
            <w:tcW w:w="88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4.01.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Payment of Notes</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4"/>
                <w:szCs w:val="24"/>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4.02.</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Maintenance of Office or Agency</w:t>
            </w: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4.03.</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Existence</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4.04.</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Reports</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4.05.</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Reports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18"/>
                <w:szCs w:val="18"/>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4.06.</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Stay, Extension and Usury Laws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r>
      <w:tr>
        <w:trPr>
          <w:trHeight w:val="432"/>
        </w:trPr>
        <w:tc>
          <w:tcPr>
            <w:tcW w:w="1940" w:type="dxa"/>
            <w:vAlign w:val="bottom"/>
          </w:tcPr>
          <w:p>
            <w:pPr>
              <w:spacing w:after="0"/>
              <w:rPr>
                <w:sz w:val="24"/>
                <w:szCs w:val="24"/>
                <w:color w:val="auto"/>
              </w:rPr>
            </w:pPr>
          </w:p>
        </w:tc>
        <w:tc>
          <w:tcPr>
            <w:tcW w:w="8840" w:type="dxa"/>
            <w:vAlign w:val="bottom"/>
          </w:tcPr>
          <w:p>
            <w:pPr>
              <w:jc w:val="center"/>
              <w:ind w:right="1210"/>
              <w:spacing w:after="0"/>
              <w:rPr>
                <w:sz w:val="20"/>
                <w:szCs w:val="20"/>
                <w:color w:val="auto"/>
              </w:rPr>
            </w:pPr>
            <w:r>
              <w:rPr>
                <w:rFonts w:ascii="Arial" w:cs="Arial" w:eastAsia="Arial" w:hAnsi="Arial"/>
                <w:sz w:val="18"/>
                <w:szCs w:val="18"/>
                <w:color w:val="auto"/>
              </w:rPr>
              <w:t>ii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40" w:type="dxa"/>
            <w:vAlign w:val="bottom"/>
            <w:tcBorders>
              <w:bottom w:val="single" w:sz="8" w:color="010101"/>
            </w:tcBorders>
          </w:tcPr>
          <w:p>
            <w:pPr>
              <w:spacing w:after="0"/>
              <w:rPr>
                <w:sz w:val="11"/>
                <w:szCs w:val="11"/>
                <w:color w:val="auto"/>
              </w:rPr>
            </w:pPr>
          </w:p>
        </w:tc>
        <w:tc>
          <w:tcPr>
            <w:tcW w:w="88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1940" w:type="dxa"/>
            <w:vAlign w:val="bottom"/>
          </w:tcPr>
          <w:p>
            <w:pPr>
              <w:spacing w:after="0"/>
              <w:rPr>
                <w:sz w:val="24"/>
                <w:szCs w:val="24"/>
                <w:color w:val="auto"/>
              </w:rPr>
            </w:pPr>
          </w:p>
        </w:tc>
        <w:tc>
          <w:tcPr>
            <w:tcW w:w="8840" w:type="dxa"/>
            <w:vAlign w:val="bottom"/>
          </w:tcPr>
          <w:p>
            <w:pPr>
              <w:jc w:val="center"/>
              <w:ind w:right="119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8840" w:type="dxa"/>
            <w:vAlign w:val="bottom"/>
          </w:tcPr>
          <w:p>
            <w:pPr>
              <w:jc w:val="center"/>
              <w:ind w:right="1210"/>
              <w:spacing w:after="0"/>
              <w:rPr>
                <w:sz w:val="20"/>
                <w:szCs w:val="20"/>
                <w:color w:val="auto"/>
              </w:rPr>
            </w:pPr>
            <w:r>
              <w:rPr>
                <w:rFonts w:ascii="Arial" w:cs="Arial" w:eastAsia="Arial" w:hAnsi="Arial"/>
                <w:sz w:val="18"/>
                <w:szCs w:val="18"/>
                <w:b w:val="1"/>
                <w:bCs w:val="1"/>
                <w:color w:val="auto"/>
                <w:w w:val="93"/>
              </w:rPr>
              <w:t>(Continued)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4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58"/>
        </w:trPr>
        <w:tc>
          <w:tcPr>
            <w:tcW w:w="10780" w:type="dxa"/>
            <w:vAlign w:val="bottom"/>
            <w:gridSpan w:val="2"/>
          </w:tcPr>
          <w:p>
            <w:pPr>
              <w:ind w:left="20"/>
              <w:spacing w:after="0"/>
              <w:rPr>
                <w:sz w:val="20"/>
                <w:szCs w:val="20"/>
                <w:color w:val="auto"/>
              </w:rPr>
            </w:pPr>
            <w:r>
              <w:rPr>
                <w:rFonts w:ascii="Arial" w:cs="Arial" w:eastAsia="Arial" w:hAnsi="Arial"/>
                <w:sz w:val="18"/>
                <w:szCs w:val="18"/>
                <w:color w:val="auto"/>
              </w:rPr>
              <w:t>ARTICLE 5 Consolidation, Merger, Sale or Lease of Assets</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432"/>
        </w:trPr>
        <w:tc>
          <w:tcPr>
            <w:tcW w:w="1940" w:type="dxa"/>
            <w:vAlign w:val="bottom"/>
          </w:tcPr>
          <w:p>
            <w:pPr>
              <w:ind w:left="560"/>
              <w:spacing w:after="0"/>
              <w:rPr>
                <w:sz w:val="20"/>
                <w:szCs w:val="20"/>
                <w:color w:val="auto"/>
              </w:rPr>
            </w:pPr>
            <w:r>
              <w:rPr>
                <w:rFonts w:ascii="Arial" w:cs="Arial" w:eastAsia="Arial" w:hAnsi="Arial"/>
                <w:sz w:val="18"/>
                <w:szCs w:val="18"/>
                <w:color w:val="auto"/>
              </w:rPr>
              <w:t>Section 5.01.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Consolidation, Merger, Sale or Lease of Assets by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4"/>
                <w:szCs w:val="24"/>
                <w:color w:val="auto"/>
              </w:rPr>
            </w:pPr>
          </w:p>
        </w:tc>
      </w:tr>
      <w:tr>
        <w:trPr>
          <w:trHeight w:val="432"/>
        </w:trPr>
        <w:tc>
          <w:tcPr>
            <w:tcW w:w="10780" w:type="dxa"/>
            <w:vAlign w:val="bottom"/>
            <w:gridSpan w:val="2"/>
          </w:tcPr>
          <w:p>
            <w:pPr>
              <w:ind w:left="20"/>
              <w:spacing w:after="0"/>
              <w:rPr>
                <w:sz w:val="20"/>
                <w:szCs w:val="20"/>
                <w:color w:val="auto"/>
              </w:rPr>
            </w:pPr>
            <w:r>
              <w:rPr>
                <w:rFonts w:ascii="Arial" w:cs="Arial" w:eastAsia="Arial" w:hAnsi="Arial"/>
                <w:sz w:val="18"/>
                <w:szCs w:val="18"/>
                <w:color w:val="auto"/>
              </w:rPr>
              <w:t>ARTICLE 6 Default and 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r>
      <w:tr>
        <w:trPr>
          <w:trHeight w:val="418"/>
        </w:trPr>
        <w:tc>
          <w:tcPr>
            <w:tcW w:w="1940" w:type="dxa"/>
            <w:vAlign w:val="bottom"/>
          </w:tcPr>
          <w:p>
            <w:pPr>
              <w:ind w:left="560"/>
              <w:spacing w:after="0"/>
              <w:rPr>
                <w:sz w:val="20"/>
                <w:szCs w:val="20"/>
                <w:color w:val="auto"/>
              </w:rPr>
            </w:pPr>
            <w:r>
              <w:rPr>
                <w:rFonts w:ascii="Arial" w:cs="Arial" w:eastAsia="Arial" w:hAnsi="Arial"/>
                <w:sz w:val="18"/>
                <w:szCs w:val="18"/>
                <w:color w:val="auto"/>
              </w:rPr>
              <w:t>Section 6.01.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Events of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4"/>
                <w:szCs w:val="24"/>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6.02.</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Acceleration</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6.03.</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Other 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6.04.</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Waiver of Past Defaults</w:t>
            </w:r>
          </w:p>
        </w:tc>
        <w:tc>
          <w:tcPr>
            <w:tcW w:w="640" w:type="dxa"/>
            <w:vAlign w:val="bottom"/>
          </w:tcPr>
          <w:p>
            <w:pPr>
              <w:jc w:val="right"/>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6.05.</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Control by Majority</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6.06.</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Limitation on Suits</w:t>
            </w:r>
          </w:p>
        </w:tc>
        <w:tc>
          <w:tcPr>
            <w:tcW w:w="64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6.07.</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Rights of Holders to Receive Payment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6.08.</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Collection Suit by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6.09.</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Trustee May File Proofs of Claim</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16"/>
        </w:trPr>
        <w:tc>
          <w:tcPr>
            <w:tcW w:w="1940" w:type="dxa"/>
            <w:vAlign w:val="bottom"/>
          </w:tcPr>
          <w:p>
            <w:pPr>
              <w:ind w:left="560"/>
              <w:spacing w:after="0"/>
              <w:rPr>
                <w:sz w:val="20"/>
                <w:szCs w:val="20"/>
                <w:color w:val="auto"/>
              </w:rPr>
            </w:pPr>
            <w:r>
              <w:rPr>
                <w:rFonts w:ascii="Arial" w:cs="Arial" w:eastAsia="Arial" w:hAnsi="Arial"/>
                <w:sz w:val="18"/>
                <w:szCs w:val="18"/>
                <w:color w:val="auto"/>
              </w:rPr>
              <w:t>Section 6.10.</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Priorities</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r>
      <w:tr>
        <w:trPr>
          <w:trHeight w:val="230"/>
        </w:trPr>
        <w:tc>
          <w:tcPr>
            <w:tcW w:w="1940" w:type="dxa"/>
            <w:vAlign w:val="bottom"/>
          </w:tcPr>
          <w:p>
            <w:pPr>
              <w:ind w:left="560"/>
              <w:spacing w:after="0"/>
              <w:rPr>
                <w:sz w:val="20"/>
                <w:szCs w:val="20"/>
                <w:color w:val="auto"/>
              </w:rPr>
            </w:pPr>
            <w:r>
              <w:rPr>
                <w:rFonts w:ascii="Arial" w:cs="Arial" w:eastAsia="Arial" w:hAnsi="Arial"/>
                <w:sz w:val="18"/>
                <w:szCs w:val="18"/>
                <w:color w:val="auto"/>
              </w:rPr>
              <w:t>Section 6.11.</w:t>
            </w:r>
          </w:p>
        </w:tc>
        <w:tc>
          <w:tcPr>
            <w:tcW w:w="8840" w:type="dxa"/>
            <w:vAlign w:val="bottom"/>
          </w:tcPr>
          <w:p>
            <w:pPr>
              <w:ind w:left="60"/>
              <w:spacing w:after="0"/>
              <w:rPr>
                <w:sz w:val="20"/>
                <w:szCs w:val="20"/>
                <w:color w:val="auto"/>
              </w:rPr>
            </w:pPr>
            <w:r>
              <w:rPr>
                <w:rFonts w:ascii="Arial" w:cs="Arial" w:eastAsia="Arial" w:hAnsi="Arial"/>
                <w:sz w:val="18"/>
                <w:szCs w:val="18"/>
                <w:i w:val="1"/>
                <w:iCs w:val="1"/>
                <w:color w:val="auto"/>
              </w:rPr>
              <w:t>Restoration of Rights and 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-3328670</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-3328670</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29" w:right="199" w:bottom="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6.12.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Undertaking for Costs</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6.13.</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Rights and Remedies Cumulative</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6.14.</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Delay or Omission Not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r>
      <w:tr>
        <w:trPr>
          <w:trHeight w:val="230"/>
        </w:trPr>
        <w:tc>
          <w:tcPr>
            <w:tcW w:w="1960" w:type="dxa"/>
            <w:vAlign w:val="bottom"/>
          </w:tcPr>
          <w:p>
            <w:pPr>
              <w:ind w:left="560"/>
              <w:spacing w:after="0"/>
              <w:rPr>
                <w:sz w:val="20"/>
                <w:szCs w:val="20"/>
                <w:color w:val="auto"/>
              </w:rPr>
            </w:pPr>
            <w:r>
              <w:rPr>
                <w:rFonts w:ascii="Arial" w:cs="Arial" w:eastAsia="Arial" w:hAnsi="Arial"/>
                <w:sz w:val="18"/>
                <w:szCs w:val="18"/>
                <w:color w:val="auto"/>
              </w:rPr>
              <w:t>Section 6.15.</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Failure to File</w:t>
            </w:r>
          </w:p>
        </w:tc>
        <w:tc>
          <w:tcPr>
            <w:tcW w:w="64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20"/>
                <w:szCs w:val="20"/>
                <w:color w:val="auto"/>
              </w:rPr>
            </w:pPr>
          </w:p>
        </w:tc>
      </w:tr>
      <w:tr>
        <w:trPr>
          <w:trHeight w:val="432"/>
        </w:trPr>
        <w:tc>
          <w:tcPr>
            <w:tcW w:w="1960" w:type="dxa"/>
            <w:vAlign w:val="bottom"/>
          </w:tcPr>
          <w:p>
            <w:pPr>
              <w:ind w:left="20"/>
              <w:spacing w:after="0"/>
              <w:rPr>
                <w:sz w:val="20"/>
                <w:szCs w:val="20"/>
                <w:color w:val="auto"/>
              </w:rPr>
            </w:pPr>
            <w:r>
              <w:rPr>
                <w:rFonts w:ascii="Arial" w:cs="Arial" w:eastAsia="Arial" w:hAnsi="Arial"/>
                <w:sz w:val="18"/>
                <w:szCs w:val="18"/>
                <w:color w:val="auto"/>
                <w:w w:val="99"/>
              </w:rPr>
              <w:t>ARTICLE 7 The Trustee</w:t>
            </w:r>
          </w:p>
        </w:tc>
        <w:tc>
          <w:tcPr>
            <w:tcW w:w="8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418"/>
        </w:trPr>
        <w:tc>
          <w:tcPr>
            <w:tcW w:w="1960" w:type="dxa"/>
            <w:vAlign w:val="bottom"/>
          </w:tcPr>
          <w:p>
            <w:pPr>
              <w:ind w:left="560"/>
              <w:spacing w:after="0"/>
              <w:rPr>
                <w:sz w:val="20"/>
                <w:szCs w:val="20"/>
                <w:color w:val="auto"/>
              </w:rPr>
            </w:pPr>
            <w:r>
              <w:rPr>
                <w:rFonts w:ascii="Arial" w:cs="Arial" w:eastAsia="Arial" w:hAnsi="Arial"/>
                <w:sz w:val="18"/>
                <w:szCs w:val="18"/>
                <w:color w:val="auto"/>
              </w:rPr>
              <w:t>Section 7.01.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General</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Certain Rights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7.03.</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Individual Rights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7.04.</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Trustee’s Disclaimer</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7.05.</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Notice of Default</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7.06.</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Reports by Trustee to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7.07.</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Compensation and Indemnity</w:t>
            </w:r>
          </w:p>
        </w:tc>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7.08.</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Replacement of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7.09.</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Successor Trustee by Merger</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7.10.</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Eligibility</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8"/>
                <w:szCs w:val="18"/>
                <w:color w:val="auto"/>
              </w:rPr>
            </w:pPr>
          </w:p>
        </w:tc>
      </w:tr>
      <w:tr>
        <w:trPr>
          <w:trHeight w:val="230"/>
        </w:trPr>
        <w:tc>
          <w:tcPr>
            <w:tcW w:w="1960" w:type="dxa"/>
            <w:vAlign w:val="bottom"/>
          </w:tcPr>
          <w:p>
            <w:pPr>
              <w:ind w:left="560"/>
              <w:spacing w:after="0"/>
              <w:rPr>
                <w:sz w:val="20"/>
                <w:szCs w:val="20"/>
                <w:color w:val="auto"/>
              </w:rPr>
            </w:pPr>
            <w:r>
              <w:rPr>
                <w:rFonts w:ascii="Arial" w:cs="Arial" w:eastAsia="Arial" w:hAnsi="Arial"/>
                <w:sz w:val="18"/>
                <w:szCs w:val="18"/>
                <w:color w:val="auto"/>
              </w:rPr>
              <w:t>Section 7.11.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Money Held in Trust</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0"/>
                <w:szCs w:val="20"/>
                <w:color w:val="auto"/>
              </w:rPr>
            </w:pPr>
          </w:p>
        </w:tc>
      </w:tr>
      <w:tr>
        <w:trPr>
          <w:trHeight w:val="432"/>
        </w:trPr>
        <w:tc>
          <w:tcPr>
            <w:tcW w:w="1960" w:type="dxa"/>
            <w:vAlign w:val="bottom"/>
          </w:tcPr>
          <w:p>
            <w:pPr>
              <w:ind w:left="20"/>
              <w:spacing w:after="0"/>
              <w:rPr>
                <w:sz w:val="20"/>
                <w:szCs w:val="20"/>
                <w:color w:val="auto"/>
              </w:rPr>
            </w:pPr>
            <w:r>
              <w:rPr>
                <w:rFonts w:ascii="Arial" w:cs="Arial" w:eastAsia="Arial" w:hAnsi="Arial"/>
                <w:sz w:val="18"/>
                <w:szCs w:val="18"/>
                <w:color w:val="auto"/>
              </w:rPr>
              <w:t>ARTICLE 8 Discharge</w:t>
            </w:r>
          </w:p>
        </w:tc>
        <w:tc>
          <w:tcPr>
            <w:tcW w:w="8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418"/>
        </w:trPr>
        <w:tc>
          <w:tcPr>
            <w:tcW w:w="1960" w:type="dxa"/>
            <w:vAlign w:val="bottom"/>
          </w:tcPr>
          <w:p>
            <w:pPr>
              <w:ind w:left="560"/>
              <w:spacing w:after="0"/>
              <w:rPr>
                <w:sz w:val="20"/>
                <w:szCs w:val="20"/>
                <w:color w:val="auto"/>
              </w:rPr>
            </w:pPr>
            <w:r>
              <w:rPr>
                <w:rFonts w:ascii="Arial" w:cs="Arial" w:eastAsia="Arial" w:hAnsi="Arial"/>
                <w:sz w:val="18"/>
                <w:szCs w:val="18"/>
                <w:color w:val="auto"/>
              </w:rPr>
              <w:t>Section 8.01.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Satisfaction and Discharge of this Indenture</w:t>
            </w:r>
          </w:p>
        </w:tc>
        <w:tc>
          <w:tcPr>
            <w:tcW w:w="64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24"/>
                <w:szCs w:val="24"/>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8.02.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Application of Trust Money</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8.03.</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Repayment to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8"/>
                <w:szCs w:val="18"/>
                <w:color w:val="auto"/>
              </w:rPr>
            </w:pPr>
          </w:p>
        </w:tc>
      </w:tr>
      <w:tr>
        <w:trPr>
          <w:trHeight w:val="230"/>
        </w:trPr>
        <w:tc>
          <w:tcPr>
            <w:tcW w:w="1960" w:type="dxa"/>
            <w:vAlign w:val="bottom"/>
          </w:tcPr>
          <w:p>
            <w:pPr>
              <w:ind w:left="560"/>
              <w:spacing w:after="0"/>
              <w:rPr>
                <w:sz w:val="20"/>
                <w:szCs w:val="20"/>
                <w:color w:val="auto"/>
              </w:rPr>
            </w:pPr>
            <w:r>
              <w:rPr>
                <w:rFonts w:ascii="Arial" w:cs="Arial" w:eastAsia="Arial" w:hAnsi="Arial"/>
                <w:sz w:val="18"/>
                <w:szCs w:val="18"/>
                <w:color w:val="auto"/>
              </w:rPr>
              <w:t>Section 8.04.</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Reinstatement</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0"/>
                <w:szCs w:val="20"/>
                <w:color w:val="auto"/>
              </w:rPr>
            </w:pPr>
          </w:p>
        </w:tc>
      </w:tr>
      <w:tr>
        <w:trPr>
          <w:trHeight w:val="432"/>
        </w:trPr>
        <w:tc>
          <w:tcPr>
            <w:tcW w:w="10780" w:type="dxa"/>
            <w:vAlign w:val="bottom"/>
            <w:gridSpan w:val="2"/>
          </w:tcPr>
          <w:p>
            <w:pPr>
              <w:ind w:left="20"/>
              <w:spacing w:after="0"/>
              <w:rPr>
                <w:sz w:val="20"/>
                <w:szCs w:val="20"/>
                <w:color w:val="auto"/>
              </w:rPr>
            </w:pPr>
            <w:r>
              <w:rPr>
                <w:rFonts w:ascii="Arial" w:cs="Arial" w:eastAsia="Arial" w:hAnsi="Arial"/>
                <w:sz w:val="18"/>
                <w:szCs w:val="18"/>
                <w:color w:val="auto"/>
              </w:rPr>
              <w:t>ARTICLE 9 Amendments, Supplements and Waivers</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r>
      <w:tr>
        <w:trPr>
          <w:trHeight w:val="432"/>
        </w:trPr>
        <w:tc>
          <w:tcPr>
            <w:tcW w:w="1960" w:type="dxa"/>
            <w:vAlign w:val="bottom"/>
          </w:tcPr>
          <w:p>
            <w:pPr>
              <w:ind w:left="560"/>
              <w:spacing w:after="0"/>
              <w:rPr>
                <w:sz w:val="20"/>
                <w:szCs w:val="20"/>
                <w:color w:val="auto"/>
              </w:rPr>
            </w:pPr>
            <w:r>
              <w:rPr>
                <w:rFonts w:ascii="Arial" w:cs="Arial" w:eastAsia="Arial" w:hAnsi="Arial"/>
                <w:sz w:val="18"/>
                <w:szCs w:val="18"/>
                <w:color w:val="auto"/>
              </w:rPr>
              <w:t>Section 9.01.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Amendments Without Consent of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35</w:t>
            </w:r>
          </w:p>
        </w:tc>
        <w:tc>
          <w:tcPr>
            <w:tcW w:w="40" w:type="dxa"/>
            <w:vAlign w:val="bottom"/>
          </w:tcPr>
          <w:p>
            <w:pPr>
              <w:spacing w:after="0"/>
              <w:rPr>
                <w:sz w:val="24"/>
                <w:szCs w:val="24"/>
                <w:color w:val="auto"/>
              </w:rPr>
            </w:pPr>
          </w:p>
        </w:tc>
      </w:tr>
      <w:tr>
        <w:trPr>
          <w:trHeight w:val="432"/>
        </w:trPr>
        <w:tc>
          <w:tcPr>
            <w:tcW w:w="1960" w:type="dxa"/>
            <w:vAlign w:val="bottom"/>
          </w:tcPr>
          <w:p>
            <w:pPr>
              <w:spacing w:after="0"/>
              <w:rPr>
                <w:sz w:val="24"/>
                <w:szCs w:val="24"/>
                <w:color w:val="auto"/>
              </w:rPr>
            </w:pPr>
          </w:p>
        </w:tc>
        <w:tc>
          <w:tcPr>
            <w:tcW w:w="8820" w:type="dxa"/>
            <w:vAlign w:val="bottom"/>
          </w:tcPr>
          <w:p>
            <w:pPr>
              <w:jc w:val="center"/>
              <w:ind w:right="1230"/>
              <w:spacing w:after="0"/>
              <w:rPr>
                <w:sz w:val="20"/>
                <w:szCs w:val="20"/>
                <w:color w:val="auto"/>
              </w:rPr>
            </w:pPr>
            <w:r>
              <w:rPr>
                <w:rFonts w:ascii="Arial" w:cs="Arial" w:eastAsia="Arial" w:hAnsi="Arial"/>
                <w:sz w:val="18"/>
                <w:szCs w:val="18"/>
                <w:color w:val="auto"/>
              </w:rPr>
              <w:t>iii</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960" w:type="dxa"/>
            <w:vAlign w:val="bottom"/>
            <w:tcBorders>
              <w:bottom w:val="single" w:sz="8" w:color="010101"/>
            </w:tcBorders>
          </w:tcPr>
          <w:p>
            <w:pPr>
              <w:spacing w:after="0"/>
              <w:rPr>
                <w:sz w:val="11"/>
                <w:szCs w:val="11"/>
                <w:color w:val="auto"/>
              </w:rPr>
            </w:pPr>
          </w:p>
        </w:tc>
        <w:tc>
          <w:tcPr>
            <w:tcW w:w="88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1960" w:type="dxa"/>
            <w:vAlign w:val="bottom"/>
          </w:tcPr>
          <w:p>
            <w:pPr>
              <w:spacing w:after="0"/>
              <w:rPr>
                <w:sz w:val="24"/>
                <w:szCs w:val="24"/>
                <w:color w:val="auto"/>
              </w:rPr>
            </w:pPr>
          </w:p>
        </w:tc>
        <w:tc>
          <w:tcPr>
            <w:tcW w:w="8820" w:type="dxa"/>
            <w:vAlign w:val="bottom"/>
          </w:tcPr>
          <w:p>
            <w:pPr>
              <w:jc w:val="center"/>
              <w:ind w:right="121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960" w:type="dxa"/>
            <w:vAlign w:val="bottom"/>
          </w:tcPr>
          <w:p>
            <w:pPr>
              <w:spacing w:after="0"/>
              <w:rPr>
                <w:sz w:val="20"/>
                <w:szCs w:val="20"/>
                <w:color w:val="auto"/>
              </w:rPr>
            </w:pPr>
          </w:p>
        </w:tc>
        <w:tc>
          <w:tcPr>
            <w:tcW w:w="8820" w:type="dxa"/>
            <w:vAlign w:val="bottom"/>
          </w:tcPr>
          <w:p>
            <w:pPr>
              <w:jc w:val="center"/>
              <w:ind w:right="1230"/>
              <w:spacing w:after="0"/>
              <w:rPr>
                <w:sz w:val="20"/>
                <w:szCs w:val="20"/>
                <w:color w:val="auto"/>
              </w:rPr>
            </w:pPr>
            <w:r>
              <w:rPr>
                <w:rFonts w:ascii="Arial" w:cs="Arial" w:eastAsia="Arial" w:hAnsi="Arial"/>
                <w:sz w:val="18"/>
                <w:szCs w:val="18"/>
                <w:b w:val="1"/>
                <w:bCs w:val="1"/>
                <w:color w:val="auto"/>
                <w:w w:val="93"/>
              </w:rPr>
              <w:t>(Continued)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196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r>
      <w:tr>
        <w:trPr>
          <w:trHeight w:val="344"/>
        </w:trPr>
        <w:tc>
          <w:tcPr>
            <w:tcW w:w="1960" w:type="dxa"/>
            <w:vAlign w:val="bottom"/>
          </w:tcPr>
          <w:p>
            <w:pPr>
              <w:ind w:left="560"/>
              <w:spacing w:after="0"/>
              <w:rPr>
                <w:sz w:val="20"/>
                <w:szCs w:val="20"/>
                <w:color w:val="auto"/>
              </w:rPr>
            </w:pPr>
            <w:r>
              <w:rPr>
                <w:rFonts w:ascii="Arial" w:cs="Arial" w:eastAsia="Arial" w:hAnsi="Arial"/>
                <w:sz w:val="18"/>
                <w:szCs w:val="18"/>
                <w:color w:val="auto"/>
              </w:rPr>
              <w:t>Section 9.02.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Amendments With Consent of Holders</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 w:type="dxa"/>
            <w:vAlign w:val="bottom"/>
          </w:tcPr>
          <w:p>
            <w:pPr>
              <w:spacing w:after="0"/>
              <w:rPr>
                <w:sz w:val="24"/>
                <w:szCs w:val="24"/>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9.03.</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Effect of Consent</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9.04.</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Trustee’s Rights and Obligations</w:t>
            </w:r>
          </w:p>
        </w:tc>
        <w:tc>
          <w:tcPr>
            <w:tcW w:w="640" w:type="dxa"/>
            <w:vAlign w:val="bottom"/>
          </w:tcPr>
          <w:p>
            <w:pPr>
              <w:jc w:val="right"/>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9.05.</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Conformity With Trust Indenture Act</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30"/>
        </w:trPr>
        <w:tc>
          <w:tcPr>
            <w:tcW w:w="1960" w:type="dxa"/>
            <w:vAlign w:val="bottom"/>
          </w:tcPr>
          <w:p>
            <w:pPr>
              <w:ind w:left="560"/>
              <w:spacing w:after="0"/>
              <w:rPr>
                <w:sz w:val="20"/>
                <w:szCs w:val="20"/>
                <w:color w:val="auto"/>
              </w:rPr>
            </w:pPr>
            <w:r>
              <w:rPr>
                <w:rFonts w:ascii="Arial" w:cs="Arial" w:eastAsia="Arial" w:hAnsi="Arial"/>
                <w:sz w:val="18"/>
                <w:szCs w:val="18"/>
                <w:color w:val="auto"/>
              </w:rPr>
              <w:t>Section 9.06.</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Payments for Consents</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0"/>
                <w:szCs w:val="20"/>
                <w:color w:val="auto"/>
              </w:rPr>
            </w:pPr>
          </w:p>
        </w:tc>
      </w:tr>
      <w:tr>
        <w:trPr>
          <w:trHeight w:val="432"/>
        </w:trPr>
        <w:tc>
          <w:tcPr>
            <w:tcW w:w="1960" w:type="dxa"/>
            <w:vAlign w:val="bottom"/>
          </w:tcPr>
          <w:p>
            <w:pPr>
              <w:ind w:left="20"/>
              <w:spacing w:after="0"/>
              <w:rPr>
                <w:sz w:val="20"/>
                <w:szCs w:val="20"/>
                <w:color w:val="auto"/>
              </w:rPr>
            </w:pPr>
            <w:r>
              <w:rPr>
                <w:rFonts w:ascii="Arial" w:cs="Arial" w:eastAsia="Arial" w:hAnsi="Arial"/>
                <w:sz w:val="18"/>
                <w:szCs w:val="18"/>
                <w:color w:val="auto"/>
                <w:w w:val="97"/>
              </w:rPr>
              <w:t>ARTICLE 10 Conversion</w:t>
            </w:r>
          </w:p>
        </w:tc>
        <w:tc>
          <w:tcPr>
            <w:tcW w:w="8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r>
      <w:tr>
        <w:trPr>
          <w:trHeight w:val="418"/>
        </w:trPr>
        <w:tc>
          <w:tcPr>
            <w:tcW w:w="1960" w:type="dxa"/>
            <w:vAlign w:val="bottom"/>
          </w:tcPr>
          <w:p>
            <w:pPr>
              <w:ind w:left="560"/>
              <w:spacing w:after="0"/>
              <w:rPr>
                <w:sz w:val="20"/>
                <w:szCs w:val="20"/>
                <w:color w:val="auto"/>
              </w:rPr>
            </w:pPr>
            <w:r>
              <w:rPr>
                <w:rFonts w:ascii="Arial" w:cs="Arial" w:eastAsia="Arial" w:hAnsi="Arial"/>
                <w:sz w:val="18"/>
                <w:szCs w:val="18"/>
                <w:color w:val="auto"/>
              </w:rPr>
              <w:t>Section 10.01.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Conversion Privilege</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24"/>
                <w:szCs w:val="24"/>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Conversion Procedures; Conversion Settlement</w:t>
            </w: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10.03.</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Fractional Shares</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10.04.</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Taxes 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10.05.</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Company to Provide Common Stock</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10.06.</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Adjustment for Change in Capital Stock</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10.07.</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Adjustment for Rights, Options or Warrants Issue</w:t>
            </w:r>
          </w:p>
        </w:tc>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10.08.</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Adjustment for Other Distributions</w:t>
            </w: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10.09.</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Adjustment for Cash Dividends</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10.10.</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Adjustment for Tender Offer</w:t>
            </w:r>
          </w:p>
        </w:tc>
        <w:tc>
          <w:tcPr>
            <w:tcW w:w="64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Provisions Governing Adjustment to Conversion Rate</w:t>
            </w: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Disposition Events</w:t>
            </w:r>
          </w:p>
        </w:tc>
        <w:tc>
          <w:tcPr>
            <w:tcW w:w="640" w:type="dxa"/>
            <w:vAlign w:val="bottom"/>
          </w:tcPr>
          <w:p>
            <w:pPr>
              <w:jc w:val="right"/>
              <w:spacing w:after="0"/>
              <w:rPr>
                <w:sz w:val="20"/>
                <w:szCs w:val="20"/>
                <w:color w:val="auto"/>
              </w:rPr>
            </w:pPr>
            <w:r>
              <w:rPr>
                <w:rFonts w:ascii="Arial" w:cs="Arial" w:eastAsia="Arial" w:hAnsi="Arial"/>
                <w:sz w:val="18"/>
                <w:szCs w:val="18"/>
                <w:color w:val="auto"/>
              </w:rPr>
              <w:t>46</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10.13.</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Adjustment to Conversion Rate Upon a Make-Whole Change in Control; Discretionary Adjustment</w:t>
            </w: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10.14.</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When Adjustment May Be Deferred</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10.15.</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When No Adjustment Required</w:t>
            </w:r>
          </w:p>
        </w:tc>
        <w:tc>
          <w:tcPr>
            <w:tcW w:w="640" w:type="dxa"/>
            <w:vAlign w:val="bottom"/>
          </w:tcPr>
          <w:p>
            <w:pPr>
              <w:jc w:val="right"/>
              <w:spacing w:after="0"/>
              <w:rPr>
                <w:sz w:val="20"/>
                <w:szCs w:val="20"/>
                <w:color w:val="auto"/>
              </w:rPr>
            </w:pPr>
            <w:r>
              <w:rPr>
                <w:rFonts w:ascii="Arial" w:cs="Arial" w:eastAsia="Arial" w:hAnsi="Arial"/>
                <w:sz w:val="18"/>
                <w:szCs w:val="18"/>
                <w:color w:val="auto"/>
              </w:rPr>
              <w:t>49</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10.16.</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Notice of Adjustment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10.17.</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Notice of Certain Transactions</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10.18.</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Right of Holders to Convert</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10.19.</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Company Determination Final</w:t>
            </w:r>
          </w:p>
        </w:tc>
        <w:tc>
          <w:tcPr>
            <w:tcW w:w="64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10.20.</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Trustee’s Adjustment Disclaimer</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10.21.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Simultaneous Adjustments</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10.22.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Successive Adjustments</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r>
      <w:tr>
        <w:trPr>
          <w:trHeight w:val="216"/>
        </w:trPr>
        <w:tc>
          <w:tcPr>
            <w:tcW w:w="1960" w:type="dxa"/>
            <w:vAlign w:val="bottom"/>
          </w:tcPr>
          <w:p>
            <w:pPr>
              <w:ind w:left="560"/>
              <w:spacing w:after="0"/>
              <w:rPr>
                <w:sz w:val="20"/>
                <w:szCs w:val="20"/>
                <w:color w:val="auto"/>
              </w:rPr>
            </w:pPr>
            <w:r>
              <w:rPr>
                <w:rFonts w:ascii="Arial" w:cs="Arial" w:eastAsia="Arial" w:hAnsi="Arial"/>
                <w:sz w:val="18"/>
                <w:szCs w:val="18"/>
                <w:color w:val="auto"/>
              </w:rPr>
              <w:t>Section 10.23.</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Rights Issued in Respect of Common Stock Issued Upon Conversion</w:t>
            </w: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40" w:type="dxa"/>
            <w:vAlign w:val="bottom"/>
          </w:tcPr>
          <w:p>
            <w:pPr>
              <w:spacing w:after="0"/>
              <w:rPr>
                <w:sz w:val="18"/>
                <w:szCs w:val="18"/>
                <w:color w:val="auto"/>
              </w:rPr>
            </w:pPr>
          </w:p>
        </w:tc>
      </w:tr>
      <w:tr>
        <w:trPr>
          <w:trHeight w:val="230"/>
        </w:trPr>
        <w:tc>
          <w:tcPr>
            <w:tcW w:w="1960" w:type="dxa"/>
            <w:vAlign w:val="bottom"/>
          </w:tcPr>
          <w:p>
            <w:pPr>
              <w:ind w:left="560"/>
              <w:spacing w:after="0"/>
              <w:rPr>
                <w:sz w:val="20"/>
                <w:szCs w:val="20"/>
                <w:color w:val="auto"/>
              </w:rPr>
            </w:pPr>
            <w:r>
              <w:rPr>
                <w:rFonts w:ascii="Arial" w:cs="Arial" w:eastAsia="Arial" w:hAnsi="Arial"/>
                <w:sz w:val="18"/>
                <w:szCs w:val="18"/>
                <w:color w:val="auto"/>
              </w:rPr>
              <w:t>Section 10.24.</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Withholding Taxes for Adjustments in Conversion Rate</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0"/>
                <w:szCs w:val="20"/>
                <w:color w:val="auto"/>
              </w:rPr>
            </w:pPr>
          </w:p>
        </w:tc>
      </w:tr>
      <w:tr>
        <w:trPr>
          <w:trHeight w:val="432"/>
        </w:trPr>
        <w:tc>
          <w:tcPr>
            <w:tcW w:w="1960" w:type="dxa"/>
            <w:vAlign w:val="bottom"/>
          </w:tcPr>
          <w:p>
            <w:pPr>
              <w:ind w:left="20"/>
              <w:spacing w:after="0"/>
              <w:rPr>
                <w:sz w:val="20"/>
                <w:szCs w:val="20"/>
                <w:color w:val="auto"/>
              </w:rPr>
            </w:pPr>
            <w:r>
              <w:rPr>
                <w:rFonts w:ascii="Arial" w:cs="Arial" w:eastAsia="Arial" w:hAnsi="Arial"/>
                <w:sz w:val="18"/>
                <w:szCs w:val="18"/>
                <w:color w:val="auto"/>
                <w:w w:val="94"/>
              </w:rPr>
              <w:t>ARTICLE 11 Redemption</w:t>
            </w:r>
          </w:p>
        </w:tc>
        <w:tc>
          <w:tcPr>
            <w:tcW w:w="88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r>
      <w:tr>
        <w:trPr>
          <w:trHeight w:val="418"/>
        </w:trPr>
        <w:tc>
          <w:tcPr>
            <w:tcW w:w="1960" w:type="dxa"/>
            <w:vAlign w:val="bottom"/>
          </w:tcPr>
          <w:p>
            <w:pPr>
              <w:ind w:left="560"/>
              <w:spacing w:after="0"/>
              <w:rPr>
                <w:sz w:val="20"/>
                <w:szCs w:val="20"/>
                <w:color w:val="auto"/>
              </w:rPr>
            </w:pPr>
            <w:r>
              <w:rPr>
                <w:rFonts w:ascii="Arial" w:cs="Arial" w:eastAsia="Arial" w:hAnsi="Arial"/>
                <w:sz w:val="18"/>
                <w:szCs w:val="18"/>
                <w:color w:val="auto"/>
              </w:rPr>
              <w:t>Section 11.01.</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Right to Redeem; Notices to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52</w:t>
            </w:r>
          </w:p>
        </w:tc>
        <w:tc>
          <w:tcPr>
            <w:tcW w:w="40" w:type="dxa"/>
            <w:vAlign w:val="bottom"/>
          </w:tcPr>
          <w:p>
            <w:pPr>
              <w:spacing w:after="0"/>
              <w:rPr>
                <w:sz w:val="24"/>
                <w:szCs w:val="24"/>
                <w:color w:val="auto"/>
              </w:rPr>
            </w:pPr>
          </w:p>
        </w:tc>
      </w:tr>
      <w:tr>
        <w:trPr>
          <w:trHeight w:val="230"/>
        </w:trPr>
        <w:tc>
          <w:tcPr>
            <w:tcW w:w="1960" w:type="dxa"/>
            <w:vAlign w:val="bottom"/>
          </w:tcPr>
          <w:p>
            <w:pPr>
              <w:ind w:left="560"/>
              <w:spacing w:after="0"/>
              <w:rPr>
                <w:sz w:val="20"/>
                <w:szCs w:val="20"/>
                <w:color w:val="auto"/>
              </w:rPr>
            </w:pPr>
            <w:r>
              <w:rPr>
                <w:rFonts w:ascii="Arial" w:cs="Arial" w:eastAsia="Arial" w:hAnsi="Arial"/>
                <w:sz w:val="18"/>
                <w:szCs w:val="18"/>
                <w:color w:val="auto"/>
              </w:rPr>
              <w:t>Section 11.02.</w:t>
            </w:r>
          </w:p>
        </w:tc>
        <w:tc>
          <w:tcPr>
            <w:tcW w:w="8820" w:type="dxa"/>
            <w:vAlign w:val="bottom"/>
          </w:tcPr>
          <w:p>
            <w:pPr>
              <w:ind w:left="40"/>
              <w:spacing w:after="0"/>
              <w:rPr>
                <w:sz w:val="20"/>
                <w:szCs w:val="20"/>
                <w:color w:val="auto"/>
              </w:rPr>
            </w:pPr>
            <w:r>
              <w:rPr>
                <w:rFonts w:ascii="Arial" w:cs="Arial" w:eastAsia="Arial" w:hAnsi="Arial"/>
                <w:sz w:val="18"/>
                <w:szCs w:val="18"/>
                <w:i w:val="1"/>
                <w:iCs w:val="1"/>
                <w:color w:val="auto"/>
              </w:rPr>
              <w:t>Selection of Notes to be Redeemed</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-6073140</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-6073140</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11.03.</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Notice of Redemption</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11.04.</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Effect of Notice of Redemption</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11.05.</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Deposit of Redemption Price</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18"/>
                <w:szCs w:val="18"/>
                <w:color w:val="auto"/>
              </w:rPr>
            </w:pPr>
          </w:p>
        </w:tc>
      </w:tr>
      <w:tr>
        <w:trPr>
          <w:trHeight w:val="230"/>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11.06.</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Notes Redeemed in Part</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40" w:type="dxa"/>
            <w:vAlign w:val="bottom"/>
          </w:tcPr>
          <w:p>
            <w:pPr>
              <w:spacing w:after="0"/>
              <w:rPr>
                <w:sz w:val="20"/>
                <w:szCs w:val="20"/>
                <w:color w:val="auto"/>
              </w:rPr>
            </w:pPr>
          </w:p>
        </w:tc>
      </w:tr>
      <w:tr>
        <w:trPr>
          <w:trHeight w:val="432"/>
        </w:trPr>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80" w:type="dxa"/>
            <w:vAlign w:val="bottom"/>
          </w:tcPr>
          <w:p>
            <w:pPr>
              <w:jc w:val="center"/>
              <w:ind w:right="1070"/>
              <w:spacing w:after="0"/>
              <w:rPr>
                <w:sz w:val="20"/>
                <w:szCs w:val="20"/>
                <w:color w:val="auto"/>
              </w:rPr>
            </w:pPr>
            <w:r>
              <w:rPr>
                <w:rFonts w:ascii="Arial" w:cs="Arial" w:eastAsia="Arial" w:hAnsi="Arial"/>
                <w:sz w:val="18"/>
                <w:szCs w:val="18"/>
                <w:color w:val="auto"/>
              </w:rPr>
              <w:t>iv</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8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898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762"/>
        </w:trPr>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80" w:type="dxa"/>
            <w:vAlign w:val="bottom"/>
          </w:tcPr>
          <w:p>
            <w:pPr>
              <w:jc w:val="center"/>
              <w:ind w:right="105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980" w:type="dxa"/>
            <w:vAlign w:val="bottom"/>
          </w:tcPr>
          <w:p>
            <w:pPr>
              <w:jc w:val="center"/>
              <w:ind w:right="1070"/>
              <w:spacing w:after="0"/>
              <w:rPr>
                <w:sz w:val="20"/>
                <w:szCs w:val="20"/>
                <w:color w:val="auto"/>
              </w:rPr>
            </w:pPr>
            <w:r>
              <w:rPr>
                <w:rFonts w:ascii="Arial" w:cs="Arial" w:eastAsia="Arial" w:hAnsi="Arial"/>
                <w:sz w:val="18"/>
                <w:szCs w:val="18"/>
                <w:b w:val="1"/>
                <w:bCs w:val="1"/>
                <w:color w:val="auto"/>
                <w:w w:val="93"/>
              </w:rPr>
              <w:t>(Continued)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65"/>
        </w:trPr>
        <w:tc>
          <w:tcPr>
            <w:tcW w:w="8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80" w:type="dxa"/>
            <w:vAlign w:val="bottom"/>
            <w:gridSpan w:val="2"/>
          </w:tcPr>
          <w:p>
            <w:pPr>
              <w:ind w:left="160"/>
              <w:spacing w:after="0"/>
              <w:rPr>
                <w:sz w:val="20"/>
                <w:szCs w:val="20"/>
                <w:color w:val="auto"/>
              </w:rPr>
            </w:pPr>
            <w:r>
              <w:rPr>
                <w:rFonts w:ascii="Arial" w:cs="Arial" w:eastAsia="Arial" w:hAnsi="Arial"/>
                <w:sz w:val="14"/>
                <w:szCs w:val="14"/>
                <w:b w:val="1"/>
                <w:bCs w:val="1"/>
                <w:color w:val="auto"/>
              </w:rPr>
              <w:t>Page</w:t>
            </w:r>
          </w:p>
        </w:tc>
      </w:tr>
      <w:tr>
        <w:trPr>
          <w:trHeight w:val="426"/>
        </w:trPr>
        <w:tc>
          <w:tcPr>
            <w:tcW w:w="10780" w:type="dxa"/>
            <w:vAlign w:val="bottom"/>
            <w:gridSpan w:val="3"/>
          </w:tcPr>
          <w:p>
            <w:pPr>
              <w:ind w:left="20"/>
              <w:spacing w:after="0"/>
              <w:rPr>
                <w:sz w:val="20"/>
                <w:szCs w:val="20"/>
                <w:color w:val="auto"/>
              </w:rPr>
            </w:pPr>
            <w:r>
              <w:rPr>
                <w:rFonts w:ascii="Arial" w:cs="Arial" w:eastAsia="Arial" w:hAnsi="Arial"/>
                <w:sz w:val="18"/>
                <w:szCs w:val="18"/>
                <w:color w:val="auto"/>
              </w:rPr>
              <w:t>ARTICLE 12 Payment of Interest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4"/>
                <w:szCs w:val="24"/>
                <w:color w:val="auto"/>
              </w:rPr>
            </w:pPr>
          </w:p>
        </w:tc>
      </w:tr>
      <w:tr>
        <w:trPr>
          <w:trHeight w:val="418"/>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12.01.</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Interest Payments</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4"/>
                <w:szCs w:val="24"/>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12.02.</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Defaulted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8"/>
                <w:szCs w:val="18"/>
                <w:color w:val="auto"/>
              </w:rPr>
            </w:pPr>
          </w:p>
        </w:tc>
      </w:tr>
      <w:tr>
        <w:trPr>
          <w:trHeight w:val="230"/>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12.03.</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Interest Rights Preserved</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0"/>
                <w:szCs w:val="20"/>
                <w:color w:val="auto"/>
              </w:rPr>
            </w:pPr>
          </w:p>
        </w:tc>
      </w:tr>
      <w:tr>
        <w:trPr>
          <w:trHeight w:val="432"/>
        </w:trPr>
        <w:tc>
          <w:tcPr>
            <w:tcW w:w="10780" w:type="dxa"/>
            <w:vAlign w:val="bottom"/>
            <w:gridSpan w:val="3"/>
          </w:tcPr>
          <w:p>
            <w:pPr>
              <w:ind w:left="20"/>
              <w:spacing w:after="0"/>
              <w:rPr>
                <w:sz w:val="20"/>
                <w:szCs w:val="20"/>
                <w:color w:val="auto"/>
              </w:rPr>
            </w:pPr>
            <w:r>
              <w:rPr>
                <w:rFonts w:ascii="Arial" w:cs="Arial" w:eastAsia="Arial" w:hAnsi="Arial"/>
                <w:sz w:val="18"/>
                <w:szCs w:val="18"/>
                <w:color w:val="auto"/>
              </w:rPr>
              <w:t>ARTICLE 13 Miscellaneous</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r>
      <w:tr>
        <w:trPr>
          <w:trHeight w:val="418"/>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13.01.</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Trust Indenture Act of 1939</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24"/>
                <w:szCs w:val="24"/>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13.02.</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Noteholder Communications; Noteholder Actions</w:t>
            </w:r>
          </w:p>
        </w:tc>
        <w:tc>
          <w:tcPr>
            <w:tcW w:w="64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13.03.</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Notices</w:t>
            </w:r>
          </w:p>
        </w:tc>
        <w:tc>
          <w:tcPr>
            <w:tcW w:w="640" w:type="dxa"/>
            <w:vAlign w:val="bottom"/>
          </w:tcPr>
          <w:p>
            <w:pPr>
              <w:jc w:val="right"/>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13.04.</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Communication by Holders with Other 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13.05.</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Certificate and Opinion as to Conditions Precedent</w:t>
            </w:r>
          </w:p>
        </w:tc>
        <w:tc>
          <w:tcPr>
            <w:tcW w:w="64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13.06.</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Statements Required in Certificate or Opinion</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13.07.</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Legal Holiday</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13.08.</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Rules by Trustee, Paying Agent, Conversion Agent and Registrar</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13.09.</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13.10.</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No Adverse Interpretation of Other Agreements</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13.11.</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Successors</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13.12.</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Counterparts</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13.13.</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Severability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16"/>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13.14.</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Table of Contents and Headings</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r>
      <w:tr>
        <w:trPr>
          <w:trHeight w:val="230"/>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Section 13.15.</w:t>
            </w:r>
          </w:p>
        </w:tc>
        <w:tc>
          <w:tcPr>
            <w:tcW w:w="8980" w:type="dxa"/>
            <w:vAlign w:val="bottom"/>
          </w:tcPr>
          <w:p>
            <w:pPr>
              <w:ind w:left="200"/>
              <w:spacing w:after="0"/>
              <w:rPr>
                <w:sz w:val="20"/>
                <w:szCs w:val="20"/>
                <w:color w:val="auto"/>
              </w:rPr>
            </w:pPr>
            <w:r>
              <w:rPr>
                <w:rFonts w:ascii="Arial" w:cs="Arial" w:eastAsia="Arial" w:hAnsi="Arial"/>
                <w:sz w:val="18"/>
                <w:szCs w:val="18"/>
                <w:i w:val="1"/>
                <w:iCs w:val="1"/>
                <w:color w:val="auto"/>
              </w:rPr>
              <w:t>No Liability of Directors, Officers, Employees, Incorporators, Members and Stockholders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20"/>
                <w:szCs w:val="20"/>
                <w:color w:val="auto"/>
              </w:rPr>
            </w:pPr>
          </w:p>
        </w:tc>
      </w:tr>
      <w:tr>
        <w:trPr>
          <w:trHeight w:val="392"/>
        </w:trPr>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EXHIBITS</w:t>
            </w:r>
          </w:p>
        </w:tc>
        <w:tc>
          <w:tcPr>
            <w:tcW w:w="92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8"/>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EXHIBIT A</w:t>
            </w:r>
          </w:p>
        </w:tc>
        <w:tc>
          <w:tcPr>
            <w:tcW w:w="8980" w:type="dxa"/>
            <w:vAlign w:val="bottom"/>
          </w:tcPr>
          <w:p>
            <w:pPr>
              <w:ind w:left="1160"/>
              <w:spacing w:after="0"/>
              <w:rPr>
                <w:sz w:val="20"/>
                <w:szCs w:val="20"/>
                <w:color w:val="auto"/>
              </w:rPr>
            </w:pPr>
            <w:r>
              <w:rPr>
                <w:rFonts w:ascii="Arial" w:cs="Arial" w:eastAsia="Arial" w:hAnsi="Arial"/>
                <w:sz w:val="18"/>
                <w:szCs w:val="18"/>
                <w:i w:val="1"/>
                <w:iCs w:val="1"/>
                <w:color w:val="auto"/>
              </w:rPr>
              <w:t>Form of Note</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0"/>
        </w:trPr>
        <w:tc>
          <w:tcPr>
            <w:tcW w:w="1800" w:type="dxa"/>
            <w:vAlign w:val="bottom"/>
            <w:gridSpan w:val="2"/>
          </w:tcPr>
          <w:p>
            <w:pPr>
              <w:ind w:left="560"/>
              <w:spacing w:after="0"/>
              <w:rPr>
                <w:sz w:val="20"/>
                <w:szCs w:val="20"/>
                <w:color w:val="auto"/>
              </w:rPr>
            </w:pPr>
            <w:r>
              <w:rPr>
                <w:rFonts w:ascii="Arial" w:cs="Arial" w:eastAsia="Arial" w:hAnsi="Arial"/>
                <w:sz w:val="18"/>
                <w:szCs w:val="18"/>
                <w:color w:val="auto"/>
              </w:rPr>
              <w:t>EXHIBIT B</w:t>
            </w:r>
          </w:p>
        </w:tc>
        <w:tc>
          <w:tcPr>
            <w:tcW w:w="8980" w:type="dxa"/>
            <w:vAlign w:val="bottom"/>
          </w:tcPr>
          <w:p>
            <w:pPr>
              <w:ind w:left="1160"/>
              <w:spacing w:after="0"/>
              <w:rPr>
                <w:sz w:val="20"/>
                <w:szCs w:val="20"/>
                <w:color w:val="auto"/>
              </w:rPr>
            </w:pPr>
            <w:r>
              <w:rPr>
                <w:rFonts w:ascii="Arial" w:cs="Arial" w:eastAsia="Arial" w:hAnsi="Arial"/>
                <w:sz w:val="18"/>
                <w:szCs w:val="18"/>
                <w:i w:val="1"/>
                <w:iCs w:val="1"/>
                <w:color w:val="auto"/>
              </w:rPr>
              <w:t>DTC Legend</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-4881245</wp:posOffset>
            </wp:positionV>
            <wp:extent cx="1270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-4881245</wp:posOffset>
            </wp:positionV>
            <wp:extent cx="12700"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INDENTURE dated as of April , 2009 between Micron Technology,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Wells Fargo Bank, National Association, a national banking association, as Trustee.</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The Company has duly authorized the execution and delivery of this Indenture to provide for the issuance of $200,000,000 (or up to $230,000,000 to the extent the Underwriters exercise their over-allotment option under the Underwriting Agreement in full) aggregate principal amount of the Company’s</w:t>
      </w:r>
    </w:p>
    <w:p>
      <w:pPr>
        <w:ind w:right="200" w:firstLine="368"/>
        <w:spacing w:after="0" w:line="302" w:lineRule="auto"/>
        <w:tabs>
          <w:tab w:leader="none" w:pos="555" w:val="left"/>
        </w:tabs>
        <w:numPr>
          <w:ilvl w:val="0"/>
          <w:numId w:val="128"/>
        </w:numPr>
        <w:rPr>
          <w:rFonts w:ascii="Arial" w:cs="Arial" w:eastAsia="Arial" w:hAnsi="Arial"/>
          <w:sz w:val="16"/>
          <w:szCs w:val="16"/>
          <w:color w:val="auto"/>
        </w:rPr>
      </w:pPr>
      <w:r>
        <w:rPr>
          <w:rFonts w:ascii="Arial" w:cs="Arial" w:eastAsia="Arial" w:hAnsi="Arial"/>
          <w:sz w:val="16"/>
          <w:szCs w:val="16"/>
          <w:color w:val="auto"/>
        </w:rPr>
        <w:t>Convertible Senior Notes due October 15, 2013 (the “</w:t>
      </w:r>
      <w:r>
        <w:rPr>
          <w:rFonts w:ascii="Arial" w:cs="Arial" w:eastAsia="Arial" w:hAnsi="Arial"/>
          <w:sz w:val="16"/>
          <w:szCs w:val="16"/>
          <w:b w:val="1"/>
          <w:bCs w:val="1"/>
          <w:color w:val="auto"/>
        </w:rPr>
        <w:t>Notes</w:t>
      </w:r>
      <w:r>
        <w:rPr>
          <w:rFonts w:ascii="Arial" w:cs="Arial" w:eastAsia="Arial" w:hAnsi="Arial"/>
          <w:sz w:val="16"/>
          <w:szCs w:val="16"/>
          <w:color w:val="auto"/>
        </w:rPr>
        <w:t>”). All things necessary to make this Indenture a valid and binding agreement of the Company, in accordance with its terms, have been done, and the Company has done all things necessary to make the Notes, when executed by the Company and authenticated and delivered by the Trustee and duly issued by the Company, the valid and binding obligations of the Company as hereinafter provided.</w:t>
      </w:r>
    </w:p>
    <w:p>
      <w:pPr>
        <w:spacing w:after="0" w:line="15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This Indenture is subject to, and will be governed by, the provisions of the Trust Indenture Act that are required to be a part of and govern indentures qualified under the Trust Indenture Act.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THIS INDENTURE WITNESSETH</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For and in consideration of the premises and the purchase of the Notes by the Holders thereof, the parties hereto covenant and agree, for the equal and proportionate benefit of all Holders,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DEFINITIONS AND INCORPORATION BY REFERENCE</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i w:val="1"/>
          <w:iCs w:val="1"/>
          <w:color w:val="auto"/>
        </w:rPr>
        <w:t>Definitions</w:t>
      </w:r>
      <w:r>
        <w:rPr>
          <w:rFonts w:ascii="Arial" w:cs="Arial" w:eastAsia="Arial" w:hAnsi="Arial"/>
          <w:sz w:val="16"/>
          <w:szCs w:val="16"/>
          <w:color w:val="auto"/>
        </w:rPr>
        <w:t>.</w:t>
      </w:r>
    </w:p>
    <w:p>
      <w:pPr>
        <w:spacing w:after="0" w:line="221" w:lineRule="exact"/>
        <w:rPr>
          <w:sz w:val="20"/>
          <w:szCs w:val="20"/>
          <w:color w:val="auto"/>
        </w:rPr>
      </w:pPr>
    </w:p>
    <w:p>
      <w:pPr>
        <w:ind w:right="1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Notes</w:t>
      </w:r>
      <w:r>
        <w:rPr>
          <w:rFonts w:ascii="Arial" w:cs="Arial" w:eastAsia="Arial" w:hAnsi="Arial"/>
          <w:sz w:val="17"/>
          <w:szCs w:val="17"/>
          <w:color w:val="auto"/>
        </w:rPr>
        <w:t>” means the $30,000,000 aggregate principal amount of Notes issued under this Indenture as a result of the Underwriters exercise of their over-allotment option under the Underwriting Agreement. The Additional Notes shall have the same terms as the Initial Notes.</w:t>
      </w:r>
    </w:p>
    <w:p>
      <w:pPr>
        <w:sectPr>
          <w:pgSz w:w="11900" w:h="16838" w:orient="portrait"/>
          <w:cols w:equalWidth="0" w:num="1">
            <w:col w:w="11460"/>
          </w:cols>
          <w:pgMar w:left="240" w:top="125" w:right="199" w:bottom="3" w:gutter="0" w:footer="0" w:header="0"/>
        </w:sectPr>
      </w:pPr>
    </w:p>
    <w:bookmarkStart w:id="109" w:name="page110"/>
    <w:bookmarkEnd w:id="109"/>
    <w:p>
      <w:pPr>
        <w:ind w:right="180"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directly or indirectly controlling, controlled by, or under direct or indirect common control with, such Person. For purposes of this definition, “control” (including, with correlative meanings, the terms “controlling,” “controlled by” and “under common control with”) with respect to any Person, means the possession, directly or indirectly, of the power to direct or cause the direction of the management and policies of such Person, whether through the ownership of Voting Securities,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182880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means any Registrar, Paying Agent or Conversion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Member</w:t>
      </w:r>
      <w:r>
        <w:rPr>
          <w:rFonts w:ascii="Arial" w:cs="Arial" w:eastAsia="Arial" w:hAnsi="Arial"/>
          <w:sz w:val="18"/>
          <w:szCs w:val="18"/>
          <w:color w:val="auto"/>
        </w:rPr>
        <w:t>” means a member of, or a participant in, the Depositary.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Conversion Rate</w:t>
      </w:r>
      <w:r>
        <w:rPr>
          <w:rFonts w:ascii="Arial" w:cs="Arial" w:eastAsia="Arial" w:hAnsi="Arial"/>
          <w:sz w:val="18"/>
          <w:szCs w:val="18"/>
          <w:color w:val="auto"/>
        </w:rPr>
        <w:t>” means the Conversion Rate on any day.</w:t>
      </w:r>
    </w:p>
    <w:p>
      <w:pPr>
        <w:spacing w:after="0" w:line="225" w:lineRule="exact"/>
        <w:rPr>
          <w:sz w:val="20"/>
          <w:szCs w:val="20"/>
          <w:color w:val="auto"/>
        </w:rPr>
      </w:pPr>
    </w:p>
    <w:p>
      <w:pPr>
        <w:ind w:right="7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Procedures</w:t>
      </w:r>
      <w:r>
        <w:rPr>
          <w:rFonts w:ascii="Arial" w:cs="Arial" w:eastAsia="Arial" w:hAnsi="Arial"/>
          <w:sz w:val="18"/>
          <w:szCs w:val="18"/>
          <w:color w:val="auto"/>
        </w:rPr>
        <w:t>” means, with respect to any transfer or exchange of beneficial ownership interests in a Global Note, the rules and procedures of the Depositary, in each case to the extent applicable to such transfer or exchange.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Law</w:t>
      </w:r>
      <w:r>
        <w:rPr>
          <w:rFonts w:ascii="Arial" w:cs="Arial" w:eastAsia="Arial" w:hAnsi="Arial"/>
          <w:sz w:val="16"/>
          <w:szCs w:val="16"/>
          <w:color w:val="auto"/>
        </w:rPr>
        <w:t>” means Title 11 of the United States Code (or any successor thereto) or any similar federal or state law for the relief of debtors.</w:t>
      </w:r>
    </w:p>
    <w:p>
      <w:pPr>
        <w:spacing w:after="0" w:line="24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or comparable governing body of the Company, or any committee thereof duly authorized to act on its behalf.</w:t>
      </w:r>
    </w:p>
    <w:p>
      <w:pPr>
        <w:spacing w:after="0" w:line="162"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any weekday that is not a day on which banking institutions in The City of Boise, The City of New York or a place of payment are authorized or obligated to close.</w:t>
      </w:r>
    </w:p>
    <w:p>
      <w:pPr>
        <w:spacing w:after="0" w:line="162" w:lineRule="exact"/>
        <w:rPr>
          <w:sz w:val="20"/>
          <w:szCs w:val="20"/>
          <w:color w:val="auto"/>
        </w:rPr>
      </w:pPr>
    </w:p>
    <w:p>
      <w:pPr>
        <w:ind w:right="10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of stock of a corporation, partnership interests or other equivalent interests (however designated, whether voting or non-voting) in such Person’s equity, entitling the holder to receive a share of the profits and losses, and a distribution of assets, after liabilities, of such Person.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w:t>
      </w:r>
      <w:r>
        <w:rPr>
          <w:rFonts w:ascii="Arial" w:cs="Arial" w:eastAsia="Arial" w:hAnsi="Arial"/>
          <w:sz w:val="17"/>
          <w:szCs w:val="17"/>
          <w:color w:val="auto"/>
        </w:rPr>
        <w:t>” means such coin or currency of the United States as at any time of payment is legal tender for the payment of public and private debts.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Certificated Note</w:t>
      </w:r>
      <w:r>
        <w:rPr>
          <w:rFonts w:ascii="Arial" w:cs="Arial" w:eastAsia="Arial" w:hAnsi="Arial"/>
          <w:sz w:val="18"/>
          <w:szCs w:val="18"/>
          <w:color w:val="auto"/>
        </w:rPr>
        <w:t>” means a Note in registered individual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shall have the meaning set forth in Section 3.01(a) of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Close of Business</w:t>
      </w:r>
      <w:r>
        <w:rPr>
          <w:rFonts w:ascii="Arial" w:cs="Arial" w:eastAsia="Arial" w:hAnsi="Arial"/>
          <w:sz w:val="18"/>
          <w:szCs w:val="18"/>
          <w:color w:val="auto"/>
        </w:rPr>
        <w:t>” means 5:00 p.m. (New York City time).</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of Common Stock or any other security on any date means the closing sale price per share (or, if no closing sale price is reported, the average of the last bid and last ask prices or, if more than one in either case, the average of the average bid and the average ask prices) on that date as reported in composite transactions for the principal U.S. securities exchange on which Common Stock or such other security is traded. If Common Stock or such other security is not listed for trading on a U.S. national or regional securities exchange on the relevant date, the Closing Price will be the last quoted bid price for Common Stock or such other security in the over-the-counter market on the relevant date as reported by the National Quotation Bureau or similar organization. If Common Stock or such other security is not so quoted, the Closing Price will be the average of the mid-point of the last bid and ask prices for Common Stock or such other security on the relevant date from each of at least three nationally recognized independent investment banking firms selected by the Company for this purpose. The Closing Price will be determined without reference to extended or after hours trading.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xml:space="preserve">” means Common Stock of the Company, $0.10 par value, as it exists on the date of this Indenture and any shares of any class or classes of Capital Stock of the Company resulting from any reclassification or reclassifications thereof and which have no preference in respect of dividends or of amounts payable in the event of any voluntary or involuntary liquidation, dissolution or winding-up of the Company and which are not subject to redemption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at any time there shall be more than one such resulting class, the shares of each such class then so issuable on conversion of Notes shall be substantially in the proportion which the total number of shares of such class resulting from all such reclassifications bears to the total number of shares of all such classes resulting from all such reclassifications.</w:t>
      </w:r>
    </w:p>
    <w:p>
      <w:pPr>
        <w:spacing w:after="0" w:line="174" w:lineRule="exact"/>
        <w:rPr>
          <w:sz w:val="20"/>
          <w:szCs w:val="20"/>
          <w:color w:val="auto"/>
        </w:rPr>
      </w:pPr>
    </w:p>
    <w:p>
      <w:pPr>
        <w:ind w:right="4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party named as such in the first paragraph of this Indenture or any successor obligor under this Indenture and the Notes pursuant to Section 5.01.</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Price</w:t>
      </w:r>
      <w:r>
        <w:rPr>
          <w:rFonts w:ascii="Arial" w:cs="Arial" w:eastAsia="Arial" w:hAnsi="Arial"/>
          <w:sz w:val="18"/>
          <w:szCs w:val="18"/>
          <w:color w:val="auto"/>
        </w:rPr>
        <w:t xml:space="preserve">” per share of Common Stock as of any day means $1,000 </w:t>
      </w:r>
      <w:r>
        <w:rPr>
          <w:rFonts w:ascii="Arial" w:cs="Arial" w:eastAsia="Arial" w:hAnsi="Arial"/>
          <w:sz w:val="18"/>
          <w:szCs w:val="18"/>
          <w:i w:val="1"/>
          <w:iCs w:val="1"/>
          <w:color w:val="auto"/>
        </w:rPr>
        <w:t>divided by</w:t>
      </w:r>
      <w:r>
        <w:rPr>
          <w:rFonts w:ascii="Arial" w:cs="Arial" w:eastAsia="Arial" w:hAnsi="Arial"/>
          <w:sz w:val="18"/>
          <w:szCs w:val="18"/>
          <w:color w:val="auto"/>
        </w:rPr>
        <w:t xml:space="preserve"> the Conversion Rate on such day.</w:t>
      </w:r>
    </w:p>
    <w:p>
      <w:pPr>
        <w:spacing w:after="0" w:line="225" w:lineRule="exact"/>
        <w:rPr>
          <w:sz w:val="20"/>
          <w:szCs w:val="20"/>
          <w:color w:val="auto"/>
        </w:rPr>
      </w:pPr>
    </w:p>
    <w:p>
      <w:pPr>
        <w:ind w:right="18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Corporate Trust Office</w:t>
      </w:r>
      <w:r>
        <w:rPr>
          <w:rFonts w:ascii="Arial" w:cs="Arial" w:eastAsia="Arial" w:hAnsi="Arial"/>
          <w:sz w:val="17"/>
          <w:szCs w:val="17"/>
          <w:color w:val="auto"/>
        </w:rPr>
        <w:t>” means the office of the Trustee at which the corporate trust business of the Trustee is principally administered, which at the date of this Indenture is located at 625 Marquette Avenue South, MAC N9311-110, Minneapolis, Minnesota 55479.</w:t>
      </w:r>
    </w:p>
    <w:p>
      <w:pPr>
        <w:spacing w:after="0" w:line="13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Market Price</w:t>
      </w:r>
      <w:r>
        <w:rPr>
          <w:rFonts w:ascii="Arial" w:cs="Arial" w:eastAsia="Arial" w:hAnsi="Arial"/>
          <w:sz w:val="18"/>
          <w:szCs w:val="18"/>
          <w:color w:val="auto"/>
        </w:rPr>
        <w:t>” of Common Stock on any day means the average of the Closing Prices of Common Stock for each of the five consecutive Trading Days ending on the earlier of the day in question and the day before the Ex-Date with respect to the issuance or distribution requiring such computation.</w:t>
      </w:r>
    </w:p>
    <w:p>
      <w:pPr>
        <w:spacing w:after="0" w:line="176" w:lineRule="exact"/>
        <w:rPr>
          <w:sz w:val="20"/>
          <w:szCs w:val="20"/>
          <w:color w:val="auto"/>
        </w:rPr>
      </w:pPr>
    </w:p>
    <w:p>
      <w:pPr>
        <w:ind w:right="4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w:t>
      </w:r>
      <w:r>
        <w:rPr>
          <w:rFonts w:ascii="Arial" w:cs="Arial" w:eastAsia="Arial" w:hAnsi="Arial"/>
          <w:sz w:val="18"/>
          <w:szCs w:val="18"/>
          <w:color w:val="auto"/>
        </w:rPr>
        <w:t>” means, with respect to any Person, without duplication, (a) all obligations of such Person for borrowed money (other than non-recourse obligations); and (b) all obligations of such Person evidenced by bonds, debentures, notes or other similar instruments.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that is, or after notice or passage of time or both would be, an Event of Default.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DTC or the nominee thereof, or any successor thereto.</w:t>
      </w:r>
    </w:p>
    <w:p>
      <w:pPr>
        <w:sectPr>
          <w:pgSz w:w="11900" w:h="16838" w:orient="portrait"/>
          <w:cols w:equalWidth="0" w:num="1">
            <w:col w:w="11420"/>
          </w:cols>
          <w:pgMar w:left="240" w:top="121" w:right="239" w:bottom="0" w:gutter="0" w:footer="0" w:header="0"/>
        </w:sectPr>
      </w:pPr>
    </w:p>
    <w:bookmarkStart w:id="110" w:name="page111"/>
    <w:bookmarkEnd w:id="110"/>
    <w:p>
      <w:pPr>
        <w:spacing w:after="0" w:line="11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w:t>
      </w:r>
      <w:r>
        <w:rPr>
          <w:rFonts w:ascii="Arial" w:cs="Arial" w:eastAsia="Arial" w:hAnsi="Arial"/>
          <w:sz w:val="18"/>
          <w:szCs w:val="18"/>
          <w:color w:val="auto"/>
        </w:rPr>
        <w:t>” means The Depository Trust Company, a New York corporation, and its successors.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DTC Legend</w:t>
      </w:r>
      <w:r>
        <w:rPr>
          <w:rFonts w:ascii="Arial" w:cs="Arial" w:eastAsia="Arial" w:hAnsi="Arial"/>
          <w:sz w:val="18"/>
          <w:szCs w:val="18"/>
          <w:color w:val="auto"/>
        </w:rPr>
        <w:t>” means the legend set forth in Exhibit B.</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and the rules and regulations of the Commission thereunder.</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Ex-Date</w:t>
      </w:r>
      <w:r>
        <w:rPr>
          <w:rFonts w:ascii="Arial" w:cs="Arial" w:eastAsia="Arial" w:hAnsi="Arial"/>
          <w:sz w:val="18"/>
          <w:szCs w:val="18"/>
          <w:color w:val="auto"/>
        </w:rPr>
        <w:t>” means, with respect to any distribution on Common Stock, the first date on which the shares of Common Stock trade on the applicable exchange or in the applicable market, regular way, without the right to receive such distribution.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Global Note</w:t>
      </w:r>
      <w:r>
        <w:rPr>
          <w:rFonts w:ascii="Arial" w:cs="Arial" w:eastAsia="Arial" w:hAnsi="Arial"/>
          <w:sz w:val="18"/>
          <w:szCs w:val="18"/>
          <w:color w:val="auto"/>
        </w:rPr>
        <w:t>” means a Note in registered global form without interest coupons.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or “</w:t>
      </w:r>
      <w:r>
        <w:rPr>
          <w:rFonts w:ascii="Arial" w:cs="Arial" w:eastAsia="Arial" w:hAnsi="Arial"/>
          <w:sz w:val="18"/>
          <w:szCs w:val="18"/>
          <w:b w:val="1"/>
          <w:bCs w:val="1"/>
          <w:color w:val="auto"/>
        </w:rPr>
        <w:t>Noteholder</w:t>
      </w:r>
      <w:r>
        <w:rPr>
          <w:rFonts w:ascii="Arial" w:cs="Arial" w:eastAsia="Arial" w:hAnsi="Arial"/>
          <w:sz w:val="18"/>
          <w:szCs w:val="18"/>
          <w:color w:val="auto"/>
        </w:rPr>
        <w:t>” means the registered holder of any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w:t>
      </w:r>
      <w:r>
        <w:rPr>
          <w:rFonts w:ascii="Arial" w:cs="Arial" w:eastAsia="Arial" w:hAnsi="Arial"/>
          <w:sz w:val="18"/>
          <w:szCs w:val="18"/>
          <w:color w:val="auto"/>
        </w:rPr>
        <w:t>” means this indenture, as amended or supplemented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Initial Notes</w:t>
      </w:r>
      <w:r>
        <w:rPr>
          <w:rFonts w:ascii="Arial" w:cs="Arial" w:eastAsia="Arial" w:hAnsi="Arial"/>
          <w:sz w:val="17"/>
          <w:szCs w:val="17"/>
          <w:color w:val="auto"/>
        </w:rPr>
        <w:t>” means the Notes, other than any Additional Notes, issued on the date hereof and any Notes issued in replacement thereof.</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Payment Date</w:t>
      </w:r>
      <w:r>
        <w:rPr>
          <w:rFonts w:ascii="Arial" w:cs="Arial" w:eastAsia="Arial" w:hAnsi="Arial"/>
          <w:sz w:val="18"/>
          <w:szCs w:val="18"/>
          <w:color w:val="auto"/>
        </w:rPr>
        <w:t>” means each April 15 and October 15 of each year, commencing October 15, 2009.</w:t>
      </w:r>
    </w:p>
    <w:p>
      <w:pPr>
        <w:spacing w:after="0" w:line="225" w:lineRule="exact"/>
        <w:rPr>
          <w:sz w:val="20"/>
          <w:szCs w:val="20"/>
          <w:color w:val="auto"/>
        </w:rPr>
      </w:pPr>
    </w:p>
    <w:p>
      <w:pPr>
        <w:ind w:right="80"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Make-Whole Premium</w:t>
      </w:r>
      <w:r>
        <w:rPr>
          <w:rFonts w:ascii="Arial" w:cs="Arial" w:eastAsia="Arial" w:hAnsi="Arial"/>
          <w:sz w:val="16"/>
          <w:szCs w:val="16"/>
          <w:color w:val="auto"/>
        </w:rPr>
        <w:t>” means, with respect to each $1,000 in principal amount of Notes, a payment in Cash, shares of Common Stock or a combination of Cash and shares of Common Stock, equal to the present values of the remaining scheduled payments of interest on the Notes to be redeemed from the Redemption Date to October 15, 2013 (excluding interest accrued to such Redemption Date), computed using a discount rate equal to 2.5%.</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means October 15,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has the meaning assigned to such term in the Recitals.</w:t>
      </w:r>
    </w:p>
    <w:p>
      <w:pPr>
        <w:spacing w:after="0" w:line="225" w:lineRule="exact"/>
        <w:rPr>
          <w:sz w:val="20"/>
          <w:szCs w:val="20"/>
          <w:color w:val="auto"/>
        </w:rPr>
      </w:pPr>
    </w:p>
    <w:p>
      <w:pPr>
        <w:ind w:right="18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chairman of the Board of Directors, the president or chief executive officer, any vice president, the chief financial officer, the treasurer or any assistant treasurer, or the secretary or any assistant secretary, of the Company.</w:t>
      </w:r>
    </w:p>
    <w:p>
      <w:pPr>
        <w:spacing w:after="0" w:line="162" w:lineRule="exact"/>
        <w:rPr>
          <w:sz w:val="20"/>
          <w:szCs w:val="20"/>
          <w:color w:val="auto"/>
        </w:rPr>
      </w:pPr>
    </w:p>
    <w:p>
      <w:pPr>
        <w:ind w:right="8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Officers’ Certificate</w:t>
      </w:r>
      <w:r>
        <w:rPr>
          <w:rFonts w:ascii="Arial" w:cs="Arial" w:eastAsia="Arial" w:hAnsi="Arial"/>
          <w:sz w:val="16"/>
          <w:szCs w:val="16"/>
          <w:color w:val="auto"/>
        </w:rPr>
        <w:t>” means a certificate signed in the name of the Company (a) by the chairman of the Board of Directors, the president or chief executive officer or a vice president and (b) by the chief financial officer, the treasurer or any assistant treasurer or the secretary or any assistant secretary.</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Opinion of Counsel</w:t>
      </w:r>
      <w:r>
        <w:rPr>
          <w:rFonts w:ascii="Arial" w:cs="Arial" w:eastAsia="Arial" w:hAnsi="Arial"/>
          <w:sz w:val="16"/>
          <w:szCs w:val="16"/>
          <w:color w:val="auto"/>
        </w:rPr>
        <w:t>” means a written opinion signed by legal counsel, who may be an employee of or counsel to the Company, satisfactory to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0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Paying Agent</w:t>
      </w:r>
      <w:r>
        <w:rPr>
          <w:rFonts w:ascii="Arial" w:cs="Arial" w:eastAsia="Arial" w:hAnsi="Arial"/>
          <w:sz w:val="18"/>
          <w:szCs w:val="18"/>
          <w:color w:val="auto"/>
        </w:rPr>
        <w:t>” refers to a Person engaged to perform the obligations of the Trustee in respect of payments made or funds held hereunder in respect of the Notes.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54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a corporation, a partnership, a limited liability company, an association, a trust or any other entity, including a government or political subdivision or an agency or instrumentality thereof.</w:t>
      </w:r>
    </w:p>
    <w:p>
      <w:pPr>
        <w:spacing w:after="0" w:line="162"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w:t>
      </w:r>
      <w:r>
        <w:rPr>
          <w:rFonts w:ascii="Arial" w:cs="Arial" w:eastAsia="Arial" w:hAnsi="Arial"/>
          <w:sz w:val="18"/>
          <w:szCs w:val="18"/>
          <w:color w:val="auto"/>
        </w:rPr>
        <w:t>” of any Debt (including the Notes) means the principal amount of such Debt (or if such Debt was issued with original issue discount, the face amount of such Debt less the remaining unamortized portion of the original issue discount of such Debt), together with, unless the context otherwise indicates, any premium then payable on such Debt.</w:t>
      </w:r>
    </w:p>
    <w:p>
      <w:pPr>
        <w:spacing w:after="0" w:line="176" w:lineRule="exact"/>
        <w:rPr>
          <w:sz w:val="20"/>
          <w:szCs w:val="20"/>
          <w:color w:val="auto"/>
        </w:rPr>
      </w:pPr>
    </w:p>
    <w:p>
      <w:pPr>
        <w:ind w:left="660"/>
        <w:spacing w:after="0"/>
        <w:tabs>
          <w:tab w:leader="none" w:pos="468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Prospectus</w:t>
      </w:r>
      <w:r>
        <w:rPr>
          <w:rFonts w:ascii="Arial" w:cs="Arial" w:eastAsia="Arial" w:hAnsi="Arial"/>
          <w:sz w:val="18"/>
          <w:szCs w:val="18"/>
          <w:color w:val="auto"/>
        </w:rPr>
        <w:t>” means the final prospectus dated April</w:t>
      </w:r>
      <w:r>
        <w:rPr>
          <w:sz w:val="20"/>
          <w:szCs w:val="20"/>
          <w:color w:val="auto"/>
        </w:rPr>
        <w:tab/>
      </w:r>
      <w:r>
        <w:rPr>
          <w:rFonts w:ascii="Arial" w:cs="Arial" w:eastAsia="Arial" w:hAnsi="Arial"/>
          <w:sz w:val="16"/>
          <w:szCs w:val="16"/>
          <w:color w:val="auto"/>
        </w:rPr>
        <w:t>, 2009 relating to the offering and sale of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means the date specified for redemption of the Notes in accordance with the terms of the Notes and Article 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Regular Record Date</w:t>
      </w:r>
      <w:r>
        <w:rPr>
          <w:rFonts w:ascii="Arial" w:cs="Arial" w:eastAsia="Arial" w:hAnsi="Arial"/>
          <w:sz w:val="16"/>
          <w:szCs w:val="16"/>
          <w:color w:val="auto"/>
        </w:rPr>
        <w:t>” for the interest payable on any Interest Payment Date means the April 1 or October 1 next preceding such Interest Payment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when used with respect to the Trustee, any officer of the trustee within the Corporate Trust Office of the Trustee who has direct responsibility for the administration of this indenture and shall also mean any other officer of the Trustee to whom any corporate trust matter is referred because of such person’s knowledge and familiarity with the particular subject matter.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Scheduled Trading Day</w:t>
      </w:r>
      <w:r>
        <w:rPr>
          <w:rFonts w:ascii="Arial" w:cs="Arial" w:eastAsia="Arial" w:hAnsi="Arial"/>
          <w:sz w:val="18"/>
          <w:szCs w:val="18"/>
          <w:color w:val="auto"/>
        </w:rPr>
        <w:t>” means a day that is scheduled to be a Trading Day.</w:t>
      </w:r>
    </w:p>
    <w:p>
      <w:pPr>
        <w:spacing w:after="0" w:line="225" w:lineRule="exact"/>
        <w:rPr>
          <w:sz w:val="20"/>
          <w:szCs w:val="20"/>
          <w:color w:val="auto"/>
        </w:rPr>
      </w:pPr>
    </w:p>
    <w:p>
      <w:pPr>
        <w:ind w:right="26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with respect to any Person, any corporation, association or other business entity of which more than 50% of the outstanding Voting Securities is owned, directly or indirectly, by, or, in the case of a partnership, the sole general partner or the managing partner or the only general partners of which are, such Person and one or more Subsidiaries of such Person (or a combination thereof).</w:t>
      </w:r>
    </w:p>
    <w:p>
      <w:pPr>
        <w:spacing w:after="0" w:line="158" w:lineRule="exact"/>
        <w:rPr>
          <w:sz w:val="20"/>
          <w:szCs w:val="20"/>
          <w:color w:val="auto"/>
        </w:rPr>
      </w:pPr>
    </w:p>
    <w:p>
      <w:pPr>
        <w:ind w:right="6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Termination of Trading</w:t>
      </w:r>
      <w:r>
        <w:rPr>
          <w:rFonts w:ascii="Arial" w:cs="Arial" w:eastAsia="Arial" w:hAnsi="Arial"/>
          <w:sz w:val="16"/>
          <w:szCs w:val="16"/>
          <w:color w:val="auto"/>
        </w:rPr>
        <w:t>” means the Company’s Common Stock, or other Capital Stock into which the Notes are then convertible, is not listed for trading on a United States national securities exchange or approved for quotation on a U.S. system of automated dissemination of quotations of securities</w:t>
      </w:r>
    </w:p>
    <w:p>
      <w:pPr>
        <w:sectPr>
          <w:pgSz w:w="11900" w:h="16952" w:orient="portrait"/>
          <w:cols w:equalWidth="0" w:num="1">
            <w:col w:w="11360"/>
          </w:cols>
          <w:pgMar w:left="240" w:top="121" w:right="299" w:bottom="0" w:gutter="0" w:footer="0" w:header="0"/>
        </w:sectPr>
      </w:pPr>
    </w:p>
    <w:bookmarkStart w:id="111" w:name="page112"/>
    <w:bookmarkEnd w:id="111"/>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prices similar to the Nasdaq National Market prior to its designation as a national securities exchange.</w:t>
      </w:r>
    </w:p>
    <w:p>
      <w:pPr>
        <w:spacing w:after="0" w:line="221" w:lineRule="exact"/>
        <w:rPr>
          <w:sz w:val="20"/>
          <w:szCs w:val="20"/>
          <w:color w:val="auto"/>
        </w:rPr>
      </w:pPr>
    </w:p>
    <w:p>
      <w:pPr>
        <w:ind w:right="10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with respect to Common Stock or any other security, a day during which (a) trading in Common Stock or such other security generally occurs and (b) a Closing Price for Common Stock or such other security (other than a Closing Price referred to in the next to last sentence of such definition) is available for such day;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Common Stock or such other security is not admitted for trading or quotation on or by any exchange, bureau or other organization, Trading Day will mean any Business Day.</w:t>
      </w:r>
    </w:p>
    <w:p>
      <w:pPr>
        <w:spacing w:after="0" w:line="18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Trustee</w:t>
      </w:r>
      <w:r>
        <w:rPr>
          <w:rFonts w:ascii="Arial" w:cs="Arial" w:eastAsia="Arial" w:hAnsi="Arial"/>
          <w:sz w:val="16"/>
          <w:szCs w:val="16"/>
          <w:color w:val="auto"/>
        </w:rPr>
        <w:t>” means the party named as such in the first paragraph of this Indenture or any successor trustee under this Indenture pursuant to Article 7.</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means the Trust Indenture Act of 1939,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Underwriters</w:t>
      </w:r>
      <w:r>
        <w:rPr>
          <w:rFonts w:ascii="Arial" w:cs="Arial" w:eastAsia="Arial" w:hAnsi="Arial"/>
          <w:sz w:val="18"/>
          <w:szCs w:val="18"/>
          <w:color w:val="auto"/>
        </w:rPr>
        <w:t>” means Morgan Stanley &amp; Co. Incorporated, Goldman, Sachs &amp; Co. and Deutsche Bank Securities Inc.</w:t>
      </w:r>
    </w:p>
    <w:p>
      <w:pPr>
        <w:spacing w:after="0" w:line="225" w:lineRule="exact"/>
        <w:rPr>
          <w:sz w:val="20"/>
          <w:szCs w:val="20"/>
          <w:color w:val="auto"/>
        </w:rPr>
      </w:pPr>
    </w:p>
    <w:p>
      <w:pPr>
        <w:ind w:right="26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Underwriting Agreement</w:t>
      </w:r>
      <w:r>
        <w:rPr>
          <w:rFonts w:ascii="Arial" w:cs="Arial" w:eastAsia="Arial" w:hAnsi="Arial"/>
          <w:sz w:val="18"/>
          <w:szCs w:val="18"/>
          <w:color w:val="auto"/>
        </w:rPr>
        <w:t>” means the Underwriting Agreement dated as of April , 2009 among the Company and the Underwriters relating to the purchase of the Notes by the Underwriters.</w:t>
      </w:r>
    </w:p>
    <w:p>
      <w:pPr>
        <w:spacing w:after="0" w:line="162" w:lineRule="exact"/>
        <w:rPr>
          <w:sz w:val="20"/>
          <w:szCs w:val="20"/>
          <w:color w:val="auto"/>
        </w:rPr>
      </w:pPr>
    </w:p>
    <w:p>
      <w:pPr>
        <w:ind w:right="70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Securities</w:t>
      </w:r>
      <w:r>
        <w:rPr>
          <w:rFonts w:ascii="Arial" w:cs="Arial" w:eastAsia="Arial" w:hAnsi="Arial"/>
          <w:sz w:val="18"/>
          <w:szCs w:val="18"/>
          <w:color w:val="auto"/>
        </w:rPr>
        <w:t>” means, with respect to any Person, securities of any class or kind ordinarily having the power to vote for the election of directors, managers or other voting members of the governing body of such Person.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40" w:type="dxa"/>
            <w:vAlign w:val="bottom"/>
            <w:gridSpan w:val="2"/>
          </w:tcPr>
          <w:p>
            <w:pPr>
              <w:ind w:left="660"/>
              <w:spacing w:after="0"/>
              <w:rPr>
                <w:sz w:val="20"/>
                <w:szCs w:val="20"/>
                <w:color w:val="auto"/>
              </w:rPr>
            </w:pPr>
            <w:r>
              <w:rPr>
                <w:rFonts w:ascii="Arial" w:cs="Arial" w:eastAsia="Arial" w:hAnsi="Arial"/>
                <w:sz w:val="18"/>
                <w:szCs w:val="18"/>
                <w:color w:val="auto"/>
              </w:rPr>
              <w:t>Section 1.02.</w:t>
            </w:r>
          </w:p>
        </w:tc>
        <w:tc>
          <w:tcPr>
            <w:tcW w:w="2480" w:type="dxa"/>
            <w:vAlign w:val="bottom"/>
          </w:tcPr>
          <w:p>
            <w:pPr>
              <w:ind w:left="20"/>
              <w:spacing w:after="0"/>
              <w:rPr>
                <w:sz w:val="20"/>
                <w:szCs w:val="20"/>
                <w:color w:val="auto"/>
              </w:rPr>
            </w:pPr>
            <w:r>
              <w:rPr>
                <w:rFonts w:ascii="Arial" w:cs="Arial" w:eastAsia="Arial" w:hAnsi="Arial"/>
                <w:sz w:val="18"/>
                <w:szCs w:val="18"/>
                <w:i w:val="1"/>
                <w:iCs w:val="1"/>
                <w:color w:val="auto"/>
              </w:rPr>
              <w:t>Other Definitions</w:t>
            </w:r>
            <w:r>
              <w:rPr>
                <w:rFonts w:ascii="Arial" w:cs="Arial" w:eastAsia="Arial" w:hAnsi="Arial"/>
                <w:sz w:val="18"/>
                <w:szCs w:val="18"/>
                <w:color w:val="auto"/>
              </w:rPr>
              <w:t>.</w:t>
            </w:r>
          </w:p>
        </w:tc>
        <w:tc>
          <w:tcPr>
            <w:tcW w:w="3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65"/>
        </w:trPr>
        <w:tc>
          <w:tcPr>
            <w:tcW w:w="20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jc w:val="right"/>
              <w:ind w:right="972"/>
              <w:spacing w:after="0"/>
              <w:rPr>
                <w:sz w:val="20"/>
                <w:szCs w:val="20"/>
                <w:color w:val="auto"/>
              </w:rPr>
            </w:pPr>
            <w:r>
              <w:rPr>
                <w:rFonts w:ascii="Arial" w:cs="Arial" w:eastAsia="Arial" w:hAnsi="Arial"/>
                <w:sz w:val="14"/>
                <w:szCs w:val="14"/>
                <w:b w:val="1"/>
                <w:bCs w:val="1"/>
                <w:color w:val="auto"/>
              </w:rPr>
              <w:t>Defined in Section</w:t>
            </w:r>
          </w:p>
        </w:tc>
        <w:tc>
          <w:tcPr>
            <w:tcW w:w="1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“act”</w:t>
            </w:r>
          </w:p>
        </w:tc>
        <w:tc>
          <w:tcPr>
            <w:tcW w:w="2480" w:type="dxa"/>
            <w:vAlign w:val="bottom"/>
            <w:tcBorders>
              <w:top w:val="single" w:sz="8" w:color="auto"/>
            </w:tcBorders>
            <w:shd w:val="clear" w:color="auto" w:fill="CCEEFF"/>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rPr>
              <w:t>13.02(b)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“Act”</w:t>
            </w:r>
          </w:p>
        </w:tc>
        <w:tc>
          <w:tcPr>
            <w:tcW w:w="2480" w:type="dxa"/>
            <w:vAlign w:val="bottom"/>
          </w:tcPr>
          <w:p>
            <w:pPr>
              <w:spacing w:after="0"/>
              <w:rPr>
                <w:sz w:val="18"/>
                <w:szCs w:val="18"/>
                <w:color w:val="auto"/>
              </w:rPr>
            </w:pP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1.05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Interest”</w:t>
            </w: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“Bankruptcy Default”</w:t>
            </w: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6.01(h)</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5"/>
              </w:rPr>
              <w:t>“beneficial owner”</w:t>
            </w:r>
          </w:p>
        </w:tc>
        <w:tc>
          <w:tcPr>
            <w:tcW w:w="2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7"/>
              </w:rPr>
              <w:t>“Company Order”</w:t>
            </w:r>
          </w:p>
        </w:tc>
        <w:tc>
          <w:tcPr>
            <w:tcW w:w="2480" w:type="dxa"/>
            <w:vAlign w:val="bottom"/>
          </w:tcPr>
          <w:p>
            <w:pPr>
              <w:spacing w:after="0"/>
              <w:rPr>
                <w:sz w:val="18"/>
                <w:szCs w:val="18"/>
                <w:color w:val="auto"/>
              </w:rPr>
            </w:pP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“Conversion Agent”</w:t>
            </w: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3"/>
              </w:rPr>
              <w:t>“Conversion Date”</w:t>
            </w:r>
          </w:p>
        </w:tc>
        <w:tc>
          <w:tcPr>
            <w:tcW w:w="2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10.02(a)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w w:val="93"/>
              </w:rPr>
              <w:t>“Conversion Rate”</w:t>
            </w:r>
          </w:p>
        </w:tc>
        <w:tc>
          <w:tcPr>
            <w:tcW w:w="248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10.01</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“Defaulted Interest”</w:t>
            </w: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12.02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“Disposition Event”</w:t>
            </w: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“Distributed Assets”</w:t>
            </w: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10.08(a)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“Effective Date”</w:t>
            </w:r>
          </w:p>
        </w:tc>
        <w:tc>
          <w:tcPr>
            <w:tcW w:w="2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10.13(b)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97"/>
              </w:rPr>
              <w:t>“Event of Default”</w:t>
            </w:r>
          </w:p>
        </w:tc>
        <w:tc>
          <w:tcPr>
            <w:tcW w:w="2480" w:type="dxa"/>
            <w:vAlign w:val="bottom"/>
          </w:tcPr>
          <w:p>
            <w:pPr>
              <w:spacing w:after="0"/>
              <w:rPr>
                <w:sz w:val="18"/>
                <w:szCs w:val="18"/>
                <w:color w:val="auto"/>
              </w:rPr>
            </w:pP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6.01</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“Expiration Date”</w:t>
            </w:r>
          </w:p>
        </w:tc>
        <w:tc>
          <w:tcPr>
            <w:tcW w:w="248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“group”</w:t>
            </w:r>
          </w:p>
        </w:tc>
        <w:tc>
          <w:tcPr>
            <w:tcW w:w="2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“Incremental Additional Interest”</w:t>
            </w: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“Incremental Extension Right”</w:t>
            </w: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“Initial Additional Interest”</w:t>
            </w: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“Initial Extension Right”</w:t>
            </w: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“Legal Holiday”</w:t>
            </w:r>
          </w:p>
        </w:tc>
        <w:tc>
          <w:tcPr>
            <w:tcW w:w="248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60" w:type="dxa"/>
            <w:vAlign w:val="bottom"/>
          </w:tcPr>
          <w:p>
            <w:pPr>
              <w:jc w:val="right"/>
              <w:ind w:right="1730"/>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32"/>
        </w:trPr>
        <w:tc>
          <w:tcPr>
            <w:tcW w:w="2040" w:type="dxa"/>
            <w:vAlign w:val="bottom"/>
            <w:tcBorders>
              <w:bottom w:val="single" w:sz="8" w:color="010101"/>
            </w:tcBorders>
            <w:gridSpan w:val="2"/>
          </w:tcPr>
          <w:p>
            <w:pPr>
              <w:spacing w:after="0"/>
              <w:rPr>
                <w:sz w:val="11"/>
                <w:szCs w:val="11"/>
                <w:color w:val="auto"/>
              </w:rPr>
            </w:pPr>
          </w:p>
        </w:tc>
        <w:tc>
          <w:tcPr>
            <w:tcW w:w="2480" w:type="dxa"/>
            <w:vAlign w:val="bottom"/>
            <w:tcBorders>
              <w:bottom w:val="single" w:sz="8" w:color="010101"/>
            </w:tcBorders>
          </w:tcPr>
          <w:p>
            <w:pPr>
              <w:spacing w:after="0"/>
              <w:rPr>
                <w:sz w:val="11"/>
                <w:szCs w:val="11"/>
                <w:color w:val="auto"/>
              </w:rPr>
            </w:pPr>
          </w:p>
        </w:tc>
        <w:tc>
          <w:tcPr>
            <w:tcW w:w="306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32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r>
      <w:tr>
        <w:trPr>
          <w:trHeight w:val="713"/>
        </w:trPr>
        <w:tc>
          <w:tcPr>
            <w:tcW w:w="2040" w:type="dxa"/>
            <w:vAlign w:val="bottom"/>
            <w:gridSpan w:val="2"/>
          </w:tcPr>
          <w:p>
            <w:pPr>
              <w:ind w:left="660"/>
              <w:spacing w:after="0"/>
              <w:rPr>
                <w:sz w:val="20"/>
                <w:szCs w:val="20"/>
                <w:color w:val="auto"/>
              </w:rPr>
            </w:pPr>
            <w:r>
              <w:rPr>
                <w:rFonts w:ascii="Arial" w:cs="Arial" w:eastAsia="Arial" w:hAnsi="Arial"/>
                <w:sz w:val="14"/>
                <w:szCs w:val="14"/>
                <w:b w:val="1"/>
                <w:bCs w:val="1"/>
                <w:color w:val="auto"/>
              </w:rPr>
              <w:t>Term</w:t>
            </w:r>
          </w:p>
        </w:tc>
        <w:tc>
          <w:tcPr>
            <w:tcW w:w="24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40" w:type="dxa"/>
            <w:vAlign w:val="bottom"/>
          </w:tcPr>
          <w:p>
            <w:pPr>
              <w:jc w:val="right"/>
              <w:ind w:right="972"/>
              <w:spacing w:after="0"/>
              <w:rPr>
                <w:sz w:val="20"/>
                <w:szCs w:val="20"/>
                <w:color w:val="auto"/>
              </w:rPr>
            </w:pPr>
            <w:r>
              <w:rPr>
                <w:rFonts w:ascii="Arial" w:cs="Arial" w:eastAsia="Arial" w:hAnsi="Arial"/>
                <w:sz w:val="14"/>
                <w:szCs w:val="14"/>
                <w:b w:val="1"/>
                <w:bCs w:val="1"/>
                <w:color w:val="auto"/>
              </w:rPr>
              <w:t>Defined in Section</w:t>
            </w:r>
          </w:p>
        </w:tc>
        <w:tc>
          <w:tcPr>
            <w:tcW w:w="16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38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“Make-Whole Change in Control”</w:t>
            </w:r>
          </w:p>
        </w:tc>
        <w:tc>
          <w:tcPr>
            <w:tcW w:w="30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3240" w:type="dxa"/>
            <w:vAlign w:val="bottom"/>
            <w:tcBorders>
              <w:top w:val="single" w:sz="8" w:color="auto"/>
            </w:tcBorders>
            <w:shd w:val="clear" w:color="auto" w:fill="CCEEFF"/>
          </w:tcPr>
          <w:p>
            <w:pPr>
              <w:jc w:val="right"/>
              <w:ind w:right="1212"/>
              <w:spacing w:after="0"/>
              <w:rPr>
                <w:sz w:val="20"/>
                <w:szCs w:val="20"/>
                <w:color w:val="auto"/>
              </w:rPr>
            </w:pPr>
            <w:r>
              <w:rPr>
                <w:rFonts w:ascii="Arial" w:cs="Arial" w:eastAsia="Arial" w:hAnsi="Arial"/>
                <w:sz w:val="18"/>
                <w:szCs w:val="18"/>
                <w:color w:val="auto"/>
              </w:rPr>
              <w:t>10.13(a)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“Make-Whole Shares”</w:t>
            </w: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10.13(a)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“Paying Agent”</w:t>
            </w:r>
          </w:p>
        </w:tc>
        <w:tc>
          <w:tcPr>
            <w:tcW w:w="248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“person”</w:t>
            </w:r>
          </w:p>
        </w:tc>
        <w:tc>
          <w:tcPr>
            <w:tcW w:w="2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“Primary Registrar”</w:t>
            </w: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“Purchased Shares”</w:t>
            </w: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10.10</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“Redemption Price”</w:t>
            </w: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11.01(b)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“Reference Period”</w:t>
            </w: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10.08(a)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“Reference Property”</w:t>
            </w: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10.12</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“Register”</w:t>
            </w:r>
          </w:p>
        </w:tc>
        <w:tc>
          <w:tcPr>
            <w:tcW w:w="2480" w:type="dxa"/>
            <w:vAlign w:val="bottom"/>
          </w:tcPr>
          <w:p>
            <w:pPr>
              <w:spacing w:after="0"/>
              <w:rPr>
                <w:sz w:val="18"/>
                <w:szCs w:val="18"/>
                <w:color w:val="auto"/>
              </w:rPr>
            </w:pP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“Registrar”</w:t>
            </w:r>
          </w:p>
        </w:tc>
        <w:tc>
          <w:tcPr>
            <w:tcW w:w="248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w w:val="89"/>
              </w:rPr>
              <w:t>“Repurchase Date”</w:t>
            </w:r>
          </w:p>
        </w:tc>
        <w:tc>
          <w:tcPr>
            <w:tcW w:w="2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“Repurchase Notice”</w:t>
            </w: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3.01(c)</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“Repurchase Price”</w:t>
            </w: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3.01(a)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“Rights”</w:t>
            </w:r>
          </w:p>
        </w:tc>
        <w:tc>
          <w:tcPr>
            <w:tcW w:w="2480" w:type="dxa"/>
            <w:vAlign w:val="bottom"/>
            <w:shd w:val="clear" w:color="auto" w:fill="CCEEFF"/>
          </w:tcPr>
          <w:p>
            <w:pPr>
              <w:spacing w:after="0"/>
              <w:rPr>
                <w:sz w:val="18"/>
                <w:szCs w:val="18"/>
                <w:color w:val="auto"/>
              </w:rPr>
            </w:pPr>
          </w:p>
        </w:tc>
        <w:tc>
          <w:tcPr>
            <w:tcW w:w="6780" w:type="dxa"/>
            <w:vAlign w:val="bottom"/>
            <w:gridSpan w:val="3"/>
            <w:shd w:val="clear" w:color="auto" w:fill="CCEEFF"/>
          </w:tcPr>
          <w:p>
            <w:pPr>
              <w:jc w:val="right"/>
              <w:ind w:right="1412"/>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“Shareholders Rights Plan”</w:t>
            </w: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10.23</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“Special Record Date”</w:t>
            </w: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12.02(a)</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“Spin-Off”</w:t>
            </w:r>
          </w:p>
        </w:tc>
        <w:tc>
          <w:tcPr>
            <w:tcW w:w="24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40" w:type="dxa"/>
            <w:vAlign w:val="bottom"/>
          </w:tcPr>
          <w:p>
            <w:pPr>
              <w:jc w:val="right"/>
              <w:ind w:right="1212"/>
              <w:spacing w:after="0"/>
              <w:rPr>
                <w:sz w:val="20"/>
                <w:szCs w:val="20"/>
                <w:color w:val="auto"/>
              </w:rPr>
            </w:pPr>
            <w:r>
              <w:rPr>
                <w:rFonts w:ascii="Arial" w:cs="Arial" w:eastAsia="Arial" w:hAnsi="Arial"/>
                <w:sz w:val="18"/>
                <w:szCs w:val="18"/>
                <w:color w:val="auto"/>
              </w:rPr>
              <w:t>10.08(b)</w:t>
            </w:r>
          </w:p>
        </w:tc>
        <w:tc>
          <w:tcPr>
            <w:tcW w:w="1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380" w:type="dxa"/>
            <w:vAlign w:val="bottom"/>
            <w:shd w:val="clear" w:color="auto" w:fill="CCEEFF"/>
          </w:tcPr>
          <w:p>
            <w:pPr>
              <w:spacing w:after="0"/>
              <w:rPr>
                <w:sz w:val="20"/>
                <w:szCs w:val="20"/>
                <w:color w:val="auto"/>
              </w:rPr>
            </w:pPr>
            <w:r>
              <w:rPr>
                <w:rFonts w:ascii="Arial" w:cs="Arial" w:eastAsia="Arial" w:hAnsi="Arial"/>
                <w:sz w:val="18"/>
                <w:szCs w:val="18"/>
                <w:color w:val="auto"/>
              </w:rPr>
              <w:t>“Stock Price”</w:t>
            </w:r>
          </w:p>
        </w:tc>
        <w:tc>
          <w:tcPr>
            <w:tcW w:w="2480" w:type="dxa"/>
            <w:vAlign w:val="bottom"/>
            <w:shd w:val="clear" w:color="auto" w:fill="CCEEFF"/>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40" w:type="dxa"/>
            <w:vAlign w:val="bottom"/>
            <w:shd w:val="clear" w:color="auto" w:fill="CCEEFF"/>
          </w:tcPr>
          <w:p>
            <w:pPr>
              <w:jc w:val="right"/>
              <w:ind w:right="1212"/>
              <w:spacing w:after="0"/>
              <w:rPr>
                <w:sz w:val="20"/>
                <w:szCs w:val="20"/>
                <w:color w:val="auto"/>
              </w:rPr>
            </w:pPr>
            <w:r>
              <w:rPr>
                <w:rFonts w:ascii="Arial" w:cs="Arial" w:eastAsia="Arial" w:hAnsi="Arial"/>
                <w:sz w:val="18"/>
                <w:szCs w:val="18"/>
                <w:color w:val="auto"/>
              </w:rPr>
              <w:t>10.13(b)</w:t>
            </w:r>
          </w:p>
        </w:tc>
        <w:tc>
          <w:tcPr>
            <w:tcW w:w="1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1380" w:type="dxa"/>
            <w:vAlign w:val="bottom"/>
          </w:tcPr>
          <w:p>
            <w:pPr>
              <w:spacing w:after="0"/>
              <w:rPr>
                <w:sz w:val="20"/>
                <w:szCs w:val="20"/>
                <w:color w:val="auto"/>
              </w:rPr>
            </w:pPr>
            <w:r>
              <w:rPr>
                <w:rFonts w:ascii="Arial" w:cs="Arial" w:eastAsia="Arial" w:hAnsi="Arial"/>
                <w:sz w:val="18"/>
                <w:szCs w:val="18"/>
                <w:color w:val="auto"/>
              </w:rPr>
              <w:t>“Trigger Event”</w:t>
            </w:r>
          </w:p>
        </w:tc>
        <w:tc>
          <w:tcPr>
            <w:tcW w:w="2480" w:type="dxa"/>
            <w:vAlign w:val="bottom"/>
          </w:tcPr>
          <w:p>
            <w:pPr>
              <w:spacing w:after="0"/>
              <w:rPr>
                <w:sz w:val="20"/>
                <w:szCs w:val="20"/>
                <w:color w:val="auto"/>
              </w:rPr>
            </w:pPr>
          </w:p>
        </w:tc>
        <w:tc>
          <w:tcPr>
            <w:tcW w:w="6780" w:type="dxa"/>
            <w:vAlign w:val="bottom"/>
            <w:gridSpan w:val="3"/>
          </w:tcPr>
          <w:p>
            <w:pPr>
              <w:jc w:val="right"/>
              <w:ind w:right="1412"/>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-3243580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-3243580</wp:posOffset>
            </wp:positionV>
            <wp:extent cx="12700"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67"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Section 1.03. </w:t>
      </w:r>
      <w:r>
        <w:rPr>
          <w:rFonts w:ascii="Arial" w:cs="Arial" w:eastAsia="Arial" w:hAnsi="Arial"/>
          <w:sz w:val="16"/>
          <w:szCs w:val="16"/>
          <w:i w:val="1"/>
          <w:iCs w:val="1"/>
          <w:color w:val="auto"/>
        </w:rPr>
        <w:t>Incorporation by Reference of Trust Indenture Act</w:t>
      </w:r>
      <w:r>
        <w:rPr>
          <w:rFonts w:ascii="Arial" w:cs="Arial" w:eastAsia="Arial" w:hAnsi="Arial"/>
          <w:sz w:val="16"/>
          <w:szCs w:val="16"/>
          <w:color w:val="auto"/>
        </w:rPr>
        <w:t>. Whenever this Indenture refers to a provision of the Trust Indenture Act, the provision is incorporated by reference in and made a part of this Indenture. The following Trust Indenture Act terms used in this Indenture have the following</w:t>
      </w:r>
    </w:p>
    <w:p>
      <w:pPr>
        <w:sectPr>
          <w:pgSz w:w="11900" w:h="16867" w:orient="portrait"/>
          <w:cols w:equalWidth="0" w:num="1">
            <w:col w:w="11460"/>
          </w:cols>
          <w:pgMar w:left="240" w:top="125" w:right="199" w:bottom="0" w:gutter="0" w:footer="0" w:header="0"/>
        </w:sectPr>
      </w:pPr>
    </w:p>
    <w:bookmarkStart w:id="112" w:name="page113"/>
    <w:bookmarkEnd w:id="112"/>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meanings: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securities</w:t>
      </w:r>
      <w:r>
        <w:rPr>
          <w:rFonts w:ascii="Arial" w:cs="Arial" w:eastAsia="Arial" w:hAnsi="Arial"/>
          <w:sz w:val="18"/>
          <w:szCs w:val="18"/>
          <w:color w:val="auto"/>
        </w:rPr>
        <w:t>” means the Notes.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security holder</w:t>
      </w:r>
      <w:r>
        <w:rPr>
          <w:rFonts w:ascii="Arial" w:cs="Arial" w:eastAsia="Arial" w:hAnsi="Arial"/>
          <w:sz w:val="18"/>
          <w:szCs w:val="18"/>
          <w:color w:val="auto"/>
        </w:rPr>
        <w:t>” means a Noteholder.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indenture trustee</w:t>
      </w:r>
      <w:r>
        <w:rPr>
          <w:rFonts w:ascii="Arial" w:cs="Arial" w:eastAsia="Arial" w:hAnsi="Arial"/>
          <w:sz w:val="18"/>
          <w:szCs w:val="18"/>
          <w:color w:val="auto"/>
        </w:rPr>
        <w:t>” or “</w:t>
      </w:r>
      <w:r>
        <w:rPr>
          <w:rFonts w:ascii="Arial" w:cs="Arial" w:eastAsia="Arial" w:hAnsi="Arial"/>
          <w:sz w:val="18"/>
          <w:szCs w:val="18"/>
          <w:b w:val="1"/>
          <w:b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on this Indenture securities means the Company.</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All other Trust Indenture Act terms used in this Indenture that are defined by the Trust Indenture Act, defined by Trust Indenture Act reference to another statute or defined by Securities Exchange Commission rule have the meanings assigned to them by such definitions.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i w:val="1"/>
          <w:iCs w:val="1"/>
          <w:color w:val="auto"/>
        </w:rPr>
        <w:t>Rules of Construction</w:t>
      </w:r>
      <w:r>
        <w:rPr>
          <w:rFonts w:ascii="Arial" w:cs="Arial" w:eastAsia="Arial" w:hAnsi="Arial"/>
          <w:sz w:val="16"/>
          <w:szCs w:val="16"/>
          <w:color w:val="auto"/>
        </w:rPr>
        <w:t>. Unless the context otherwise requires or except as otherwise expressly provided,</w:t>
      </w:r>
    </w:p>
    <w:p>
      <w:pPr>
        <w:spacing w:after="0" w:line="225" w:lineRule="exact"/>
        <w:rPr>
          <w:sz w:val="20"/>
          <w:szCs w:val="20"/>
          <w:color w:val="auto"/>
        </w:rPr>
      </w:pPr>
    </w:p>
    <w:p>
      <w:pPr>
        <w:ind w:left="1640" w:hanging="335"/>
        <w:spacing w:after="0"/>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“herein,” “hereof” and other words of similar import refer to this Indenture as a whole and not to any particular Section, Article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other subdivision;</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(d)  all references to Sections or Articles or Exhibits refer to Sections or Articles or Exhibits of or to this Indenture unless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indicated;</w:t>
      </w:r>
    </w:p>
    <w:p>
      <w:pPr>
        <w:spacing w:after="0" w:line="211" w:lineRule="exact"/>
        <w:rPr>
          <w:sz w:val="20"/>
          <w:szCs w:val="20"/>
          <w:color w:val="auto"/>
        </w:rPr>
      </w:pPr>
    </w:p>
    <w:p>
      <w:pPr>
        <w:ind w:right="120" w:firstLine="1305"/>
        <w:spacing w:after="0" w:line="277" w:lineRule="auto"/>
        <w:tabs>
          <w:tab w:leader="none" w:pos="1631" w:val="left"/>
        </w:tabs>
        <w:numPr>
          <w:ilvl w:val="0"/>
          <w:numId w:val="130"/>
        </w:numPr>
        <w:rPr>
          <w:rFonts w:ascii="Arial" w:cs="Arial" w:eastAsia="Arial" w:hAnsi="Arial"/>
          <w:sz w:val="18"/>
          <w:szCs w:val="18"/>
          <w:color w:val="auto"/>
        </w:rPr>
      </w:pPr>
      <w:r>
        <w:rPr>
          <w:rFonts w:ascii="Arial" w:cs="Arial" w:eastAsia="Arial" w:hAnsi="Arial"/>
          <w:sz w:val="18"/>
          <w:szCs w:val="18"/>
          <w:color w:val="auto"/>
        </w:rPr>
        <w:t>references to agreements or instruments, or to statutes or regulations, are to such agreements or instruments, or statutes or regulations, as amended from time to time (or to successor statutes and regulations);</w:t>
      </w:r>
    </w:p>
    <w:p>
      <w:pPr>
        <w:spacing w:after="0" w:line="170" w:lineRule="exact"/>
        <w:rPr>
          <w:rFonts w:ascii="Arial" w:cs="Arial" w:eastAsia="Arial" w:hAnsi="Arial"/>
          <w:sz w:val="18"/>
          <w:szCs w:val="18"/>
          <w:color w:val="auto"/>
        </w:rPr>
      </w:pPr>
    </w:p>
    <w:p>
      <w:pPr>
        <w:ind w:right="120" w:firstLine="1305"/>
        <w:spacing w:after="0" w:line="277" w:lineRule="auto"/>
        <w:tabs>
          <w:tab w:leader="none" w:pos="1656"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that a transaction meets the criteria of more than one category of permitted transactions or listed exceptions the Company may classify such transaction as it, in its sole discretion, determines;</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“including” means including, without limitation; and</w:t>
      </w:r>
    </w:p>
    <w:p>
      <w:pPr>
        <w:spacing w:after="0" w:line="225" w:lineRule="exact"/>
        <w:rPr>
          <w:rFonts w:ascii="Arial" w:cs="Arial" w:eastAsia="Arial" w:hAnsi="Arial"/>
          <w:sz w:val="18"/>
          <w:szCs w:val="18"/>
          <w:color w:val="auto"/>
        </w:rPr>
      </w:pPr>
    </w:p>
    <w:p>
      <w:pPr>
        <w:ind w:left="1660" w:hanging="355"/>
        <w:spacing w:after="0"/>
        <w:tabs>
          <w:tab w:leader="none" w:pos="1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words in the singular include the plural, and words in the plural include the singular.</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 xml:space="preserve">Section 1.05. </w:t>
      </w:r>
      <w:r>
        <w:rPr>
          <w:rFonts w:ascii="Arial" w:cs="Arial" w:eastAsia="Arial" w:hAnsi="Arial"/>
          <w:sz w:val="16"/>
          <w:szCs w:val="16"/>
          <w:i w:val="1"/>
          <w:iCs w:val="1"/>
          <w:color w:val="auto"/>
        </w:rPr>
        <w:t>Acts of Holders</w:t>
      </w:r>
      <w:r>
        <w:rPr>
          <w:rFonts w:ascii="Arial" w:cs="Arial" w:eastAsia="Arial" w:hAnsi="Arial"/>
          <w:sz w:val="16"/>
          <w:szCs w:val="16"/>
          <w:color w:val="auto"/>
        </w:rPr>
        <w:t>. Any request, demand, authorization, direction, notice, consent, waiver or other action provided by this Indenture to be given or taken by Holders may be embodied in and evidenced by one or more instruments (which may take the form of an electronic writing or messaging or otherwise be in accordance with the Applicable Procedures or customary procedures of the Trustee) of substantially similar tenor signed by such Holders in person or by agent duly appointed in writing (which may be in electronic form); and, except as herein otherwise expressly provided, such action shall become effective when such instrument or instruments are delivered to the Trustee and, where it is hereby expressly required, to the Company. Such instrument or instruments (and the action embodied therein and evidenced thereby) are herein sometimes referred to as the “</w:t>
      </w:r>
      <w:r>
        <w:rPr>
          <w:rFonts w:ascii="Arial" w:cs="Arial" w:eastAsia="Arial" w:hAnsi="Arial"/>
          <w:sz w:val="16"/>
          <w:szCs w:val="16"/>
          <w:b w:val="1"/>
          <w:bCs w:val="1"/>
          <w:color w:val="auto"/>
        </w:rPr>
        <w:t>Act</w:t>
      </w:r>
      <w:r>
        <w:rPr>
          <w:rFonts w:ascii="Arial" w:cs="Arial" w:eastAsia="Arial" w:hAnsi="Arial"/>
          <w:sz w:val="16"/>
          <w:szCs w:val="16"/>
          <w:color w:val="auto"/>
        </w:rPr>
        <w:t>” of Holders signing such instrument or instruments. Proof of execution of any such instrument or of a writing appointing any such agent (either of which may be in electronic form) shall be sufficient for any purpose of this Indenture and conclusive in favor of the Trustee and the Company, if made in the manner provided in this Section.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THE NOTES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2.01.</w:t>
      </w:r>
      <w:r>
        <w:rPr>
          <w:sz w:val="20"/>
          <w:szCs w:val="20"/>
          <w:color w:val="auto"/>
        </w:rPr>
        <w:tab/>
      </w:r>
      <w:r>
        <w:rPr>
          <w:rFonts w:ascii="Arial" w:cs="Arial" w:eastAsia="Arial" w:hAnsi="Arial"/>
          <w:sz w:val="16"/>
          <w:szCs w:val="16"/>
          <w:i w:val="1"/>
          <w:iCs w:val="1"/>
          <w:color w:val="auto"/>
        </w:rPr>
        <w:t>Form, Dating and Denominations; Legends</w:t>
      </w:r>
      <w:r>
        <w:rPr>
          <w:rFonts w:ascii="Arial" w:cs="Arial" w:eastAsia="Arial" w:hAnsi="Arial"/>
          <w:sz w:val="16"/>
          <w:szCs w:val="16"/>
          <w:color w:val="auto"/>
        </w:rPr>
        <w:t>.</w:t>
      </w:r>
    </w:p>
    <w:p>
      <w:pPr>
        <w:spacing w:after="0" w:line="225" w:lineRule="exact"/>
        <w:rPr>
          <w:sz w:val="20"/>
          <w:szCs w:val="20"/>
          <w:color w:val="auto"/>
        </w:rPr>
      </w:pPr>
    </w:p>
    <w:p>
      <w:pPr>
        <w:ind w:right="300" w:firstLine="1305"/>
        <w:spacing w:after="0" w:line="257" w:lineRule="auto"/>
        <w:tabs>
          <w:tab w:leader="none" w:pos="1631"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Notes and the Trustee’s certificate of authentication will be substantially in the form attached as Exhibit A. The terms and provisions contained in the form of the Note annexed as Exhibit A constitute and are hereby expressly made a part of this Indenture. The Notes may have notations, legends or endorsements required by law, rules of or agreements with national securities exchanges to which the Company is subject, or usage. Each Note will be dated the date of its authentication. The Notes will be issuable only in denominations of $1,000 in principal amount and any integral multiple thereof.</w:t>
      </w:r>
    </w:p>
    <w:p>
      <w:pPr>
        <w:spacing w:after="0" w:line="188" w:lineRule="exact"/>
        <w:rPr>
          <w:rFonts w:ascii="Arial" w:cs="Arial" w:eastAsia="Arial" w:hAnsi="Arial"/>
          <w:sz w:val="18"/>
          <w:szCs w:val="18"/>
          <w:color w:val="auto"/>
        </w:rPr>
      </w:pPr>
    </w:p>
    <w:p>
      <w:pPr>
        <w:ind w:right="180" w:firstLine="1305"/>
        <w:spacing w:after="0" w:line="273" w:lineRule="auto"/>
        <w:tabs>
          <w:tab w:leader="none" w:pos="1641" w:val="left"/>
        </w:tabs>
        <w:numPr>
          <w:ilvl w:val="0"/>
          <w:numId w:val="131"/>
        </w:numPr>
        <w:rPr>
          <w:rFonts w:ascii="Arial" w:cs="Arial" w:eastAsia="Arial" w:hAnsi="Arial"/>
          <w:sz w:val="17"/>
          <w:szCs w:val="17"/>
          <w:color w:val="auto"/>
        </w:rPr>
      </w:pPr>
      <w:r>
        <w:rPr>
          <w:rFonts w:ascii="Arial" w:cs="Arial" w:eastAsia="Arial" w:hAnsi="Arial"/>
          <w:sz w:val="17"/>
          <w:szCs w:val="17"/>
          <w:i w:val="1"/>
          <w:iCs w:val="1"/>
          <w:color w:val="auto"/>
        </w:rPr>
        <w:t>Global Notes in General</w:t>
      </w:r>
      <w:r>
        <w:rPr>
          <w:rFonts w:ascii="Arial" w:cs="Arial" w:eastAsia="Arial" w:hAnsi="Arial"/>
          <w:sz w:val="17"/>
          <w:szCs w:val="17"/>
          <w:color w:val="auto"/>
        </w:rPr>
        <w:t>. Each Global Note shall represent such of the outstanding Notes as shall be specified therein and each shall</w:t>
      </w:r>
      <w:r>
        <w:rPr>
          <w:rFonts w:ascii="Arial" w:cs="Arial" w:eastAsia="Arial" w:hAnsi="Arial"/>
          <w:sz w:val="17"/>
          <w:szCs w:val="17"/>
          <w:i w:val="1"/>
          <w:iCs w:val="1"/>
          <w:color w:val="auto"/>
        </w:rPr>
        <w:t xml:space="preserve"> </w:t>
      </w:r>
      <w:r>
        <w:rPr>
          <w:rFonts w:ascii="Arial" w:cs="Arial" w:eastAsia="Arial" w:hAnsi="Arial"/>
          <w:sz w:val="17"/>
          <w:szCs w:val="17"/>
          <w:color w:val="auto"/>
        </w:rPr>
        <w:t>provide that it shall represent the aggregate amount of outstanding Notes from time to time endorsed thereon and that the aggregate amount of outstanding Notes represented thereby may from time to time be reduced or increased, as appropriate, to reflect exchanges, purchases, conversions or issuances of such Notes. Any adjustment of the aggregate principal amount of a Global Note to reflect the amount of any increase or decrease in the amount of outstanding Notes represented thereby shall be made by the Trustee in accordance with instructions given by the Holder thereof as required by Section 2.06 and shall be made on the records of the Trustee and the Depositary.</w:t>
      </w:r>
    </w:p>
    <w:p>
      <w:pPr>
        <w:sectPr>
          <w:pgSz w:w="11900" w:h="16921" w:orient="portrait"/>
          <w:cols w:equalWidth="0" w:num="1">
            <w:col w:w="11400"/>
          </w:cols>
          <w:pgMar w:left="240" w:top="125" w:right="259" w:bottom="0" w:gutter="0" w:footer="0" w:header="0"/>
        </w:sectPr>
      </w:pPr>
    </w:p>
    <w:bookmarkStart w:id="113" w:name="page114"/>
    <w:bookmarkEnd w:id="113"/>
    <w:p>
      <w:pPr>
        <w:spacing w:after="0" w:line="137" w:lineRule="exact"/>
        <w:rPr>
          <w:sz w:val="20"/>
          <w:szCs w:val="20"/>
          <w:color w:val="auto"/>
        </w:rPr>
      </w:pPr>
    </w:p>
    <w:p>
      <w:pPr>
        <w:jc w:val="both"/>
        <w:ind w:right="160" w:firstLine="1297"/>
        <w:spacing w:after="0" w:line="288" w:lineRule="auto"/>
        <w:rPr>
          <w:sz w:val="20"/>
          <w:szCs w:val="20"/>
          <w:color w:val="auto"/>
        </w:rPr>
      </w:pPr>
      <w:r>
        <w:rPr>
          <w:rFonts w:ascii="Arial" w:cs="Arial" w:eastAsia="Arial" w:hAnsi="Arial"/>
          <w:sz w:val="16"/>
          <w:szCs w:val="16"/>
          <w:color w:val="auto"/>
        </w:rPr>
        <w:t>Agent Members shall have no rights under this Indenture with respect to any Global Note held on their behalf by the Depositary or under the Global Note, and the Depositary (including, for this purpose, its nominee) may be treated by the Company, the Trustee and any agent of the Company or the Trustee as the absolute owner and Holder of such Global Note for all purposes whatsoever. Notwithstanding the foregoing, nothing herein shall</w:t>
      </w:r>
    </w:p>
    <w:p>
      <w:pPr>
        <w:jc w:val="both"/>
        <w:ind w:right="140" w:firstLine="8"/>
        <w:spacing w:after="0" w:line="255" w:lineRule="auto"/>
        <w:tabs>
          <w:tab w:leader="none" w:pos="21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prevent the Company, the Trustee or any agent of the Company or the Trustee from giving effect to any written certification, proxy or other authorization furnished by the Depositary or (ii) impair, as between the Depositary and its Agent Members, the operation of customary practices governing the exercise of the rights of a Holder of any Note.</w:t>
      </w:r>
    </w:p>
    <w:p>
      <w:pPr>
        <w:spacing w:after="0" w:line="190" w:lineRule="exact"/>
        <w:rPr>
          <w:rFonts w:ascii="Arial" w:cs="Arial" w:eastAsia="Arial" w:hAnsi="Arial"/>
          <w:sz w:val="18"/>
          <w:szCs w:val="18"/>
          <w:color w:val="auto"/>
        </w:rPr>
      </w:pPr>
    </w:p>
    <w:p>
      <w:pPr>
        <w:ind w:right="160" w:firstLine="1305"/>
        <w:spacing w:after="0" w:line="286" w:lineRule="auto"/>
        <w:tabs>
          <w:tab w:leader="none" w:pos="1631" w:val="left"/>
        </w:tabs>
        <w:numPr>
          <w:ilvl w:val="1"/>
          <w:numId w:val="132"/>
        </w:numPr>
        <w:rPr>
          <w:rFonts w:ascii="Arial" w:cs="Arial" w:eastAsia="Arial" w:hAnsi="Arial"/>
          <w:sz w:val="17"/>
          <w:szCs w:val="17"/>
          <w:color w:val="auto"/>
        </w:rPr>
      </w:pPr>
      <w:r>
        <w:rPr>
          <w:rFonts w:ascii="Arial" w:cs="Arial" w:eastAsia="Arial" w:hAnsi="Arial"/>
          <w:sz w:val="17"/>
          <w:szCs w:val="17"/>
          <w:i w:val="1"/>
          <w:iCs w:val="1"/>
          <w:color w:val="auto"/>
        </w:rPr>
        <w:t>Book-Entry Provisions</w:t>
      </w:r>
      <w:r>
        <w:rPr>
          <w:rFonts w:ascii="Arial" w:cs="Arial" w:eastAsia="Arial" w:hAnsi="Arial"/>
          <w:sz w:val="17"/>
          <w:szCs w:val="17"/>
          <w:color w:val="auto"/>
        </w:rPr>
        <w:t>. The Company shall execute and the Trustee shall, in accordance with this Section 2.01(c), authenticate and</w:t>
      </w:r>
      <w:r>
        <w:rPr>
          <w:rFonts w:ascii="Arial" w:cs="Arial" w:eastAsia="Arial" w:hAnsi="Arial"/>
          <w:sz w:val="17"/>
          <w:szCs w:val="17"/>
          <w:i w:val="1"/>
          <w:iCs w:val="1"/>
          <w:color w:val="auto"/>
        </w:rPr>
        <w:t xml:space="preserve"> </w:t>
      </w:r>
      <w:r>
        <w:rPr>
          <w:rFonts w:ascii="Arial" w:cs="Arial" w:eastAsia="Arial" w:hAnsi="Arial"/>
          <w:sz w:val="17"/>
          <w:szCs w:val="17"/>
          <w:color w:val="auto"/>
        </w:rPr>
        <w:t>deliver initially one or more Global Notes that (i) shall be registered in the name of the Depositary, (ii) shall be delivered by the Trustee to the Depositary or pursuant to the Depositary’s instructions and (iii) shall bear a legend substantially to the effect set forth in Exhibit B.</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Execution and Authentication</w:t>
      </w:r>
      <w:r>
        <w:rPr>
          <w:rFonts w:ascii="Arial" w:cs="Arial" w:eastAsia="Arial" w:hAnsi="Arial"/>
          <w:sz w:val="18"/>
          <w:szCs w:val="18"/>
          <w:color w:val="auto"/>
        </w:rPr>
        <w:t>. An Officer shall sign the Notes for the Company by manual or facsimile signature. Typographic errors or defects in any such facsimile signature shall not affect the validity or enforceability of any Note which has been authenticated and delivered by the Trustee.</w:t>
      </w:r>
    </w:p>
    <w:p>
      <w:pPr>
        <w:spacing w:after="0" w:line="181"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If an Officer whose signature is on a Note no longer holds that office at the time the Trustee authenticates the Note, the Note shall be valid nevertheless.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Note shall not be valid until an authorized signatory of the Trustee signs manually the certificate of authentication on the Note. The signature shall be conclusive evidence that the Note has been authenticated under this Indenture.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Trustee shall authenticate and make available for delivery Notes for original issue in the aggregate principal amount of $200,000,000 (or up to $230,000,000 to the extent the Underwriters exercise their over-allotment option under the Underwriting Agreement in full) upon receipt of a written order or orders of the Company signed by an Officer of the Company (a “</w:t>
      </w:r>
      <w:r>
        <w:rPr>
          <w:rFonts w:ascii="Arial" w:cs="Arial" w:eastAsia="Arial" w:hAnsi="Arial"/>
          <w:sz w:val="17"/>
          <w:szCs w:val="17"/>
          <w:b w:val="1"/>
          <w:bCs w:val="1"/>
          <w:color w:val="auto"/>
        </w:rPr>
        <w:t>Company Order</w:t>
      </w:r>
      <w:r>
        <w:rPr>
          <w:rFonts w:ascii="Arial" w:cs="Arial" w:eastAsia="Arial" w:hAnsi="Arial"/>
          <w:sz w:val="17"/>
          <w:szCs w:val="17"/>
          <w:color w:val="auto"/>
        </w:rPr>
        <w:t>”). The Company Order shall specify the amount of Notes to be authenticated, shall provide that all such Notes will be represented by a Global Note and the date on which each original issue of Notes is to be authenticated. The initial aggregate principal amount of Notes outstanding at any time may not exceed $200,000,000 (or $230,000,000 to the extent the Underwriters exercise their over-allotment option under the Underwriting Agreement in full) except as provided in Section 2.07.</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Trustee shall act as the initial authenticating agent. Thereafter, the Trustee may appoint an authenticating agent acceptable to the Company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Company or an Affiliate of the Company.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Notes shall be issuable only in registered form without coupons and only in denominations of $1,000 principal amount and any integral multiple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thereof.</w:t>
      </w:r>
    </w:p>
    <w:p>
      <w:pPr>
        <w:spacing w:after="0" w:line="21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i w:val="1"/>
          <w:iCs w:val="1"/>
          <w:color w:val="auto"/>
        </w:rPr>
        <w:t>Registrar, Paying Agent and Conversion Agent</w:t>
      </w:r>
      <w:r>
        <w:rPr>
          <w:rFonts w:ascii="Arial" w:cs="Arial" w:eastAsia="Arial" w:hAnsi="Arial"/>
          <w:sz w:val="18"/>
          <w:szCs w:val="18"/>
          <w:color w:val="auto"/>
        </w:rPr>
        <w:t>. The Company shall maintain one or more offices or agencies where Notes may be presented for registration of transfer or for exchange (each, a “</w:t>
      </w:r>
      <w:r>
        <w:rPr>
          <w:rFonts w:ascii="Arial" w:cs="Arial" w:eastAsia="Arial" w:hAnsi="Arial"/>
          <w:sz w:val="18"/>
          <w:szCs w:val="18"/>
          <w:b w:val="1"/>
          <w:bCs w:val="1"/>
          <w:color w:val="auto"/>
        </w:rPr>
        <w:t>Registrar</w:t>
      </w:r>
      <w:r>
        <w:rPr>
          <w:rFonts w:ascii="Arial" w:cs="Arial" w:eastAsia="Arial" w:hAnsi="Arial"/>
          <w:sz w:val="18"/>
          <w:szCs w:val="18"/>
          <w:color w:val="auto"/>
        </w:rPr>
        <w:t>”), one or more offices or agencies where Notes may be presented for payment (each, a “</w:t>
      </w:r>
      <w:r>
        <w:rPr>
          <w:rFonts w:ascii="Arial" w:cs="Arial" w:eastAsia="Arial" w:hAnsi="Arial"/>
          <w:sz w:val="18"/>
          <w:szCs w:val="18"/>
          <w:b w:val="1"/>
          <w:bCs w:val="1"/>
          <w:color w:val="auto"/>
        </w:rPr>
        <w:t>Paying Agent</w:t>
      </w:r>
      <w:r>
        <w:rPr>
          <w:rFonts w:ascii="Arial" w:cs="Arial" w:eastAsia="Arial" w:hAnsi="Arial"/>
          <w:sz w:val="18"/>
          <w:szCs w:val="18"/>
          <w:color w:val="auto"/>
        </w:rPr>
        <w:t>”), one or more offices or agencies where Notes may be presented for conversion (each, a “</w:t>
      </w:r>
      <w:r>
        <w:rPr>
          <w:rFonts w:ascii="Arial" w:cs="Arial" w:eastAsia="Arial" w:hAnsi="Arial"/>
          <w:sz w:val="18"/>
          <w:szCs w:val="18"/>
          <w:b w:val="1"/>
          <w:bCs w:val="1"/>
          <w:color w:val="auto"/>
        </w:rPr>
        <w:t>Conversion Agent</w:t>
      </w:r>
      <w:r>
        <w:rPr>
          <w:rFonts w:ascii="Arial" w:cs="Arial" w:eastAsia="Arial" w:hAnsi="Arial"/>
          <w:sz w:val="18"/>
          <w:szCs w:val="18"/>
          <w:color w:val="auto"/>
        </w:rPr>
        <w:t>”) and one or more offices or agencies where notices and demands to or upon the Company in respect of the Notes and this Indenture may be served. The Company will at all times maintain a Paying Agent, Conversion Agent, Registrar and an office or agency where notices and demands to or upon the Company in respect of the Notes and this Indenture may be served in the United States. One of the Registrars (the “</w:t>
      </w:r>
      <w:r>
        <w:rPr>
          <w:rFonts w:ascii="Arial" w:cs="Arial" w:eastAsia="Arial" w:hAnsi="Arial"/>
          <w:sz w:val="18"/>
          <w:szCs w:val="18"/>
          <w:b w:val="1"/>
          <w:bCs w:val="1"/>
          <w:color w:val="auto"/>
        </w:rPr>
        <w:t>Primary Registrar</w:t>
      </w:r>
      <w:r>
        <w:rPr>
          <w:rFonts w:ascii="Arial" w:cs="Arial" w:eastAsia="Arial" w:hAnsi="Arial"/>
          <w:sz w:val="18"/>
          <w:szCs w:val="18"/>
          <w:color w:val="auto"/>
        </w:rPr>
        <w:t>”) shall keep a register of the Notes and of their transfer and exchange (the “</w:t>
      </w:r>
      <w:r>
        <w:rPr>
          <w:rFonts w:ascii="Arial" w:cs="Arial" w:eastAsia="Arial" w:hAnsi="Arial"/>
          <w:sz w:val="18"/>
          <w:szCs w:val="18"/>
          <w:b w:val="1"/>
          <w:bCs w:val="1"/>
          <w:color w:val="auto"/>
        </w:rPr>
        <w:t>Register</w:t>
      </w:r>
      <w:r>
        <w:rPr>
          <w:rFonts w:ascii="Arial" w:cs="Arial" w:eastAsia="Arial" w:hAnsi="Arial"/>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shall enter into an appropriate agency agreement with any Agent not a party to this Indenture. The agreement shall implement the provisions of this Indenture that relate to such Agent. The Company shall notify the Trustee of the name and address of any Agent not a party to this Indenture. If the Company fails to maintain a Registrar, Paying Agent, Conversion Agent or agent for service of notices and demands in any place required by this Indenture, or fails to give the foregoing notice, the Trustee shall act as such. The Company or any Affiliate of the Company may act as Paying Agent (except for the purposes of Article 8).</w:t>
      </w:r>
    </w:p>
    <w:p>
      <w:pPr>
        <w:spacing w:after="0" w:line="188" w:lineRule="exact"/>
        <w:rPr>
          <w:sz w:val="20"/>
          <w:szCs w:val="20"/>
          <w:color w:val="auto"/>
        </w:rPr>
      </w:pPr>
    </w:p>
    <w:p>
      <w:pPr>
        <w:jc w:val="both"/>
        <w:ind w:right="180" w:firstLine="648"/>
        <w:spacing w:after="0" w:line="312" w:lineRule="auto"/>
        <w:rPr>
          <w:sz w:val="20"/>
          <w:szCs w:val="20"/>
          <w:color w:val="auto"/>
        </w:rPr>
      </w:pPr>
      <w:r>
        <w:rPr>
          <w:rFonts w:ascii="Arial" w:cs="Arial" w:eastAsia="Arial" w:hAnsi="Arial"/>
          <w:sz w:val="16"/>
          <w:szCs w:val="16"/>
          <w:color w:val="auto"/>
        </w:rPr>
        <w:t>The Company hereby initially designates the Trustee as Paying Agent, Registrar, and Conversion Agent, and each of the Corporate Trust Office of the Trustee and the office or agency of the Trustee in the United States (located at 625 Marquette Avenue South, MAC N9311-110, Minneapolis, Minnesota 55479, Tel. (800) 344-5128, Attention: Corporate Trust Services, one such office or agency of the Company for each of the aforesaid purposes.</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i w:val="1"/>
          <w:iCs w:val="1"/>
          <w:color w:val="auto"/>
        </w:rPr>
        <w:t>Paying Agent to Hold Money in Trust</w:t>
      </w:r>
      <w:r>
        <w:rPr>
          <w:rFonts w:ascii="Arial" w:cs="Arial" w:eastAsia="Arial" w:hAnsi="Arial"/>
          <w:sz w:val="17"/>
          <w:szCs w:val="17"/>
          <w:color w:val="auto"/>
        </w:rPr>
        <w:t>. Prior to 12:00 p.m., New York City time, on each date on which the principal amount of or interest (including Additional Interest), if any, on any Notes is due and payable, the Company shall deposit with a Paying Agent a sum sufficient to pay such principal amount or interest (including Additional Interest), if any, so becoming due. A Paying Agent shall hold in trust for the benefit of Noteholders or the Trustee all money held by the Paying Agent for the payment of principal amount of or interest (including Additional Interest), if any, on the Notes, and shall notify the Trustee of any default by the Company (or any other obligor on the Notes) in making any such payment. If the Company or an Affiliate of the Company acts as Paying Agent, it shall, before 12:00 p.m., New York City time, on each date on which a payment of the principal amount of or interest (including any Additional Interest) on any Notes is due and payable, segregate the money and hold it as a separate trust fund. The Company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Company) shall have no further liability for the money.</w:t>
      </w:r>
    </w:p>
    <w:p>
      <w:pPr>
        <w:spacing w:after="0" w:line="178"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 xml:space="preserve">Section 2.05. </w:t>
      </w:r>
      <w:r>
        <w:rPr>
          <w:rFonts w:ascii="Arial" w:cs="Arial" w:eastAsia="Arial" w:hAnsi="Arial"/>
          <w:sz w:val="16"/>
          <w:szCs w:val="16"/>
          <w:i w:val="1"/>
          <w:iCs w:val="1"/>
          <w:color w:val="auto"/>
        </w:rPr>
        <w:t>Noteholder Lists</w:t>
      </w:r>
      <w:r>
        <w:rPr>
          <w:rFonts w:ascii="Arial" w:cs="Arial" w:eastAsia="Arial" w:hAnsi="Arial"/>
          <w:sz w:val="16"/>
          <w:szCs w:val="16"/>
          <w:color w:val="auto"/>
        </w:rPr>
        <w:t>. The Trustee shall preserve in as current a form as is reasonably practicable the most recent list available to it of the names and addresses of Noteholders. If the Trustee is not the Primary Registrar, the Company shall furnish to the Trustee on or before 10 Business Days</w:t>
      </w:r>
    </w:p>
    <w:p>
      <w:pPr>
        <w:sectPr>
          <w:pgSz w:w="11900" w:h="16975" w:orient="portrait"/>
          <w:cols w:equalWidth="0" w:num="1">
            <w:col w:w="11420"/>
          </w:cols>
          <w:pgMar w:left="240" w:top="341" w:right="239" w:bottom="0" w:gutter="0" w:footer="0" w:header="0"/>
        </w:sectPr>
      </w:pPr>
    </w:p>
    <w:bookmarkStart w:id="114" w:name="page115"/>
    <w:bookmarkEnd w:id="114"/>
    <w:p>
      <w:pPr>
        <w:spacing w:after="0" w:line="8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prior to the Interest Payment Date, and at such other times as the Trustee may request in writing, a list in such form and as of such date as the Trustee may reasonably require of the names and addresses of Noteholders.</w:t>
      </w:r>
    </w:p>
    <w:p>
      <w:pPr>
        <w:spacing w:after="0" w:line="17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i w:val="1"/>
          <w:iCs w:val="1"/>
          <w:color w:val="auto"/>
        </w:rPr>
        <w:t>Transfer and Exchange</w:t>
      </w:r>
      <w:r>
        <w:rPr>
          <w:rFonts w:ascii="Arial" w:cs="Arial" w:eastAsia="Arial" w:hAnsi="Arial"/>
          <w:sz w:val="18"/>
          <w:szCs w:val="18"/>
          <w:color w:val="auto"/>
        </w:rPr>
        <w:t>. Subject to compliance with any applicable additional requirements contained in Section 2.13, when a Note is presented to a Registrar with a request to register a transfer thereof or to exchange such Note for an equal principal amount of Notes of other authorized denominations,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the Registrar shall register the transfer or make the exchange as requested if its requirements for such transactions are met;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every Note presented or surrendered for registration of transfer or exchange shall be duly endorsed or accompanied by an assignment form in the form included in Exhibit A,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Section 2.03, the Company shall execute and the Trustee shall authenticate Notes of a like aggregate principal amount at the Registrar’s request. Any exchange or transfer shall be without service charge, except that the Company or the Registrar may require payment of a sum sufficient to cover any tax, assessment or other governmental charge that may be imposed in relation thereto;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this sentence shall not apply to any exchange pursuant to Section 2.10, Section 3.04, Section 9.03(b) or Section 11.06 not involving any transfer.</w:t>
      </w:r>
    </w:p>
    <w:p>
      <w:pPr>
        <w:spacing w:after="0" w:line="17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All Notes issued upon any transfer or exchange of Notes shall be valid obligations of the Company, evidencing the same debt and entitled to the same benefits under this Indenture, as the Notes surrendered upon such transfer or exchange.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Any Registrar appointed pursuant to Section 2.03 shall provide to the Trustee such information as the Trustee may reasonably require in connection with the delivery by such Registrar of Notes upon transfer or exchange of Notes.</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other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i w:val="1"/>
          <w:iCs w:val="1"/>
          <w:color w:val="auto"/>
        </w:rPr>
        <w:t>Replacement Notes</w:t>
      </w:r>
      <w:r>
        <w:rPr>
          <w:rFonts w:ascii="Arial" w:cs="Arial" w:eastAsia="Arial" w:hAnsi="Arial"/>
          <w:sz w:val="17"/>
          <w:szCs w:val="17"/>
          <w:color w:val="auto"/>
        </w:rPr>
        <w:t>. If any mutilated Note is surrendered to the Company, a Registrar or the Trustee, or the Company, a Registrar and the Trustee receive evidence to their satisfaction of the destruction, loss or theft of any Note, and there is delivered to the Company, the applicable Registrar and the Trustee such security or indemnity as will be required by them to save each of them harmless, then, in the absence of notice to the Company, such Registrar or the Trustee that such Note has been acquired by a protected purchaser, the Company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78" w:lineRule="exact"/>
        <w:rPr>
          <w:sz w:val="20"/>
          <w:szCs w:val="20"/>
          <w:color w:val="auto"/>
        </w:rPr>
      </w:pPr>
    </w:p>
    <w:p>
      <w:pPr>
        <w:ind w:right="440" w:firstLine="648"/>
        <w:spacing w:after="0" w:line="342" w:lineRule="auto"/>
        <w:rPr>
          <w:sz w:val="20"/>
          <w:szCs w:val="20"/>
          <w:color w:val="auto"/>
        </w:rPr>
      </w:pPr>
      <w:r>
        <w:rPr>
          <w:rFonts w:ascii="Arial" w:cs="Arial" w:eastAsia="Arial" w:hAnsi="Arial"/>
          <w:sz w:val="16"/>
          <w:szCs w:val="16"/>
          <w:color w:val="auto"/>
        </w:rPr>
        <w:t>In case any such mutilated, destroyed, lost or stolen Note has become or is about to become due and payable, or is about to be purchased by the Company pursuant to Article 3, the Company in its discretion may, instead of issuing a new Note, pay or purchase such Note, as the case may be.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Upon the issuance of any new Notes under this Section 2.07, the Company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8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Every new Note issued pursuant to this Section 2.07 in lieu of any mutilated, destroyed, lost or stolen Note shall constitute an original additional contractual obligation of the Company, whether or not the mutilated, destroyed, lost or stolen Note shall be at any time enforceable by anyone, and shall be entitled to all benefits of this Indenture equally and proportionately with any and all other Notes duly issued hereunder.</w:t>
      </w:r>
    </w:p>
    <w:p>
      <w:pPr>
        <w:spacing w:after="0" w:line="166"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provisions of this Section 2.07 are (to the extent lawful) exclusive and shall preclude (to the extent lawful) all other rights and remedies with respect to the replacement or payment of mutilated, destroyed, lost or stolen Notes.</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 xml:space="preserve">Section 2.08. </w:t>
      </w:r>
      <w:r>
        <w:rPr>
          <w:rFonts w:ascii="Arial" w:cs="Arial" w:eastAsia="Arial" w:hAnsi="Arial"/>
          <w:sz w:val="18"/>
          <w:szCs w:val="18"/>
          <w:i w:val="1"/>
          <w:iCs w:val="1"/>
          <w:color w:val="auto"/>
        </w:rPr>
        <w:t>Outstanding Notes</w:t>
      </w:r>
      <w:r>
        <w:rPr>
          <w:rFonts w:ascii="Arial" w:cs="Arial" w:eastAsia="Arial" w:hAnsi="Arial"/>
          <w:sz w:val="18"/>
          <w:szCs w:val="18"/>
          <w:color w:val="auto"/>
        </w:rPr>
        <w:t>. Notes outstanding at any time are all Notes authenticated by the Trustee, except for those canceled by it, those converted pursuant to Article 10, those delivered to it for cancellation or surrendered for transfer or exchange and those described in this Section 2.08 as not outstanding.</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If a Note is replaced pursuant to Section 2.07, it ceases to be outstanding unless the Company receives proof satisfactory to it that the replaced Note is held by a protected purchaser.</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If a Paying Agent holds at 12:00 p.m., New York City time, on the Maturity Date Cash sufficient to pay the principal amount of the Notes payable on that date, then on and after the Maturity Date, such Notes shall cease to be outstanding and the principal amount thereof shall cease to bear interest.</w:t>
      </w:r>
    </w:p>
    <w:p>
      <w:pPr>
        <w:spacing w:after="0" w:line="12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Subject to the restrictions contained in Section 2.09, a Note does not cease to be outstanding because the Company or an Affiliate of the Company holds the Note.</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i w:val="1"/>
          <w:iCs w:val="1"/>
          <w:color w:val="auto"/>
        </w:rPr>
        <w:t>Treasury Notes</w:t>
      </w:r>
      <w:r>
        <w:rPr>
          <w:rFonts w:ascii="Arial" w:cs="Arial" w:eastAsia="Arial" w:hAnsi="Arial"/>
          <w:sz w:val="17"/>
          <w:szCs w:val="17"/>
          <w:color w:val="auto"/>
        </w:rPr>
        <w:t>. In determining whether the Holders of the required principal amount of Notes have concurred in any notice, direction, waiver or consent, Notes owned by the Company or any other obligor on the Notes or by any Affiliate of the Company or of such other obligor shall be disregarded, except that, for purposes of determining whether the Trustee shall be protected in relying on any such notice, direction, waiver or consent, only Notes which a Responsible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not the Company or any other obligor on the Notes or any Affiliate of the Company or of such other obligor.</w:t>
      </w:r>
    </w:p>
    <w:p>
      <w:pPr>
        <w:sectPr>
          <w:pgSz w:w="11900" w:h="16921" w:orient="portrait"/>
          <w:cols w:equalWidth="0" w:num="1">
            <w:col w:w="11420"/>
          </w:cols>
          <w:pgMar w:left="240" w:top="125" w:right="239" w:bottom="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2.10. </w:t>
      </w:r>
      <w:r>
        <w:rPr>
          <w:rFonts w:ascii="Arial" w:cs="Arial" w:eastAsia="Arial" w:hAnsi="Arial"/>
          <w:sz w:val="17"/>
          <w:szCs w:val="17"/>
          <w:i w:val="1"/>
          <w:iCs w:val="1"/>
          <w:color w:val="auto"/>
        </w:rPr>
        <w:t>Temporary Notes</w:t>
      </w:r>
      <w:r>
        <w:rPr>
          <w:rFonts w:ascii="Arial" w:cs="Arial" w:eastAsia="Arial" w:hAnsi="Arial"/>
          <w:sz w:val="17"/>
          <w:szCs w:val="17"/>
          <w:color w:val="auto"/>
        </w:rPr>
        <w:t>. Until definitive Notes are ready for delivery, the Company may prepare and execute, and, upon receipt of a Company Order, the Trustee shall authenticate and deliver, temporary Notes. Temporary Notes shall be substantially in the form of definitive Notes but may have variations that the Company with the consent of the Trustee considers appropriate for temporary Notes. Without unreasonable delay, the Company shall prepare and the Trustee shall authenticate and deliver definitive Notes in exchange for temporary Notes.</w:t>
      </w:r>
    </w:p>
    <w:p>
      <w:pPr>
        <w:spacing w:after="0" w:line="171"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i w:val="1"/>
          <w:iCs w:val="1"/>
          <w:color w:val="auto"/>
        </w:rPr>
        <w:t>Cancellation</w:t>
      </w:r>
      <w:r>
        <w:rPr>
          <w:rFonts w:ascii="Arial" w:cs="Arial" w:eastAsia="Arial" w:hAnsi="Arial"/>
          <w:sz w:val="17"/>
          <w:szCs w:val="17"/>
          <w:color w:val="auto"/>
        </w:rPr>
        <w:t>. The Company at any time may deliver Notes to the Trustee for cancellation. The Registrar, the Paying Agent and the Conversion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upon written request of the Company shall deliver evidence of the canceled Notes to the Company.</w:t>
      </w:r>
    </w:p>
    <w:p>
      <w:pPr>
        <w:spacing w:after="0" w:line="17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CUSIP Numbers</w:t>
      </w:r>
      <w:r>
        <w:rPr>
          <w:rFonts w:ascii="Arial" w:cs="Arial" w:eastAsia="Arial" w:hAnsi="Arial"/>
          <w:sz w:val="18"/>
          <w:szCs w:val="18"/>
          <w:color w:val="auto"/>
        </w:rPr>
        <w:t xml:space="preserve">. The Company in issuing the Notes may use one or more “CUSIP” numbers (if then generally in use), and, if so, the Trustee shall use “CUSIP” numbers in notices of purchase as a convenience to 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Company will promptly notify the Trustee of any change in the “CUSIP” numbers.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i w:val="1"/>
          <w:iCs w:val="1"/>
          <w:color w:val="auto"/>
        </w:rPr>
        <w:t>Book-Entry Provisions for Global Notes</w:t>
      </w:r>
      <w:r>
        <w:rPr>
          <w:rFonts w:ascii="Arial" w:cs="Arial" w:eastAsia="Arial" w:hAnsi="Arial"/>
          <w:sz w:val="17"/>
          <w:szCs w:val="17"/>
          <w:color w:val="auto"/>
        </w:rPr>
        <w:t>. (a) Transfers of Global Notes shall be limited to transfers in whole, but not in part, to the Depositary, its successors or their respective nominees. In addition, Certificated Notes shall be transferred to all beneficial owners, as identified by the Depositary, in exchange for their beneficial interests in Global Notes only if (i) the Depositary notifies the Company that the Depositary is unwilling or unable to continue as depositary for any Global Note (or the Depositary ceases to be a “clearing agency” registered under Section 17A of the Exchange Act) and a successor Depositary is not appointed by the Company within 90 days of such notice or cessation or (ii) an Event of Default has occurred and is continuing and the Registrar has received a written request from the Depositary to issue Certificated Notes.</w:t>
      </w:r>
    </w:p>
    <w:p>
      <w:pPr>
        <w:spacing w:after="0" w:line="178" w:lineRule="exact"/>
        <w:rPr>
          <w:sz w:val="20"/>
          <w:szCs w:val="20"/>
          <w:color w:val="auto"/>
        </w:rPr>
      </w:pPr>
    </w:p>
    <w:p>
      <w:pPr>
        <w:ind w:right="80" w:firstLine="1305"/>
        <w:spacing w:after="0" w:line="259" w:lineRule="auto"/>
        <w:tabs>
          <w:tab w:leader="none" w:pos="164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In connection with the transfer of a Global Note in its entirety to beneficial owners pursuant to Section 2.13(a), such Global Note shall be deemed to be surrendered to the Trustee for cancellation, and the Company shall execute, and the Trustee shall upon written instructions from the Company authenticate and deliver, to each beneficial owner identified by the Depositary in exchange for its beneficial interest in such Global Note, an equal aggregate principal amount of Certificated Notes of authorized denominations.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40" w:firstLine="1305"/>
        <w:spacing w:after="0" w:line="277" w:lineRule="auto"/>
        <w:tabs>
          <w:tab w:leader="none" w:pos="163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Holder of any Global Note may grant proxies and otherwise authorize any Person to take any action that a Holder is entitled to take under this Indenture or the Notes.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REPURCHASES</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i w:val="1"/>
          <w:iCs w:val="1"/>
          <w:color w:val="auto"/>
        </w:rPr>
        <w:t>Repurchase at the Option of the Holders Upon Change in Control or Termination of Trading</w:t>
      </w:r>
      <w:r>
        <w:rPr>
          <w:rFonts w:ascii="Arial" w:cs="Arial" w:eastAsia="Arial" w:hAnsi="Arial"/>
          <w:sz w:val="17"/>
          <w:szCs w:val="17"/>
          <w:color w:val="auto"/>
        </w:rPr>
        <w:t>. (a) Upon the occurrence of a Change in Control or a Termination of Trading, each Holder shall have the right, at such Holder’s option, subject to the terms and conditions of Article 3 of this Indenture, to require the Company to repurchase for Cash all or any portion of such Holder’s Notes in integral multiples of $1,000 principal amount at a price (the “</w:t>
      </w:r>
      <w:r>
        <w:rPr>
          <w:rFonts w:ascii="Arial" w:cs="Arial" w:eastAsia="Arial" w:hAnsi="Arial"/>
          <w:sz w:val="17"/>
          <w:szCs w:val="17"/>
          <w:b w:val="1"/>
          <w:bCs w:val="1"/>
          <w:color w:val="auto"/>
        </w:rPr>
        <w:t>Repurchase Price</w:t>
      </w:r>
      <w:r>
        <w:rPr>
          <w:rFonts w:ascii="Arial" w:cs="Arial" w:eastAsia="Arial" w:hAnsi="Arial"/>
          <w:sz w:val="17"/>
          <w:szCs w:val="17"/>
          <w:color w:val="auto"/>
        </w:rPr>
        <w:t xml:space="preserve">”) equal to 100% of the principal amount of the Notes to be repurchased, plus accrued and unpaid interest (including Additional Interest), if any, to, but excluding, the Repurchase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Repurchase Date is after a Regular Record Date and on or prior to the Interest Payment Date to which it relates, the interest accrued to the Interest Payment Date will be paid to Holders of the Notes as of the preceding Regular Record Date, and the Repurchase Price shall be equal to the principal amount of Notes subject to repurchase. Upon a valid exercise of such an option, the Company will be required to repurchase the Notes on a date selected by the Company (the “</w:t>
      </w:r>
      <w:r>
        <w:rPr>
          <w:rFonts w:ascii="Arial" w:cs="Arial" w:eastAsia="Arial" w:hAnsi="Arial"/>
          <w:sz w:val="17"/>
          <w:szCs w:val="17"/>
          <w:b w:val="1"/>
          <w:bCs w:val="1"/>
          <w:color w:val="auto"/>
        </w:rPr>
        <w:t>Repurchase Date</w:t>
      </w:r>
      <w:r>
        <w:rPr>
          <w:rFonts w:ascii="Arial" w:cs="Arial" w:eastAsia="Arial" w:hAnsi="Arial"/>
          <w:sz w:val="17"/>
          <w:szCs w:val="17"/>
          <w:color w:val="auto"/>
        </w:rPr>
        <w:t>”), which shall be no earlier than 20 days or later than 35 days after the date on which the Company sends the notice contemplated by Section 3.01(b), subject to satisfaction by or on behalf of the Holder of the requirements set forth in Section 3.01(c).</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Change in Control</w:t>
      </w:r>
      <w:r>
        <w:rPr>
          <w:rFonts w:ascii="Arial" w:cs="Arial" w:eastAsia="Arial" w:hAnsi="Arial"/>
          <w:sz w:val="18"/>
          <w:szCs w:val="18"/>
          <w:color w:val="auto"/>
        </w:rPr>
        <w:t>” shall be deemed to have occurred at such time as any of the following events shall occur:</w:t>
      </w:r>
    </w:p>
    <w:p>
      <w:pPr>
        <w:spacing w:after="0" w:line="229" w:lineRule="exact"/>
        <w:rPr>
          <w:sz w:val="20"/>
          <w:szCs w:val="20"/>
          <w:color w:val="auto"/>
        </w:rPr>
      </w:pPr>
    </w:p>
    <w:p>
      <w:pPr>
        <w:ind w:right="40" w:firstLine="2277"/>
        <w:spacing w:after="0" w:line="255" w:lineRule="auto"/>
        <w:tabs>
          <w:tab w:leader="none" w:pos="261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person or group, other than the Company, its Subsidiaries or any employee benefit plan of the Company or its Subsidiaries, files a Schedule 13D or Schedule TO (or any successor schedule, form or report) pursuant to the Exchange Act disclosing that such person has become the direct or indirect beneficial owner of shares with a majority of the total voting power of all of the Company’s outstanding Voting Securities, unless such beneficial ownership (a) arises solely as a result of a revocable proxy delivered in response to a proxy or consent solicitation made pursuant to the applicable rules and regulations under the Exchange Act, and (b) is not also then reportable on Schedule 13D (or any successor schedule) under the Exchange Act;</w:t>
      </w:r>
    </w:p>
    <w:p>
      <w:pPr>
        <w:spacing w:after="0" w:line="193" w:lineRule="exact"/>
        <w:rPr>
          <w:rFonts w:ascii="Arial" w:cs="Arial" w:eastAsia="Arial" w:hAnsi="Arial"/>
          <w:sz w:val="18"/>
          <w:szCs w:val="18"/>
          <w:color w:val="auto"/>
        </w:rPr>
      </w:pPr>
    </w:p>
    <w:p>
      <w:pPr>
        <w:ind w:right="160" w:firstLine="2277"/>
        <w:spacing w:after="0" w:line="257" w:lineRule="auto"/>
        <w:tabs>
          <w:tab w:leader="none" w:pos="2624"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consolidates with or merges with or into another person (other than a Subsidiary of the Company) and the outstanding Voting Securities of the Company are reclassified into, converted for or converted into the right to receive any other property or security, or the Company sells, conveys, transfers or leases all or substantially all of its properties and assets to any Person (other than a Subsidiary of the Company); provided that none of these circumstances will be a Change in Control if persons that beneficially own the Voting Securities of the Company immediately prior to the transaction own, directly or indirectly, a majority of the Voting Securities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surviving or transferee person immediately after the transaction in substantially the same proportion as their ownership of the Company’s Voting Securities immediately prior to the transaction; or</w:t>
      </w:r>
    </w:p>
    <w:p>
      <w:pPr>
        <w:sectPr>
          <w:pgSz w:w="11900" w:h="16838" w:orient="portrait"/>
          <w:cols w:equalWidth="0" w:num="1">
            <w:col w:w="11420"/>
          </w:cols>
          <w:pgMar w:left="240" w:top="341" w:right="239" w:bottom="0" w:gutter="0" w:footer="0" w:header="0"/>
        </w:sectPr>
      </w:pPr>
    </w:p>
    <w:bookmarkStart w:id="116" w:name="page117"/>
    <w:bookmarkEnd w:id="116"/>
    <w:p>
      <w:pPr>
        <w:ind w:left="2280" w:right="820" w:hanging="3"/>
        <w:spacing w:after="0" w:line="498" w:lineRule="auto"/>
        <w:tabs>
          <w:tab w:leader="none" w:pos="26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holders of Common Stock approve any plan or proposal for the liquidation or dissolution of the Company. For purposes of defining a Change in Control:</w:t>
      </w:r>
    </w:p>
    <w:p>
      <w:pPr>
        <w:spacing w:after="0" w:line="1" w:lineRule="exact"/>
        <w:rPr>
          <w:rFonts w:ascii="Arial" w:cs="Arial" w:eastAsia="Arial" w:hAnsi="Arial"/>
          <w:sz w:val="18"/>
          <w:szCs w:val="18"/>
          <w:color w:val="auto"/>
        </w:rPr>
      </w:pPr>
    </w:p>
    <w:p>
      <w:pPr>
        <w:ind w:left="3300" w:hanging="699"/>
        <w:spacing w:after="0"/>
        <w:tabs>
          <w:tab w:leader="none" w:pos="330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person</w:t>
      </w:r>
      <w:r>
        <w:rPr>
          <w:rFonts w:ascii="Arial" w:cs="Arial" w:eastAsia="Arial" w:hAnsi="Arial"/>
          <w:sz w:val="16"/>
          <w:szCs w:val="16"/>
          <w:color w:val="auto"/>
        </w:rPr>
        <w:t>” and the term “</w:t>
      </w:r>
      <w:r>
        <w:rPr>
          <w:rFonts w:ascii="Arial" w:cs="Arial" w:eastAsia="Arial" w:hAnsi="Arial"/>
          <w:sz w:val="16"/>
          <w:szCs w:val="16"/>
          <w:b w:val="1"/>
          <w:bCs w:val="1"/>
          <w:color w:val="auto"/>
        </w:rPr>
        <w:t>group</w:t>
      </w:r>
      <w:r>
        <w:rPr>
          <w:rFonts w:ascii="Arial" w:cs="Arial" w:eastAsia="Arial" w:hAnsi="Arial"/>
          <w:sz w:val="16"/>
          <w:szCs w:val="16"/>
          <w:color w:val="auto"/>
        </w:rPr>
        <w:t>” have the meanings given by Section 13(d) and 14(d) of the Exchange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Act or any successor provisions;</w:t>
      </w:r>
    </w:p>
    <w:p>
      <w:pPr>
        <w:spacing w:after="0" w:line="206" w:lineRule="exact"/>
        <w:rPr>
          <w:rFonts w:ascii="Arial" w:cs="Arial" w:eastAsia="Arial" w:hAnsi="Arial"/>
          <w:sz w:val="16"/>
          <w:szCs w:val="16"/>
          <w:color w:val="auto"/>
        </w:rPr>
      </w:pPr>
    </w:p>
    <w:p>
      <w:pPr>
        <w:ind w:right="340" w:firstLine="2601"/>
        <w:spacing w:after="0" w:line="282" w:lineRule="auto"/>
        <w:tabs>
          <w:tab w:leader="none" w:pos="33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group</w:t>
      </w:r>
      <w:r>
        <w:rPr>
          <w:rFonts w:ascii="Arial" w:cs="Arial" w:eastAsia="Arial" w:hAnsi="Arial"/>
          <w:sz w:val="18"/>
          <w:szCs w:val="18"/>
          <w:color w:val="auto"/>
        </w:rPr>
        <w:t>” includes any group acting for the purpose of acquiring, holding or disposing of securities within the meaning of Rule 13d-5(b)(1) under the Exchange Act or any successor provision; and</w:t>
      </w:r>
    </w:p>
    <w:p>
      <w:pPr>
        <w:spacing w:after="0" w:line="161" w:lineRule="exact"/>
        <w:rPr>
          <w:rFonts w:ascii="Arial" w:cs="Arial" w:eastAsia="Arial" w:hAnsi="Arial"/>
          <w:sz w:val="18"/>
          <w:szCs w:val="18"/>
          <w:color w:val="auto"/>
        </w:rPr>
      </w:pPr>
    </w:p>
    <w:p>
      <w:pPr>
        <w:jc w:val="both"/>
        <w:ind w:right="80" w:firstLine="2601"/>
        <w:spacing w:after="0" w:line="266" w:lineRule="auto"/>
        <w:tabs>
          <w:tab w:leader="none" w:pos="332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beneficial owner</w:t>
      </w:r>
      <w:r>
        <w:rPr>
          <w:rFonts w:ascii="Arial" w:cs="Arial" w:eastAsia="Arial" w:hAnsi="Arial"/>
          <w:sz w:val="18"/>
          <w:szCs w:val="18"/>
          <w:color w:val="auto"/>
        </w:rPr>
        <w:t>” is determined in accordance with Rules 13d-3 and 13d-5 under the Exchange Act or any successor provisions, except that a person will be deemed to have beneficial ownership of all shares that person has the right to acquire irrespective of whether that right is exercisable immediately or only after the passage of time.</w:t>
      </w:r>
    </w:p>
    <w:p>
      <w:pPr>
        <w:spacing w:after="0" w:line="18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Notwithstanding the foregoing, it will not constitute a Change in Control if at least 90% of the consideration for Common Stock (excluding Cash payments for fractional shares and Cash payments made in respect of dissenter’s appraisal rights) in the transaction or transactions constituting the Change in Control consists of common stock traded on a United States national securities exchange, or which will be so traded when issued or exchanged in connection with the Change in Control, and as a result of such transaction or transactions the Notes become convertible solely into the consideration that holders of Common Stock receive in such transaction, other than any Cash in lieu of fractional shares.</w:t>
      </w:r>
    </w:p>
    <w:p>
      <w:pPr>
        <w:spacing w:after="0" w:line="173" w:lineRule="exact"/>
        <w:rPr>
          <w:sz w:val="20"/>
          <w:szCs w:val="20"/>
          <w:color w:val="auto"/>
        </w:rPr>
      </w:pPr>
    </w:p>
    <w:p>
      <w:pPr>
        <w:ind w:right="100" w:firstLine="1305"/>
        <w:spacing w:after="0" w:line="259" w:lineRule="auto"/>
        <w:tabs>
          <w:tab w:leader="none" w:pos="164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On or before the 15th day after the occurrence of a Change in Control or Termination of Trading, the Company will deliver a written notice of Change in Control or Termination of Trading by first-class mail to the Trustee and to each Holder at their addresses shown in the register of the Registrar (and to beneficial owners as required by applicable law). The notice shall include a form of Repurchase Notice to be completed by the Noteholder and shall state:</w:t>
      </w:r>
    </w:p>
    <w:p>
      <w:pPr>
        <w:spacing w:after="0" w:line="186" w:lineRule="exact"/>
        <w:rPr>
          <w:rFonts w:ascii="Arial" w:cs="Arial" w:eastAsia="Arial" w:hAnsi="Arial"/>
          <w:sz w:val="18"/>
          <w:szCs w:val="18"/>
          <w:color w:val="auto"/>
        </w:rPr>
      </w:pPr>
    </w:p>
    <w:p>
      <w:pPr>
        <w:ind w:left="2980" w:hanging="703"/>
        <w:spacing w:after="0"/>
        <w:tabs>
          <w:tab w:leader="none" w:pos="2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events causing a Change in Control or Termination of Trading, as applicable;</w:t>
      </w:r>
    </w:p>
    <w:p>
      <w:pPr>
        <w:spacing w:after="0" w:line="225" w:lineRule="exact"/>
        <w:rPr>
          <w:rFonts w:ascii="Arial" w:cs="Arial" w:eastAsia="Arial" w:hAnsi="Arial"/>
          <w:sz w:val="18"/>
          <w:szCs w:val="18"/>
          <w:color w:val="auto"/>
        </w:rPr>
      </w:pPr>
    </w:p>
    <w:p>
      <w:pPr>
        <w:ind w:left="3000" w:hanging="723"/>
        <w:spacing w:after="0"/>
        <w:tabs>
          <w:tab w:leader="none" w:pos="3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date of such Change in Control or Termination of Trading, as applicable;</w:t>
      </w:r>
    </w:p>
    <w:p>
      <w:pPr>
        <w:spacing w:after="0" w:line="225" w:lineRule="exact"/>
        <w:rPr>
          <w:rFonts w:ascii="Arial" w:cs="Arial" w:eastAsia="Arial" w:hAnsi="Arial"/>
          <w:sz w:val="18"/>
          <w:szCs w:val="18"/>
          <w:color w:val="auto"/>
        </w:rPr>
      </w:pPr>
    </w:p>
    <w:p>
      <w:pPr>
        <w:ind w:left="3000" w:hanging="723"/>
        <w:spacing w:after="0"/>
        <w:tabs>
          <w:tab w:leader="none" w:pos="300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last date on which the repurchase right may be exercised;</w:t>
      </w:r>
    </w:p>
    <w:p>
      <w:pPr>
        <w:spacing w:after="0" w:line="225" w:lineRule="exact"/>
        <w:rPr>
          <w:rFonts w:ascii="Arial" w:cs="Arial" w:eastAsia="Arial" w:hAnsi="Arial"/>
          <w:sz w:val="18"/>
          <w:szCs w:val="18"/>
          <w:color w:val="auto"/>
        </w:rPr>
      </w:pPr>
    </w:p>
    <w:p>
      <w:pPr>
        <w:ind w:left="2980" w:hanging="703"/>
        <w:spacing w:after="0"/>
        <w:tabs>
          <w:tab w:leader="none" w:pos="298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the Repurchase Price;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980" w:hanging="703"/>
        <w:spacing w:after="0"/>
        <w:tabs>
          <w:tab w:leader="none" w:pos="2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Repurchase Date;</w:t>
      </w:r>
    </w:p>
    <w:p>
      <w:pPr>
        <w:spacing w:after="0" w:line="225" w:lineRule="exact"/>
        <w:rPr>
          <w:rFonts w:ascii="Arial" w:cs="Arial" w:eastAsia="Arial" w:hAnsi="Arial"/>
          <w:sz w:val="18"/>
          <w:szCs w:val="18"/>
          <w:color w:val="auto"/>
        </w:rPr>
      </w:pPr>
    </w:p>
    <w:p>
      <w:pPr>
        <w:ind w:left="2980" w:hanging="703"/>
        <w:spacing w:after="0"/>
        <w:tabs>
          <w:tab w:leader="none" w:pos="29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name and address of the Paying Agent and the Conversion Agent;</w:t>
      </w:r>
    </w:p>
    <w:p>
      <w:pPr>
        <w:spacing w:after="0" w:line="225" w:lineRule="exact"/>
        <w:rPr>
          <w:rFonts w:ascii="Arial" w:cs="Arial" w:eastAsia="Arial" w:hAnsi="Arial"/>
          <w:sz w:val="18"/>
          <w:szCs w:val="18"/>
          <w:color w:val="auto"/>
        </w:rPr>
      </w:pPr>
    </w:p>
    <w:p>
      <w:pPr>
        <w:ind w:left="3000" w:hanging="723"/>
        <w:spacing w:after="0"/>
        <w:tabs>
          <w:tab w:leader="none" w:pos="30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then current Applicable Conversion Rate and any adjustments thereto;</w:t>
      </w:r>
    </w:p>
    <w:p>
      <w:pPr>
        <w:spacing w:after="0" w:line="225" w:lineRule="exact"/>
        <w:rPr>
          <w:rFonts w:ascii="Arial" w:cs="Arial" w:eastAsia="Arial" w:hAnsi="Arial"/>
          <w:sz w:val="18"/>
          <w:szCs w:val="18"/>
          <w:color w:val="auto"/>
        </w:rPr>
      </w:pPr>
    </w:p>
    <w:p>
      <w:pPr>
        <w:ind w:right="700" w:firstLine="2277"/>
        <w:spacing w:after="0" w:line="277" w:lineRule="auto"/>
        <w:tabs>
          <w:tab w:leader="none" w:pos="2989"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that Notes with respect to which a Repurchase Notice is given by the Holder may be converted pursuant to Article 10 hereof only if the Repurchase Notice has been withdrawn in accordance with the terms of this Indenture; and</w:t>
      </w:r>
    </w:p>
    <w:p>
      <w:pPr>
        <w:spacing w:after="0" w:line="170" w:lineRule="exact"/>
        <w:rPr>
          <w:rFonts w:ascii="Arial" w:cs="Arial" w:eastAsia="Arial" w:hAnsi="Arial"/>
          <w:sz w:val="18"/>
          <w:szCs w:val="18"/>
          <w:color w:val="auto"/>
        </w:rPr>
      </w:pPr>
    </w:p>
    <w:p>
      <w:pPr>
        <w:ind w:left="3040" w:hanging="763"/>
        <w:spacing w:after="0"/>
        <w:tabs>
          <w:tab w:leader="none" w:pos="304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the procedures a Holder must follow to exercise rights under this Section 3.01.</w:t>
      </w:r>
    </w:p>
    <w:p>
      <w:pPr>
        <w:spacing w:after="0" w:line="221" w:lineRule="exact"/>
        <w:rPr>
          <w:rFonts w:ascii="Arial" w:cs="Arial" w:eastAsia="Arial" w:hAnsi="Arial"/>
          <w:sz w:val="18"/>
          <w:szCs w:val="18"/>
          <w:color w:val="auto"/>
        </w:rPr>
      </w:pPr>
    </w:p>
    <w:p>
      <w:pPr>
        <w:ind w:firstLine="1305"/>
        <w:spacing w:after="0" w:line="313" w:lineRule="auto"/>
        <w:tabs>
          <w:tab w:leader="none" w:pos="1631"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Holder may exercise its rights specified in Section 3.01 by delivery of a written notice (a “</w:t>
      </w:r>
      <w:r>
        <w:rPr>
          <w:rFonts w:ascii="Arial" w:cs="Arial" w:eastAsia="Arial" w:hAnsi="Arial"/>
          <w:sz w:val="17"/>
          <w:szCs w:val="17"/>
          <w:b w:val="1"/>
          <w:bCs w:val="1"/>
          <w:color w:val="auto"/>
        </w:rPr>
        <w:t>Repurchase Notice</w:t>
      </w:r>
      <w:r>
        <w:rPr>
          <w:rFonts w:ascii="Arial" w:cs="Arial" w:eastAsia="Arial" w:hAnsi="Arial"/>
          <w:sz w:val="17"/>
          <w:szCs w:val="17"/>
          <w:color w:val="auto"/>
        </w:rPr>
        <w:t>”) to the Paying Agent at any time prior to the Close of Business on the Business Day immediately preceding the Repurchase Date. The Repurchase Notice shall state:</w:t>
      </w:r>
    </w:p>
    <w:p>
      <w:pPr>
        <w:spacing w:after="0" w:line="142" w:lineRule="exact"/>
        <w:rPr>
          <w:rFonts w:ascii="Arial" w:cs="Arial" w:eastAsia="Arial" w:hAnsi="Arial"/>
          <w:sz w:val="17"/>
          <w:szCs w:val="17"/>
          <w:color w:val="auto"/>
        </w:rPr>
      </w:pPr>
    </w:p>
    <w:p>
      <w:pPr>
        <w:ind w:right="460" w:firstLine="2277"/>
        <w:spacing w:after="0" w:line="277" w:lineRule="auto"/>
        <w:tabs>
          <w:tab w:leader="none" w:pos="2979" w:val="left"/>
        </w:tabs>
        <w:numPr>
          <w:ilvl w:val="1"/>
          <w:numId w:val="139"/>
        </w:numPr>
        <w:rPr>
          <w:rFonts w:ascii="Arial" w:cs="Arial" w:eastAsia="Arial" w:hAnsi="Arial"/>
          <w:sz w:val="18"/>
          <w:szCs w:val="18"/>
          <w:color w:val="auto"/>
        </w:rPr>
      </w:pPr>
      <w:r>
        <w:rPr>
          <w:rFonts w:ascii="Arial" w:cs="Arial" w:eastAsia="Arial" w:hAnsi="Arial"/>
          <w:sz w:val="18"/>
          <w:szCs w:val="18"/>
          <w:color w:val="auto"/>
        </w:rPr>
        <w:t>if Certificated Notes have been issued, the certificate number of the Notes (or if the Holder’s Notes are Global Notes, such Holder’s notice must comply with the Applicable Procedures);</w:t>
      </w:r>
    </w:p>
    <w:p>
      <w:pPr>
        <w:spacing w:after="0" w:line="170" w:lineRule="exact"/>
        <w:rPr>
          <w:rFonts w:ascii="Arial" w:cs="Arial" w:eastAsia="Arial" w:hAnsi="Arial"/>
          <w:sz w:val="18"/>
          <w:szCs w:val="18"/>
          <w:color w:val="auto"/>
        </w:rPr>
      </w:pPr>
    </w:p>
    <w:p>
      <w:pPr>
        <w:ind w:left="3000" w:hanging="723"/>
        <w:spacing w:after="0"/>
        <w:tabs>
          <w:tab w:leader="none" w:pos="300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the portion of the principal amount of Notes to be repurchased, which portion must be $1,000 or an integral multiple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$1,000; and</w:t>
      </w:r>
    </w:p>
    <w:p>
      <w:pPr>
        <w:spacing w:after="0" w:line="210" w:lineRule="exact"/>
        <w:rPr>
          <w:rFonts w:ascii="Arial" w:cs="Arial" w:eastAsia="Arial" w:hAnsi="Arial"/>
          <w:sz w:val="16"/>
          <w:szCs w:val="16"/>
          <w:color w:val="auto"/>
        </w:rPr>
      </w:pPr>
    </w:p>
    <w:p>
      <w:pPr>
        <w:ind w:left="3000" w:hanging="723"/>
        <w:spacing w:after="0"/>
        <w:tabs>
          <w:tab w:leader="none" w:pos="3000" w:val="left"/>
        </w:tabs>
        <w:numPr>
          <w:ilvl w:val="1"/>
          <w:numId w:val="139"/>
        </w:numPr>
        <w:rPr>
          <w:rFonts w:ascii="Arial" w:cs="Arial" w:eastAsia="Arial" w:hAnsi="Arial"/>
          <w:sz w:val="17"/>
          <w:szCs w:val="17"/>
          <w:color w:val="auto"/>
        </w:rPr>
      </w:pPr>
      <w:r>
        <w:rPr>
          <w:rFonts w:ascii="Arial" w:cs="Arial" w:eastAsia="Arial" w:hAnsi="Arial"/>
          <w:sz w:val="17"/>
          <w:szCs w:val="17"/>
          <w:color w:val="auto"/>
        </w:rPr>
        <w:t>that such Notes shall be repurchased by the Company pursuant to the terms and conditions specified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Article 3.</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 xml:space="preserve">The delivery of such Note to the Paying Agent prior to, on or after the Repurchase Date (together with all necessary endorsements and compliance by the Holder with the Applicable Procedures) at the offices of the Paying Agent shall be a condition to the receipt by the Holder of the Repurchase Price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Repurchase Price shall be so paid pursuant to this Section 3.01 only if the Note so delivered to the Paying Agent shall conform in all respects to the description thereof set forth in the related Repurchase Notice.</w:t>
      </w:r>
    </w:p>
    <w:p>
      <w:pPr>
        <w:spacing w:after="0" w:line="18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Company shall repurchase from the Holder thereof, pursuant to this Section 3.01, a portion of a Note if the principal amount of such portion is $1,000 or an integral multiple of $1,000. Provisions of this Indenture that apply to the repurchase of all of a Note also apply to the repurchase of such portion of such Note.</w:t>
      </w:r>
    </w:p>
    <w:p>
      <w:pPr>
        <w:spacing w:after="0" w:line="181"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Any repurchase by the Company contemplated pursuant to the provisions of this Section 3.01 shall be consummated by the delivery of the consideration to be received by the Holder (together with accrued and unpaid interest (including any Additional Interest) to but not including the Repurchase Date) on or prior to the later of the Repurchase Date and the time of delivery of the Note to the Paying Agent in accordance with this Section 3.01.</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0" w:gutter="0" w:footer="0" w:header="0"/>
        </w:sectPr>
      </w:pPr>
    </w:p>
    <w:bookmarkStart w:id="117" w:name="page118"/>
    <w:bookmarkEnd w:id="117"/>
    <w:p>
      <w:pPr>
        <w:ind w:right="680" w:firstLine="648"/>
        <w:spacing w:after="0" w:line="312" w:lineRule="auto"/>
        <w:rPr>
          <w:sz w:val="20"/>
          <w:szCs w:val="20"/>
          <w:color w:val="auto"/>
        </w:rPr>
      </w:pPr>
      <w:r>
        <w:rPr>
          <w:rFonts w:ascii="Arial" w:cs="Arial" w:eastAsia="Arial" w:hAnsi="Arial"/>
          <w:sz w:val="16"/>
          <w:szCs w:val="16"/>
          <w:color w:val="auto"/>
        </w:rPr>
        <w:t>Notwithstanding anything herein to the contrary, any Holder delivering to the Paying Agent the Repurchase Notice contemplated by this Section 3.01(c) shall have the right to withdraw such Repurchase Notice at any time prior to the Close of Business on the Business Day immediately preceding the Repurchase Date by delivery of a written notice of withdrawal to the Paying Agent in accordance with Section 3.02(b).</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Paying Agent shall promptly notify the Company of the receipt by it of any Repurchase Notice or written withdrawal thereof.</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No Notes may be repurchased by the Company at the option of Holders upon a Change in Control or a Termination of Trading if the principal amount of the Notes has been accelerated (other than as a result of a default in the payment of the Repurchase Price with respect to the Notes), and such acceleration has not been rescinded, on or prior to the date on which such repurchase is to be consummated. The Paying Agent will promptly return to the respective Holders thereof any Notes (x) with respect to which a Repurchase Notice has been withdrawn in compliance with this Indenture, or (y) held by it during the continuance of acceleration described in the immediately preceding sentence in which case, upon such return, the Repurchase Notice with respect thereto shall be deemed to have been withdrawn.</w:t>
      </w:r>
    </w:p>
    <w:p>
      <w:pPr>
        <w:spacing w:after="0" w:line="193"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i w:val="1"/>
          <w:iCs w:val="1"/>
          <w:color w:val="auto"/>
        </w:rPr>
        <w:t>Effect of Repurchase Notice</w:t>
      </w:r>
      <w:r>
        <w:rPr>
          <w:rFonts w:ascii="Arial" w:cs="Arial" w:eastAsia="Arial" w:hAnsi="Arial"/>
          <w:sz w:val="16"/>
          <w:szCs w:val="16"/>
          <w:color w:val="auto"/>
        </w:rPr>
        <w:t>. (a) Upon receipt by the Paying Agent of the Repurchase Notice specified in Section 3.01(c), the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Holder of the Note in respect of which such Repurchase Notice was given shall (unless such Repurchase Notice is withdrawn as specified in this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3.02) thereafter be entitled to receive solely the Repurchase Price and any accrued and unpaid interest (including any Additional Interest) to but not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including the Repurchase Date, with respect to such Note. Such Repurchase Price shall be paid to such Holder, subject to receipt of funds by the Paying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Agent, on or prior to the later of (x) the Repurchase Date, with respect to such Note (provided the conditions in Section 3.01(c) have been satisfied) and</w:t>
      </w:r>
    </w:p>
    <w:p>
      <w:pPr>
        <w:spacing w:after="0" w:line="21" w:lineRule="exact"/>
        <w:rPr>
          <w:sz w:val="20"/>
          <w:szCs w:val="20"/>
          <w:color w:val="auto"/>
        </w:rPr>
      </w:pPr>
    </w:p>
    <w:p>
      <w:pPr>
        <w:jc w:val="both"/>
        <w:ind w:right="540" w:firstLine="8"/>
        <w:spacing w:after="0" w:line="277" w:lineRule="auto"/>
        <w:tabs>
          <w:tab w:leader="none" w:pos="2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the time of delivery of such Note to the Paying Agent by the Holder thereof in the manner required by Section 3.01(c). Notes in respect of which a Repurchase Notice has been given by the Holder thereof may not be converted pursuant to Article 10 hereof on or after the date of the delivery of such Repurchase Notice unless such Repurchase Notice has first been validly withdrawn as specified in this Section 3.02.</w:t>
      </w:r>
    </w:p>
    <w:p>
      <w:pPr>
        <w:spacing w:after="0" w:line="173" w:lineRule="exact"/>
        <w:rPr>
          <w:rFonts w:ascii="Arial" w:cs="Arial" w:eastAsia="Arial" w:hAnsi="Arial"/>
          <w:sz w:val="17"/>
          <w:szCs w:val="17"/>
          <w:color w:val="auto"/>
        </w:rPr>
      </w:pPr>
    </w:p>
    <w:p>
      <w:pPr>
        <w:ind w:right="100" w:firstLine="1305"/>
        <w:spacing w:after="0" w:line="308" w:lineRule="auto"/>
        <w:tabs>
          <w:tab w:leader="none" w:pos="1641"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 Repurchase Notice may be withdrawn by means of a written notice of withdrawal delivered to the office of the Paying Agent at any time prior to the Close of Business on the Business Day immediately preceding the Repurchase Date. Such notice of withdrawal shall state:</w:t>
      </w:r>
    </w:p>
    <w:p>
      <w:pPr>
        <w:spacing w:after="0" w:line="146" w:lineRule="exact"/>
        <w:rPr>
          <w:rFonts w:ascii="Arial" w:cs="Arial" w:eastAsia="Arial" w:hAnsi="Arial"/>
          <w:sz w:val="17"/>
          <w:szCs w:val="17"/>
          <w:color w:val="auto"/>
        </w:rPr>
      </w:pPr>
    </w:p>
    <w:p>
      <w:pPr>
        <w:ind w:left="2980" w:hanging="703"/>
        <w:spacing w:after="0"/>
        <w:tabs>
          <w:tab w:leader="none" w:pos="2980" w:val="left"/>
        </w:tabs>
        <w:numPr>
          <w:ilvl w:val="2"/>
          <w:numId w:val="140"/>
        </w:numPr>
        <w:rPr>
          <w:rFonts w:ascii="Arial" w:cs="Arial" w:eastAsia="Arial" w:hAnsi="Arial"/>
          <w:sz w:val="18"/>
          <w:szCs w:val="18"/>
          <w:color w:val="auto"/>
        </w:rPr>
      </w:pPr>
      <w:r>
        <w:rPr>
          <w:rFonts w:ascii="Arial" w:cs="Arial" w:eastAsia="Arial" w:hAnsi="Arial"/>
          <w:sz w:val="18"/>
          <w:szCs w:val="18"/>
          <w:color w:val="auto"/>
        </w:rPr>
        <w:t>the principal amount being withdrawn;</w:t>
      </w:r>
    </w:p>
    <w:p>
      <w:pPr>
        <w:spacing w:after="0" w:line="225" w:lineRule="exact"/>
        <w:rPr>
          <w:rFonts w:ascii="Arial" w:cs="Arial" w:eastAsia="Arial" w:hAnsi="Arial"/>
          <w:sz w:val="18"/>
          <w:szCs w:val="18"/>
          <w:color w:val="auto"/>
        </w:rPr>
      </w:pPr>
    </w:p>
    <w:p>
      <w:pPr>
        <w:ind w:right="80" w:firstLine="2277"/>
        <w:spacing w:after="0" w:line="277" w:lineRule="auto"/>
        <w:tabs>
          <w:tab w:leader="none" w:pos="2984" w:val="left"/>
        </w:tabs>
        <w:numPr>
          <w:ilvl w:val="2"/>
          <w:numId w:val="140"/>
        </w:numPr>
        <w:rPr>
          <w:rFonts w:ascii="Arial" w:cs="Arial" w:eastAsia="Arial" w:hAnsi="Arial"/>
          <w:sz w:val="18"/>
          <w:szCs w:val="18"/>
          <w:color w:val="auto"/>
        </w:rPr>
      </w:pPr>
      <w:r>
        <w:rPr>
          <w:rFonts w:ascii="Arial" w:cs="Arial" w:eastAsia="Arial" w:hAnsi="Arial"/>
          <w:sz w:val="18"/>
          <w:szCs w:val="18"/>
          <w:color w:val="auto"/>
        </w:rPr>
        <w:t>if Certificated Notes are to be withdrawn, the certificate numbers of the Notes being withdrawn (or, if Global Notes or a portion thereof are to be withdrawn, such Holder’s notice must comply with the Applicable Procedures);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000" w:hanging="723"/>
        <w:spacing w:after="0"/>
        <w:tabs>
          <w:tab w:leader="none" w:pos="30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principal amount, if any, of the Notes that remain subject to a Repurchase Notice.</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i w:val="1"/>
          <w:iCs w:val="1"/>
          <w:color w:val="auto"/>
        </w:rPr>
        <w:t>Deposit of Repurchase Price</w:t>
      </w:r>
      <w:r>
        <w:rPr>
          <w:rFonts w:ascii="Arial" w:cs="Arial" w:eastAsia="Arial" w:hAnsi="Arial"/>
          <w:sz w:val="16"/>
          <w:szCs w:val="16"/>
          <w:color w:val="auto"/>
        </w:rPr>
        <w:t>. Prior to 12:00 p.m. (New York City time) on or prior to the Repurchase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Repurchase Price of all the Notes or portions thereof which are to be repurchased as of the Repurchase Date.</w:t>
      </w:r>
    </w:p>
    <w:p>
      <w:pPr>
        <w:spacing w:after="0" w:line="154"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If the Paying Agent holds money sufficient to pay the Repurchase Price with respect to the Notes to be repurchased on the Repurchase Date in accordance with the terms of this Indenture, then, immediately on and after the Repurchase Date, interest (including any Additional Interest) on such Notes shall cease to accrue, whether or not the Notes are delivered to the Paying Agent, and all other rights of the Holders of such Notes shall terminate, other than the right to receive the Repurchase Price upon delivery of such Notes.</w:t>
      </w:r>
    </w:p>
    <w:p>
      <w:pPr>
        <w:spacing w:after="0" w:line="187"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Notes Repurchased in Part</w:t>
      </w:r>
      <w:r>
        <w:rPr>
          <w:rFonts w:ascii="Arial" w:cs="Arial" w:eastAsia="Arial" w:hAnsi="Arial"/>
          <w:sz w:val="16"/>
          <w:szCs w:val="16"/>
          <w:color w:val="auto"/>
        </w:rPr>
        <w:t>. Any Note which is to be repurchased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repurchased.</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i w:val="1"/>
          <w:iCs w:val="1"/>
          <w:color w:val="auto"/>
        </w:rPr>
        <w:t>Covenant to Comply with Securities Laws upon Repurchase of Notes</w:t>
      </w:r>
      <w:r>
        <w:rPr>
          <w:rFonts w:ascii="Arial" w:cs="Arial" w:eastAsia="Arial" w:hAnsi="Arial"/>
          <w:sz w:val="18"/>
          <w:szCs w:val="18"/>
          <w:color w:val="auto"/>
        </w:rPr>
        <w:t>. In connection with any repurchase upon the occurrence of a Change in Control, to the extent required by applicable law, the Company shall:</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  comply with the provisions of Rule 13e-4, Rule 14e-1 and any other tender offer rules under the Exchange Act that may then be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applicable; and</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otherwise comply with all federal and state securities laws as necessary to effect a repurchase of Notes by the Company at the option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 xml:space="preserve">Section 4.01. </w:t>
      </w:r>
      <w:r>
        <w:rPr>
          <w:rFonts w:ascii="Arial" w:cs="Arial" w:eastAsia="Arial" w:hAnsi="Arial"/>
          <w:sz w:val="16"/>
          <w:szCs w:val="16"/>
          <w:i w:val="1"/>
          <w:iCs w:val="1"/>
          <w:color w:val="auto"/>
        </w:rPr>
        <w:t>Payment of Notes</w:t>
      </w:r>
      <w:r>
        <w:rPr>
          <w:rFonts w:ascii="Arial" w:cs="Arial" w:eastAsia="Arial" w:hAnsi="Arial"/>
          <w:sz w:val="16"/>
          <w:szCs w:val="16"/>
          <w:color w:val="auto"/>
        </w:rPr>
        <w:t xml:space="preserve">. (a) The Company agrees to pay the principal of and interest (including any Additional Interest) on the Notes on the dates and in the manner provided in the Notes and this Indenture. Not later than 12:00 p.m. New York City time, on the due date of any principal of or interest (including any Additional Interest) on any Notes, or any Repurchase Date or Redemption Date, as the case may be, the Company will deposit with the Trustee (or Paying Agent) money in immediately available funds sufficient to pay the amounts then due;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or any Affiliate of the</w:t>
      </w:r>
    </w:p>
    <w:p>
      <w:pPr>
        <w:sectPr>
          <w:pgSz w:w="11900" w:h="16838" w:orient="portrait"/>
          <w:cols w:equalWidth="0" w:num="1">
            <w:col w:w="11400"/>
          </w:cols>
          <w:pgMar w:left="240" w:top="584" w:right="259" w:bottom="0" w:gutter="0" w:footer="0" w:header="0"/>
        </w:sectPr>
      </w:pPr>
    </w:p>
    <w:bookmarkStart w:id="118" w:name="page119"/>
    <w:bookmarkEnd w:id="118"/>
    <w:p>
      <w:pPr>
        <w:spacing w:after="0" w:line="9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Company is acting as Paying Agent, it will, on or before each due date, segregate and hold in a separate trust fund for the benefit of the Holders a sum of money sufficient to pay such amounts until paid to such Holders or otherwise disposed of as provided in this Indenture. In each case the Company will promptly notify the Trustee of its compliance with this paragraph.</w:t>
      </w:r>
    </w:p>
    <w:p>
      <w:pPr>
        <w:spacing w:after="0" w:line="181" w:lineRule="exact"/>
        <w:rPr>
          <w:sz w:val="20"/>
          <w:szCs w:val="20"/>
          <w:color w:val="auto"/>
        </w:rPr>
      </w:pPr>
    </w:p>
    <w:p>
      <w:pPr>
        <w:ind w:right="100" w:firstLine="1305"/>
        <w:spacing w:after="0" w:line="259" w:lineRule="auto"/>
        <w:tabs>
          <w:tab w:leader="none" w:pos="164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An installment of principal or interest (including any Additional Interest) will be considered paid on the date due if the Trustee (or Paying Agent, other than the Company or any Affiliate of the Company) holds on that date money designated for and sufficient to pay the installment. If the Company or any Affiliate of the Company acts as Paying Agent, an installment of principal or interest (including any Additional Interest) will be considered paid on the due date only if paid to the Holders.</w:t>
      </w:r>
    </w:p>
    <w:p>
      <w:pPr>
        <w:spacing w:after="0" w:line="186" w:lineRule="exact"/>
        <w:rPr>
          <w:rFonts w:ascii="Arial" w:cs="Arial" w:eastAsia="Arial" w:hAnsi="Arial"/>
          <w:sz w:val="18"/>
          <w:szCs w:val="18"/>
          <w:color w:val="auto"/>
        </w:rPr>
      </w:pPr>
    </w:p>
    <w:p>
      <w:pPr>
        <w:ind w:right="420" w:firstLine="1305"/>
        <w:spacing w:after="0" w:line="277" w:lineRule="auto"/>
        <w:tabs>
          <w:tab w:leader="none" w:pos="163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agrees to pay interest on overdue principal, and, to the extent lawful, overdue installments of interest at the rate per annum specified in the Notes.</w:t>
      </w:r>
    </w:p>
    <w:p>
      <w:pPr>
        <w:spacing w:after="0" w:line="170" w:lineRule="exact"/>
        <w:rPr>
          <w:rFonts w:ascii="Arial" w:cs="Arial" w:eastAsia="Arial" w:hAnsi="Arial"/>
          <w:sz w:val="18"/>
          <w:szCs w:val="18"/>
          <w:color w:val="auto"/>
        </w:rPr>
      </w:pPr>
    </w:p>
    <w:p>
      <w:pPr>
        <w:jc w:val="both"/>
        <w:ind w:right="80" w:firstLine="1305"/>
        <w:spacing w:after="0" w:line="297" w:lineRule="auto"/>
        <w:tabs>
          <w:tab w:leader="none" w:pos="164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Payments in respect of the Notes represented by the Global Notes are to be made by wire transfer of same-day funds to the Depositary for the purpose of permitting such party to credit the payments received by it in respect of such Global Note to the accounts of the beneficial owners thereof. With respect to Certificated Notes, the Company will make all payments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i w:val="1"/>
          <w:iCs w:val="1"/>
          <w:color w:val="auto"/>
        </w:rPr>
        <w:t>Maintenance of Office or Agency</w:t>
      </w:r>
      <w:r>
        <w:rPr>
          <w:rFonts w:ascii="Arial" w:cs="Arial" w:eastAsia="Arial" w:hAnsi="Arial"/>
          <w:sz w:val="18"/>
          <w:szCs w:val="18"/>
          <w:color w:val="auto"/>
        </w:rPr>
        <w:t>. The Company will maintain in the United States, an office or agency where Notes may be surrendered for registration of transfer or exchange or for presentation for payment and where notices and demands to or upon the Company in respect of the Notes and this Indenture may be served. The Company hereby initially designates the Corporate Trust Office of the Trustee as such office of the Company. The Company will give prompt written notice to the Trustee of the location, and any change in the location, of such office or agency. If at any time the Company fails to maintain any such required office or agency or fails to furnish the Trustee with the address thereof, such presentations, surrenders, notices and demands may be made or served to the Trustee.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Company may also from time to time designate one or more other offices or agencies where the Notes may be surrendered or presented for any of such purposes and may from time to time rescind such designations. The Company will give prompt written notice to the Trustee of any such designation or rescission and of any change in the location of any such other office or agency.</w:t>
      </w:r>
    </w:p>
    <w:p>
      <w:pPr>
        <w:spacing w:after="0" w:line="181"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i w:val="1"/>
          <w:iCs w:val="1"/>
          <w:color w:val="auto"/>
        </w:rPr>
        <w:t>Existence</w:t>
      </w:r>
      <w:r>
        <w:rPr>
          <w:rFonts w:ascii="Arial" w:cs="Arial" w:eastAsia="Arial" w:hAnsi="Arial"/>
          <w:sz w:val="18"/>
          <w:szCs w:val="18"/>
          <w:color w:val="auto"/>
        </w:rPr>
        <w:t xml:space="preserve">. The Company will do or cause to be done all things necessary to preserve and keep in full force and effect its existence and the existence, rights and franchises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not required to preserve any such right or franchise if the preservation thereof is no longer desirable in the conduct of the business of the Company;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this Section does not prohibit any transaction otherwise permitted by Section 5.01.</w:t>
      </w:r>
    </w:p>
    <w:p>
      <w:pPr>
        <w:spacing w:after="0" w:line="187" w:lineRule="exact"/>
        <w:rPr>
          <w:sz w:val="20"/>
          <w:szCs w:val="20"/>
          <w:color w:val="auto"/>
        </w:rPr>
      </w:pPr>
    </w:p>
    <w:p>
      <w:pPr>
        <w:ind w:right="80" w:firstLine="648"/>
        <w:spacing w:after="0" w:line="288" w:lineRule="auto"/>
        <w:rPr>
          <w:sz w:val="20"/>
          <w:szCs w:val="20"/>
          <w:color w:val="auto"/>
        </w:rPr>
      </w:pPr>
      <w:r>
        <w:rPr>
          <w:rFonts w:ascii="Arial" w:cs="Arial" w:eastAsia="Arial" w:hAnsi="Arial"/>
          <w:sz w:val="16"/>
          <w:szCs w:val="16"/>
          <w:color w:val="auto"/>
        </w:rPr>
        <w:t xml:space="preserve">Section 4.04. </w:t>
      </w:r>
      <w:r>
        <w:rPr>
          <w:rFonts w:ascii="Arial" w:cs="Arial" w:eastAsia="Arial" w:hAnsi="Arial"/>
          <w:sz w:val="16"/>
          <w:szCs w:val="16"/>
          <w:i w:val="1"/>
          <w:iCs w:val="1"/>
          <w:color w:val="auto"/>
        </w:rPr>
        <w:t>Reports</w:t>
      </w:r>
      <w:r>
        <w:rPr>
          <w:rFonts w:ascii="Arial" w:cs="Arial" w:eastAsia="Arial" w:hAnsi="Arial"/>
          <w:sz w:val="16"/>
          <w:szCs w:val="16"/>
          <w:color w:val="auto"/>
        </w:rPr>
        <w:t>. The Company shall deliver to the Trustee, within 15 days after the Company is required to file the same with the Commission, copies of the Company’s annual reports and of the information, documents and other reports (or copies of such portions of any of the foregoing as the Commission may by rules and regulations prescribe) that the Company is required to file with the Commission pursuant to Section 13 or</w:t>
      </w:r>
    </w:p>
    <w:p>
      <w:pPr>
        <w:ind w:right="460"/>
        <w:spacing w:after="0" w:line="261" w:lineRule="auto"/>
        <w:rPr>
          <w:sz w:val="20"/>
          <w:szCs w:val="20"/>
          <w:color w:val="auto"/>
        </w:rPr>
      </w:pPr>
      <w:r>
        <w:rPr>
          <w:rFonts w:ascii="Arial" w:cs="Arial" w:eastAsia="Arial" w:hAnsi="Arial"/>
          <w:sz w:val="18"/>
          <w:szCs w:val="18"/>
          <w:color w:val="auto"/>
        </w:rPr>
        <w:t>Section 15(d) of the Exchange Act; provided that any such information, documents or reports filed with the Commission pursuant to its Electronic Data Gathering, Analysis and Retrieval (or EDGAR) system shall be deemed to be filed with the Trustee.</w:t>
      </w:r>
    </w:p>
    <w:p>
      <w:pPr>
        <w:spacing w:after="0" w:line="18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Company’s compliance with any of its covenants hereunder (as to which the Trustee is entitled to rely exclusively on Officers’ Certificates).</w:t>
      </w:r>
    </w:p>
    <w:p>
      <w:pPr>
        <w:spacing w:after="0" w:line="18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4.05.</w:t>
      </w:r>
      <w:r>
        <w:rPr>
          <w:sz w:val="20"/>
          <w:szCs w:val="20"/>
          <w:color w:val="auto"/>
        </w:rPr>
        <w:tab/>
      </w:r>
      <w:r>
        <w:rPr>
          <w:rFonts w:ascii="Arial" w:cs="Arial" w:eastAsia="Arial" w:hAnsi="Arial"/>
          <w:sz w:val="16"/>
          <w:szCs w:val="16"/>
          <w:i w:val="1"/>
          <w:iCs w:val="1"/>
          <w:color w:val="auto"/>
        </w:rPr>
        <w:t>Reports to Trustee</w:t>
      </w:r>
      <w:r>
        <w:rPr>
          <w:rFonts w:ascii="Arial" w:cs="Arial" w:eastAsia="Arial" w:hAnsi="Arial"/>
          <w:sz w:val="16"/>
          <w:szCs w:val="16"/>
          <w:color w:val="auto"/>
        </w:rPr>
        <w:t>. The Company will deliver to the Trustee:</w:t>
      </w:r>
    </w:p>
    <w:p>
      <w:pPr>
        <w:spacing w:after="0" w:line="225" w:lineRule="exact"/>
        <w:rPr>
          <w:sz w:val="20"/>
          <w:szCs w:val="20"/>
          <w:color w:val="auto"/>
        </w:rPr>
      </w:pPr>
    </w:p>
    <w:p>
      <w:pPr>
        <w:ind w:right="160" w:firstLine="656"/>
        <w:spacing w:after="0" w:line="286" w:lineRule="auto"/>
        <w:tabs>
          <w:tab w:leader="none" w:pos="1343" w:val="left"/>
        </w:tabs>
        <w:numPr>
          <w:ilvl w:val="0"/>
          <w:numId w:val="143"/>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a certificate from the principal executive, financial or accounting officer of the Company stating that the officer has conducted or supervised a review of the activities of the Company and its performance under this Indenture and that, based upon such review, no Default exists hereunder or, if there has been a Default, specifying the Default and its nature and status.</w:t>
      </w:r>
    </w:p>
    <w:p>
      <w:pPr>
        <w:spacing w:after="0" w:line="165" w:lineRule="exact"/>
        <w:rPr>
          <w:rFonts w:ascii="Arial" w:cs="Arial" w:eastAsia="Arial" w:hAnsi="Arial"/>
          <w:sz w:val="17"/>
          <w:szCs w:val="17"/>
          <w:color w:val="auto"/>
        </w:rPr>
      </w:pPr>
    </w:p>
    <w:p>
      <w:pPr>
        <w:ind w:right="40" w:firstLine="656"/>
        <w:spacing w:after="0" w:line="342" w:lineRule="auto"/>
        <w:tabs>
          <w:tab w:leader="none" w:pos="1713" w:val="left"/>
        </w:tabs>
        <w:numPr>
          <w:ilvl w:val="0"/>
          <w:numId w:val="143"/>
        </w:numPr>
        <w:rPr>
          <w:rFonts w:ascii="Arial" w:cs="Arial" w:eastAsia="Arial" w:hAnsi="Arial"/>
          <w:sz w:val="16"/>
          <w:szCs w:val="16"/>
          <w:color w:val="auto"/>
        </w:rPr>
      </w:pPr>
      <w:r>
        <w:rPr>
          <w:rFonts w:ascii="Arial" w:cs="Arial" w:eastAsia="Arial" w:hAnsi="Arial"/>
          <w:sz w:val="16"/>
          <w:szCs w:val="16"/>
          <w:color w:val="auto"/>
        </w:rPr>
        <w:t>promptly and in any event within 30 days after the Company becomes aware or should reasonably become aware of the occurrence of a Default, an Officers’ Certificate setting forth the details of the Default, and the action which the Company proposes to take with respect thereto.</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i w:val="1"/>
          <w:iCs w:val="1"/>
          <w:color w:val="auto"/>
        </w:rPr>
        <w:t>Stay, Extension and Usury Laws</w:t>
      </w:r>
      <w:r>
        <w:rPr>
          <w:rFonts w:ascii="Arial" w:cs="Arial" w:eastAsia="Arial" w:hAnsi="Arial"/>
          <w:sz w:val="17"/>
          <w:szCs w:val="17"/>
          <w:color w:val="auto"/>
        </w:rPr>
        <w:t>. 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and the Company (in each case, to the extent that it may lawfully do so) hereby covenants that it will not, by resort to any such law to the extent it would hinder, delay or impede the execution of any power herein granted to the Trustee, but will suffer and permit the execution of every such power as though no such law had been enacted.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CONSOLIDATION, MERGER, SALE OR LEASE OF ASSETS</w:t>
      </w:r>
    </w:p>
    <w:p>
      <w:pPr>
        <w:spacing w:after="0" w:line="22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6"/>
          <w:szCs w:val="16"/>
          <w:i w:val="1"/>
          <w:iCs w:val="1"/>
          <w:color w:val="auto"/>
        </w:rPr>
        <w:t>Consolidation, Merger, Sale or Lease of Assets by the Company</w:t>
      </w:r>
      <w:r>
        <w:rPr>
          <w:rFonts w:ascii="Arial" w:cs="Arial" w:eastAsia="Arial" w:hAnsi="Arial"/>
          <w:sz w:val="16"/>
          <w:szCs w:val="16"/>
          <w:color w:val="auto"/>
        </w:rPr>
        <w:t>. (a) The Company may consolidate with or merge into 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Person or convey, transfer or lease its properties and assets substantially as an entirety to another Person (other than a Subsidiary of the Company) only if:</w:t>
      </w:r>
    </w:p>
    <w:p>
      <w:pPr>
        <w:spacing w:after="0" w:line="234" w:lineRule="exact"/>
        <w:rPr>
          <w:sz w:val="20"/>
          <w:szCs w:val="20"/>
          <w:color w:val="auto"/>
        </w:rPr>
      </w:pPr>
    </w:p>
    <w:p>
      <w:pPr>
        <w:ind w:right="380" w:firstLine="2277"/>
        <w:spacing w:after="0" w:line="277" w:lineRule="auto"/>
        <w:tabs>
          <w:tab w:leader="none" w:pos="297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resulting, surviving or transferee Person (if other than the Company) is a corporation organized and existing under the laws of the United States of America, any State thereof or the District of Columbia;</w:t>
      </w:r>
    </w:p>
    <w:p>
      <w:pPr>
        <w:sectPr>
          <w:pgSz w:w="11900" w:h="16929" w:orient="portrait"/>
          <w:cols w:equalWidth="0" w:num="1">
            <w:col w:w="11400"/>
          </w:cols>
          <w:pgMar w:left="240" w:top="125" w:right="259" w:bottom="0" w:gutter="0" w:footer="0" w:header="0"/>
        </w:sectPr>
      </w:pPr>
    </w:p>
    <w:bookmarkStart w:id="119" w:name="page120"/>
    <w:bookmarkEnd w:id="119"/>
    <w:p>
      <w:pPr>
        <w:spacing w:after="0" w:line="47" w:lineRule="exact"/>
        <w:rPr>
          <w:sz w:val="20"/>
          <w:szCs w:val="20"/>
          <w:color w:val="auto"/>
        </w:rPr>
      </w:pPr>
    </w:p>
    <w:p>
      <w:pPr>
        <w:ind w:left="3000" w:hanging="723"/>
        <w:spacing w:after="0"/>
        <w:tabs>
          <w:tab w:leader="none" w:pos="300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such corporation (if other than the Company) assumes all of the obligations of the Company under the Notes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Indenture;</w:t>
      </w:r>
    </w:p>
    <w:p>
      <w:pPr>
        <w:spacing w:after="0" w:line="211" w:lineRule="exact"/>
        <w:rPr>
          <w:sz w:val="20"/>
          <w:szCs w:val="20"/>
          <w:color w:val="auto"/>
        </w:rPr>
      </w:pPr>
    </w:p>
    <w:p>
      <w:pPr>
        <w:ind w:left="3000" w:hanging="723"/>
        <w:spacing w:after="0"/>
        <w:tabs>
          <w:tab w:leader="none" w:pos="300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Event of Default and no Default has occurred and 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continuing; and</w:t>
      </w:r>
    </w:p>
    <w:p>
      <w:pPr>
        <w:spacing w:after="0" w:line="211" w:lineRule="exact"/>
        <w:rPr>
          <w:sz w:val="20"/>
          <w:szCs w:val="20"/>
          <w:color w:val="auto"/>
        </w:rPr>
      </w:pPr>
    </w:p>
    <w:p>
      <w:pPr>
        <w:ind w:right="480" w:firstLine="2277"/>
        <w:spacing w:after="0" w:line="277" w:lineRule="auto"/>
        <w:tabs>
          <w:tab w:leader="none" w:pos="2979"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Company delivers to the Trustee an Officers’ Certificate and an Opinion of Counsel, each stating that such consolidation, merger, conveyance, transfer or lease and the supplemental indenture (if any) comply with this Indenture.</w:t>
      </w:r>
    </w:p>
    <w:p>
      <w:pPr>
        <w:spacing w:after="0" w:line="170" w:lineRule="exact"/>
        <w:rPr>
          <w:rFonts w:ascii="Arial" w:cs="Arial" w:eastAsia="Arial" w:hAnsi="Arial"/>
          <w:sz w:val="18"/>
          <w:szCs w:val="18"/>
          <w:color w:val="auto"/>
        </w:rPr>
      </w:pPr>
    </w:p>
    <w:p>
      <w:pPr>
        <w:ind w:right="60" w:firstLine="1305"/>
        <w:spacing w:after="0" w:line="257" w:lineRule="auto"/>
        <w:tabs>
          <w:tab w:leader="none" w:pos="1641"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Upon the consummation of any transaction effected in accordance with these provisions, if the Company is not the resulting, surviving or transferee Person, the resulting, surviving or transferee Person shall succeed to, and be substituted for, and may exercise every right and power of, the Company under this Indenture and the Notes with the same effect as if such successor Person had been named as the Company in this Indenture. Upon such substitution, except in the case of a lease, unless the successor is one or more of the Company’s Subsidiaries, the Company will be released from its obligations under the Notes and this Indenture.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DEFAULT AND REMEDIES</w:t>
      </w:r>
    </w:p>
    <w:p>
      <w:pPr>
        <w:spacing w:after="0" w:line="22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i w:val="1"/>
          <w:iCs w:val="1"/>
          <w:color w:val="auto"/>
        </w:rPr>
        <w:t>Events of Default</w:t>
      </w:r>
      <w:r>
        <w:rPr>
          <w:rFonts w:ascii="Arial" w:cs="Arial" w:eastAsia="Arial" w:hAnsi="Arial"/>
          <w:sz w:val="16"/>
          <w:szCs w:val="16"/>
          <w:color w:val="auto"/>
        </w:rPr>
        <w:t>. An “</w:t>
      </w:r>
      <w:r>
        <w:rPr>
          <w:rFonts w:ascii="Arial" w:cs="Arial" w:eastAsia="Arial" w:hAnsi="Arial"/>
          <w:sz w:val="16"/>
          <w:szCs w:val="16"/>
          <w:b w:val="1"/>
          <w:bCs w:val="1"/>
          <w:color w:val="auto"/>
        </w:rPr>
        <w:t>Event of Default</w:t>
      </w:r>
      <w:r>
        <w:rPr>
          <w:rFonts w:ascii="Arial" w:cs="Arial" w:eastAsia="Arial" w:hAnsi="Arial"/>
          <w:sz w:val="16"/>
          <w:szCs w:val="16"/>
          <w:color w:val="auto"/>
        </w:rPr>
        <w:t>” occurs with respect to the Notes if:</w:t>
      </w:r>
    </w:p>
    <w:p>
      <w:pPr>
        <w:spacing w:after="0" w:line="229" w:lineRule="exact"/>
        <w:rPr>
          <w:sz w:val="20"/>
          <w:szCs w:val="20"/>
          <w:color w:val="auto"/>
        </w:rPr>
      </w:pPr>
    </w:p>
    <w:p>
      <w:pPr>
        <w:ind w:right="220" w:firstLine="1305"/>
        <w:spacing w:after="0" w:line="277" w:lineRule="auto"/>
        <w:tabs>
          <w:tab w:leader="none" w:pos="16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defaults in payment of the principal or any Repurchase Price or Redemption Price with respect to any Note, when such becomes due and payable;</w:t>
      </w:r>
    </w:p>
    <w:p>
      <w:pPr>
        <w:spacing w:after="0" w:line="170" w:lineRule="exact"/>
        <w:rPr>
          <w:rFonts w:ascii="Arial" w:cs="Arial" w:eastAsia="Arial" w:hAnsi="Arial"/>
          <w:sz w:val="18"/>
          <w:szCs w:val="18"/>
          <w:color w:val="auto"/>
        </w:rPr>
      </w:pPr>
    </w:p>
    <w:p>
      <w:pPr>
        <w:ind w:right="80" w:firstLine="1305"/>
        <w:spacing w:after="0" w:line="277" w:lineRule="auto"/>
        <w:tabs>
          <w:tab w:leader="none" w:pos="162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defaults in payment of any interest (including any Additional Interest) due on any Note when the same becomes due and payable, and such default continues for a period of 30 days;</w:t>
      </w:r>
    </w:p>
    <w:p>
      <w:pPr>
        <w:spacing w:after="0" w:line="170" w:lineRule="exact"/>
        <w:rPr>
          <w:rFonts w:ascii="Arial" w:cs="Arial" w:eastAsia="Arial" w:hAnsi="Arial"/>
          <w:sz w:val="18"/>
          <w:szCs w:val="18"/>
          <w:color w:val="auto"/>
        </w:rPr>
      </w:pPr>
    </w:p>
    <w:p>
      <w:pPr>
        <w:ind w:right="320" w:firstLine="1305"/>
        <w:spacing w:after="0" w:line="264" w:lineRule="auto"/>
        <w:tabs>
          <w:tab w:leader="none" w:pos="16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fails to issue any notice of a Termination of Trading, a Change in Control as required under Section 3.01(b) of this Indenture or a Make-Whole Change in Control that does not constitute a Change in Control as required under Section 10.13(a) of this Indenture, and such default continues for a period of three Business Days;</w:t>
      </w:r>
    </w:p>
    <w:p>
      <w:pPr>
        <w:spacing w:after="0" w:line="181" w:lineRule="exact"/>
        <w:rPr>
          <w:rFonts w:ascii="Arial" w:cs="Arial" w:eastAsia="Arial" w:hAnsi="Arial"/>
          <w:sz w:val="18"/>
          <w:szCs w:val="18"/>
          <w:color w:val="auto"/>
        </w:rPr>
      </w:pPr>
    </w:p>
    <w:p>
      <w:pPr>
        <w:ind w:right="140" w:firstLine="1305"/>
        <w:spacing w:after="0" w:line="277" w:lineRule="auto"/>
        <w:tabs>
          <w:tab w:leader="none" w:pos="162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fails to comply with its obligation to convert the Notes into Common Stock upon exercise of a Holder’s right to convert its Notes pursuant to Article 10;</w:t>
      </w:r>
    </w:p>
    <w:p>
      <w:pPr>
        <w:spacing w:after="0" w:line="170" w:lineRule="exact"/>
        <w:rPr>
          <w:rFonts w:ascii="Arial" w:cs="Arial" w:eastAsia="Arial" w:hAnsi="Arial"/>
          <w:sz w:val="18"/>
          <w:szCs w:val="18"/>
          <w:color w:val="auto"/>
        </w:rPr>
      </w:pPr>
    </w:p>
    <w:p>
      <w:pPr>
        <w:ind w:right="140" w:firstLine="1305"/>
        <w:spacing w:after="0" w:line="264" w:lineRule="auto"/>
        <w:tabs>
          <w:tab w:leader="none" w:pos="1611"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the Company fails to comply with any of its other covenants or agreements in the Notes or this Indenture and fails to cure (or obtain a waiver of) such default, within 60 days after the Company receives a notice of such default by the Trustee or by Holders of not less than 25% in aggregate principal amount of the Notes then outstanding;</w:t>
      </w:r>
    </w:p>
    <w:p>
      <w:pPr>
        <w:spacing w:after="0" w:line="181" w:lineRule="exact"/>
        <w:rPr>
          <w:rFonts w:ascii="Arial" w:cs="Arial" w:eastAsia="Arial" w:hAnsi="Arial"/>
          <w:sz w:val="18"/>
          <w:szCs w:val="18"/>
          <w:color w:val="auto"/>
        </w:rPr>
      </w:pPr>
    </w:p>
    <w:p>
      <w:pPr>
        <w:ind w:firstLine="1305"/>
        <w:spacing w:after="0" w:line="293" w:lineRule="auto"/>
        <w:tabs>
          <w:tab w:leader="none" w:pos="1629" w:val="left"/>
        </w:tabs>
        <w:numPr>
          <w:ilvl w:val="1"/>
          <w:numId w:val="149"/>
        </w:numPr>
        <w:rPr>
          <w:rFonts w:ascii="Arial" w:cs="Arial" w:eastAsia="Arial" w:hAnsi="Arial"/>
          <w:sz w:val="16"/>
          <w:szCs w:val="16"/>
          <w:color w:val="auto"/>
        </w:rPr>
      </w:pPr>
      <w:r>
        <w:rPr>
          <w:rFonts w:ascii="Arial" w:cs="Arial" w:eastAsia="Arial" w:hAnsi="Arial"/>
          <w:sz w:val="16"/>
          <w:szCs w:val="16"/>
          <w:color w:val="auto"/>
        </w:rPr>
        <w:t xml:space="preserve">(1) the Company fails to make any payment at maturity (after giving effect to any applicable grace period) of any Debt of the Company in a principal amount in excess of $100,000,000 and continuance of such failure, or (2) the acceleration of Debt of the Company in an amount in excess of $100,000,000 because of a default with respect to such Debt without such Debt having been discharged or such acceleration having been cured, waived, rescinded or annulled within a period of 30 days after written notice to the Company by the Trustee or to the Company and the Trustee by the Holders of not less than 25% in aggregate principal amount of the Notes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such failure or acceleration referred to in (1) or (2) above shall cease or be cured, waived, rescinded or annulled, then the resulting Event of Default shall be deemed not to have occurred;</w:t>
      </w:r>
    </w:p>
    <w:p>
      <w:pPr>
        <w:spacing w:after="0" w:line="164" w:lineRule="exact"/>
        <w:rPr>
          <w:rFonts w:ascii="Arial" w:cs="Arial" w:eastAsia="Arial" w:hAnsi="Arial"/>
          <w:sz w:val="16"/>
          <w:szCs w:val="16"/>
          <w:color w:val="auto"/>
        </w:rPr>
      </w:pPr>
    </w:p>
    <w:p>
      <w:pPr>
        <w:ind w:left="1620" w:hanging="315"/>
        <w:spacing w:after="0"/>
        <w:tabs>
          <w:tab w:leader="none" w:pos="1620"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Company, pursuant to or under or within the meaning of any Bankruptcy Law, (i) commences a voluntary case or proceeding;</w:t>
      </w:r>
    </w:p>
    <w:p>
      <w:pPr>
        <w:spacing w:after="0" w:line="34" w:lineRule="exact"/>
        <w:rPr>
          <w:rFonts w:ascii="Arial" w:cs="Arial" w:eastAsia="Arial" w:hAnsi="Arial"/>
          <w:sz w:val="17"/>
          <w:szCs w:val="17"/>
          <w:color w:val="auto"/>
        </w:rPr>
      </w:pPr>
    </w:p>
    <w:p>
      <w:pPr>
        <w:ind w:right="80" w:firstLine="8"/>
        <w:spacing w:after="0" w:line="295" w:lineRule="auto"/>
        <w:tabs>
          <w:tab w:leader="none" w:pos="265" w:val="left"/>
        </w:tabs>
        <w:numPr>
          <w:ilvl w:val="0"/>
          <w:numId w:val="150"/>
        </w:numPr>
        <w:rPr>
          <w:rFonts w:ascii="Arial" w:cs="Arial" w:eastAsia="Arial" w:hAnsi="Arial"/>
          <w:sz w:val="16"/>
          <w:szCs w:val="16"/>
          <w:color w:val="auto"/>
        </w:rPr>
      </w:pPr>
      <w:r>
        <w:rPr>
          <w:rFonts w:ascii="Arial" w:cs="Arial" w:eastAsia="Arial" w:hAnsi="Arial"/>
          <w:sz w:val="16"/>
          <w:szCs w:val="16"/>
          <w:color w:val="auto"/>
        </w:rPr>
        <w:t>consents to the entry of an order for relief against it in an involuntary case or proceeding or the commencement of any case against it; (iii) consents to the appointment of any receiver, trustee, assignee, liquidator, custodian or similar official of it or for any substantial part of its property; (iv) makes a general assignment for the benefit of its creditors; (v) files a petition in bankruptcy or answer or consent seeking reorganization or relief; or (vi) consents to the filing of such petition or the appointment of or taking possession by any receiver, trustee, assignee, liquidator, custodian or similar official; or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1305"/>
        <w:spacing w:after="0" w:line="279" w:lineRule="auto"/>
        <w:tabs>
          <w:tab w:leader="none" w:pos="1621"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or decree under any Bankruptcy Law that (i) is for relief against the Company in an involuntary case or proceeding, or adjudicates the Company insolvent or bankrupt; (ii) appoints any receiver, trustee, assignee, liquidator, custodian or similar official of the Company or for any substantial part of its property; or (iii) orders the winding up or liquidation of the Company, and the order or decree remains unstayed and in effect for 30 days (an event of default specified in clause (g) or (h) a “</w:t>
      </w:r>
      <w:r>
        <w:rPr>
          <w:rFonts w:ascii="Arial" w:cs="Arial" w:eastAsia="Arial" w:hAnsi="Arial"/>
          <w:sz w:val="17"/>
          <w:szCs w:val="17"/>
          <w:b w:val="1"/>
          <w:bCs w:val="1"/>
          <w:color w:val="auto"/>
        </w:rPr>
        <w:t>Bankruptcy Default</w:t>
      </w:r>
      <w:r>
        <w:rPr>
          <w:rFonts w:ascii="Arial" w:cs="Arial" w:eastAsia="Arial" w:hAnsi="Arial"/>
          <w:sz w:val="17"/>
          <w:szCs w:val="17"/>
          <w:color w:val="auto"/>
        </w:rPr>
        <w:t>”).</w:t>
      </w:r>
    </w:p>
    <w:p>
      <w:pPr>
        <w:spacing w:after="0" w:line="171"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 xml:space="preserve">Section 6.02. </w:t>
      </w:r>
      <w:r>
        <w:rPr>
          <w:rFonts w:ascii="Arial" w:cs="Arial" w:eastAsia="Arial" w:hAnsi="Arial"/>
          <w:sz w:val="17"/>
          <w:szCs w:val="17"/>
          <w:i w:val="1"/>
          <w:iCs w:val="1"/>
          <w:color w:val="auto"/>
        </w:rPr>
        <w:t>Acceleration</w:t>
      </w:r>
      <w:r>
        <w:rPr>
          <w:rFonts w:ascii="Arial" w:cs="Arial" w:eastAsia="Arial" w:hAnsi="Arial"/>
          <w:sz w:val="17"/>
          <w:szCs w:val="17"/>
          <w:color w:val="auto"/>
        </w:rPr>
        <w:t>. If an Event of Default, other than a Bankruptcy Default and subject to Section 6.15 of this Indenture, occurs and is continuing under this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and unpaid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interest (including any Additional Interest) on the Notes then outstanding will become immediately due and payable automatically without any declaration or other act on the part of the Trustee or any Holder.</w:t>
      </w:r>
    </w:p>
    <w:p>
      <w:pPr>
        <w:spacing w:after="0" w:line="17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 xml:space="preserve">Section 6.03. </w:t>
      </w:r>
      <w:r>
        <w:rPr>
          <w:rFonts w:ascii="Arial" w:cs="Arial" w:eastAsia="Arial" w:hAnsi="Arial"/>
          <w:sz w:val="18"/>
          <w:szCs w:val="18"/>
          <w:i w:val="1"/>
          <w:iCs w:val="1"/>
          <w:color w:val="auto"/>
        </w:rPr>
        <w:t>Other Remedies</w:t>
      </w:r>
      <w:r>
        <w:rPr>
          <w:rFonts w:ascii="Arial" w:cs="Arial" w:eastAsia="Arial" w:hAnsi="Arial"/>
          <w:sz w:val="18"/>
          <w:szCs w:val="18"/>
          <w:color w:val="auto"/>
        </w:rPr>
        <w:t>. If an Event of Default occurs and is continuing, the Trustee may pursue, in its own name or as trustee of an express trust, any available remedy by proceeding at law or in equity to collect the payment of principal of and interest (including any Additional Interest) on the Notes or to enforce the performance of any provision of the Notes or this Indenture. The Trustee may maintain a proceeding even if it does not possess any of the Notes or does not produce any of them in the proceeding.</w:t>
      </w:r>
    </w:p>
    <w:p>
      <w:pPr>
        <w:sectPr>
          <w:pgSz w:w="11900" w:h="16885" w:orient="portrait"/>
          <w:cols w:equalWidth="0" w:num="1">
            <w:col w:w="11400"/>
          </w:cols>
          <w:pgMar w:left="240" w:top="341" w:right="259" w:bottom="0" w:gutter="0" w:footer="0" w:header="0"/>
        </w:sectPr>
      </w:pPr>
    </w:p>
    <w:bookmarkStart w:id="120" w:name="page121"/>
    <w:bookmarkEnd w:id="120"/>
    <w:p>
      <w:pPr>
        <w:spacing w:after="0" w:line="36"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Section 6.04. </w:t>
      </w:r>
      <w:r>
        <w:rPr>
          <w:rFonts w:ascii="Arial" w:cs="Arial" w:eastAsia="Arial" w:hAnsi="Arial"/>
          <w:sz w:val="18"/>
          <w:szCs w:val="18"/>
          <w:i w:val="1"/>
          <w:iCs w:val="1"/>
          <w:color w:val="auto"/>
        </w:rPr>
        <w:t>Waiver of Past Defaults</w:t>
      </w:r>
      <w:r>
        <w:rPr>
          <w:rFonts w:ascii="Arial" w:cs="Arial" w:eastAsia="Arial" w:hAnsi="Arial"/>
          <w:sz w:val="18"/>
          <w:szCs w:val="18"/>
          <w:color w:val="auto"/>
        </w:rPr>
        <w:t>. Except as otherwise provided in Section 6.07 and Section 9.02(b), Holders of a majority in principal amount of the outstanding Notes by written notice to the Company and to the Trustee may waive any existing or future Default or Event of Default and its consequences and rescind and annul a declaration of acceleration with respect to such Default or Event of Default and its consequences (other than an uncured default (a) in the payment of the principal amount with respect to any Note, accrued and unpaid interest (including any Additional Interest) with respect to any Note or the Repurchase Price or Redemption Price with respect to any Note, (b) in the delivery of the Common Stock due upon conversion or the redemption of the Notes or (c) in respect of any provision that under this Indenture cannot be modified or amended without the consent of the Holder of each outstanding Note affected) if: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80" w:firstLine="1953"/>
        <w:spacing w:after="0" w:line="277" w:lineRule="auto"/>
        <w:tabs>
          <w:tab w:leader="none" w:pos="2574"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all existing Events of Default, other than the nonpayment of the principal of and interest (including any Additional Interest) on the Notes that have become due solely by the declaration of acceleration, have been cured or waived, and</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rescission would not conflict with any judgment or decree of a court of competent jurisdiction.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Upon such waiver, the Default will cease to exist, and any Event of Default arising therefrom will be deemed to have been cured, but no such waiver will extend to any subsequent or other Default or impair any right consequent thereon.</w:t>
      </w:r>
    </w:p>
    <w:p>
      <w:pPr>
        <w:spacing w:after="0" w:line="170"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 xml:space="preserve">Section 6.05. </w:t>
      </w:r>
      <w:r>
        <w:rPr>
          <w:rFonts w:ascii="Arial" w:cs="Arial" w:eastAsia="Arial" w:hAnsi="Arial"/>
          <w:sz w:val="17"/>
          <w:szCs w:val="17"/>
          <w:i w:val="1"/>
          <w:iCs w:val="1"/>
          <w:color w:val="auto"/>
        </w:rPr>
        <w:t>Control by Majority</w:t>
      </w:r>
      <w:r>
        <w:rPr>
          <w:rFonts w:ascii="Arial" w:cs="Arial" w:eastAsia="Arial" w:hAnsi="Arial"/>
          <w:sz w:val="17"/>
          <w:szCs w:val="17"/>
          <w:color w:val="auto"/>
        </w:rPr>
        <w:t>. The Holders of a majority in aggregate principal amount of the outstanding Notes may direct the time, method and place of conducting any proceeding for any remedy available to the Trustee or exercising any trust or power conferred on the Trustee. However, the Trustee may refuse to follow any direction that conflicts with law or this Indenture, that may involve the Trustee in personal liability, or that the Trustee determines in good faith may be unduly prejudicial to the rights of Holders of Notes not joining in the giving of such direction, and may take any other action it deems proper that is not inconsistent with any such direction received from Holders of Notes.</w:t>
      </w:r>
    </w:p>
    <w:p>
      <w:pPr>
        <w:spacing w:after="0" w:line="17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i w:val="1"/>
          <w:iCs w:val="1"/>
          <w:color w:val="auto"/>
        </w:rPr>
        <w:t>Limitation on Suits</w:t>
      </w:r>
      <w:r>
        <w:rPr>
          <w:rFonts w:ascii="Arial" w:cs="Arial" w:eastAsia="Arial" w:hAnsi="Arial"/>
          <w:sz w:val="18"/>
          <w:szCs w:val="18"/>
          <w:color w:val="auto"/>
        </w:rPr>
        <w:t>. A Holder may not institute any proceeding, judicial or otherwise, with respect to this Indenture or the Notes, or for the appointment of a receiver or trustee, or for any other remedy under this Indenture or the Notes, unless:</w:t>
      </w:r>
    </w:p>
    <w:p>
      <w:pPr>
        <w:spacing w:after="0" w:line="170" w:lineRule="exact"/>
        <w:rPr>
          <w:sz w:val="20"/>
          <w:szCs w:val="20"/>
          <w:color w:val="auto"/>
        </w:rPr>
      </w:pPr>
    </w:p>
    <w:p>
      <w:pPr>
        <w:ind w:left="2580" w:hanging="627"/>
        <w:spacing w:after="0"/>
        <w:tabs>
          <w:tab w:leader="none" w:pos="25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Holder has previously given to the Trustee written notice of a continuing Event of Default;</w:t>
      </w:r>
    </w:p>
    <w:p>
      <w:pPr>
        <w:spacing w:after="0" w:line="225" w:lineRule="exact"/>
        <w:rPr>
          <w:rFonts w:ascii="Arial" w:cs="Arial" w:eastAsia="Arial" w:hAnsi="Arial"/>
          <w:sz w:val="18"/>
          <w:szCs w:val="18"/>
          <w:color w:val="auto"/>
        </w:rPr>
      </w:pPr>
    </w:p>
    <w:p>
      <w:pPr>
        <w:ind w:right="220" w:firstLine="1953"/>
        <w:spacing w:after="0" w:line="277" w:lineRule="auto"/>
        <w:tabs>
          <w:tab w:leader="none" w:pos="258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outstanding Notes have made written request to the Trustee to institute proceedings in respect of the Event of Default in its own name as Trustee under this Indenture;</w:t>
      </w:r>
    </w:p>
    <w:p>
      <w:pPr>
        <w:spacing w:after="0" w:line="170" w:lineRule="exact"/>
        <w:rPr>
          <w:rFonts w:ascii="Arial" w:cs="Arial" w:eastAsia="Arial" w:hAnsi="Arial"/>
          <w:sz w:val="18"/>
          <w:szCs w:val="18"/>
          <w:color w:val="auto"/>
        </w:rPr>
      </w:pPr>
    </w:p>
    <w:p>
      <w:pPr>
        <w:ind w:right="260" w:firstLine="1953"/>
        <w:spacing w:after="0" w:line="277" w:lineRule="auto"/>
        <w:tabs>
          <w:tab w:leader="none" w:pos="2597" w:val="left"/>
        </w:tabs>
        <w:numPr>
          <w:ilvl w:val="0"/>
          <w:numId w:val="153"/>
        </w:numPr>
        <w:rPr>
          <w:rFonts w:ascii="Arial" w:cs="Arial" w:eastAsia="Arial" w:hAnsi="Arial"/>
          <w:sz w:val="18"/>
          <w:szCs w:val="18"/>
          <w:color w:val="auto"/>
        </w:rPr>
      </w:pPr>
      <w:r>
        <w:rPr>
          <w:rFonts w:ascii="Arial" w:cs="Arial" w:eastAsia="Arial" w:hAnsi="Arial"/>
          <w:sz w:val="18"/>
          <w:szCs w:val="18"/>
          <w:color w:val="auto"/>
        </w:rPr>
        <w:t>Holders have offered to the Trustee indemnity satisfactory to the Trustee against any costs, liabilities or expenses to be incurred in compliance with such request;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right="360" w:firstLine="1953"/>
        <w:spacing w:after="0" w:line="277" w:lineRule="auto"/>
        <w:tabs>
          <w:tab w:leader="none" w:pos="257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during such 60-day period, the Holders of a majority in aggregate principal amount of the outstanding Notes have not given the Trustee a direction that is inconsistent with such written request.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6.07.</w:t>
      </w:r>
      <w:r>
        <w:rPr>
          <w:sz w:val="20"/>
          <w:szCs w:val="20"/>
          <w:color w:val="auto"/>
        </w:rPr>
        <w:tab/>
      </w:r>
      <w:r>
        <w:rPr>
          <w:rFonts w:ascii="Arial" w:cs="Arial" w:eastAsia="Arial" w:hAnsi="Arial"/>
          <w:sz w:val="16"/>
          <w:szCs w:val="16"/>
          <w:i w:val="1"/>
          <w:iCs w:val="1"/>
          <w:color w:val="auto"/>
        </w:rPr>
        <w:t>Rights of Holders to Receive Payment</w:t>
      </w:r>
      <w:r>
        <w:rPr>
          <w:rFonts w:ascii="Arial" w:cs="Arial" w:eastAsia="Arial" w:hAnsi="Arial"/>
          <w:sz w:val="16"/>
          <w:szCs w:val="16"/>
          <w:color w:val="auto"/>
        </w:rPr>
        <w:t>. Notwithstanding anything to the contrary, the right of a Holder of a Note to receive</w:t>
      </w:r>
    </w:p>
    <w:p>
      <w:pPr>
        <w:spacing w:after="0" w:line="23" w:lineRule="exact"/>
        <w:rPr>
          <w:sz w:val="20"/>
          <w:szCs w:val="20"/>
          <w:color w:val="auto"/>
        </w:rPr>
      </w:pPr>
    </w:p>
    <w:p>
      <w:pPr>
        <w:ind w:right="80" w:firstLine="8"/>
        <w:spacing w:after="0" w:line="273" w:lineRule="auto"/>
        <w:tabs>
          <w:tab w:leader="none" w:pos="295" w:val="left"/>
        </w:tabs>
        <w:numPr>
          <w:ilvl w:val="0"/>
          <w:numId w:val="154"/>
        </w:numPr>
        <w:rPr>
          <w:rFonts w:ascii="Arial" w:cs="Arial" w:eastAsia="Arial" w:hAnsi="Arial"/>
          <w:sz w:val="17"/>
          <w:szCs w:val="17"/>
          <w:color w:val="auto"/>
        </w:rPr>
      </w:pPr>
      <w:r>
        <w:rPr>
          <w:rFonts w:ascii="Arial" w:cs="Arial" w:eastAsia="Arial" w:hAnsi="Arial"/>
          <w:sz w:val="17"/>
          <w:szCs w:val="17"/>
          <w:color w:val="auto"/>
        </w:rPr>
        <w:t>payment of principal of or interest (including any Additional Interest) on its Note on the Maturity Date or the relevant Interest Payment Date, as the case may be, (x) payment of the Repurchase Price on the Repurchase Date, (y) payment of the Redemption Price on the Redemption Date and (z) delivery of Common Stock upon conversion of such Note on the date specified in Section 10.02(b), or to bring suit for the enforcement of any such payment or delivery, as the case may be, on or after such respective dates, may not be impaired or affected without the consent of that Holder.</w:t>
      </w:r>
    </w:p>
    <w:p>
      <w:pPr>
        <w:spacing w:after="0" w:line="17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Section 6.08. </w:t>
      </w:r>
      <w:r>
        <w:rPr>
          <w:rFonts w:ascii="Arial" w:cs="Arial" w:eastAsia="Arial" w:hAnsi="Arial"/>
          <w:sz w:val="18"/>
          <w:szCs w:val="18"/>
          <w:i w:val="1"/>
          <w:iCs w:val="1"/>
          <w:color w:val="auto"/>
        </w:rPr>
        <w:t>Collection Suit by Trustee</w:t>
      </w:r>
      <w:r>
        <w:rPr>
          <w:rFonts w:ascii="Arial" w:cs="Arial" w:eastAsia="Arial" w:hAnsi="Arial"/>
          <w:sz w:val="18"/>
          <w:szCs w:val="18"/>
          <w:color w:val="auto"/>
        </w:rPr>
        <w:t>. If an Event of Default in payment of principal or interest (including any Additional Interest) specified in clause (a) or (b) of Section 6.01 occurs and is continuing, the Trustee may recover judgment in its own name and as trustee of an express trust for the whole amount of principal and accrued interest (including any Additional Interest) remaining unpaid, together with interest on overdue principal and, to the extent lawful, overdue installments of interest, in each case at the rate specified in the Notes, and such further amount as is sufficient to cover the costs and expenses of collection, including the reasonable compensation, expenses, disbursements and advances of the Trustee, its agents and counsel and any other amounts due the Trustee hereunder.</w:t>
      </w:r>
    </w:p>
    <w:p>
      <w:pPr>
        <w:spacing w:after="0" w:line="193"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 xml:space="preserve">Section 6.09. </w:t>
      </w:r>
      <w:r>
        <w:rPr>
          <w:rFonts w:ascii="Arial" w:cs="Arial" w:eastAsia="Arial" w:hAnsi="Arial"/>
          <w:sz w:val="16"/>
          <w:szCs w:val="16"/>
          <w:i w:val="1"/>
          <w:iCs w:val="1"/>
          <w:color w:val="auto"/>
        </w:rPr>
        <w:t>Trustee May File Proofs of Claim</w:t>
      </w:r>
      <w:r>
        <w:rPr>
          <w:rFonts w:ascii="Arial" w:cs="Arial" w:eastAsia="Arial" w:hAnsi="Arial"/>
          <w:sz w:val="16"/>
          <w:szCs w:val="16"/>
          <w:color w:val="auto"/>
        </w:rPr>
        <w:t>. The Trustee may file proofs of claim and other papers or documents as may be necessary or advisable in order to have the claims of the Trustee (including any claim for the compensation, expenses, disbursements and advances of the Trustee, its agents and counsel, and any other amounts due the Trustee hereunder) and the Holders allowed in any judicial proceedings relating to the Company or its creditors or property, and is entitled and empowered to collect, receive and distribute any money, securities or other property payable or deliverable upon conversion or exchange of the Notes or upon any such claims. Any custodian, receiver, assignee, trustee, liquidator, sequestrator or other similar official in any such judicial proceeding is hereby authorized by each Holder to make such payments to the Trustee and, if the Trustee consents to the making of such payments directly to the Holders, to pay to the Trustee any amount due to it for the reasonable compensation, expenses, disbursements and advances of the Trustee, its agent and counsel, and any other amounts due the Trustee hereunder. Nothing in this Indenture will be deemed to empower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6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Section 6.10. </w:t>
      </w:r>
      <w:r>
        <w:rPr>
          <w:rFonts w:ascii="Arial" w:cs="Arial" w:eastAsia="Arial" w:hAnsi="Arial"/>
          <w:sz w:val="18"/>
          <w:szCs w:val="18"/>
          <w:i w:val="1"/>
          <w:iCs w:val="1"/>
          <w:color w:val="auto"/>
        </w:rPr>
        <w:t>Priorities</w:t>
      </w:r>
      <w:r>
        <w:rPr>
          <w:rFonts w:ascii="Arial" w:cs="Arial" w:eastAsia="Arial" w:hAnsi="Arial"/>
          <w:sz w:val="18"/>
          <w:szCs w:val="18"/>
          <w:color w:val="auto"/>
        </w:rPr>
        <w:t>. If the Trustee collects any money or property pursuant to this Article, it shall pay out the money or property in the following order: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First: to the Trustee for all amounts due under Section 7.07 hereof;</w:t>
      </w:r>
    </w:p>
    <w:p>
      <w:pPr>
        <w:sectPr>
          <w:pgSz w:w="11900" w:h="16874" w:orient="portrait"/>
          <w:cols w:equalWidth="0" w:num="1">
            <w:col w:w="11400"/>
          </w:cols>
          <w:pgMar w:left="240" w:top="341" w:right="259" w:bottom="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Second: to Holders for amounts then due and unpaid for principal of and interest (including any Additional Interest) on the Notes, ratably, without preference or priority of any kind, according to the amounts due and payable on the Notes for principal and interest (including any Additional Interest);</w:t>
      </w:r>
    </w:p>
    <w:p>
      <w:pPr>
        <w:spacing w:after="0" w:line="12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Third: to Holders for other amounts then due and unpaid in respect of the Notes, ratably, without preference or priority of any kind, according to the amounts due and payable in respect of the Notes;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Fourth: to the Company or as a court of competent jurisdiction may direct.</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The Trustee, upon written notice to the Company, may fix a record date and payment date for any payment to Holders pursuant to this Section. At least 15 days before such record date, the Trustee shall send to each Noteholder and the Company a notice that states the record date, the payment date and the amount to be paid.</w:t>
      </w:r>
    </w:p>
    <w:p>
      <w:pPr>
        <w:spacing w:after="0" w:line="181" w:lineRule="exact"/>
        <w:rPr>
          <w:sz w:val="20"/>
          <w:szCs w:val="20"/>
          <w:color w:val="auto"/>
        </w:rPr>
      </w:pPr>
    </w:p>
    <w:p>
      <w:pPr>
        <w:jc w:val="both"/>
        <w:ind w:right="60" w:firstLine="648"/>
        <w:spacing w:after="0" w:line="302" w:lineRule="auto"/>
        <w:rPr>
          <w:sz w:val="20"/>
          <w:szCs w:val="20"/>
          <w:color w:val="auto"/>
        </w:rPr>
      </w:pPr>
      <w:r>
        <w:rPr>
          <w:rFonts w:ascii="Arial" w:cs="Arial" w:eastAsia="Arial" w:hAnsi="Arial"/>
          <w:sz w:val="16"/>
          <w:szCs w:val="16"/>
          <w:color w:val="auto"/>
        </w:rPr>
        <w:t xml:space="preserve">Section 6.11. </w:t>
      </w:r>
      <w:r>
        <w:rPr>
          <w:rFonts w:ascii="Arial" w:cs="Arial" w:eastAsia="Arial" w:hAnsi="Arial"/>
          <w:sz w:val="16"/>
          <w:szCs w:val="16"/>
          <w:i w:val="1"/>
          <w:iCs w:val="1"/>
          <w:color w:val="auto"/>
        </w:rPr>
        <w:t>Restoration of Rights and Remedies</w:t>
      </w:r>
      <w:r>
        <w:rPr>
          <w:rFonts w:ascii="Arial" w:cs="Arial" w:eastAsia="Arial" w:hAnsi="Arial"/>
          <w:sz w:val="16"/>
          <w:szCs w:val="16"/>
          <w:color w:val="auto"/>
        </w:rPr>
        <w:t>. If the Trustee or any Holder has instituted a proceeding to enforce any right or remedy under this Indenture and the proceeding has been discontinued or abandoned for any reason, or has been determined adversely to the Trustee or to the Holder, then, subject to any determination in the proceeding, the Company, the Trustee and the Holders will be restored severally and respectively to their former positions hereunder and thereafter all rights and remedies of the Company, the Trustee and the Holders will continue as though no such proceeding had been instituted.</w:t>
      </w:r>
    </w:p>
    <w:p>
      <w:pPr>
        <w:spacing w:after="0" w:line="15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6.12. </w:t>
      </w:r>
      <w:r>
        <w:rPr>
          <w:rFonts w:ascii="Arial" w:cs="Arial" w:eastAsia="Arial" w:hAnsi="Arial"/>
          <w:sz w:val="17"/>
          <w:szCs w:val="17"/>
          <w:i w:val="1"/>
          <w:iCs w:val="1"/>
          <w:color w:val="auto"/>
        </w:rPr>
        <w:t>Undertaking for Costs</w:t>
      </w:r>
      <w:r>
        <w:rPr>
          <w:rFonts w:ascii="Arial" w:cs="Arial" w:eastAsia="Arial" w:hAnsi="Arial"/>
          <w:sz w:val="17"/>
          <w:szCs w:val="17"/>
          <w:color w:val="auto"/>
        </w:rPr>
        <w:t>. In any suit for the enforcement of any right or remedy under this Indenture or in any suit against the Trustee for any action taken or omitted by it as Trustee, a court may require any party litigant in such suit (other than the Trustee) to file an undertaking to pay the costs of the suit, and the court may assess reasonable costs, including reasonable attorneys fees, against any party litigant (other than the Trustee) in the suit having due regard to the merits and good faith of the claims or defenses made by the party litigant. This Section does not apply to a suit by a Holder to enforce payment of (a) principal of or interest (including any Additional Interest) on any Note on the respective due dates, (b) the Change of Control Purchase Price on the Change of Control Repurchase Date, (c) the Redemption Price on the Redemption Date, (d) the Common Stock due upon conversion of a Note or (e) a suit by Holders of more than 10% in principal amount of the outstanding Notes.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6.13. </w:t>
      </w:r>
      <w:r>
        <w:rPr>
          <w:rFonts w:ascii="Arial" w:cs="Arial" w:eastAsia="Arial" w:hAnsi="Arial"/>
          <w:sz w:val="18"/>
          <w:szCs w:val="18"/>
          <w:i w:val="1"/>
          <w:iCs w:val="1"/>
          <w:color w:val="auto"/>
        </w:rPr>
        <w:t>Rights and Remedies Cumulative</w:t>
      </w:r>
      <w:r>
        <w:rPr>
          <w:rFonts w:ascii="Arial" w:cs="Arial" w:eastAsia="Arial" w:hAnsi="Arial"/>
          <w:sz w:val="18"/>
          <w:szCs w:val="18"/>
          <w:color w:val="auto"/>
        </w:rPr>
        <w:t>. No right or remedy conferred or reserved to the Trustee or to the Holders under this Indenture is intended to be exclusive of any other right or remedy, and all such rights and remedies are, to the extent permitted by law, cumulative and in addition to every other right and remedy hereunder or now or hereafter existing at law or in equity or otherwise. The assertion or exercise of any right or remedy hereunder, or otherwise, will not prevent the concurrent assertion or exercise of any other right or remedy.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6.14. </w:t>
      </w:r>
      <w:r>
        <w:rPr>
          <w:rFonts w:ascii="Arial" w:cs="Arial" w:eastAsia="Arial" w:hAnsi="Arial"/>
          <w:sz w:val="18"/>
          <w:szCs w:val="18"/>
          <w:i w:val="1"/>
          <w:iCs w:val="1"/>
          <w:color w:val="auto"/>
        </w:rPr>
        <w:t>Delay or Omission Not Waiver</w:t>
      </w:r>
      <w:r>
        <w:rPr>
          <w:rFonts w:ascii="Arial" w:cs="Arial" w:eastAsia="Arial" w:hAnsi="Arial"/>
          <w:sz w:val="18"/>
          <w:szCs w:val="18"/>
          <w:color w:val="auto"/>
        </w:rPr>
        <w:t>. No delay or omission of the Trustee or of any Holder to exercise any right or remedy accruing upon any Event of Default will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6.15. </w:t>
      </w:r>
      <w:r>
        <w:rPr>
          <w:rFonts w:ascii="Arial" w:cs="Arial" w:eastAsia="Arial" w:hAnsi="Arial"/>
          <w:sz w:val="16"/>
          <w:szCs w:val="16"/>
          <w:i w:val="1"/>
          <w:iCs w:val="1"/>
          <w:color w:val="auto"/>
        </w:rPr>
        <w:t>Failure to File</w:t>
      </w:r>
      <w:r>
        <w:rPr>
          <w:rFonts w:ascii="Arial" w:cs="Arial" w:eastAsia="Arial" w:hAnsi="Arial"/>
          <w:sz w:val="16"/>
          <w:szCs w:val="16"/>
          <w:color w:val="auto"/>
        </w:rPr>
        <w:t>. Notwithstanding anything in this Article 6, the Company may, at its option, elect that the sole remedy for an Event of Default relating to its failure to comply with its obligations described under Section 4.04 or its failure to comply with the requirements of Section 314(a)</w:t>
      </w:r>
    </w:p>
    <w:p>
      <w:pPr>
        <w:ind w:right="20" w:firstLine="8"/>
        <w:spacing w:after="0" w:line="267" w:lineRule="auto"/>
        <w:tabs>
          <w:tab w:leader="none" w:pos="255" w:val="left"/>
        </w:tabs>
        <w:numPr>
          <w:ilvl w:val="0"/>
          <w:numId w:val="155"/>
        </w:numPr>
        <w:rPr>
          <w:rFonts w:ascii="Arial" w:cs="Arial" w:eastAsia="Arial" w:hAnsi="Arial"/>
          <w:sz w:val="17"/>
          <w:szCs w:val="17"/>
          <w:color w:val="auto"/>
        </w:rPr>
      </w:pPr>
      <w:r>
        <w:rPr>
          <w:rFonts w:ascii="Arial" w:cs="Arial" w:eastAsia="Arial" w:hAnsi="Arial"/>
          <w:sz w:val="17"/>
          <w:szCs w:val="17"/>
          <w:color w:val="auto"/>
        </w:rPr>
        <w:t>of the Trust Indenture Act will for the first 90 days after the occurrence of such an Event of Default (which will be the 60th day after written notice is provided to the Company in accordance with Section 6.01(e)), consist exclusively of the right to receive additional interest on the Notes in an amount equal to 0.25% of the principal amount of the Notes (the “</w:t>
      </w:r>
      <w:r>
        <w:rPr>
          <w:rFonts w:ascii="Arial" w:cs="Arial" w:eastAsia="Arial" w:hAnsi="Arial"/>
          <w:sz w:val="17"/>
          <w:szCs w:val="17"/>
          <w:b w:val="1"/>
          <w:bCs w:val="1"/>
          <w:color w:val="auto"/>
        </w:rPr>
        <w:t>Initial Additional Interest</w:t>
      </w:r>
      <w:r>
        <w:rPr>
          <w:rFonts w:ascii="Arial" w:cs="Arial" w:eastAsia="Arial" w:hAnsi="Arial"/>
          <w:sz w:val="17"/>
          <w:szCs w:val="17"/>
          <w:color w:val="auto"/>
        </w:rPr>
        <w:t>”) (such election, the “</w:t>
      </w:r>
      <w:r>
        <w:rPr>
          <w:rFonts w:ascii="Arial" w:cs="Arial" w:eastAsia="Arial" w:hAnsi="Arial"/>
          <w:sz w:val="17"/>
          <w:szCs w:val="17"/>
          <w:b w:val="1"/>
          <w:bCs w:val="1"/>
          <w:color w:val="auto"/>
        </w:rPr>
        <w:t>Initial Extension Right</w:t>
      </w:r>
      <w:r>
        <w:rPr>
          <w:rFonts w:ascii="Arial" w:cs="Arial" w:eastAsia="Arial" w:hAnsi="Arial"/>
          <w:sz w:val="17"/>
          <w:szCs w:val="17"/>
          <w:color w:val="auto"/>
        </w:rPr>
        <w:t xml:space="preserve">”). If the Company exercises the Initial Extension Right, the Initial Additional Interest will be payable to all Noteholders of record on the Record Date specified by the Company in its notice that it is electing to use the Initial Extension Right (which will fall between the date of that notice and the date of the related Event of Default). On the 91st day after such Event of Default (if such violation is not cured or waived prior to such 91st day), the Notes will be subject to acceleration as provided in Section 6.02;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Company may, at its option, elect that the sole remedy of Noteholders will for the succeeding 90 days consist exclusively of the right to receive an additional payment of additional interest on the Notes in an amount equal to 0.25% of the principal amount of the Notes (the “</w:t>
      </w:r>
      <w:r>
        <w:rPr>
          <w:rFonts w:ascii="Arial" w:cs="Arial" w:eastAsia="Arial" w:hAnsi="Arial"/>
          <w:sz w:val="17"/>
          <w:szCs w:val="17"/>
          <w:b w:val="1"/>
          <w:bCs w:val="1"/>
          <w:color w:val="auto"/>
        </w:rPr>
        <w:t>Incremental Additional Interest</w:t>
      </w:r>
      <w:r>
        <w:rPr>
          <w:rFonts w:ascii="Arial" w:cs="Arial" w:eastAsia="Arial" w:hAnsi="Arial"/>
          <w:sz w:val="17"/>
          <w:szCs w:val="17"/>
          <w:color w:val="auto"/>
        </w:rPr>
        <w:t>” and each of the Incremental Additional Interest and the Initial Additional Interest, the “</w:t>
      </w:r>
      <w:r>
        <w:rPr>
          <w:rFonts w:ascii="Arial" w:cs="Arial" w:eastAsia="Arial" w:hAnsi="Arial"/>
          <w:sz w:val="17"/>
          <w:szCs w:val="17"/>
          <w:b w:val="1"/>
          <w:bCs w:val="1"/>
          <w:color w:val="auto"/>
        </w:rPr>
        <w:t>Additional Interest</w:t>
      </w:r>
      <w:r>
        <w:rPr>
          <w:rFonts w:ascii="Arial" w:cs="Arial" w:eastAsia="Arial" w:hAnsi="Arial"/>
          <w:sz w:val="17"/>
          <w:szCs w:val="17"/>
          <w:color w:val="auto"/>
        </w:rPr>
        <w:t>” ) (such election, the “</w:t>
      </w:r>
      <w:r>
        <w:rPr>
          <w:rFonts w:ascii="Arial" w:cs="Arial" w:eastAsia="Arial" w:hAnsi="Arial"/>
          <w:sz w:val="17"/>
          <w:szCs w:val="17"/>
          <w:b w:val="1"/>
          <w:bCs w:val="1"/>
          <w:color w:val="auto"/>
        </w:rPr>
        <w:t>Incremental Extension Right</w:t>
      </w:r>
      <w:r>
        <w:rPr>
          <w:rFonts w:ascii="Arial" w:cs="Arial" w:eastAsia="Arial" w:hAnsi="Arial"/>
          <w:sz w:val="17"/>
          <w:szCs w:val="17"/>
          <w:color w:val="auto"/>
        </w:rPr>
        <w:t>”). On the 181st day after such Event of Default (if the Event of Default relating to the reporting obligations is not cured or waived prior to such 181st day), the Notes shall be subject to acceleration as provided in Section 6.02. In the event the Company does not elect to pay the Initial Additional Interest or the Incremental Additional Interest upon any such Event of Default in accordance with this paragraph, the Notes will be subject to acceleration as provided in Section 6.02. This Section 6.15 shall not affect the rights of Holders of Notes if any other Event of Default occurs under the Indenture.</w:t>
      </w:r>
    </w:p>
    <w:p>
      <w:pPr>
        <w:spacing w:after="0" w:line="18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In order to exercise the Initial Extension Right and elect to pay the Initial Additional Interest as the sole remedy during the first 90 days after the occurrence of any Event of Default relating to the failure to comply with the reporting obligations in accordance with the preceding paragraph, the Company must (i) notify all holders of Notes and the Trustee and Paying Agent of such election in writing prior to the Close of Business on the date on which such Event of Default occurs and (ii) pay such Initial Additional Interest on or before the Close of Business on the date on which such Event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of Default occurs. In order to exercise the Incremental Extension Right (following the exercise of the Initial Extension Right) and to pay the Incremental Additional Interest as the sole remedy starting the 91st day after the occurrence of any Event of Default relating to the failure to comply with the reporting obligations in accordance with the preceding paragraph, the Company must (i) notify all holders of Notes and the Trustee and Paying Agent in writing of such election prior to the Close of Business on the 89th day after the occurrence of an Event of Default for which the Company has elected to exercise its Incremental Extension Right and (ii) pay such Incremental Additional Interest on the Record Date specified in the notice that the Company is electing to use</w:t>
      </w:r>
    </w:p>
    <w:p>
      <w:pPr>
        <w:sectPr>
          <w:pgSz w:w="11900" w:h="16838" w:orient="portrait"/>
          <w:cols w:equalWidth="0" w:num="1">
            <w:col w:w="11420"/>
          </w:cols>
          <w:pgMar w:left="240" w:top="341" w:right="239" w:bottom="0" w:gutter="0" w:footer="0" w:header="0"/>
        </w:sectPr>
      </w:pPr>
    </w:p>
    <w:bookmarkStart w:id="122" w:name="page123"/>
    <w:bookmarkEnd w:id="122"/>
    <w:p>
      <w:pPr>
        <w:spacing w:after="0" w:line="1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Incremental Extension Right (which record date will fall between the date of that notice and such 91st day). If the Company fails to timely give either such notice or pay any Additional Interest after giving the applicable notice, the Notes will be immediately subject to acceleration as provided in Section 6.02.</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TRUSTEE</w:t>
      </w:r>
    </w:p>
    <w:p>
      <w:pPr>
        <w:spacing w:after="0" w:line="229" w:lineRule="exact"/>
        <w:rPr>
          <w:sz w:val="20"/>
          <w:szCs w:val="20"/>
          <w:color w:val="auto"/>
        </w:rPr>
      </w:pPr>
    </w:p>
    <w:p>
      <w:pPr>
        <w:jc w:val="both"/>
        <w:ind w:right="460" w:firstLine="648"/>
        <w:spacing w:after="0" w:line="264"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General</w:t>
      </w:r>
      <w:r>
        <w:rPr>
          <w:rFonts w:ascii="Arial" w:cs="Arial" w:eastAsia="Arial" w:hAnsi="Arial"/>
          <w:sz w:val="18"/>
          <w:szCs w:val="18"/>
          <w:color w:val="auto"/>
        </w:rPr>
        <w:t>. (a) The duties and responsibilities of the Trustee are as provided by the Trust Indenture Act and as set forth herein. Whether or not expressly so provided, every provision of this Indenture relating to the conduct or affecting the liability of or affording protection to the Trustee is subject to this Article.</w:t>
      </w:r>
    </w:p>
    <w:p>
      <w:pPr>
        <w:spacing w:after="0" w:line="181" w:lineRule="exact"/>
        <w:rPr>
          <w:sz w:val="20"/>
          <w:szCs w:val="20"/>
          <w:color w:val="auto"/>
        </w:rPr>
      </w:pPr>
    </w:p>
    <w:p>
      <w:pPr>
        <w:ind w:right="20" w:firstLine="1305"/>
        <w:spacing w:after="0" w:line="279" w:lineRule="auto"/>
        <w:tabs>
          <w:tab w:leader="none" w:pos="1621" w:val="left"/>
        </w:tabs>
        <w:numPr>
          <w:ilvl w:val="0"/>
          <w:numId w:val="156"/>
        </w:numPr>
        <w:rPr>
          <w:rFonts w:ascii="Arial" w:cs="Arial" w:eastAsia="Arial" w:hAnsi="Arial"/>
          <w:sz w:val="17"/>
          <w:szCs w:val="17"/>
          <w:color w:val="auto"/>
        </w:rPr>
      </w:pPr>
      <w:r>
        <w:rPr>
          <w:rFonts w:ascii="Arial" w:cs="Arial" w:eastAsia="Arial" w:hAnsi="Arial"/>
          <w:sz w:val="17"/>
          <w:szCs w:val="17"/>
          <w:color w:val="auto"/>
        </w:rPr>
        <w:t>Except during the continuance of an Event of Default, the Trustee need perform only those duties that are specifically set forth in this Indenture and no others, and no implied covenants or obligations will be read into this Indenture against the Trustee. In case an Event of Default has occurred and is continuing, the Trustee shall exercise those rights and powers vested in it by this Indenture, and use the same degree of care and skill in their exercise, as a prudent man would exercise or use under the circumstances in the conduct of his own affairs.</w:t>
      </w:r>
    </w:p>
    <w:p>
      <w:pPr>
        <w:spacing w:after="0" w:line="171" w:lineRule="exact"/>
        <w:rPr>
          <w:rFonts w:ascii="Arial" w:cs="Arial" w:eastAsia="Arial" w:hAnsi="Arial"/>
          <w:sz w:val="17"/>
          <w:szCs w:val="17"/>
          <w:color w:val="auto"/>
        </w:rPr>
      </w:pPr>
    </w:p>
    <w:p>
      <w:pPr>
        <w:ind w:right="360" w:firstLine="1305"/>
        <w:spacing w:after="0" w:line="277" w:lineRule="auto"/>
        <w:tabs>
          <w:tab w:leader="none" w:pos="161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6"/>
          <w:szCs w:val="16"/>
          <w:i w:val="1"/>
          <w:iCs w:val="1"/>
          <w:color w:val="auto"/>
        </w:rPr>
        <w:t>Certain Rights of Trustee</w:t>
      </w:r>
      <w:r>
        <w:rPr>
          <w:rFonts w:ascii="Arial" w:cs="Arial" w:eastAsia="Arial" w:hAnsi="Arial"/>
          <w:sz w:val="16"/>
          <w:szCs w:val="16"/>
          <w:color w:val="auto"/>
        </w:rPr>
        <w:t>. Subject to Trust Indenture Act Sections 315(a) through (d):</w:t>
      </w:r>
    </w:p>
    <w:p>
      <w:pPr>
        <w:spacing w:after="0" w:line="225" w:lineRule="exact"/>
        <w:rPr>
          <w:sz w:val="20"/>
          <w:szCs w:val="20"/>
          <w:color w:val="auto"/>
        </w:rPr>
      </w:pPr>
    </w:p>
    <w:p>
      <w:pPr>
        <w:ind w:right="80" w:firstLine="1305"/>
        <w:spacing w:after="0" w:line="255" w:lineRule="auto"/>
        <w:tabs>
          <w:tab w:leader="none" w:pos="1611"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 the absence of bad faith on its part, the Trustee may rely, and will be protected in acting or refraining from acting, upon any resolution, certificate, statement, instrument, opinion, report, notice, request, direction, consent, order, bond, debenture, note, other evidence of indebtedness or other paper or document believed by it to be genuine and to have been signed or presented by the proper Person. The Trustee need not investigate any fact or matter stated in the document, but, in the case of any document which is specifically required to be furnished to the Trustee pursuant to any provision hereof, the Trustee shall examine the document to determine whether it conforms to the form requirements of this Indenture (but need not confirm or investigate the accuracy of mathematical calculations or other facts stated therein). The Trustee, in its discretion, may make further inquiry or investigation into such facts or matters as it sees fit.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0" w:firstLine="1305"/>
        <w:spacing w:after="0" w:line="342" w:lineRule="auto"/>
        <w:tabs>
          <w:tab w:leader="none" w:pos="1621" w:val="left"/>
        </w:tabs>
        <w:numPr>
          <w:ilvl w:val="0"/>
          <w:numId w:val="158"/>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and/or an Opinion of Counsel conforming to Section 13.06 and the Trustee will not be liable for any action it takes or omits to take in good faith in reliance on the certificate or opinion.</w:t>
      </w:r>
    </w:p>
    <w:p>
      <w:pPr>
        <w:spacing w:after="0" w:line="123" w:lineRule="exact"/>
        <w:rPr>
          <w:rFonts w:ascii="Arial" w:cs="Arial" w:eastAsia="Arial" w:hAnsi="Arial"/>
          <w:sz w:val="16"/>
          <w:szCs w:val="16"/>
          <w:color w:val="auto"/>
        </w:rPr>
      </w:pPr>
    </w:p>
    <w:p>
      <w:pPr>
        <w:ind w:right="660" w:firstLine="1305"/>
        <w:spacing w:after="0" w:line="277" w:lineRule="auto"/>
        <w:tabs>
          <w:tab w:leader="none" w:pos="16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Trustee may act through its attorneys and agents and will not be responsible for the misconduct or negligence of any agent appointed with due care.</w:t>
      </w:r>
    </w:p>
    <w:p>
      <w:pPr>
        <w:spacing w:after="0" w:line="170" w:lineRule="exact"/>
        <w:rPr>
          <w:rFonts w:ascii="Arial" w:cs="Arial" w:eastAsia="Arial" w:hAnsi="Arial"/>
          <w:sz w:val="18"/>
          <w:szCs w:val="18"/>
          <w:color w:val="auto"/>
        </w:rPr>
      </w:pPr>
    </w:p>
    <w:p>
      <w:pPr>
        <w:ind w:firstLine="1305"/>
        <w:spacing w:after="0" w:line="264" w:lineRule="auto"/>
        <w:tabs>
          <w:tab w:leader="none" w:pos="162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Trustee will be under no obligation to exercise any of the rights or powers vested in it by this Indenture at the request or direction of any of the Holders, unless such Holders have offered to the Trustee reasonable security or indemnity against the costs, expenses and liabilities that might be incurred by it in compliance with such request or direction.</w:t>
      </w:r>
    </w:p>
    <w:p>
      <w:pPr>
        <w:spacing w:after="0" w:line="181" w:lineRule="exact"/>
        <w:rPr>
          <w:rFonts w:ascii="Arial" w:cs="Arial" w:eastAsia="Arial" w:hAnsi="Arial"/>
          <w:sz w:val="18"/>
          <w:szCs w:val="18"/>
          <w:color w:val="auto"/>
        </w:rPr>
      </w:pPr>
    </w:p>
    <w:p>
      <w:pPr>
        <w:jc w:val="both"/>
        <w:ind w:right="80" w:firstLine="1305"/>
        <w:spacing w:after="0" w:line="259" w:lineRule="auto"/>
        <w:tabs>
          <w:tab w:leader="none" w:pos="161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Trustee will not be liable for any action it takes or omits to take in good faith that it believes to be authorized or within its rights or powers or for any action it takes or omits to take in accordance with the direction of the Holders in accordance with Section 6.05 relating to the time, method and place of conducting any proceeding for any remedy available to the Trustee, or exercising any trust or power conferred upon the Trustee, under this Indenture.</w:t>
      </w:r>
    </w:p>
    <w:p>
      <w:pPr>
        <w:spacing w:after="0" w:line="186" w:lineRule="exact"/>
        <w:rPr>
          <w:rFonts w:ascii="Arial" w:cs="Arial" w:eastAsia="Arial" w:hAnsi="Arial"/>
          <w:sz w:val="18"/>
          <w:szCs w:val="18"/>
          <w:color w:val="auto"/>
        </w:rPr>
      </w:pPr>
    </w:p>
    <w:p>
      <w:pPr>
        <w:ind w:right="380" w:firstLine="1305"/>
        <w:spacing w:after="0" w:line="308" w:lineRule="auto"/>
        <w:tabs>
          <w:tab w:leader="none" w:pos="1629" w:val="left"/>
        </w:tabs>
        <w:numPr>
          <w:ilvl w:val="0"/>
          <w:numId w:val="158"/>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will be full and complete authorization and protection in respect of any action taken, suffered or omitted by it hereunder in good faith and in reliance thereon.</w:t>
      </w:r>
    </w:p>
    <w:p>
      <w:pPr>
        <w:spacing w:after="0" w:line="146" w:lineRule="exact"/>
        <w:rPr>
          <w:rFonts w:ascii="Arial" w:cs="Arial" w:eastAsia="Arial" w:hAnsi="Arial"/>
          <w:sz w:val="17"/>
          <w:szCs w:val="17"/>
          <w:color w:val="auto"/>
        </w:rPr>
      </w:pPr>
    </w:p>
    <w:p>
      <w:pPr>
        <w:ind w:right="220" w:firstLine="1305"/>
        <w:spacing w:after="0" w:line="264" w:lineRule="auto"/>
        <w:tabs>
          <w:tab w:leader="none" w:pos="1621" w:val="left"/>
        </w:tabs>
        <w:numPr>
          <w:ilvl w:val="0"/>
          <w:numId w:val="158"/>
        </w:numPr>
        <w:rPr>
          <w:rFonts w:ascii="Arial" w:cs="Arial" w:eastAsia="Arial" w:hAnsi="Arial"/>
          <w:sz w:val="18"/>
          <w:szCs w:val="18"/>
          <w:color w:val="auto"/>
        </w:rPr>
      </w:pPr>
      <w:r>
        <w:rPr>
          <w:rFonts w:ascii="Arial" w:cs="Arial" w:eastAsia="Arial" w:hAnsi="Arial"/>
          <w:sz w:val="18"/>
          <w:szCs w:val="18"/>
          <w:color w:val="auto"/>
        </w:rPr>
        <w:t>No provision of this Indenture will require the Trustee to expend or risk its own funds or otherwise incur any financial liability in the performance of its duties hereunder, or in the exercise of its rights or powers, unless it receives indemnity satisfactory to it against any loss, liability or expense.</w:t>
      </w:r>
    </w:p>
    <w:p>
      <w:pPr>
        <w:spacing w:after="0" w:line="181" w:lineRule="exact"/>
        <w:rPr>
          <w:rFonts w:ascii="Arial" w:cs="Arial" w:eastAsia="Arial" w:hAnsi="Arial"/>
          <w:sz w:val="18"/>
          <w:szCs w:val="18"/>
          <w:color w:val="auto"/>
        </w:rPr>
      </w:pPr>
    </w:p>
    <w:p>
      <w:pPr>
        <w:ind w:right="200" w:firstLine="1305"/>
        <w:spacing w:after="0" w:line="279" w:lineRule="auto"/>
        <w:tabs>
          <w:tab w:leader="none" w:pos="162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Except with respect to Section 4.01, the Trustee shall have no duty to inquire as to performance of the Company with respect to the covenants contained in Article 4. In addition, the Trustee shall not be deemed to have knowledge of a Default or an Event of Default except (i) a Default or Event of Default occurring pursuant to Section 6.01(a) and 6.01(b), or (ii) any Default or Event of Default of which the Trustee shall have received written notification from the Company or the Holders of at least 25% in aggregate principal amount of Notes or obtained actual knowledge.</w:t>
      </w:r>
    </w:p>
    <w:p>
      <w:pPr>
        <w:spacing w:after="0" w:line="171" w:lineRule="exact"/>
        <w:rPr>
          <w:rFonts w:ascii="Arial" w:cs="Arial" w:eastAsia="Arial" w:hAnsi="Arial"/>
          <w:sz w:val="17"/>
          <w:szCs w:val="17"/>
          <w:color w:val="auto"/>
        </w:rPr>
      </w:pPr>
    </w:p>
    <w:p>
      <w:pPr>
        <w:ind w:right="500" w:firstLine="1305"/>
        <w:spacing w:after="0" w:line="264" w:lineRule="auto"/>
        <w:tabs>
          <w:tab w:leader="none" w:pos="161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rights to be indemnified are extended to and shall be enforced by the Trustee in its capacities hereunder and each agent, custodian and other person employed to act hereunder.</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permissive rights of the Trustee to take certain actions under this Indenture shall not be construed as a duty unless so specified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herein.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Individual Rights of Trustee.</w:t>
      </w:r>
      <w:r>
        <w:rPr>
          <w:rFonts w:ascii="Arial" w:cs="Arial" w:eastAsia="Arial" w:hAnsi="Arial"/>
          <w:sz w:val="18"/>
          <w:szCs w:val="18"/>
          <w:color w:val="auto"/>
        </w:rPr>
        <w:t xml:space="preserve"> The Trustee, in its individual or any other capacity, may become the owner or pledgee of Notes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 xml:space="preserve">Section 7.04. </w:t>
      </w:r>
      <w:r>
        <w:rPr>
          <w:rFonts w:ascii="Arial" w:cs="Arial" w:eastAsia="Arial" w:hAnsi="Arial"/>
          <w:sz w:val="16"/>
          <w:szCs w:val="16"/>
          <w:i w:val="1"/>
          <w:iCs w:val="1"/>
          <w:color w:val="auto"/>
        </w:rPr>
        <w:t>Trustee’s Disclaimer</w:t>
      </w:r>
      <w:r>
        <w:rPr>
          <w:rFonts w:ascii="Arial" w:cs="Arial" w:eastAsia="Arial" w:hAnsi="Arial"/>
          <w:sz w:val="16"/>
          <w:szCs w:val="16"/>
          <w:color w:val="auto"/>
        </w:rPr>
        <w:t>. The Trustee (a) makes no representation as to the validity or adequacy of this Indenture or the Notes, (b) is not accountable for the Company’s use or application of the proceeds from the Notes and (c) is not responsible for any statement in the Notes other than its</w:t>
      </w:r>
    </w:p>
    <w:p>
      <w:pPr>
        <w:sectPr>
          <w:pgSz w:w="11900" w:h="16948" w:orient="portrait"/>
          <w:cols w:equalWidth="0" w:num="1">
            <w:col w:w="11420"/>
          </w:cols>
          <w:pgMar w:left="240" w:top="125" w:right="239" w:bottom="0" w:gutter="0" w:footer="0" w:header="0"/>
        </w:sectPr>
      </w:pPr>
    </w:p>
    <w:bookmarkStart w:id="123" w:name="page124"/>
    <w:bookmarkEnd w:id="123"/>
    <w:p>
      <w:pPr>
        <w:spacing w:after="0"/>
        <w:rPr>
          <w:sz w:val="20"/>
          <w:szCs w:val="20"/>
          <w:color w:val="auto"/>
        </w:rPr>
      </w:pPr>
      <w:r>
        <w:rPr>
          <w:rFonts w:ascii="Arial" w:cs="Arial" w:eastAsia="Arial" w:hAnsi="Arial"/>
          <w:sz w:val="18"/>
          <w:szCs w:val="18"/>
          <w:color w:val="auto"/>
        </w:rPr>
        <w:t>certificate of authentication.</w:t>
      </w:r>
    </w:p>
    <w:p>
      <w:pPr>
        <w:spacing w:after="0" w:line="225"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i w:val="1"/>
          <w:iCs w:val="1"/>
          <w:color w:val="auto"/>
        </w:rPr>
        <w:t>Notice of Default</w:t>
      </w:r>
      <w:r>
        <w:rPr>
          <w:rFonts w:ascii="Arial" w:cs="Arial" w:eastAsia="Arial" w:hAnsi="Arial"/>
          <w:sz w:val="17"/>
          <w:szCs w:val="17"/>
          <w:color w:val="auto"/>
        </w:rPr>
        <w:t xml:space="preserve">. If any Default or Event of Default occurs and is continuing and is known to the Trustee, the Trustee will send notice of the Default or Event of Default to each Holder within 90 days after it occurs, unless the Default or Event of Default has been cured;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in the case of a default (w) in the payment of the principal of or interest (including any Additional Interest) on any Note (x) in the payment of the Repurchase Price on the Repurchase Date, (y) in the payment of the Redemption Price on the Redemption Date or (z) in the delivery of Common Stock upon conversion of such Note on the date specified in Section 10.02(b), the Trustee may withhold the notice if and so long as a Responsible Officer or a committee of Responsible Officers of the Trustee in good faith determines that withholding the notice is in the interest of the Holders. Notice to Holders under this Section will be given in the manner and to the extent provided in Trust Indenture Act Section 313(c).</w:t>
      </w:r>
    </w:p>
    <w:p>
      <w:pPr>
        <w:spacing w:after="0" w:line="178"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 xml:space="preserve">Section 7.06. </w:t>
      </w:r>
      <w:r>
        <w:rPr>
          <w:rFonts w:ascii="Arial" w:cs="Arial" w:eastAsia="Arial" w:hAnsi="Arial"/>
          <w:sz w:val="16"/>
          <w:szCs w:val="16"/>
          <w:i w:val="1"/>
          <w:iCs w:val="1"/>
          <w:color w:val="auto"/>
        </w:rPr>
        <w:t>Reports by Trustee to Holders</w:t>
      </w:r>
      <w:r>
        <w:rPr>
          <w:rFonts w:ascii="Arial" w:cs="Arial" w:eastAsia="Arial" w:hAnsi="Arial"/>
          <w:sz w:val="16"/>
          <w:szCs w:val="16"/>
          <w:color w:val="auto"/>
        </w:rPr>
        <w:t>. Within 60 days after each June 1, beginning with June 1, 2009, the Trustee will mail to each Holder, as provided in Trust Indenture Act Section 313(c), a brief report dated as of such June 1, if required by Trust Indenture Act Section 313(a), and file such reports with each stock exchange upon which its Notes are listed and with the Commission as required by Trust Indenture Act Section 313(d).</w:t>
      </w:r>
    </w:p>
    <w:p>
      <w:pPr>
        <w:spacing w:after="0" w:line="14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7.07. </w:t>
      </w:r>
      <w:r>
        <w:rPr>
          <w:rFonts w:ascii="Arial" w:cs="Arial" w:eastAsia="Arial" w:hAnsi="Arial"/>
          <w:sz w:val="18"/>
          <w:szCs w:val="18"/>
          <w:i w:val="1"/>
          <w:iCs w:val="1"/>
          <w:color w:val="auto"/>
        </w:rPr>
        <w:t>Compensation and Indemnity.</w:t>
      </w:r>
      <w:r>
        <w:rPr>
          <w:rFonts w:ascii="Arial" w:cs="Arial" w:eastAsia="Arial" w:hAnsi="Arial"/>
          <w:sz w:val="18"/>
          <w:szCs w:val="18"/>
          <w:color w:val="auto"/>
        </w:rPr>
        <w:t xml:space="preserve"> (a) The Company will pay the Trustee compensation as agreed upon in writing for its services. The compensation of the Trustee is not limited by any law on compensation of a Trustee of an express trust. The Company will reimburse the Trustee upon request for all out-of-pocket expenses, disbursements and advances incurred or made by the Trustee, including the compensation and expenses of the Trustee’s agents and counsel.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1305"/>
        <w:spacing w:after="0" w:line="279" w:lineRule="auto"/>
        <w:tabs>
          <w:tab w:leader="none" w:pos="159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Company will indemnify the Trustee for, and hold it harmless against, any loss or liability or expense incurred by it without negligence or bad faith on its part arising out of or in connection with the acceptance or administration of this Indenture and its duties under this Indenture and the Notes, including the costs and expenses of defending itself against any claim or liability and of complying with any process served upon it or any of its officers in connection with the exercise or performance of any of its powers or duties under this Indenture and the Notes.</w:t>
      </w:r>
    </w:p>
    <w:p>
      <w:pPr>
        <w:spacing w:after="0" w:line="171" w:lineRule="exact"/>
        <w:rPr>
          <w:rFonts w:ascii="Arial" w:cs="Arial" w:eastAsia="Arial" w:hAnsi="Arial"/>
          <w:sz w:val="17"/>
          <w:szCs w:val="17"/>
          <w:color w:val="auto"/>
        </w:rPr>
      </w:pPr>
    </w:p>
    <w:p>
      <w:pPr>
        <w:jc w:val="both"/>
        <w:ind w:right="240" w:firstLine="1305"/>
        <w:spacing w:after="0" w:line="264" w:lineRule="auto"/>
        <w:tabs>
          <w:tab w:leader="none" w:pos="158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To secure the Company’s payment obligations in this Section, the Trustee will have a lien prior to the Notes on all money or property held or collected by the Trustee, in its capacity as Trustee, except money or property held in trust to pay principal of, and interest (including any Additional Interest) on particular Notes.</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7.08.</w:t>
      </w:r>
      <w:r>
        <w:rPr>
          <w:sz w:val="20"/>
          <w:szCs w:val="20"/>
          <w:color w:val="auto"/>
        </w:rPr>
        <w:tab/>
      </w:r>
      <w:r>
        <w:rPr>
          <w:rFonts w:ascii="Arial" w:cs="Arial" w:eastAsia="Arial" w:hAnsi="Arial"/>
          <w:sz w:val="16"/>
          <w:szCs w:val="16"/>
          <w:i w:val="1"/>
          <w:iCs w:val="1"/>
          <w:color w:val="auto"/>
        </w:rPr>
        <w:t>Replacement of Trustee</w:t>
      </w:r>
      <w:r>
        <w:rPr>
          <w:rFonts w:ascii="Arial" w:cs="Arial" w:eastAsia="Arial" w:hAnsi="Arial"/>
          <w:sz w:val="16"/>
          <w:szCs w:val="16"/>
          <w:color w:val="auto"/>
        </w:rPr>
        <w:t>. (a) (i) The Trustee may resign at any time by written notice to the Company.</w:t>
      </w:r>
    </w:p>
    <w:p>
      <w:pPr>
        <w:spacing w:after="0" w:line="225" w:lineRule="exact"/>
        <w:rPr>
          <w:sz w:val="20"/>
          <w:szCs w:val="20"/>
          <w:color w:val="auto"/>
        </w:rPr>
      </w:pPr>
    </w:p>
    <w:p>
      <w:pPr>
        <w:ind w:left="2620" w:hanging="611"/>
        <w:spacing w:after="0"/>
        <w:tabs>
          <w:tab w:leader="none" w:pos="26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The Holders of a majority in principal amount of the outstanding Notes may remove the Trustee by written notice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right="460" w:firstLine="2009"/>
        <w:spacing w:after="0" w:line="264" w:lineRule="auto"/>
        <w:tabs>
          <w:tab w:leader="none" w:pos="261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If the Trustee is no longer eligible under Section 7.10 or in the circumstances described in Trust Indenture Act Section 310(b), any Holder that satisfies the requirements of Trust Indenture Act Section 310(b) may petition any court of competent jurisdiction for the removal of the Trustee and the appointment of a successor Trustee.</w:t>
      </w:r>
    </w:p>
    <w:p>
      <w:pPr>
        <w:spacing w:after="0" w:line="181" w:lineRule="exact"/>
        <w:rPr>
          <w:rFonts w:ascii="Arial" w:cs="Arial" w:eastAsia="Arial" w:hAnsi="Arial"/>
          <w:sz w:val="18"/>
          <w:szCs w:val="18"/>
          <w:color w:val="auto"/>
        </w:rPr>
      </w:pPr>
    </w:p>
    <w:p>
      <w:pPr>
        <w:ind w:right="100" w:firstLine="2009"/>
        <w:spacing w:after="0" w:line="264" w:lineRule="auto"/>
        <w:tabs>
          <w:tab w:leader="none" w:pos="260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Company may remove the Trustee if (A) the Trustee is no longer eligible under Section 7.10; (B) the Trustee is adjudged a bankrupt or an insolvent; (C) a receiver or other public officer takes charge of the Trustee or its property; or (D) the Trustee becomes incapable of acting.</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will become effective only upon the successor Trustee’s acceptance of appointment as provided in this Section.</w:t>
      </w:r>
    </w:p>
    <w:p>
      <w:pPr>
        <w:spacing w:after="0" w:line="170" w:lineRule="exact"/>
        <w:rPr>
          <w:sz w:val="20"/>
          <w:szCs w:val="20"/>
          <w:color w:val="auto"/>
        </w:rPr>
      </w:pPr>
    </w:p>
    <w:p>
      <w:pPr>
        <w:ind w:right="100" w:firstLine="1045"/>
        <w:spacing w:after="0" w:line="257" w:lineRule="auto"/>
        <w:tabs>
          <w:tab w:leader="none" w:pos="1337"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the Trustee has been removed by the Holders, Holders of a majority in principal amount of the Notes may appoint a successor Trustee with the consent of the Company. Otherwise, if the Trustee resigns or is removed, or if a vacancy exists in the office of Trustee for any reason, the Company will promptly appoint a successor Trustee. If the successor Trustee does not deliver its written acceptance within 30 days after the retiring Trustee resigns or is removed, the retiring Trustee, the Company or the Holders of a majority in principal amount of the outstanding Notes may petition any court of competent jurisdiction for the appointment of a successor Trustee.</w:t>
      </w:r>
    </w:p>
    <w:p>
      <w:pPr>
        <w:spacing w:after="0" w:line="188" w:lineRule="exact"/>
        <w:rPr>
          <w:rFonts w:ascii="Arial" w:cs="Arial" w:eastAsia="Arial" w:hAnsi="Arial"/>
          <w:sz w:val="18"/>
          <w:szCs w:val="18"/>
          <w:color w:val="auto"/>
        </w:rPr>
      </w:pPr>
    </w:p>
    <w:p>
      <w:pPr>
        <w:ind w:firstLine="1045"/>
        <w:spacing w:after="0" w:line="293" w:lineRule="auto"/>
        <w:tabs>
          <w:tab w:leader="none" w:pos="1327" w:val="left"/>
        </w:tabs>
        <w:numPr>
          <w:ilvl w:val="0"/>
          <w:numId w:val="162"/>
        </w:numPr>
        <w:rPr>
          <w:rFonts w:ascii="Arial" w:cs="Arial" w:eastAsia="Arial" w:hAnsi="Arial"/>
          <w:sz w:val="16"/>
          <w:szCs w:val="16"/>
          <w:color w:val="auto"/>
        </w:rPr>
      </w:pPr>
      <w:r>
        <w:rPr>
          <w:rFonts w:ascii="Arial" w:cs="Arial" w:eastAsia="Arial" w:hAnsi="Arial"/>
          <w:sz w:val="16"/>
          <w:szCs w:val="16"/>
          <w:color w:val="auto"/>
        </w:rPr>
        <w:t>Upon delivery by the successor Trustee of a written acceptance of its appointment to the retiring Trustee and to the Company, (i) the retiring Trustee will transfer all property held by it as Trustee to the successor Trustee, subject to the lien provided for in Section 7.07(c), (ii) the resignation or removal of the retiring Trustee will become effective, and (iii) the successor Trustee will have all the rights, powers and duties of the Trustee under this Indenture. Upon request of any successor Trustee, the Company will execute any and all reasonable instruments for fully and vesting in and confirming to the successor Trustee all such rights, powers and trusts. The Company will give notice of any resignation and any removal of the Trustee and each appointment of a successor Trustee to all Holders, and include in the notice the name of the successor Trustee and the address of its Corporate Trust Office.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40" w:firstLine="1045"/>
        <w:spacing w:after="0" w:line="277" w:lineRule="auto"/>
        <w:tabs>
          <w:tab w:leader="none" w:pos="1337"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Notwithstanding replacement of the Trustee pursuant to this Section, the Company’s obligations under Section 7.07 will continue for the benefit of the retiring Trustee.</w:t>
      </w:r>
    </w:p>
    <w:p>
      <w:pPr>
        <w:spacing w:after="0" w:line="170" w:lineRule="exact"/>
        <w:rPr>
          <w:rFonts w:ascii="Arial" w:cs="Arial" w:eastAsia="Arial" w:hAnsi="Arial"/>
          <w:sz w:val="18"/>
          <w:szCs w:val="18"/>
          <w:color w:val="auto"/>
        </w:rPr>
      </w:pPr>
    </w:p>
    <w:p>
      <w:pPr>
        <w:ind w:left="1340" w:hanging="295"/>
        <w:spacing w:after="0"/>
        <w:tabs>
          <w:tab w:leader="none" w:pos="1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Trustee agrees to give the notices provided for in, and otherwise comply with, Trust Indenture Act Section 310(b).</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 xml:space="preserve">Section 7.09. </w:t>
      </w:r>
      <w:r>
        <w:rPr>
          <w:rFonts w:ascii="Arial" w:cs="Arial" w:eastAsia="Arial" w:hAnsi="Arial"/>
          <w:sz w:val="18"/>
          <w:szCs w:val="18"/>
          <w:i w:val="1"/>
          <w:iCs w:val="1"/>
          <w:color w:val="auto"/>
        </w:rPr>
        <w:t>Successor Trustee by Merger</w:t>
      </w:r>
      <w:r>
        <w:rPr>
          <w:rFonts w:ascii="Arial" w:cs="Arial" w:eastAsia="Arial" w:hAnsi="Arial"/>
          <w:sz w:val="18"/>
          <w:szCs w:val="18"/>
          <w:color w:val="auto"/>
        </w:rPr>
        <w:t>. If the Trustee consolidates with, merges or converts into, or transfers all or substantially all of its corporate trust business to, another corporation or national banking association, the resulting, surviving or transferee corporation or national banking association without any further act will be the successor Trustee with the same effect as if the successor Trustee had been named as the Trustee in this Indenture.</w:t>
      </w:r>
    </w:p>
    <w:p>
      <w:pPr>
        <w:sectPr>
          <w:pgSz w:w="11900" w:h="16838" w:orient="portrait"/>
          <w:cols w:equalWidth="0" w:num="1">
            <w:col w:w="11420"/>
          </w:cols>
          <w:pgMar w:left="240" w:top="125" w:right="239" w:bottom="0" w:gutter="0" w:footer="0" w:header="0"/>
        </w:sectPr>
      </w:pPr>
    </w:p>
    <w:bookmarkStart w:id="124" w:name="page125"/>
    <w:bookmarkEnd w:id="124"/>
    <w:p>
      <w:pPr>
        <w:spacing w:after="0" w:line="9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i w:val="1"/>
          <w:iCs w:val="1"/>
          <w:color w:val="auto"/>
        </w:rPr>
        <w:t>Eligibility</w:t>
      </w:r>
      <w:r>
        <w:rPr>
          <w:rFonts w:ascii="Arial" w:cs="Arial" w:eastAsia="Arial" w:hAnsi="Arial"/>
          <w:sz w:val="18"/>
          <w:szCs w:val="18"/>
          <w:color w:val="auto"/>
        </w:rPr>
        <w:t>. This Indenture must always have a Trustee that satisfies the requirements of Trust Indenture Act Section 310(a) and has a combined capital and surplus of at least $25,000,000 as set forth in its most recent published annual report of condition.</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i w:val="1"/>
          <w:iCs w:val="1"/>
          <w:color w:val="auto"/>
        </w:rPr>
        <w:t>Money Held in Trust</w:t>
      </w:r>
      <w:r>
        <w:rPr>
          <w:rFonts w:ascii="Arial" w:cs="Arial" w:eastAsia="Arial" w:hAnsi="Arial"/>
          <w:sz w:val="18"/>
          <w:szCs w:val="18"/>
          <w:color w:val="auto"/>
        </w:rPr>
        <w:t>. The Trustee will not be liable for interest on any money received by it except as it may agree in writing with the Company. Money held in trust by the Trustee need not be segregated from other funds except to the extent required by law and except for money held in trust under Article 8.</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Satisfaction and Discharge of this Indenture</w:t>
      </w:r>
      <w:r>
        <w:rPr>
          <w:rFonts w:ascii="Arial" w:cs="Arial" w:eastAsia="Arial" w:hAnsi="Arial"/>
          <w:sz w:val="18"/>
          <w:szCs w:val="18"/>
          <w:color w:val="auto"/>
        </w:rPr>
        <w:t>. (a) This Indenture shall cease to be of further effect if either: (i) all outstanding Notes (other than Notes replaced pursuant to Section 2.07) have been delivered to the Trustee for cancellation, (ii) all outstanding Notes have become due and payable on the Maturity Date or on any Repurchase Date in connection with any repurchase upon the occurrence of a Change in Control or on any Redemption Date in connection with any redemption of all outstanding Notes or (iii) all outstanding Notes have been delivered for conversion pursuant to Article 10, and the Company irrevocably deposits or delivers, as the case may be, prior to the applicable date on which such payment is due and payable, or such conversion is to be settled, with the Trustee, the Paying Agent (if the Paying Agent is not the Company or any of its Affiliates) or the Conversion Agent, Cash in</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respect of such payment or Common Stock in respect of any such conversion on the Maturity Date, the Repurchase Date, the Redemption Date or the date such conversion is to be settled, as the case may be;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all cases, the Company shall pay to the Trustee all other sums payable hereunder by the Company.</w:t>
      </w:r>
    </w:p>
    <w:p>
      <w:pPr>
        <w:spacing w:after="0" w:line="181" w:lineRule="exact"/>
        <w:rPr>
          <w:sz w:val="20"/>
          <w:szCs w:val="20"/>
          <w:color w:val="auto"/>
        </w:rPr>
      </w:pPr>
    </w:p>
    <w:p>
      <w:pPr>
        <w:ind w:left="1220" w:hanging="305"/>
        <w:spacing w:after="0"/>
        <w:tabs>
          <w:tab w:leader="none" w:pos="12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may exercise its satisfaction and discharge option with respect to the Notes only if:</w:t>
      </w:r>
    </w:p>
    <w:p>
      <w:pPr>
        <w:spacing w:after="0" w:line="225" w:lineRule="exact"/>
        <w:rPr>
          <w:rFonts w:ascii="Arial" w:cs="Arial" w:eastAsia="Arial" w:hAnsi="Arial"/>
          <w:sz w:val="18"/>
          <w:szCs w:val="18"/>
          <w:color w:val="auto"/>
        </w:rPr>
      </w:pPr>
    </w:p>
    <w:p>
      <w:pPr>
        <w:ind w:left="2600" w:hanging="591"/>
        <w:spacing w:after="0"/>
        <w:tabs>
          <w:tab w:leader="none" w:pos="260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shall exist on the date of such deposit;</w:t>
      </w:r>
    </w:p>
    <w:p>
      <w:pPr>
        <w:spacing w:after="0" w:line="225" w:lineRule="exact"/>
        <w:rPr>
          <w:rFonts w:ascii="Arial" w:cs="Arial" w:eastAsia="Arial" w:hAnsi="Arial"/>
          <w:sz w:val="18"/>
          <w:szCs w:val="18"/>
          <w:color w:val="auto"/>
        </w:rPr>
      </w:pPr>
    </w:p>
    <w:p>
      <w:pPr>
        <w:ind w:right="60" w:firstLine="2009"/>
        <w:spacing w:after="0" w:line="277" w:lineRule="auto"/>
        <w:tabs>
          <w:tab w:leader="none" w:pos="2604" w:val="left"/>
        </w:tabs>
        <w:numPr>
          <w:ilvl w:val="1"/>
          <w:numId w:val="164"/>
        </w:numPr>
        <w:rPr>
          <w:rFonts w:ascii="Arial" w:cs="Arial" w:eastAsia="Arial" w:hAnsi="Arial"/>
          <w:sz w:val="18"/>
          <w:szCs w:val="18"/>
          <w:color w:val="auto"/>
        </w:rPr>
      </w:pPr>
      <w:r>
        <w:rPr>
          <w:rFonts w:ascii="Arial" w:cs="Arial" w:eastAsia="Arial" w:hAnsi="Arial"/>
          <w:sz w:val="18"/>
          <w:szCs w:val="18"/>
          <w:color w:val="auto"/>
        </w:rPr>
        <w:t>such deposit or delivery, as the case may be, shall not result in a breach or violation of, or constitute a Default or Event of Default under, this Indenture or any other agreement or instrument to which the Company is a party or by which it is bound; and</w:t>
      </w:r>
    </w:p>
    <w:p>
      <w:pPr>
        <w:spacing w:after="0" w:line="170" w:lineRule="exact"/>
        <w:rPr>
          <w:rFonts w:ascii="Arial" w:cs="Arial" w:eastAsia="Arial" w:hAnsi="Arial"/>
          <w:sz w:val="18"/>
          <w:szCs w:val="18"/>
          <w:color w:val="auto"/>
        </w:rPr>
      </w:pPr>
    </w:p>
    <w:p>
      <w:pPr>
        <w:jc w:val="both"/>
        <w:ind w:right="100" w:firstLine="2009"/>
        <w:spacing w:after="0" w:line="264" w:lineRule="auto"/>
        <w:tabs>
          <w:tab w:leader="none" w:pos="261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the Company has delivered to the Trustee an Officers’ Certificate and an Opinion of Counsel (which may rely upon such Officers’ Certificate as to the absence of Defaults and Events of Default and as to any factual matters), each stating that all conditions precedent provided for herein relating to the satisfaction and discharge of this Indenture have been complied with.</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Notwithstanding the satisfaction and discharge of this Indenture, the obligations of the Company to the Trustee under Section 7.07 shall survive and, if money shall have been deposited with or Common Stock shall have been delivered to the Trustee pursuant to clause (a) of this Section, the provisions of Section 2.03, Section 2.04, Section 2.05, Section 2.06, Section 2.07, Section 2.12, Section 3.01, Article 5, Article 10 and this Article 8, shall survive and the Company shall be required to make all payments and deliveries required by such Sections or Articles, as the case may be, irrespective of any prior satisfaction and discharge until the Notes have been paid in full.</w:t>
      </w:r>
    </w:p>
    <w:p>
      <w:pPr>
        <w:spacing w:after="0" w:line="18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i w:val="1"/>
          <w:iCs w:val="1"/>
          <w:color w:val="auto"/>
        </w:rPr>
        <w:t>Application of Trust Money</w:t>
      </w:r>
      <w:r>
        <w:rPr>
          <w:rFonts w:ascii="Arial" w:cs="Arial" w:eastAsia="Arial" w:hAnsi="Arial"/>
          <w:sz w:val="18"/>
          <w:szCs w:val="18"/>
          <w:color w:val="auto"/>
        </w:rPr>
        <w:t>. Subject to the provisions of Section 8.03, the Trustee or a Paying Agent shall hold in trust, for the benefit of the Holders, all money, Common Stock or other consideration paid or delivered to it, as the case may be, pursuant to Section 8.01 and shall apply such money, Common Stock or other consideration in accordance with this Indenture and the Notes to the payment of the principal amount of (including the relevant Repurchase Price or Redemption Price) and interest (including any Additional Interest) on the Notes or delivery of the Common Stock issuable upon conversion of the Notes.</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 xml:space="preserve">Section 8.03. </w:t>
      </w:r>
      <w:r>
        <w:rPr>
          <w:rFonts w:ascii="Arial" w:cs="Arial" w:eastAsia="Arial" w:hAnsi="Arial"/>
          <w:sz w:val="18"/>
          <w:szCs w:val="18"/>
          <w:i w:val="1"/>
          <w:iCs w:val="1"/>
          <w:color w:val="auto"/>
        </w:rPr>
        <w:t>Repayment to Company.</w:t>
      </w:r>
      <w:r>
        <w:rPr>
          <w:rFonts w:ascii="Arial" w:cs="Arial" w:eastAsia="Arial" w:hAnsi="Arial"/>
          <w:sz w:val="18"/>
          <w:szCs w:val="18"/>
          <w:color w:val="auto"/>
        </w:rPr>
        <w:t xml:space="preserve"> The Trustee and each Paying Agent shall promptly pay or deliver, as the case may be, to the Company upon request any excess money, Common Stock or other consideration (x) paid or delivered to them pursuant to Section 8.01 and (y) held by them at any time.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Subject to applicable abandoned property law, the Trustee and each Paying Agent shall also pay or deliver, as the case may be, to the Company upon request any money, Common Stock or other consideration held by them for the payment of the principal amount of (including the relevant Repurchase Price or Redemption Price) and interest on, or the amount due in connection with any conversion of, the Notes that remains unclaimed for two years after a right to such money, Common Stock or other consideration has matured (which maturity shall occur, for the avoidance of doubt, on the Maturity Date, the Repurchase Date, the Redemption Date or the date specified in Section 10.02(b),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 or such Paying Agent, before being required to make any such payment or delivery, may at the expense of the Company cause to be mailed to each Holder entitled to such money, Common Stock or other consideration or publish in a newspaper of general circulation in the City of New York notice that such money, Common Stock or other consideration remains unclaimed and that after a date specified therein, which shall be at least 30 days from the date of such mailing or publication, any unclaimed balance or portion of such money, Common Stock or other consideration then remaining will be repaid or re-delivered to the Company. After payment or delivery, as the case may be, to the Company, Holders entitled to such money, Common Stock or other consideration must look to the Company for payment or delivery as general creditors unless an applicable abandoned property law designates another Person.</w:t>
      </w:r>
    </w:p>
    <w:p>
      <w:pPr>
        <w:spacing w:after="0" w:line="17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i w:val="1"/>
          <w:iCs w:val="1"/>
          <w:color w:val="auto"/>
        </w:rPr>
        <w:t>Reinstatement</w:t>
      </w:r>
      <w:r>
        <w:rPr>
          <w:rFonts w:ascii="Arial" w:cs="Arial" w:eastAsia="Arial" w:hAnsi="Arial"/>
          <w:sz w:val="16"/>
          <w:szCs w:val="16"/>
          <w:color w:val="auto"/>
        </w:rPr>
        <w:t xml:space="preserve">. If the Trustee or any Paying Agent is unable to apply any money, Common Stock or other consideration in accordance with Section 8.02 by reason of any legal proceeding or by reason of any order or judgment of any court or governmental authority enjoining, restraining or otherwise prohibiting such application, then the Company’s obligations under this Indenture and the Notes shall be revived and reinstated as though no payment or delivery, as the case may be, had occurred pursuant to Section 8.01 until such time as the Trustee or such Paying Agent is permitted to apply all such money in accordance with Section 8.02;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Company has made any payment of the principal amount of (including the relevant Repurchase Price or Redemption Price) or interest (including any Additional Interest) on, or the amount due in connection with any conversion of, the Notes</w:t>
      </w:r>
    </w:p>
    <w:p>
      <w:pPr>
        <w:sectPr>
          <w:pgSz w:w="11900" w:h="16934" w:orient="portrait"/>
          <w:cols w:equalWidth="0" w:num="1">
            <w:col w:w="11420"/>
          </w:cols>
          <w:pgMar w:left="240" w:top="125" w:right="239" w:bottom="0" w:gutter="0" w:footer="0" w:header="0"/>
        </w:sectPr>
      </w:pPr>
    </w:p>
    <w:bookmarkStart w:id="125" w:name="page126"/>
    <w:bookmarkEnd w:id="125"/>
    <w:p>
      <w:pPr>
        <w:ind w:right="300"/>
        <w:spacing w:after="0" w:line="277" w:lineRule="auto"/>
        <w:rPr>
          <w:sz w:val="20"/>
          <w:szCs w:val="20"/>
          <w:color w:val="auto"/>
        </w:rPr>
      </w:pPr>
      <w:r>
        <w:rPr>
          <w:rFonts w:ascii="Arial" w:cs="Arial" w:eastAsia="Arial" w:hAnsi="Arial"/>
          <w:sz w:val="18"/>
          <w:szCs w:val="18"/>
          <w:color w:val="auto"/>
        </w:rPr>
        <w:t>because of the reinstatement of its obligations, the Company shall be subrogated to the rights of the Holders of such Notes to receive any such payment or delivery from the money, Common Stock or other consideration held by the Trustee or such Paying Agent.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AMENDMENTS, SUPPLEMENTS AND WAIVERS</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Amendments Without Consent of Holders</w:t>
      </w:r>
      <w:r>
        <w:rPr>
          <w:rFonts w:ascii="Arial" w:cs="Arial" w:eastAsia="Arial" w:hAnsi="Arial"/>
          <w:sz w:val="18"/>
          <w:szCs w:val="18"/>
          <w:color w:val="auto"/>
        </w:rPr>
        <w:t>. The Company and the Trustee may amend or supplement this Indenture or the Notes without notice to or the consent of any Noteholder: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firstLine="1305"/>
        <w:spacing w:after="0" w:line="277" w:lineRule="auto"/>
        <w:tabs>
          <w:tab w:leader="none" w:pos="158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cure any ambiguity, omission, defect or inconsistency in this Indenture or the Notes or to conform this Indenture or the Notes to the section entitled “Description of Notes” contained in the Prospectus;</w:t>
      </w:r>
    </w:p>
    <w:p>
      <w:pPr>
        <w:spacing w:after="0" w:line="170" w:lineRule="exact"/>
        <w:rPr>
          <w:rFonts w:ascii="Arial" w:cs="Arial" w:eastAsia="Arial" w:hAnsi="Arial"/>
          <w:sz w:val="18"/>
          <w:szCs w:val="18"/>
          <w:color w:val="auto"/>
        </w:rPr>
      </w:pPr>
    </w:p>
    <w:p>
      <w:pPr>
        <w:ind w:right="20" w:firstLine="1305"/>
        <w:spacing w:after="0" w:line="277" w:lineRule="auto"/>
        <w:tabs>
          <w:tab w:leader="none" w:pos="159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evidence a successor to the Company and the assumption by that successor of the obligations of the Company under this Indenture in accordance with Article 5 or Section 10.12 of this Indenture;</w:t>
      </w:r>
    </w:p>
    <w:p>
      <w:pPr>
        <w:spacing w:after="0" w:line="170" w:lineRule="exact"/>
        <w:rPr>
          <w:rFonts w:ascii="Arial" w:cs="Arial" w:eastAsia="Arial" w:hAnsi="Arial"/>
          <w:sz w:val="18"/>
          <w:szCs w:val="18"/>
          <w:color w:val="auto"/>
        </w:rPr>
      </w:pPr>
    </w:p>
    <w:p>
      <w:pPr>
        <w:ind w:left="1600" w:hanging="295"/>
        <w:spacing w:after="0"/>
        <w:tabs>
          <w:tab w:leader="none" w:pos="1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secure the obligations of the Company in respect of the Notes and this Indenture;</w:t>
      </w:r>
    </w:p>
    <w:p>
      <w:pPr>
        <w:spacing w:after="0" w:line="225" w:lineRule="exact"/>
        <w:rPr>
          <w:rFonts w:ascii="Arial" w:cs="Arial" w:eastAsia="Arial" w:hAnsi="Arial"/>
          <w:sz w:val="18"/>
          <w:szCs w:val="18"/>
          <w:color w:val="auto"/>
        </w:rPr>
      </w:pPr>
    </w:p>
    <w:p>
      <w:pPr>
        <w:ind w:left="1600" w:hanging="295"/>
        <w:spacing w:after="0"/>
        <w:tabs>
          <w:tab w:leader="none" w:pos="16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to add to the covenants of the Company for the benefit of the Holders of the Notes or to surrender any right or power conferred upon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ind w:left="1600" w:hanging="295"/>
        <w:spacing w:after="0"/>
        <w:tabs>
          <w:tab w:leader="none" w:pos="16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make any change to comply with the Trust Indenture Act, or any amendment thereto; and</w:t>
      </w:r>
    </w:p>
    <w:p>
      <w:pPr>
        <w:spacing w:after="0" w:line="225" w:lineRule="exact"/>
        <w:rPr>
          <w:rFonts w:ascii="Arial" w:cs="Arial" w:eastAsia="Arial" w:hAnsi="Arial"/>
          <w:sz w:val="18"/>
          <w:szCs w:val="18"/>
          <w:color w:val="auto"/>
        </w:rPr>
      </w:pPr>
    </w:p>
    <w:p>
      <w:pPr>
        <w:ind w:left="1580" w:hanging="275"/>
        <w:spacing w:after="0"/>
        <w:tabs>
          <w:tab w:leader="none" w:pos="15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the Notes.</w:t>
      </w:r>
    </w:p>
    <w:p>
      <w:pPr>
        <w:spacing w:after="0" w:line="22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i w:val="1"/>
          <w:iCs w:val="1"/>
          <w:color w:val="auto"/>
        </w:rPr>
        <w:t>Amendments With Consent of Holders</w:t>
      </w:r>
      <w:r>
        <w:rPr>
          <w:rFonts w:ascii="Arial" w:cs="Arial" w:eastAsia="Arial" w:hAnsi="Arial"/>
          <w:sz w:val="17"/>
          <w:szCs w:val="17"/>
          <w:color w:val="auto"/>
        </w:rPr>
        <w:t>. (a) Except as otherwise provided in Section 6.07 or paragraph (b), the Company and the Trustee may amend this Indenture and the Notes with the written consent of the Holders of at least a majority in principal amount of the outstanding Notes, and the Holders of a majority in principal amount of the outstanding Notes by written notice to the Trustee may, on behalf of the Holders of such Notes waive any existing or past default under this Indenture and its consequences, except an uncured default (i) in the payment of the principal amount, or accrued and unpaid interest (including any Additional Interest), with respect to any Note, (ii) the Repurchase Price with respect to any Note (iii) the Redemption Price with respect to any Note, (iv) in the delivery of the Common Stock due upon conversion of the Notes or (v) in respect of any provision that under this Indenture cannot be modified or amended without the consent of the Holder of each outstanding Note affected.</w:t>
      </w:r>
    </w:p>
    <w:p>
      <w:pPr>
        <w:spacing w:after="0" w:line="178" w:lineRule="exact"/>
        <w:rPr>
          <w:sz w:val="20"/>
          <w:szCs w:val="20"/>
          <w:color w:val="auto"/>
        </w:rPr>
      </w:pPr>
    </w:p>
    <w:p>
      <w:pPr>
        <w:ind w:left="1600" w:hanging="295"/>
        <w:spacing w:after="0"/>
        <w:tabs>
          <w:tab w:leader="none" w:pos="160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Notwithstanding the provisions of paragraph (a), without the consent of each Holder affected, an amendment or waiver may not:</w:t>
      </w:r>
    </w:p>
    <w:p>
      <w:pPr>
        <w:spacing w:after="0" w:line="236" w:lineRule="exact"/>
        <w:rPr>
          <w:rFonts w:ascii="Arial" w:cs="Arial" w:eastAsia="Arial" w:hAnsi="Arial"/>
          <w:sz w:val="17"/>
          <w:szCs w:val="17"/>
          <w:color w:val="auto"/>
        </w:rPr>
      </w:pPr>
    </w:p>
    <w:p>
      <w:pPr>
        <w:ind w:left="2600" w:hanging="591"/>
        <w:spacing w:after="0"/>
        <w:tabs>
          <w:tab w:leader="none" w:pos="260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reduce the principal amount of, or interest payment on any Note, or reduce the Repurchase Price or Redemption Price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Note;</w:t>
      </w:r>
    </w:p>
    <w:p>
      <w:pPr>
        <w:spacing w:after="0" w:line="211" w:lineRule="exact"/>
        <w:rPr>
          <w:sz w:val="20"/>
          <w:szCs w:val="20"/>
          <w:color w:val="auto"/>
        </w:rPr>
      </w:pPr>
    </w:p>
    <w:p>
      <w:pPr>
        <w:ind w:left="2620" w:hanging="611"/>
        <w:spacing w:after="0"/>
        <w:tabs>
          <w:tab w:leader="none" w:pos="2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make any Note payable in any currency or securities other than that stated in the Note;</w:t>
      </w:r>
    </w:p>
    <w:p>
      <w:pPr>
        <w:spacing w:after="0" w:line="225" w:lineRule="exact"/>
        <w:rPr>
          <w:rFonts w:ascii="Arial" w:cs="Arial" w:eastAsia="Arial" w:hAnsi="Arial"/>
          <w:sz w:val="18"/>
          <w:szCs w:val="18"/>
          <w:color w:val="auto"/>
        </w:rPr>
      </w:pPr>
    </w:p>
    <w:p>
      <w:pPr>
        <w:ind w:left="2620" w:hanging="611"/>
        <w:spacing w:after="0"/>
        <w:tabs>
          <w:tab w:leader="none" w:pos="2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change the Maturity Date of any Note;</w:t>
      </w:r>
    </w:p>
    <w:p>
      <w:pPr>
        <w:spacing w:after="0" w:line="225" w:lineRule="exact"/>
        <w:rPr>
          <w:rFonts w:ascii="Arial" w:cs="Arial" w:eastAsia="Arial" w:hAnsi="Arial"/>
          <w:sz w:val="18"/>
          <w:szCs w:val="18"/>
          <w:color w:val="auto"/>
        </w:rPr>
      </w:pPr>
    </w:p>
    <w:p>
      <w:pPr>
        <w:ind w:left="2620" w:hanging="611"/>
        <w:spacing w:after="0"/>
        <w:tabs>
          <w:tab w:leader="none" w:pos="26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change the ranking of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00" w:hanging="591"/>
        <w:spacing w:after="0"/>
        <w:tabs>
          <w:tab w:leader="none" w:pos="260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make any change that adversely affects the right of a Holder to convert any Note;</w:t>
      </w:r>
    </w:p>
    <w:p>
      <w:pPr>
        <w:spacing w:after="0" w:line="225" w:lineRule="exact"/>
        <w:rPr>
          <w:rFonts w:ascii="Arial" w:cs="Arial" w:eastAsia="Arial" w:hAnsi="Arial"/>
          <w:sz w:val="18"/>
          <w:szCs w:val="18"/>
          <w:color w:val="auto"/>
        </w:rPr>
      </w:pPr>
    </w:p>
    <w:p>
      <w:pPr>
        <w:ind w:left="2620" w:hanging="611"/>
        <w:spacing w:after="0"/>
        <w:tabs>
          <w:tab w:leader="none" w:pos="262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make any change that adversely affects the right of a Holder to require the Company to repurchase a Note upon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occurrence of a Change in Control;</w:t>
      </w:r>
    </w:p>
    <w:p>
      <w:pPr>
        <w:spacing w:after="0" w:line="210" w:lineRule="exact"/>
        <w:rPr>
          <w:rFonts w:ascii="Arial" w:cs="Arial" w:eastAsia="Arial" w:hAnsi="Arial"/>
          <w:sz w:val="17"/>
          <w:szCs w:val="17"/>
          <w:color w:val="auto"/>
        </w:rPr>
      </w:pPr>
    </w:p>
    <w:p>
      <w:pPr>
        <w:ind w:firstLine="2009"/>
        <w:spacing w:after="0" w:line="277" w:lineRule="auto"/>
        <w:tabs>
          <w:tab w:leader="none" w:pos="2617" w:val="left"/>
        </w:tabs>
        <w:numPr>
          <w:ilvl w:val="1"/>
          <w:numId w:val="168"/>
        </w:numPr>
        <w:rPr>
          <w:rFonts w:ascii="Arial" w:cs="Arial" w:eastAsia="Arial" w:hAnsi="Arial"/>
          <w:sz w:val="18"/>
          <w:szCs w:val="18"/>
          <w:color w:val="auto"/>
        </w:rPr>
      </w:pPr>
      <w:r>
        <w:rPr>
          <w:rFonts w:ascii="Arial" w:cs="Arial" w:eastAsia="Arial" w:hAnsi="Arial"/>
          <w:sz w:val="18"/>
          <w:szCs w:val="18"/>
          <w:color w:val="auto"/>
        </w:rPr>
        <w:t>impair the right to convert or receive payment with respect to the Notes or the right to institute suit for the enforcement of any payment with respect to, or conversion of, the Notes; or</w:t>
      </w:r>
    </w:p>
    <w:p>
      <w:pPr>
        <w:spacing w:after="0" w:line="170" w:lineRule="exact"/>
        <w:rPr>
          <w:rFonts w:ascii="Arial" w:cs="Arial" w:eastAsia="Arial" w:hAnsi="Arial"/>
          <w:sz w:val="18"/>
          <w:szCs w:val="18"/>
          <w:color w:val="auto"/>
        </w:rPr>
      </w:pPr>
    </w:p>
    <w:p>
      <w:pPr>
        <w:ind w:left="2640" w:hanging="631"/>
        <w:spacing w:after="0"/>
        <w:tabs>
          <w:tab w:leader="none" w:pos="264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change the provisions in this Indenture that relate to modifying or amending the provisions of this Indenture.</w:t>
      </w:r>
    </w:p>
    <w:p>
      <w:pPr>
        <w:spacing w:after="0" w:line="225" w:lineRule="exact"/>
        <w:rPr>
          <w:rFonts w:ascii="Arial" w:cs="Arial" w:eastAsia="Arial" w:hAnsi="Arial"/>
          <w:sz w:val="18"/>
          <w:szCs w:val="18"/>
          <w:color w:val="auto"/>
        </w:rPr>
      </w:pPr>
    </w:p>
    <w:p>
      <w:pPr>
        <w:ind w:right="40" w:firstLine="915"/>
        <w:spacing w:after="0" w:line="277" w:lineRule="auto"/>
        <w:tabs>
          <w:tab w:leader="none" w:pos="119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It is not necessary for Noteholders to approve the particular form of any proposed amendment, supplement or waiver, but is sufficient if their consent approves the substance thereof.</w:t>
      </w:r>
    </w:p>
    <w:p>
      <w:pPr>
        <w:spacing w:after="0" w:line="170" w:lineRule="exact"/>
        <w:rPr>
          <w:rFonts w:ascii="Arial" w:cs="Arial" w:eastAsia="Arial" w:hAnsi="Arial"/>
          <w:sz w:val="18"/>
          <w:szCs w:val="18"/>
          <w:color w:val="auto"/>
        </w:rPr>
      </w:pPr>
    </w:p>
    <w:p>
      <w:pPr>
        <w:ind w:right="60" w:firstLine="915"/>
        <w:spacing w:after="0" w:line="257" w:lineRule="auto"/>
        <w:tabs>
          <w:tab w:leader="none" w:pos="1197" w:val="left"/>
        </w:tabs>
        <w:numPr>
          <w:ilvl w:val="0"/>
          <w:numId w:val="169"/>
        </w:numPr>
        <w:rPr>
          <w:rFonts w:ascii="Arial" w:cs="Arial" w:eastAsia="Arial" w:hAnsi="Arial"/>
          <w:sz w:val="18"/>
          <w:szCs w:val="18"/>
          <w:color w:val="auto"/>
        </w:rPr>
      </w:pPr>
      <w:r>
        <w:rPr>
          <w:rFonts w:ascii="Arial" w:cs="Arial" w:eastAsia="Arial" w:hAnsi="Arial"/>
          <w:sz w:val="18"/>
          <w:szCs w:val="18"/>
          <w:color w:val="auto"/>
        </w:rPr>
        <w:t>An amendment, supplement or waiver delivered under this Section will become effective on receipt by the Trustee of written consents from the Holders of the requisite percentage in principal amount of the outstanding Notes. After an amendment, supplement or waiver under this Section becomes effective, the Company will send to the Holders affected thereby a notice briefly describing the amendment, supplement or waiver. The Company will send supplemental indentures to Holders upon request. Any failure of the Company to send such notice, or any defect therein, will not, however, in any way impair or affect the validity of any such supplemental indenture or waiver.</w:t>
      </w:r>
    </w:p>
    <w:p>
      <w:pPr>
        <w:spacing w:after="0" w:line="188" w:lineRule="exact"/>
        <w:rPr>
          <w:sz w:val="20"/>
          <w:szCs w:val="20"/>
          <w:color w:val="auto"/>
        </w:rPr>
      </w:pPr>
    </w:p>
    <w:p>
      <w:pPr>
        <w:jc w:val="both"/>
        <w:ind w:right="120" w:firstLine="648"/>
        <w:spacing w:after="0" w:line="259"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Effect of Consent</w:t>
      </w:r>
      <w:r>
        <w:rPr>
          <w:rFonts w:ascii="Arial" w:cs="Arial" w:eastAsia="Arial" w:hAnsi="Arial"/>
          <w:sz w:val="18"/>
          <w:szCs w:val="18"/>
          <w:color w:val="auto"/>
        </w:rPr>
        <w:t>. (a) After an amendment, supplement or waiver becomes effective, it will bind every Holder unless it is of the type requiring the consent of each Holder affected. If the amendment, supplement or waiver is of the type requiring the consent of each Holder affected, the amendment, supplement or waiver shall bind each Holder that has consented to it and every subsequent Holder of a Note that evidences the same debt as the Note of the consenting Holder.</w:t>
      </w:r>
    </w:p>
    <w:p>
      <w:pPr>
        <w:sectPr>
          <w:pgSz w:w="11900" w:h="16838" w:orient="portrait"/>
          <w:cols w:equalWidth="0" w:num="1">
            <w:col w:w="11400"/>
          </w:cols>
          <w:pgMar w:left="240" w:top="125" w:right="259" w:bottom="0" w:gutter="0" w:footer="0" w:header="0"/>
        </w:sectPr>
      </w:pPr>
    </w:p>
    <w:bookmarkStart w:id="126" w:name="page127"/>
    <w:bookmarkEnd w:id="126"/>
    <w:p>
      <w:pPr>
        <w:ind w:right="80" w:firstLine="1175"/>
        <w:spacing w:after="0" w:line="279" w:lineRule="auto"/>
        <w:tabs>
          <w:tab w:leader="none" w:pos="1467" w:val="left"/>
        </w:tabs>
        <w:numPr>
          <w:ilvl w:val="0"/>
          <w:numId w:val="170"/>
        </w:numPr>
        <w:rPr>
          <w:rFonts w:ascii="Arial" w:cs="Arial" w:eastAsia="Arial" w:hAnsi="Arial"/>
          <w:sz w:val="17"/>
          <w:szCs w:val="17"/>
          <w:color w:val="auto"/>
        </w:rPr>
      </w:pPr>
      <w:r>
        <w:rPr>
          <w:rFonts w:ascii="Arial" w:cs="Arial" w:eastAsia="Arial" w:hAnsi="Arial"/>
          <w:sz w:val="17"/>
          <w:szCs w:val="17"/>
          <w:color w:val="auto"/>
        </w:rPr>
        <w:t>If an amendment, supplement or waiver changes the terms of a Note, the Trustee may require the Holder to deliver it to the Trustee so that the Trustee may place an appropriate notation of the changed terms on the Note and return it to the Holder, or exchange it for a new Note that reflects the changed terms. The Trustee may also place an appropriate notation on any Note thereafter authenticated. However, the effectiveness of the amendment, supplement or waiver is not affected by any failure to annotate or exchange Notes in this fashion.</w:t>
      </w:r>
    </w:p>
    <w:p>
      <w:pPr>
        <w:spacing w:after="0" w:line="171"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Section 9.04. </w:t>
      </w:r>
      <w:r>
        <w:rPr>
          <w:rFonts w:ascii="Arial" w:cs="Arial" w:eastAsia="Arial" w:hAnsi="Arial"/>
          <w:sz w:val="17"/>
          <w:szCs w:val="17"/>
          <w:i w:val="1"/>
          <w:iCs w:val="1"/>
          <w:color w:val="auto"/>
        </w:rPr>
        <w:t>Trustee’s Rights and Obligations</w:t>
      </w:r>
      <w:r>
        <w:rPr>
          <w:rFonts w:ascii="Arial" w:cs="Arial" w:eastAsia="Arial" w:hAnsi="Arial"/>
          <w:sz w:val="17"/>
          <w:szCs w:val="17"/>
          <w:color w:val="auto"/>
        </w:rPr>
        <w:t>. The Trustee is entitled to receive, and will be fully protected in relying upon, an Officers’ Certificate and/or an Opinion of Counsel stating that the execution of any amendment, supplement or waiver authorized pursuant to this Article is authorized or permitted by this Indenture. If the Trustee has received such an Officers’ Certificate and/or Opinion of Counsel, it shall sign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amendment, supplement or waiver so long as the same does not adversely affect the rights of the Trustee. The Trustee may, but is not obligated to, execute any amendment, supplement or waiver that affects the Trustee’s own rights, duties or immunities under this Indenture.</w:t>
      </w:r>
    </w:p>
    <w:p>
      <w:pPr>
        <w:spacing w:after="0" w:line="170" w:lineRule="exact"/>
        <w:rPr>
          <w:sz w:val="20"/>
          <w:szCs w:val="20"/>
          <w:color w:val="auto"/>
        </w:rPr>
      </w:pPr>
    </w:p>
    <w:p>
      <w:pPr>
        <w:ind w:right="640" w:firstLine="648"/>
        <w:spacing w:after="0" w:line="277" w:lineRule="auto"/>
        <w:rPr>
          <w:sz w:val="20"/>
          <w:szCs w:val="20"/>
          <w:color w:val="auto"/>
        </w:rPr>
      </w:pPr>
      <w:r>
        <w:rPr>
          <w:rFonts w:ascii="Arial" w:cs="Arial" w:eastAsia="Arial" w:hAnsi="Arial"/>
          <w:sz w:val="18"/>
          <w:szCs w:val="18"/>
          <w:color w:val="auto"/>
        </w:rPr>
        <w:t xml:space="preserve">Section 9.05. </w:t>
      </w:r>
      <w:r>
        <w:rPr>
          <w:rFonts w:ascii="Arial" w:cs="Arial" w:eastAsia="Arial" w:hAnsi="Arial"/>
          <w:sz w:val="18"/>
          <w:szCs w:val="18"/>
          <w:i w:val="1"/>
          <w:iCs w:val="1"/>
          <w:color w:val="auto"/>
        </w:rPr>
        <w:t>Conformity With Trust Indenture Act</w:t>
      </w:r>
      <w:r>
        <w:rPr>
          <w:rFonts w:ascii="Arial" w:cs="Arial" w:eastAsia="Arial" w:hAnsi="Arial"/>
          <w:sz w:val="18"/>
          <w:szCs w:val="18"/>
          <w:color w:val="auto"/>
        </w:rPr>
        <w:t>. Every supplemental indenture executed pursuant to this Article shall conform to the requirements of the Trust Indenture Act.</w:t>
      </w:r>
    </w:p>
    <w:p>
      <w:pPr>
        <w:spacing w:after="0" w:line="170"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Section 9.06. </w:t>
      </w:r>
      <w:r>
        <w:rPr>
          <w:rFonts w:ascii="Arial" w:cs="Arial" w:eastAsia="Arial" w:hAnsi="Arial"/>
          <w:sz w:val="18"/>
          <w:szCs w:val="18"/>
          <w:i w:val="1"/>
          <w:iCs w:val="1"/>
          <w:color w:val="auto"/>
        </w:rPr>
        <w:t>Payments for Consents</w:t>
      </w:r>
      <w:r>
        <w:rPr>
          <w:rFonts w:ascii="Arial" w:cs="Arial" w:eastAsia="Arial" w:hAnsi="Arial"/>
          <w:sz w:val="18"/>
          <w:szCs w:val="18"/>
          <w:color w:val="auto"/>
        </w:rPr>
        <w:t>. The Company shall not, and shall not permit or suffer any of its Subsidiaries or Affiliates to, directly or indirectly, pay or cause to be paid any consideration, whether by way of interest, fee or otherwise, to any Holder for or as an inducement to any consent, waiver or amendment of any of the terms or provisions of this Indenture or the Notes unless such consideration is offered to be paid or agreed to be paid to all Holders of the Notes that consent, waive or agree to amend such term or provision within the time period set forth in the solicitation documents relating to the consent, waiver or amendment.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Section 10.01. </w:t>
      </w:r>
      <w:r>
        <w:rPr>
          <w:rFonts w:ascii="Arial" w:cs="Arial" w:eastAsia="Arial" w:hAnsi="Arial"/>
          <w:sz w:val="17"/>
          <w:szCs w:val="17"/>
          <w:i w:val="1"/>
          <w:iCs w:val="1"/>
          <w:color w:val="auto"/>
        </w:rPr>
        <w:t>Conversion Privilege</w:t>
      </w:r>
      <w:r>
        <w:rPr>
          <w:rFonts w:ascii="Arial" w:cs="Arial" w:eastAsia="Arial" w:hAnsi="Arial"/>
          <w:sz w:val="17"/>
          <w:szCs w:val="17"/>
          <w:color w:val="auto"/>
        </w:rPr>
        <w:t>. Subject to and upon compliance with the provisions of this Article 10, a Noteholder shall have the right, at such Noteholder’s option, to convert all or any portion (if the portion to be converted is $1,000 principal amount or an integral multiple thereof) of such Noteholder’s Notes at any time prior to the Close of Business on the Business Day immediately preceding the Maturity Date at a conversion rate (the</w:t>
      </w:r>
    </w:p>
    <w:p>
      <w:pPr>
        <w:spacing w:after="0"/>
        <w:tabs>
          <w:tab w:leader="none" w:pos="250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Rate</w:t>
      </w:r>
      <w:r>
        <w:rPr>
          <w:rFonts w:ascii="Arial" w:cs="Arial" w:eastAsia="Arial" w:hAnsi="Arial"/>
          <w:sz w:val="18"/>
          <w:szCs w:val="18"/>
          <w:color w:val="auto"/>
        </w:rPr>
        <w:t>”) of</w:t>
      </w:r>
      <w:r>
        <w:rPr>
          <w:sz w:val="20"/>
          <w:szCs w:val="20"/>
          <w:color w:val="auto"/>
        </w:rPr>
        <w:tab/>
      </w:r>
      <w:r>
        <w:rPr>
          <w:rFonts w:ascii="Arial" w:cs="Arial" w:eastAsia="Arial" w:hAnsi="Arial"/>
          <w:sz w:val="16"/>
          <w:szCs w:val="16"/>
          <w:color w:val="auto"/>
        </w:rPr>
        <w:t>shares of Common Stock per $1,000 principal amount of Notes, subject to adjustment as set forth in this Article 10.</w:t>
      </w:r>
    </w:p>
    <w:p>
      <w:pPr>
        <w:spacing w:after="0" w:line="211"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i w:val="1"/>
          <w:iCs w:val="1"/>
          <w:color w:val="auto"/>
        </w:rPr>
        <w:t>Conversion Procedures; Conversion Settlement</w:t>
      </w:r>
      <w:r>
        <w:rPr>
          <w:rFonts w:ascii="Arial" w:cs="Arial" w:eastAsia="Arial" w:hAnsi="Arial"/>
          <w:sz w:val="17"/>
          <w:szCs w:val="17"/>
          <w:color w:val="auto"/>
        </w:rPr>
        <w:t>. (a) To convert a Note that is represented by a Certificated Note, a Noteholder must (1) complete and manually sign a Conversion Notice, a form of which is on the back of the Note, and deliver such Conversion Notice to the Conversion Agent, (2) surrender the Note to the Conversion Agent, (3) if required, furnish appropriate endorsement and transfer documents, (4) if required, pay all transfer or similar taxes and (5) if required, pay Cash equal to amount of interest due on the next Interest Payment Date for such Note. If a Noteholder holds a beneficial interest in a Global Note, to convert such beneficial interest, such Noteholder must comply with the requirements (4) and (5) as set forth in the immediately preceding sentence and comply with the Applicable Procedures of the Depositary for converting a beneficial interest in a Global Note. The first date on which all of the requirements set forth in the first sentence of this Section 10.02(a) (in the case of a Certificated Note) or the second sentence of this Section 10.02(a) (in the case of a Global Note or a</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color w:val="auto"/>
        </w:rPr>
        <w:t>beneficial interest therein) have been satisfied is referred to in this Indenture as the “</w:t>
      </w:r>
      <w:r>
        <w:rPr>
          <w:rFonts w:ascii="Arial" w:cs="Arial" w:eastAsia="Arial" w:hAnsi="Arial"/>
          <w:sz w:val="17"/>
          <w:szCs w:val="17"/>
          <w:b w:val="1"/>
          <w:bCs w:val="1"/>
          <w:color w:val="auto"/>
        </w:rPr>
        <w:t>Conversion Date</w:t>
      </w:r>
      <w:r>
        <w:rPr>
          <w:rFonts w:ascii="Arial" w:cs="Arial" w:eastAsia="Arial" w:hAnsi="Arial"/>
          <w:sz w:val="17"/>
          <w:szCs w:val="17"/>
          <w:color w:val="auto"/>
        </w:rPr>
        <w:t>.” The Conversion Agent shall, within one (1) Business Day of any Conversion Date, provide notice to the Company, as set forth in Section 13.03, of the occurrence of such Conversion Date.</w:t>
      </w:r>
    </w:p>
    <w:p>
      <w:pPr>
        <w:spacing w:after="0" w:line="142" w:lineRule="exact"/>
        <w:rPr>
          <w:sz w:val="20"/>
          <w:szCs w:val="20"/>
          <w:color w:val="auto"/>
        </w:rPr>
      </w:pPr>
    </w:p>
    <w:p>
      <w:pPr>
        <w:ind w:right="220" w:firstLine="1175"/>
        <w:spacing w:after="0" w:line="277" w:lineRule="auto"/>
        <w:tabs>
          <w:tab w:leader="none" w:pos="146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Delivery of shares of Common Stock upon conversion of Notes shall occur as soon as practicable after the Conversion Date, but in any event within five Business Days of the relevant Conversion Date.</w:t>
      </w:r>
    </w:p>
    <w:p>
      <w:pPr>
        <w:spacing w:after="0" w:line="170" w:lineRule="exact"/>
        <w:rPr>
          <w:rFonts w:ascii="Arial" w:cs="Arial" w:eastAsia="Arial" w:hAnsi="Arial"/>
          <w:sz w:val="18"/>
          <w:szCs w:val="18"/>
          <w:color w:val="auto"/>
        </w:rPr>
      </w:pPr>
    </w:p>
    <w:p>
      <w:pPr>
        <w:ind w:right="220" w:firstLine="1175"/>
        <w:spacing w:after="0" w:line="308" w:lineRule="auto"/>
        <w:tabs>
          <w:tab w:leader="none" w:pos="144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A Holder receiving Common Stock upon conversion shall not be entitled to any rights as a holder of Common Stock, including, among other things, the right to vote and receive dividends and notices of stockholder meetings, until the Close of Business on the Conversion Date.</w:t>
      </w:r>
    </w:p>
    <w:p>
      <w:pPr>
        <w:spacing w:after="0" w:line="146" w:lineRule="exact"/>
        <w:rPr>
          <w:rFonts w:ascii="Arial" w:cs="Arial" w:eastAsia="Arial" w:hAnsi="Arial"/>
          <w:sz w:val="17"/>
          <w:szCs w:val="17"/>
          <w:color w:val="auto"/>
        </w:rPr>
      </w:pPr>
    </w:p>
    <w:p>
      <w:pPr>
        <w:ind w:firstLine="1175"/>
        <w:spacing w:after="0" w:line="255" w:lineRule="auto"/>
        <w:tabs>
          <w:tab w:leader="none" w:pos="146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payment or adjustment will be made for dividends on, or other distributions with respect to, any Common Stock except as provided in this Article 10. Upon conversion of a Note, a Noteholder will not receive, except as described below, any Cash payment representing accrued interest (including any Additional Interest). Instead, accrued interest (including any Additional Interest) will be deemed paid by the shares of Common Stock received by the Noteholder upon conversion. Delivery to the Noteholder of such shares of Common Stock shall thus be deemed to satisfy (1) the Company’s obligation to pay the principal amount of a Note, and (2) the Company’s obligation to pay any accrued and unpaid interest (including any Additional Interest) on the Note. As a result, upon conversion of a Note, accrued and unpaid interest (including any Additional Interest) on such Note is deemed paid in full rather than cancelled, extinguished or forfeited.</w:t>
      </w:r>
    </w:p>
    <w:p>
      <w:pPr>
        <w:spacing w:after="0" w:line="189" w:lineRule="exact"/>
        <w:rPr>
          <w:rFonts w:ascii="Arial" w:cs="Arial" w:eastAsia="Arial" w:hAnsi="Arial"/>
          <w:sz w:val="18"/>
          <w:szCs w:val="18"/>
          <w:color w:val="auto"/>
        </w:rPr>
      </w:pPr>
    </w:p>
    <w:p>
      <w:pPr>
        <w:ind w:right="40" w:firstLine="1175"/>
        <w:spacing w:after="0" w:line="291" w:lineRule="auto"/>
        <w:tabs>
          <w:tab w:leader="none" w:pos="1457" w:val="left"/>
        </w:tabs>
        <w:numPr>
          <w:ilvl w:val="0"/>
          <w:numId w:val="171"/>
        </w:numPr>
        <w:rPr>
          <w:rFonts w:ascii="Arial" w:cs="Arial" w:eastAsia="Arial" w:hAnsi="Arial"/>
          <w:sz w:val="16"/>
          <w:szCs w:val="16"/>
          <w:color w:val="auto"/>
        </w:rPr>
      </w:pPr>
      <w:r>
        <w:rPr>
          <w:rFonts w:ascii="Arial" w:cs="Arial" w:eastAsia="Arial" w:hAnsi="Arial"/>
          <w:sz w:val="16"/>
          <w:szCs w:val="16"/>
          <w:color w:val="auto"/>
        </w:rPr>
        <w:t xml:space="preserve">Notwithstanding Section 10.02(d), if Notes are converted after a Record Date but prior to the next succeeding Interest Payment Date, Holders of such Notes at the Close of Business on such Record Date will receive the interest payable on such Notes on the corresponding Interest Payment Date notwithstanding the conversion. Such Notes, upon surrender for conversion, must be accompanied by Cash equal to the amount of interest payable on such Interest Payment Date on the Notes so converted;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payment need be made (1) if the Company has specified a Redemption Date that is after a Record Date but on or prior to the next succeeding Interest Payment Date, (2) if the Company has specified a Repurchase Date that is after a Record Date but on or prior to the next succeeding Interest Payment Date, (3) with respect to any Notes converted after the Record Date immediately preceding the Maturity Date or (4) to the extent of any Defaulted Interest that exists at the time of conversion with respect to such Note.</w:t>
      </w:r>
    </w:p>
    <w:p>
      <w:pPr>
        <w:spacing w:after="0" w:line="167" w:lineRule="exact"/>
        <w:rPr>
          <w:rFonts w:ascii="Arial" w:cs="Arial" w:eastAsia="Arial" w:hAnsi="Arial"/>
          <w:sz w:val="16"/>
          <w:szCs w:val="16"/>
          <w:color w:val="auto"/>
        </w:rPr>
      </w:pPr>
    </w:p>
    <w:p>
      <w:pPr>
        <w:ind w:right="100" w:firstLine="1175"/>
        <w:spacing w:after="0" w:line="308" w:lineRule="auto"/>
        <w:tabs>
          <w:tab w:leader="none" w:pos="1437"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a Noteholder converts more than one Note at the same time, the number of shares of Common Stock and the amount of Cash delivered in lieu of fractional shares, if any, due upon conversion shall be determined based on the total principal amount of the Notes converted.</w:t>
      </w:r>
    </w:p>
    <w:p>
      <w:pPr>
        <w:sectPr>
          <w:pgSz w:w="11900" w:h="16838" w:orient="portrait"/>
          <w:cols w:equalWidth="0" w:num="1">
            <w:col w:w="11420"/>
          </w:cols>
          <w:pgMar w:left="240" w:top="125" w:right="239" w:bottom="0" w:gutter="0" w:footer="0" w:header="0"/>
        </w:sectPr>
      </w:pPr>
    </w:p>
    <w:bookmarkStart w:id="127" w:name="page128"/>
    <w:bookmarkEnd w:id="127"/>
    <w:p>
      <w:pPr>
        <w:ind w:right="520" w:firstLine="1175"/>
        <w:spacing w:after="0" w:line="308" w:lineRule="auto"/>
        <w:tabs>
          <w:tab w:leader="none" w:pos="1467" w:val="left"/>
        </w:tabs>
        <w:numPr>
          <w:ilvl w:val="0"/>
          <w:numId w:val="172"/>
        </w:numPr>
        <w:rPr>
          <w:rFonts w:ascii="Arial" w:cs="Arial" w:eastAsia="Arial" w:hAnsi="Arial"/>
          <w:sz w:val="17"/>
          <w:szCs w:val="17"/>
          <w:color w:val="auto"/>
        </w:rPr>
      </w:pPr>
      <w:r>
        <w:rPr>
          <w:rFonts w:ascii="Arial" w:cs="Arial" w:eastAsia="Arial" w:hAnsi="Arial"/>
          <w:sz w:val="17"/>
          <w:szCs w:val="17"/>
          <w:color w:val="auto"/>
        </w:rPr>
        <w:t>Upon surrender of a Note that is converted in part, the Company shall execute, and the Trustee shall authenticate and deliver to the Holder, a new Note in an authorized denomination equal in principal amount to the unconverted portion of the Note surrendered.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Fractional Shares</w:t>
      </w:r>
      <w:r>
        <w:rPr>
          <w:rFonts w:ascii="Arial" w:cs="Arial" w:eastAsia="Arial" w:hAnsi="Arial"/>
          <w:sz w:val="18"/>
          <w:szCs w:val="18"/>
          <w:color w:val="auto"/>
        </w:rPr>
        <w:t>. The Company will not issue a fractional share of Common Stock upon conversion of a Note. Instead, the Company shall pay Cash in lieu of fractional shares based on the Closing Price of Common Stock on the Trading Day prior to the applicable Conversion Date.</w:t>
      </w:r>
    </w:p>
    <w:p>
      <w:pPr>
        <w:spacing w:after="0" w:line="18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Section 10.04. </w:t>
      </w:r>
      <w:r>
        <w:rPr>
          <w:rFonts w:ascii="Arial" w:cs="Arial" w:eastAsia="Arial" w:hAnsi="Arial"/>
          <w:sz w:val="18"/>
          <w:szCs w:val="18"/>
          <w:i w:val="1"/>
          <w:iCs w:val="1"/>
          <w:color w:val="auto"/>
        </w:rPr>
        <w:t>Taxes on Conversion</w:t>
      </w:r>
      <w:r>
        <w:rPr>
          <w:rFonts w:ascii="Arial" w:cs="Arial" w:eastAsia="Arial" w:hAnsi="Arial"/>
          <w:sz w:val="18"/>
          <w:szCs w:val="18"/>
          <w:color w:val="auto"/>
        </w:rPr>
        <w:t>. If a Holder converts a Note, the Company shall pay any documentary, stamp or similar issue or transfer tax due on the issue of any shares of Common Stock upon the conversion. However, the Holder shall pay any such tax which is due because the Holder requests the shares to be issued in a name other than the Holder’s name. The Conversion Agent may refuse to deliver the certificates representing Common Stock being issued in a name other than the Holder’s name until the Conversion Agent receives a sum sufficient to pay any tax which will be due because Common Stock is to be delivered in a name other than the Holder’s name.</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i w:val="1"/>
          <w:iCs w:val="1"/>
          <w:color w:val="auto"/>
        </w:rPr>
        <w:t>Company to Provide Common Stock</w:t>
      </w:r>
      <w:r>
        <w:rPr>
          <w:rFonts w:ascii="Arial" w:cs="Arial" w:eastAsia="Arial" w:hAnsi="Arial"/>
          <w:sz w:val="18"/>
          <w:szCs w:val="18"/>
          <w:color w:val="auto"/>
        </w:rPr>
        <w:t>. The Company shall, from time to time as may be necessary, reserve out of its authorized but unissued shares of Common Stock a sufficient number of shares of Common Stock to permit the delivery in respect of all outstanding Notes of the number of shares of Common Stock due upon conversion.</w:t>
      </w:r>
    </w:p>
    <w:p>
      <w:pPr>
        <w:spacing w:after="0" w:line="18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All shares of Common Stock delivered upon conversion of the Notes shall be newly issued shares or treasury shares, shall be duly and validly issued and fully paid and nonassessable and shall be free from preemptive rights and free of any lien or adverse claim.</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Company will comply with all federal and state securities laws regulating the offer and delivery of shares of Common Stock upon conversion of Notes, if any, and shall list or cause to have quoted such shares of Common Stock on each national securities exchange or in the over-the-counter market or such other market on which Common Stock is then listed or quoted.</w:t>
      </w:r>
    </w:p>
    <w:p>
      <w:pPr>
        <w:spacing w:after="0" w:line="181"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In addition, if any shares of Common Stock that would be issuable upon conversion of Notes hereunder require registration with or approval of any governmental authority before such shares of Common Stock may be issued upon such conversion, the Company will cause such shares of Common Stock to be duly registered or approved, as the case may be.</w:t>
      </w:r>
    </w:p>
    <w:p>
      <w:pPr>
        <w:spacing w:after="0" w:line="18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i w:val="1"/>
          <w:iCs w:val="1"/>
          <w:color w:val="auto"/>
        </w:rPr>
        <w:t>Adjustment for Change in Capital Stock</w:t>
      </w:r>
      <w:r>
        <w:rPr>
          <w:rFonts w:ascii="Arial" w:cs="Arial" w:eastAsia="Arial" w:hAnsi="Arial"/>
          <w:sz w:val="18"/>
          <w:szCs w:val="18"/>
          <w:color w:val="auto"/>
        </w:rPr>
        <w:t>. (a) If the Company shall, at any time and from time to time while any of the Notes are outstanding, issue dividends or make distributions on Common Stock payable in shares of Common Stock, then the Conversion Rate shall be increased so that the same shall equal the rate determined by multiplying the Conversion Rate in effect at the opening of business on the Ex-Date for such dividend or distribution by a fraction: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2277"/>
        <w:spacing w:after="0" w:line="264" w:lineRule="auto"/>
        <w:tabs>
          <w:tab w:leader="none" w:pos="2619"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the numerator of which shall be the sum of the number of shares of Common Stock outstanding at the Close of Business on the Business Day immediately preceding the Ex-Date for such dividend or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total number of shares of Common Stock constituting such dividend or distribution; and</w:t>
      </w:r>
    </w:p>
    <w:p>
      <w:pPr>
        <w:spacing w:after="0" w:line="181" w:lineRule="exact"/>
        <w:rPr>
          <w:rFonts w:ascii="Arial" w:cs="Arial" w:eastAsia="Arial" w:hAnsi="Arial"/>
          <w:sz w:val="18"/>
          <w:szCs w:val="18"/>
          <w:color w:val="auto"/>
        </w:rPr>
      </w:pPr>
    </w:p>
    <w:p>
      <w:pPr>
        <w:ind w:right="240" w:firstLine="2277"/>
        <w:spacing w:after="0" w:line="277" w:lineRule="auto"/>
        <w:tabs>
          <w:tab w:leader="none" w:pos="262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denominator of which shall be the number of shares of Common Stock outstanding at the Close of Business on the Business Day immediately preceding such Ex-Date.</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If any dividend or distribution of the type described in this Section 10.06 is declared but not so paid or made, the Conversion Rate shall again be adjusted to the Conversion Rate which would then be in effect if such dividend or distribution had not been declared. In no event shall the Conversion Rate be decreased pursuant to this Section 10.06.</w:t>
      </w:r>
    </w:p>
    <w:p>
      <w:pPr>
        <w:spacing w:after="0" w:line="181" w:lineRule="exact"/>
        <w:rPr>
          <w:sz w:val="20"/>
          <w:szCs w:val="20"/>
          <w:color w:val="auto"/>
        </w:rPr>
      </w:pPr>
    </w:p>
    <w:p>
      <w:pPr>
        <w:ind w:right="100" w:firstLine="1305"/>
        <w:spacing w:after="0" w:line="269" w:lineRule="auto"/>
        <w:tabs>
          <w:tab w:leader="none" w:pos="1641"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the Company shall, at any time or from time to time while any of the Notes are outstanding, subdivide or reclassify outstanding shares of Common Stock into a greater number of shares of Common Stock, then the Conversion Rate in effect at the opening of business on the day upon which such subdivision or reclassification becomes effective shall be proportionately increased, and conversely, if the Company shall, at any time or from time to time while any of the Notes are outstanding, combine or reclassify outstanding shares of Common Stock into a smaller number of shares of Common Stock, then the Conversion Rate in effect at the opening of business on the day upon which such combination or reclassification becomes effective shall be proportionately decreased. In each such case, the Conversion Rate shall be adjusted by multiplying such Conversion Rate by a fraction, the numerator of which shall be the number of shares of Common Stock outstanding immediately after giving effect to such subdivision, combination or reclassification and the denominator of which shall be the number of shares of Common Stock outstanding immediately prior to such subdivision, combination or reclassification. Such increase or reduction (solely in the case of any combination or reclassification of outstanding shares of Common Stock into a smaller number of shares of Common Stock), as the case may be, shall become effective immediately after the opening of business on the day upon which such subdivision, combination or reclassification becomes effective.</w:t>
      </w:r>
    </w:p>
    <w:p>
      <w:pPr>
        <w:spacing w:after="0" w:line="183"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 xml:space="preserve">Section 10.07. </w:t>
      </w:r>
      <w:r>
        <w:rPr>
          <w:rFonts w:ascii="Arial" w:cs="Arial" w:eastAsia="Arial" w:hAnsi="Arial"/>
          <w:sz w:val="17"/>
          <w:szCs w:val="17"/>
          <w:i w:val="1"/>
          <w:iCs w:val="1"/>
          <w:color w:val="auto"/>
        </w:rPr>
        <w:t>Adjustment for Rights, Options or Warrants Issue</w:t>
      </w:r>
      <w:r>
        <w:rPr>
          <w:rFonts w:ascii="Arial" w:cs="Arial" w:eastAsia="Arial" w:hAnsi="Arial"/>
          <w:sz w:val="17"/>
          <w:szCs w:val="17"/>
          <w:color w:val="auto"/>
        </w:rPr>
        <w:t>. If the Company shall, at any time or from time to time while the Notes are outstanding, distribute to all holders of Common Stock rights, options or warrants to purchase shares of Common Stock for a period expiring within 60 days after the record date for such distribution at less than the average of the Closing Prices of Common Stock for the five consecutive Trading Days immediately preceding the first public announcement of such distribution, then the Conversion Rate shall be increased so that the same shall equal the rate determined by multiplying the Conversion Rate in effect at the opening of business on the Ex-Date for such distribution by a fraction:</w:t>
      </w:r>
    </w:p>
    <w:p>
      <w:pPr>
        <w:spacing w:after="0" w:line="173" w:lineRule="exact"/>
        <w:rPr>
          <w:sz w:val="20"/>
          <w:szCs w:val="20"/>
          <w:color w:val="auto"/>
        </w:rPr>
      </w:pPr>
    </w:p>
    <w:p>
      <w:pPr>
        <w:ind w:right="320" w:firstLine="1305"/>
        <w:spacing w:after="0" w:line="342" w:lineRule="auto"/>
        <w:tabs>
          <w:tab w:leader="none" w:pos="2046"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the numerator of which shall be the number of shares of Common Stock outstanding at the Close of Business on the Business Day immediately preceding the Ex-Date for such distribution,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total number of additional shares of Common Stock so offered for purchase; and</w:t>
      </w:r>
    </w:p>
    <w:p>
      <w:pPr>
        <w:sectPr>
          <w:pgSz w:w="11900" w:h="16838" w:orient="portrait"/>
          <w:cols w:equalWidth="0" w:num="1">
            <w:col w:w="11400"/>
          </w:cols>
          <w:pgMar w:left="240" w:top="125" w:right="259" w:bottom="298" w:gutter="0" w:footer="0" w:header="0"/>
        </w:sectPr>
      </w:pP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98" w:gutter="0" w:footer="0" w:header="0"/>
          <w:type w:val="continuous"/>
        </w:sectPr>
      </w:pPr>
    </w:p>
    <w:bookmarkStart w:id="128" w:name="page129"/>
    <w:bookmarkEnd w:id="128"/>
    <w:p>
      <w:pPr>
        <w:spacing w:after="0" w:line="72" w:lineRule="exact"/>
        <w:rPr>
          <w:sz w:val="20"/>
          <w:szCs w:val="20"/>
          <w:color w:val="auto"/>
        </w:rPr>
      </w:pPr>
    </w:p>
    <w:p>
      <w:pPr>
        <w:ind w:right="60" w:firstLine="1305"/>
        <w:spacing w:after="0" w:line="257" w:lineRule="auto"/>
        <w:tabs>
          <w:tab w:leader="none" w:pos="2001" w:val="left"/>
        </w:tabs>
        <w:numPr>
          <w:ilvl w:val="0"/>
          <w:numId w:val="176"/>
        </w:numPr>
        <w:rPr>
          <w:rFonts w:ascii="Arial" w:cs="Arial" w:eastAsia="Arial" w:hAnsi="Arial"/>
          <w:sz w:val="18"/>
          <w:szCs w:val="18"/>
          <w:color w:val="auto"/>
        </w:rPr>
      </w:pPr>
      <w:r>
        <w:rPr>
          <w:rFonts w:ascii="Arial" w:cs="Arial" w:eastAsia="Arial" w:hAnsi="Arial"/>
          <w:sz w:val="18"/>
          <w:szCs w:val="18"/>
          <w:color w:val="auto"/>
        </w:rPr>
        <w:t xml:space="preserve">the denominator of which shall be the number of shares of Common Stock outstanding on the Close of Business on the Business Day immediately preceding the Ex-Date for such distribution,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number of shares of Common Stock that the aggregate offering price of the total number of shares of Common Stock so offered would purchase at the Current Market Price of Common Stock on the first public announcement date for such distribution (determined by multiplying such total number of shares of Common Stock so offered by the exercise price of such rights, options or warrants and dividing the product so obtained by such Current Market Price).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adjustment shall become effective immediately after the opening of business on the Ex-Date for such distribution.</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To the extent that shares of Common Stock are not delivered pursuant to such rights or upon the expiration or termination of such rights, options or warrants, the Conversion Rate shall be readjusted to the Conversion Rate that would then be in effect had the adjustments made upon the issuance of such rights, options or warrants been made on the basis of the delivery of only the number of shares of Common Stock actually delivered. In the event that such rights, options or warrants are not so distributed, the Conversion Rate shall again be adjusted to be the Conversion Rate which would then be in effect if the Ex-Date for such distribution had not occurred. In determining whether any rights, options or warrants entitle the holders to purchase shares of Common Stock at less than the average of the Closing Prices for the five consecutive Trading Days immediately preceding the first public announcement of the relevant distribution, and in determining the aggregate offering price of such shares of Common Stock, there shall be taken into account any consideration received for such rights, options or warrants and the value of such consideration if other than Cash, to be determined in good faith by the Board of Directors. In no event shall the Conversion Rate be decreased pursuant to this Section 10.07.</w:t>
      </w:r>
    </w:p>
    <w:p>
      <w:pPr>
        <w:spacing w:after="0" w:line="18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10.08.</w:t>
      </w:r>
      <w:r>
        <w:rPr>
          <w:sz w:val="20"/>
          <w:szCs w:val="20"/>
          <w:color w:val="auto"/>
        </w:rPr>
        <w:tab/>
      </w:r>
      <w:r>
        <w:rPr>
          <w:rFonts w:ascii="Arial" w:cs="Arial" w:eastAsia="Arial" w:hAnsi="Arial"/>
          <w:sz w:val="16"/>
          <w:szCs w:val="16"/>
          <w:i w:val="1"/>
          <w:iCs w:val="1"/>
          <w:color w:val="auto"/>
        </w:rPr>
        <w:t>Adjustment for Other Distributions</w:t>
      </w:r>
      <w:r>
        <w:rPr>
          <w:rFonts w:ascii="Arial" w:cs="Arial" w:eastAsia="Arial" w:hAnsi="Arial"/>
          <w:sz w:val="16"/>
          <w:szCs w:val="16"/>
          <w:color w:val="auto"/>
        </w:rPr>
        <w:t>.</w:t>
      </w:r>
    </w:p>
    <w:p>
      <w:pPr>
        <w:spacing w:after="0" w:line="225" w:lineRule="exact"/>
        <w:rPr>
          <w:sz w:val="20"/>
          <w:szCs w:val="20"/>
          <w:color w:val="auto"/>
        </w:rPr>
      </w:pPr>
    </w:p>
    <w:p>
      <w:pPr>
        <w:ind w:right="60" w:firstLine="1305"/>
        <w:spacing w:after="0" w:line="293" w:lineRule="auto"/>
        <w:tabs>
          <w:tab w:leader="none" w:pos="1991" w:val="left"/>
        </w:tabs>
        <w:numPr>
          <w:ilvl w:val="0"/>
          <w:numId w:val="177"/>
        </w:numPr>
        <w:rPr>
          <w:rFonts w:ascii="Arial" w:cs="Arial" w:eastAsia="Arial" w:hAnsi="Arial"/>
          <w:sz w:val="16"/>
          <w:szCs w:val="16"/>
          <w:color w:val="auto"/>
        </w:rPr>
      </w:pPr>
      <w:r>
        <w:rPr>
          <w:rFonts w:ascii="Arial" w:cs="Arial" w:eastAsia="Arial" w:hAnsi="Arial"/>
          <w:sz w:val="16"/>
          <w:szCs w:val="16"/>
          <w:color w:val="auto"/>
        </w:rPr>
        <w:t>If the Company shall, at any time or from time to time while the Notes are outstanding, distribute to all holders of Common Stock any of its Capital Stock, assets (including shares of any Subsidiary of the Company or business unit of the Company), or debt securities or rights to purchase securities of the Company (excluding (x) any dividends or distributions described in Section 10.06(a), (y) any rights, options or warrants described in Section 10.07 and (z) any dividends or other distributions described in Section 10.09 (such Capital Stock, assets, debt securities or rights to purchase securities of the Company hereinafter in this Section 10.08 called the “</w:t>
      </w:r>
      <w:r>
        <w:rPr>
          <w:rFonts w:ascii="Arial" w:cs="Arial" w:eastAsia="Arial" w:hAnsi="Arial"/>
          <w:sz w:val="16"/>
          <w:szCs w:val="16"/>
          <w:b w:val="1"/>
          <w:bCs w:val="1"/>
          <w:color w:val="auto"/>
        </w:rPr>
        <w:t>Distributed Assets</w:t>
      </w:r>
      <w:r>
        <w:rPr>
          <w:rFonts w:ascii="Arial" w:cs="Arial" w:eastAsia="Arial" w:hAnsi="Arial"/>
          <w:sz w:val="16"/>
          <w:szCs w:val="16"/>
          <w:color w:val="auto"/>
        </w:rPr>
        <w:t>”)), then the Conversion Rate shall be increased so that the same shall equal the rate determined by multiplying the Conversion Rate in effect at the opening of business on the Ex-Date for such distribution by a fraction: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620" w:hanging="343"/>
        <w:spacing w:after="0"/>
        <w:tabs>
          <w:tab w:leader="none" w:pos="26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w:t>
      </w:r>
    </w:p>
    <w:p>
      <w:pPr>
        <w:spacing w:after="0" w:line="225" w:lineRule="exact"/>
        <w:rPr>
          <w:rFonts w:ascii="Arial" w:cs="Arial" w:eastAsia="Arial" w:hAnsi="Arial"/>
          <w:sz w:val="18"/>
          <w:szCs w:val="18"/>
          <w:color w:val="auto"/>
        </w:rPr>
      </w:pPr>
    </w:p>
    <w:p>
      <w:pPr>
        <w:ind w:right="400" w:firstLine="2277"/>
        <w:spacing w:after="0" w:line="264" w:lineRule="auto"/>
        <w:tabs>
          <w:tab w:leader="none" w:pos="262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of Common Stock on the Business Day immediately preceding the Ex-Date for such distribution,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fair market value, as determined by the Board of Directors, of the portion of Distributed Assets so distributed applicable to one share of Common Stock;</w:t>
      </w:r>
    </w:p>
    <w:p>
      <w:pPr>
        <w:spacing w:after="0" w:line="181" w:lineRule="exact"/>
        <w:rPr>
          <w:sz w:val="20"/>
          <w:szCs w:val="20"/>
          <w:color w:val="auto"/>
        </w:rPr>
      </w:pPr>
    </w:p>
    <w:p>
      <w:pPr>
        <w:ind w:right="60" w:firstLine="1297"/>
        <w:spacing w:after="0" w:line="290" w:lineRule="auto"/>
        <w:rPr>
          <w:sz w:val="20"/>
          <w:szCs w:val="20"/>
          <w:color w:val="auto"/>
        </w:rPr>
      </w:pPr>
      <w:r>
        <w:rPr>
          <w:rFonts w:ascii="Arial" w:cs="Arial" w:eastAsia="Arial" w:hAnsi="Arial"/>
          <w:sz w:val="16"/>
          <w:szCs w:val="16"/>
          <w:color w:val="auto"/>
        </w:rPr>
        <w:t xml:space="preserve">Such increase shall become effective immediately after the opening of business on the Ex-Date for such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fair market value, as determined by the Board of Directors, of the portion of Distributed Assets so distributed applicable to one share of Common Stock” as set forth above is equal to or greater than “the Current Market Price of Common Stock on the Business Day immediately preceding the Ex-Date for such distribution” as set forth above, in lieu of the foregoing adjustment, adequate provision shall be made so that each Noteholder shall receive on the date on which the Distributed Assets are distributed to holders of Common Stock, for each $1,000 principal amount of Notes, the amount of Distributed Assets such Noteholder would have received had such Noteholder owned a number of shares of Common Stock equal to the Conversion Rate on the record date for such distribution. In the event that such distribution is not so made, the Conversion Rate shall again be adjusted to be the Conversion Rate which would then be in effect if such distribution had not been declared. In no event shall the Conversion Rate be decreased pursuant to this Section 10.08(a).</w:t>
      </w:r>
    </w:p>
    <w:p>
      <w:pPr>
        <w:spacing w:after="0" w:line="166"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If the Board of Directors determines the fair market value of any distribution for purposes of this Section 10.08(a) by reference to the actual or when issued trading market for any Distributed Assets comprising all or part of such distribution, it must in doing so consider the prices in such market over the same period (the “</w:t>
      </w:r>
      <w:r>
        <w:rPr>
          <w:rFonts w:ascii="Arial" w:cs="Arial" w:eastAsia="Arial" w:hAnsi="Arial"/>
          <w:sz w:val="17"/>
          <w:szCs w:val="17"/>
          <w:b w:val="1"/>
          <w:bCs w:val="1"/>
          <w:color w:val="auto"/>
        </w:rPr>
        <w:t>Reference Period</w:t>
      </w:r>
      <w:r>
        <w:rPr>
          <w:rFonts w:ascii="Arial" w:cs="Arial" w:eastAsia="Arial" w:hAnsi="Arial"/>
          <w:sz w:val="17"/>
          <w:szCs w:val="17"/>
          <w:color w:val="auto"/>
        </w:rPr>
        <w:t>”) used in computing the Current Market Price for purposes of clause (i) above, unless the Board of Directors determines in good faith that determining the fair market value during the Reference Period would not be in the best interest of the Holders.</w:t>
      </w:r>
    </w:p>
    <w:p>
      <w:pPr>
        <w:spacing w:after="0" w:line="171" w:lineRule="exact"/>
        <w:rPr>
          <w:sz w:val="20"/>
          <w:szCs w:val="20"/>
          <w:color w:val="auto"/>
        </w:rPr>
      </w:pPr>
    </w:p>
    <w:p>
      <w:pPr>
        <w:ind w:right="60" w:firstLine="1305"/>
        <w:spacing w:after="0" w:line="238" w:lineRule="auto"/>
        <w:tabs>
          <w:tab w:leader="none" w:pos="164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Notwithstanding anything to the contrary in this Section 10.08, if the Company distributes Capital Stock of, or similar equity interests in, a Subsidiary of the Company or other business unit of the Company (a “</w:t>
      </w:r>
      <w:r>
        <w:rPr>
          <w:rFonts w:ascii="Arial" w:cs="Arial" w:eastAsia="Arial" w:hAnsi="Arial"/>
          <w:sz w:val="18"/>
          <w:szCs w:val="18"/>
          <w:b w:val="1"/>
          <w:bCs w:val="1"/>
          <w:color w:val="auto"/>
        </w:rPr>
        <w:t>Spin-Off</w:t>
      </w:r>
      <w:r>
        <w:rPr>
          <w:rFonts w:ascii="Arial" w:cs="Arial" w:eastAsia="Arial" w:hAnsi="Arial"/>
          <w:sz w:val="18"/>
          <w:szCs w:val="18"/>
          <w:color w:val="auto"/>
        </w:rPr>
        <w:t>”), then the Conversion Rate shall be increased so that the same shall equal the rate determined by multiplying the Conversion Rate in effect at the opening of business on the 15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Trading Day immediately following the Ex-Date for such Spin-Off by a fraction:</w:t>
      </w:r>
    </w:p>
    <w:p>
      <w:pPr>
        <w:spacing w:after="0" w:line="202" w:lineRule="exact"/>
        <w:rPr>
          <w:rFonts w:ascii="Arial" w:cs="Arial" w:eastAsia="Arial" w:hAnsi="Arial"/>
          <w:sz w:val="18"/>
          <w:szCs w:val="18"/>
          <w:color w:val="auto"/>
        </w:rPr>
      </w:pPr>
    </w:p>
    <w:p>
      <w:pPr>
        <w:ind w:right="260" w:firstLine="1953"/>
        <w:spacing w:after="0" w:line="279" w:lineRule="auto"/>
        <w:tabs>
          <w:tab w:leader="none" w:pos="2695" w:val="left"/>
        </w:tabs>
        <w:numPr>
          <w:ilvl w:val="1"/>
          <w:numId w:val="179"/>
        </w:numPr>
        <w:rPr>
          <w:rFonts w:ascii="Arial" w:cs="Arial" w:eastAsia="Arial" w:hAnsi="Arial"/>
          <w:sz w:val="17"/>
          <w:szCs w:val="17"/>
          <w:color w:val="auto"/>
        </w:rPr>
      </w:pPr>
      <w:r>
        <w:rPr>
          <w:rFonts w:ascii="Arial" w:cs="Arial" w:eastAsia="Arial" w:hAnsi="Arial"/>
          <w:sz w:val="17"/>
          <w:szCs w:val="17"/>
          <w:color w:val="auto"/>
        </w:rPr>
        <w:t>the numerator of which will be the sum of (A) the average of the Closing Prices of the Capital Stock or similar equity interest distributed to holders of Common Stock applicable to one share of Common Stock over the ten consecutive Trading Day period immediately following, and including, the fifth Trading Day after the Ex-Date for the Spin-Off and (B) the average of the Closing Prices of Common Stock over the ten consecutive Trading Day period immediately following, and including, the fifth Trading Day after the Ex-Date for the Spin-Off;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1953"/>
        <w:spacing w:after="0" w:line="277" w:lineRule="auto"/>
        <w:tabs>
          <w:tab w:leader="none" w:pos="265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denominator of which is the average of the Closing Prices of Common Stock over the ten consecutive Trading Day period immediately following, and including, the fifth Trading Day after the Ex-Date for the Spin-Off.</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no event shall the Conversion Rate be decreased pursuant to this Section 10.08(b).</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Adjustment for Cash Dividends</w:t>
      </w:r>
      <w:r>
        <w:rPr>
          <w:rFonts w:ascii="Arial" w:cs="Arial" w:eastAsia="Arial" w:hAnsi="Arial"/>
          <w:sz w:val="18"/>
          <w:szCs w:val="18"/>
          <w:color w:val="auto"/>
        </w:rPr>
        <w:t>. If the Company shall, at any time or from time to time while any of the Notes are outstanding, distribute dividends or make other distributions paid entirely in Cash to all or substantially all holders of Common Stock (other than (x) distributions described in Section 10.10 below or (y) any dividend or distribution in connection with the Company’s liquidation, dissolution or winding up), then the Conversion Rate shall be increased so that the same shall equal the rate determined by multiplying the Conversion Rate in effect at the opening of business on the Ex-Date for such dividend or distribution by a fraction:</w:t>
      </w:r>
    </w:p>
    <w:p>
      <w:pPr>
        <w:sectPr>
          <w:pgSz w:w="11900" w:h="16911" w:orient="portrait"/>
          <w:cols w:equalWidth="0" w:num="1">
            <w:col w:w="11420"/>
          </w:cols>
          <w:pgMar w:left="240" w:top="341" w:right="239" w:bottom="0" w:gutter="0" w:footer="0" w:header="0"/>
        </w:sectPr>
      </w:pPr>
    </w:p>
    <w:bookmarkStart w:id="129" w:name="page130"/>
    <w:bookmarkEnd w:id="129"/>
    <w:p>
      <w:pPr>
        <w:spacing w:after="0" w:line="90" w:lineRule="exact"/>
        <w:rPr>
          <w:sz w:val="20"/>
          <w:szCs w:val="20"/>
          <w:color w:val="auto"/>
        </w:rPr>
      </w:pPr>
    </w:p>
    <w:p>
      <w:pPr>
        <w:ind w:left="2000" w:hanging="695"/>
        <w:spacing w:after="0"/>
        <w:tabs>
          <w:tab w:leader="none" w:pos="200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numerator of which will be the Current Market Price of Common Stock; and</w:t>
      </w:r>
    </w:p>
    <w:p>
      <w:pPr>
        <w:spacing w:after="0" w:line="225" w:lineRule="exact"/>
        <w:rPr>
          <w:rFonts w:ascii="Arial" w:cs="Arial" w:eastAsia="Arial" w:hAnsi="Arial"/>
          <w:sz w:val="18"/>
          <w:szCs w:val="18"/>
          <w:color w:val="auto"/>
        </w:rPr>
      </w:pPr>
    </w:p>
    <w:p>
      <w:pPr>
        <w:ind w:right="620" w:firstLine="1305"/>
        <w:spacing w:after="0" w:line="277" w:lineRule="auto"/>
        <w:tabs>
          <w:tab w:leader="none" w:pos="200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 xml:space="preserve">the denominator of which will be the Current Market Price per share of Common Stock on the Business Day immediately preceding the Ex-Date for such dividend or distribution,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per share of such dividend or distribution.</w:t>
      </w:r>
    </w:p>
    <w:p>
      <w:pPr>
        <w:spacing w:after="0" w:line="170"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Such adjustment shall become effective immediately after the opening of business on the Ex-Date for such distribution or dividend;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amount per share of such dividend or distribution” as set forth above is equal to or greater than “the Current Market Price per share of Common Stock on the Business Day immediately preceding the Ex-Date for such dividend or distribution” as set forth above, in lieu of the foregoing adjustment, adequate provision shall be made so that each Noteholder shall have the right to receive on the date on which the relevant Cash dividend or distribution is distributed to holders of Common Stock, for each $1,000 principal amount of Notes upon conversion, the amount of Cash such Noteholder would have received had such Noteholder owned a number of shares equal to the Conversion Rate on the Record Date for such dividend or distribution. In the event that such distribution or dividend is not so made, the Conversion Rate shall again be adjusted to be the Conversion Rate which would then be in effect if such dividend or distribution had not been declared.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no event shall the Conversion Rate be decreased pursuant to this Section 10.09.</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Adjustment for Tender Offer</w:t>
      </w:r>
      <w:r>
        <w:rPr>
          <w:rFonts w:ascii="Arial" w:cs="Arial" w:eastAsia="Arial" w:hAnsi="Arial"/>
          <w:sz w:val="18"/>
          <w:szCs w:val="18"/>
          <w:color w:val="auto"/>
        </w:rPr>
        <w:t>. If the Company or any of its Subsidiaries shall, at any time or from time to time, while any of the Notes are outstanding, distribute Cash or other consideration in respect of a tender offer or exchange offer for Common Stock, where such Cash and the value of any such other consideration per share of Common Stock validly tendered or exchanged exceeds the Closing Price of Common Stock on Trading Day immediately following the last date (such last date, the “</w:t>
      </w:r>
      <w:r>
        <w:rPr>
          <w:rFonts w:ascii="Arial" w:cs="Arial" w:eastAsia="Arial" w:hAnsi="Arial"/>
          <w:sz w:val="18"/>
          <w:szCs w:val="18"/>
          <w:b w:val="1"/>
          <w:bCs w:val="1"/>
          <w:color w:val="auto"/>
        </w:rPr>
        <w:t>Expiration Date</w:t>
      </w:r>
      <w:r>
        <w:rPr>
          <w:rFonts w:ascii="Arial" w:cs="Arial" w:eastAsia="Arial" w:hAnsi="Arial"/>
          <w:sz w:val="18"/>
          <w:szCs w:val="18"/>
          <w:color w:val="auto"/>
        </w:rPr>
        <w: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which tenders or exchanges may be made pursuant to the tender or exchange offer, then the Conversion Rate shall be increased so that the same shall equal the rate determined by multiplying the Conversion Rate in effect at the opening of business on the Business Day immediately following the Trading Day immediately following the Expiration Date by a fraction:</w:t>
      </w:r>
    </w:p>
    <w:p>
      <w:pPr>
        <w:spacing w:after="0" w:line="181" w:lineRule="exact"/>
        <w:rPr>
          <w:sz w:val="20"/>
          <w:szCs w:val="20"/>
          <w:color w:val="auto"/>
        </w:rPr>
      </w:pPr>
    </w:p>
    <w:p>
      <w:pPr>
        <w:jc w:val="both"/>
        <w:ind w:right="180" w:firstLine="1305"/>
        <w:spacing w:after="0" w:line="279" w:lineRule="auto"/>
        <w:tabs>
          <w:tab w:leader="none" w:pos="200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the numerator of which will be the sum of (A) the fair market value, as determined by the Board of Directors, of the aggregate consideration payable for all shares of Common Stock that the Company purchases in such tender or exchange offer and (B) the product of the number of shares of Common Stock outstanding, less the number of shares of Common Stock purchased in the relevant tender offer or exchange offer (the “Purchased Shares”), and the Closing Price of Common Stock on the Trading Day immediately following the Expiration Date; and</w:t>
      </w:r>
    </w:p>
    <w:p>
      <w:pPr>
        <w:spacing w:after="0" w:line="171" w:lineRule="exact"/>
        <w:rPr>
          <w:rFonts w:ascii="Arial" w:cs="Arial" w:eastAsia="Arial" w:hAnsi="Arial"/>
          <w:sz w:val="17"/>
          <w:szCs w:val="17"/>
          <w:color w:val="auto"/>
        </w:rPr>
      </w:pPr>
    </w:p>
    <w:p>
      <w:pPr>
        <w:ind w:right="320" w:firstLine="1305"/>
        <w:spacing w:after="0" w:line="277" w:lineRule="auto"/>
        <w:tabs>
          <w:tab w:leader="none" w:pos="2001"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the denominator of which will be the product of the number of shares of Common Stock outstanding, including the Purchased Shares, and the Closing Price of Common Stock on the Trading Day immediately following the Expiration Date.</w:t>
      </w:r>
    </w:p>
    <w:p>
      <w:pPr>
        <w:spacing w:after="0" w:line="170"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An adjustment, if any, to the Conversion Rate pursuant to this Section 10.10 shall become effective immediately prior to the opening of business on the second Trading Day immediately following the Expiration Date. In the event that the Company or a Subsidiary of the Company is obligated to purchase shares of Common Stock pursuant to any such tender offer or exchange offer, but the Company or such Subsidiary is permanently prevented by applicable law from effecting any such purchases, or all such purchases are rescinded, then the Conversion Rate shall again be adjusted to be the Conversion Rate which would then be in effect if such tender offer or exchange offer had not been made. If the application of this Section 10.10 to any tender offer or exchange offer would result in a decrease in the Conversion Rate, no adjustment shall be made for such tender offer or exchange offer under this Section 10.10.</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 xml:space="preserve">Section 10.11. </w:t>
      </w:r>
      <w:r>
        <w:rPr>
          <w:rFonts w:ascii="Arial" w:cs="Arial" w:eastAsia="Arial" w:hAnsi="Arial"/>
          <w:sz w:val="16"/>
          <w:szCs w:val="16"/>
          <w:i w:val="1"/>
          <w:iCs w:val="1"/>
          <w:color w:val="auto"/>
        </w:rPr>
        <w:t>Provisions Governing Adjustment to Conversion Rate</w:t>
      </w:r>
      <w:r>
        <w:rPr>
          <w:rFonts w:ascii="Arial" w:cs="Arial" w:eastAsia="Arial" w:hAnsi="Arial"/>
          <w:sz w:val="16"/>
          <w:szCs w:val="16"/>
          <w:color w:val="auto"/>
        </w:rPr>
        <w:t>. Rights or warrants distributed by the Company to all holders of Common Stock entitling the holders thereof to subscribe for or purchase shares of the Company’s Capital Stock (either initially or under certain circumstances), which rights, options or warrants, until the occurrence of a specified event or events (“</w:t>
      </w:r>
      <w:r>
        <w:rPr>
          <w:rFonts w:ascii="Arial" w:cs="Arial" w:eastAsia="Arial" w:hAnsi="Arial"/>
          <w:sz w:val="16"/>
          <w:szCs w:val="16"/>
          <w:b w:val="1"/>
          <w:bCs w:val="1"/>
          <w:color w:val="auto"/>
        </w:rPr>
        <w:t>Trigger Event</w:t>
      </w:r>
      <w:r>
        <w:rPr>
          <w:rFonts w:ascii="Arial" w:cs="Arial" w:eastAsia="Arial" w:hAnsi="Arial"/>
          <w:sz w:val="16"/>
          <w:szCs w:val="16"/>
          <w:color w:val="auto"/>
        </w:rPr>
        <w:t>”): (i) are deemed to be transferred with such shares of Common Stock; (ii) are not exercisable; and (iii) are also issued in respect of future issuances of Common Stock, shall be deemed not to have been distributed for purposes of Section 10.06, Section 10.07, Section 10.08, Section 10.09 or Section 10.10 (and no adjustment to the Conversion Rate under Section 10.06, Section 10.07, Section 10.08, Section 10.09 or Section 10.10 will be required) until the occurrence of the earliest Trigger Event, whereupon such rights, options and warrants shall be deemed to have been distributed and an appropriate adjustment (if any is required) to the Conversion Rate shall be made under Section 10.08, and, if applicable, Section 10.23. If any such right, option or warrant, including any such existing rights, options or warrants distributed prior to the date of this Indenture, are subject to events, upon the occurrence of which such rights, options or warrants become exercisable to purchase different securities, evidences of indebtedness or other assets, then the date of the occurrence of any and each such event shall be deemed to be the date of</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distribution and Ex-Date with respect to new rights, options or warrants with such rights (and a termination or expiration of the existing rights, options or warrants without exercise by any of the holders thereof), except as set forth in Section 10.23. In addition, except as set forth in Section 10.23, in the event of any distribution (or deemed distribution) of rights, options or warrants, or any Trigger Event or other event (of the type described in the preceding sentence) with respect thereto that was counted for purposes of calculating a distribution amount for which an adjustment to the Conversion Rate under Section 10.06, Section 10.07, Section 10.08, Section 10.09 or Section 10.10 was made (including any adjustment contemplated in Section 10.23), (1) in the case of any such rights, options or warrants that shall all have been redeemed or repurchased without exercise by any holders thereof, the Conversion Rate shall be readjusted upon such final redemption or repurchase to give effect to such distribution or Trigger Event, as the case may be, as though it were a Cash distribution, equal to the per share redemption or repurchase price received by a holder or holders of Common Stock with respect to such rights, options or warrants (assuming such holder had retained such rights, options or warrants), made to all holders of Common Stock as of the date of such redemption or repurchase, and (2) in the case of such rights, options or warrants that shall have expired or been terminated without exercise by any holders thereof, the Conversion Rate shall be readjusted as if such rights, options and warrants had not been issued.</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6"/>
          <w:szCs w:val="16"/>
          <w:i w:val="1"/>
          <w:iCs w:val="1"/>
          <w:color w:val="auto"/>
        </w:rPr>
        <w:t>Disposition Events</w:t>
      </w:r>
      <w:r>
        <w:rPr>
          <w:rFonts w:ascii="Arial" w:cs="Arial" w:eastAsia="Arial" w:hAnsi="Arial"/>
          <w:sz w:val="16"/>
          <w:szCs w:val="16"/>
          <w:color w:val="auto"/>
        </w:rPr>
        <w:t>. If any of the following events (a “</w:t>
      </w:r>
      <w:r>
        <w:rPr>
          <w:rFonts w:ascii="Arial" w:cs="Arial" w:eastAsia="Arial" w:hAnsi="Arial"/>
          <w:sz w:val="16"/>
          <w:szCs w:val="16"/>
          <w:b w:val="1"/>
          <w:bCs w:val="1"/>
          <w:color w:val="auto"/>
        </w:rPr>
        <w:t>Disposition Event</w:t>
      </w:r>
      <w:r>
        <w:rPr>
          <w:rFonts w:ascii="Arial" w:cs="Arial" w:eastAsia="Arial" w:hAnsi="Arial"/>
          <w:sz w:val="16"/>
          <w:szCs w:val="16"/>
          <w:color w:val="auto"/>
        </w:rPr>
        <w:t>”) occurs:</w:t>
      </w:r>
    </w:p>
    <w:p>
      <w:pPr>
        <w:spacing w:after="0" w:line="229" w:lineRule="exact"/>
        <w:rPr>
          <w:sz w:val="20"/>
          <w:szCs w:val="20"/>
          <w:color w:val="auto"/>
        </w:rPr>
      </w:pPr>
    </w:p>
    <w:p>
      <w:pPr>
        <w:ind w:right="100" w:firstLine="1305"/>
        <w:spacing w:after="0" w:line="277" w:lineRule="auto"/>
        <w:tabs>
          <w:tab w:leader="none" w:pos="163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any reclassification of Common Stock (other than a change in par value, or from par value to no par value, or from no par value to par value, or as a result of a subdivision or combination);</w:t>
      </w:r>
    </w:p>
    <w:p>
      <w:pPr>
        <w:sectPr>
          <w:pgSz w:w="11900" w:h="16929" w:orient="portrait"/>
          <w:cols w:equalWidth="0" w:num="1">
            <w:col w:w="11400"/>
          </w:cols>
          <w:pgMar w:left="240" w:top="341" w:right="259" w:bottom="0" w:gutter="0" w:footer="0" w:header="0"/>
        </w:sectPr>
      </w:pPr>
    </w:p>
    <w:bookmarkStart w:id="130" w:name="page131"/>
    <w:bookmarkEnd w:id="130"/>
    <w:p>
      <w:pPr>
        <w:ind w:left="1640" w:hanging="335"/>
        <w:spacing w:after="0"/>
        <w:tabs>
          <w:tab w:leader="none" w:pos="16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consolidation, merger, or other combination involving the Company; or</w:t>
      </w:r>
    </w:p>
    <w:p>
      <w:pPr>
        <w:spacing w:after="0" w:line="225" w:lineRule="exact"/>
        <w:rPr>
          <w:rFonts w:ascii="Arial" w:cs="Arial" w:eastAsia="Arial" w:hAnsi="Arial"/>
          <w:sz w:val="18"/>
          <w:szCs w:val="18"/>
          <w:color w:val="auto"/>
        </w:rPr>
      </w:pPr>
    </w:p>
    <w:p>
      <w:pPr>
        <w:ind w:left="1640" w:hanging="335"/>
        <w:spacing w:after="0"/>
        <w:tabs>
          <w:tab w:leader="none" w:pos="164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sale or conveyance to another Person of all or substantially all of the assets of the Company;</w:t>
      </w:r>
    </w:p>
    <w:p>
      <w:pPr>
        <w:spacing w:after="0" w:line="22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each case, in which holders of outstanding Common Stock would be entitled to receive Cash, securities or other property for their shares of Common Stock, if a Holder converts its Notes on or after the effective date of any such event, Notes will be convertible into, in lieu of the shares of Common Stock otherwise deliverable, the same type (in the same proportions) of consideration received by holders of Common Stock in the relevant event (collectively, “</w:t>
      </w:r>
      <w:r>
        <w:rPr>
          <w:rFonts w:ascii="Arial" w:cs="Arial" w:eastAsia="Arial" w:hAnsi="Arial"/>
          <w:sz w:val="18"/>
          <w:szCs w:val="18"/>
          <w:b w:val="1"/>
          <w:bCs w:val="1"/>
          <w:color w:val="auto"/>
        </w:rPr>
        <w:t>Reference Property</w:t>
      </w:r>
      <w:r>
        <w:rPr>
          <w:rFonts w:ascii="Arial" w:cs="Arial" w:eastAsia="Arial" w:hAnsi="Arial"/>
          <w:sz w:val="18"/>
          <w:szCs w:val="18"/>
          <w:color w:val="auto"/>
        </w:rPr>
        <w:t>”).</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If the Disposition Event provides the holders of Common Stock with the right to receive more than a single type of consideration determined based in part upon any form of stockholder election, the Reference Property shall be comprised of the weighted average of the types and amounts of consideration received by the holders of Common Stock upon the occurrence of such event.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Upon the occurrence of a Disposition Event, the Company or the successor or purchasing Person, as the case may be, shall execute with the Trustee a supplemental indenture (which shall comply with the Trust Indenture Act as in force at the date of execution of such supplemental indenture if such supplemental indenture is then required to so comply) permitted under Section 9.02(b) providing for the conversion and settlement of the Notes as set forth in this Indenture. Such supplemental indenture shall provide for adjustments that shall be as nearly equivalent as may be practicable to the adjustments provided for in this Article 10. If, in the case of any Disposition Event, the Reference Property includes shares of stock or other securities and assets of a Person other than the successor or purchasing Person, as the case may be, in such reclassification, consolidation, merger, combination, sale or conveyance, then such supplemental indenture shall also be executed by such other Person and shall contain such additional provisions to protect the interests of the holders of the Notes as the Board of Directors shall reasonably consider necessary by reason of the foregoing, including to the extent required by the Board of Directors and practicable the provisions providing for the repurchase rights set forth in Article 3 herein.</w:t>
      </w:r>
    </w:p>
    <w:p>
      <w:pPr>
        <w:spacing w:after="0" w:line="18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the event the Company shall execute a supplemental indenture pursuant to this Section 10.12, the Company shall promptly file with the Trustee an Officers’ Certificate briefly stating the reasons therefore, the kind or amount of cash, securities or property or asset that will comprise the Reference Property after any such Disposition Event, any adjustment to be made with respect thereto and that all conditions precedent have been complied with, and shall promptly mail notice thereof to all Noteholders. The Company shall cause notice of the execution of such supplemental indenture to be mailed to each Noteholder, at its address appearing on the Register provided for in this Indenture, within 20 days after execution thereof. Failure to deliver such notice shall not affect the legality or validity of such supplemental indenture.</w:t>
      </w:r>
    </w:p>
    <w:p>
      <w:pPr>
        <w:spacing w:after="0" w:line="193"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 xml:space="preserve">Section 10.13. </w:t>
      </w:r>
      <w:r>
        <w:rPr>
          <w:rFonts w:ascii="Arial" w:cs="Arial" w:eastAsia="Arial" w:hAnsi="Arial"/>
          <w:sz w:val="17"/>
          <w:szCs w:val="17"/>
          <w:i w:val="1"/>
          <w:iCs w:val="1"/>
          <w:color w:val="auto"/>
        </w:rPr>
        <w:t>Adjustment to Conversion Rate Upon a Make-Whole Change in Control; Discretionary Adjustment</w:t>
      </w:r>
      <w:r>
        <w:rPr>
          <w:rFonts w:ascii="Arial" w:cs="Arial" w:eastAsia="Arial" w:hAnsi="Arial"/>
          <w:sz w:val="17"/>
          <w:szCs w:val="17"/>
          <w:color w:val="auto"/>
        </w:rPr>
        <w:t xml:space="preserve">. (a) If, after the date hereof, a Change in Control (determined after giving effect to any exceptions or exclusions to such definition, but without regard to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a “</w:t>
      </w:r>
      <w:r>
        <w:rPr>
          <w:rFonts w:ascii="Arial" w:cs="Arial" w:eastAsia="Arial" w:hAnsi="Arial"/>
          <w:sz w:val="17"/>
          <w:szCs w:val="17"/>
          <w:b w:val="1"/>
          <w:bCs w:val="1"/>
          <w:color w:val="auto"/>
        </w:rPr>
        <w:t>Make-Whole Change in Control</w:t>
      </w:r>
      <w:r>
        <w:rPr>
          <w:rFonts w:ascii="Arial" w:cs="Arial" w:eastAsia="Arial" w:hAnsi="Arial"/>
          <w:sz w:val="17"/>
          <w:szCs w:val="17"/>
          <w:color w:val="auto"/>
        </w:rPr>
        <w:t>”) occurs and a Holder elects to convert its Notes in connection with such Make-Whole Change in Control, the Company will, under certain circumstances, increase the Applicable Conversion Rate for the Notes so surrendered for conversion by a number of additional shares of Common Stock (the “</w:t>
      </w:r>
      <w:r>
        <w:rPr>
          <w:rFonts w:ascii="Arial" w:cs="Arial" w:eastAsia="Arial" w:hAnsi="Arial"/>
          <w:sz w:val="17"/>
          <w:szCs w:val="17"/>
          <w:b w:val="1"/>
          <w:bCs w:val="1"/>
          <w:color w:val="auto"/>
        </w:rPr>
        <w:t>Make-Whole Shares</w:t>
      </w:r>
      <w:r>
        <w:rPr>
          <w:rFonts w:ascii="Arial" w:cs="Arial" w:eastAsia="Arial" w:hAnsi="Arial"/>
          <w:sz w:val="17"/>
          <w:szCs w:val="17"/>
          <w:color w:val="auto"/>
        </w:rPr>
        <w:t xml:space="preserve">”), as described in this Section 10.13. A conversion of Notes will be deemed for these purposes to be “in connection with” a Make-Whole Change in Control if the notice of conversion of the Notes is received by the Conversion Agent from, and including, the Effective Date of the Make-Whole Change in Control up to, and including, the Business Day immediately prior to the related Repurchase Date (or, in the case of an event that would have been a Change in Control but for the </w:t>
      </w:r>
      <w:r>
        <w:rPr>
          <w:rFonts w:ascii="Arial" w:cs="Arial" w:eastAsia="Arial" w:hAnsi="Arial"/>
          <w:sz w:val="17"/>
          <w:szCs w:val="17"/>
          <w:i w:val="1"/>
          <w:iCs w:val="1"/>
          <w:color w:val="auto"/>
        </w:rPr>
        <w:t>proviso</w:t>
      </w:r>
      <w:r>
        <w:rPr>
          <w:rFonts w:ascii="Arial" w:cs="Arial" w:eastAsia="Arial" w:hAnsi="Arial"/>
          <w:sz w:val="17"/>
          <w:szCs w:val="17"/>
          <w:color w:val="auto"/>
        </w:rPr>
        <w:t xml:space="preserve"> in clause (ii) of the definition thereof, the 35th Trading Day immediately following the Effective Date of such Make-Whole Change in Control).</w:t>
      </w:r>
    </w:p>
    <w:p>
      <w:pPr>
        <w:spacing w:after="0" w:line="18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On or before the 15th day after the occurrence of a Make-Whole Change in Control that does not also constitute a Change in Control, the Company will deliver to the Trustee and to all Holders at their addresses shown in the Register of the Registrar, and to beneficial owners as required by applicable law, written notice indicating that a Make-Whole Change in Control has occurred.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1305"/>
        <w:spacing w:after="0" w:line="297" w:lineRule="auto"/>
        <w:tabs>
          <w:tab w:leader="none" w:pos="1641" w:val="left"/>
        </w:tabs>
        <w:numPr>
          <w:ilvl w:val="0"/>
          <w:numId w:val="185"/>
        </w:numPr>
        <w:rPr>
          <w:rFonts w:ascii="Arial" w:cs="Arial" w:eastAsia="Arial" w:hAnsi="Arial"/>
          <w:sz w:val="16"/>
          <w:szCs w:val="16"/>
          <w:color w:val="auto"/>
        </w:rPr>
      </w:pPr>
      <w:r>
        <w:rPr>
          <w:rFonts w:ascii="Arial" w:cs="Arial" w:eastAsia="Arial" w:hAnsi="Arial"/>
          <w:sz w:val="16"/>
          <w:szCs w:val="16"/>
          <w:color w:val="auto"/>
        </w:rPr>
        <w:t>The number of Make-Whole Shares will be determined by reference to the table below and is based on the date which such Make-Whole Change in Control transaction becomes effective (the “</w:t>
      </w:r>
      <w:r>
        <w:rPr>
          <w:rFonts w:ascii="Arial" w:cs="Arial" w:eastAsia="Arial" w:hAnsi="Arial"/>
          <w:sz w:val="16"/>
          <w:szCs w:val="16"/>
          <w:b w:val="1"/>
          <w:bCs w:val="1"/>
          <w:color w:val="auto"/>
        </w:rPr>
        <w:t>Effective Date</w:t>
      </w:r>
      <w:r>
        <w:rPr>
          <w:rFonts w:ascii="Arial" w:cs="Arial" w:eastAsia="Arial" w:hAnsi="Arial"/>
          <w:sz w:val="16"/>
          <w:szCs w:val="16"/>
          <w:color w:val="auto"/>
        </w:rPr>
        <w:t>”) and the price paid per share of Common Stock in the Make-Whole Change in Control (in the case of a Make-Whole Change in Control described in clause (ii) of the definition of Change in Control in which holders of Common Stock receive only Cash), or in the case of any other Make-Whole Change in Control, the average of the Closing Prices per share of Common Stock over the five Trading-Day period ending on the Trading Day immediately preceding the Effective Date of such Make-Whole Change in Control (the “</w:t>
      </w:r>
      <w:r>
        <w:rPr>
          <w:rFonts w:ascii="Arial" w:cs="Arial" w:eastAsia="Arial" w:hAnsi="Arial"/>
          <w:sz w:val="16"/>
          <w:szCs w:val="16"/>
          <w:b w:val="1"/>
          <w:bCs w:val="1"/>
          <w:color w:val="auto"/>
        </w:rPr>
        <w:t>Stock Price</w:t>
      </w:r>
      <w:r>
        <w:rPr>
          <w:rFonts w:ascii="Arial" w:cs="Arial" w:eastAsia="Arial" w:hAnsi="Arial"/>
          <w:sz w:val="16"/>
          <w:szCs w:val="16"/>
          <w:color w:val="auto"/>
        </w:rPr>
        <w:t>”).</w:t>
      </w:r>
    </w:p>
    <w:p>
      <w:pPr>
        <w:spacing w:after="0" w:line="158" w:lineRule="exact"/>
        <w:rPr>
          <w:rFonts w:ascii="Arial" w:cs="Arial" w:eastAsia="Arial" w:hAnsi="Arial"/>
          <w:sz w:val="16"/>
          <w:szCs w:val="16"/>
          <w:color w:val="auto"/>
        </w:rPr>
      </w:pPr>
    </w:p>
    <w:p>
      <w:pPr>
        <w:ind w:right="20" w:firstLine="1305"/>
        <w:spacing w:after="0" w:line="257" w:lineRule="auto"/>
        <w:tabs>
          <w:tab w:leader="none" w:pos="163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Stock Prices set forth in the first column of the table below will be adjusted as of any date on which the Applicable Conversion Rate is adjusted. The adjusted Stock Prices will equal the Stock Prices immediately prior to such adjustment, multiplied by a fraction, the numerator of which is the Applicable Conversion Rate immediately prior to the adjustment giving rise to the Stock Price adjustment, and the denominator of which is the Applicable Conversion Rate as so adjusted. In addition, the number of Make-Whole Shares will be subject to adjustment in the same manner as the Applicable Conversion Rate as set forth in Section 10.06 through Section 10.10.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Stock Price</w:t>
            </w:r>
          </w:p>
        </w:tc>
        <w:tc>
          <w:tcPr>
            <w:tcW w:w="17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Effective Date</w:t>
            </w:r>
          </w:p>
        </w:tc>
        <w:tc>
          <w:tcPr>
            <w:tcW w:w="18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200" w:type="dxa"/>
            <w:vAlign w:val="bottom"/>
            <w:vMerge w:val="continue"/>
          </w:tcPr>
          <w:p>
            <w:pPr>
              <w:spacing w:after="0"/>
              <w:rPr>
                <w:sz w:val="13"/>
                <w:szCs w:val="13"/>
                <w:color w:val="auto"/>
              </w:rPr>
            </w:pPr>
          </w:p>
        </w:tc>
        <w:tc>
          <w:tcPr>
            <w:tcW w:w="1740" w:type="dxa"/>
            <w:vAlign w:val="bottom"/>
          </w:tcPr>
          <w:p>
            <w:pPr>
              <w:ind w:left="360"/>
              <w:spacing w:after="0" w:line="157" w:lineRule="exact"/>
              <w:rPr>
                <w:sz w:val="20"/>
                <w:szCs w:val="20"/>
                <w:color w:val="auto"/>
              </w:rPr>
            </w:pPr>
            <w:r>
              <w:rPr>
                <w:rFonts w:ascii="Arial" w:cs="Arial" w:eastAsia="Arial" w:hAnsi="Arial"/>
                <w:sz w:val="14"/>
                <w:szCs w:val="14"/>
                <w:b w:val="1"/>
                <w:bCs w:val="1"/>
                <w:color w:val="auto"/>
              </w:rPr>
              <w:t>April   , 2009</w:t>
            </w:r>
          </w:p>
        </w:tc>
        <w:tc>
          <w:tcPr>
            <w:tcW w:w="1880" w:type="dxa"/>
            <w:vAlign w:val="bottom"/>
          </w:tcPr>
          <w:p>
            <w:pPr>
              <w:ind w:left="500"/>
              <w:spacing w:after="0" w:line="157" w:lineRule="exact"/>
              <w:rPr>
                <w:sz w:val="20"/>
                <w:szCs w:val="20"/>
                <w:color w:val="auto"/>
              </w:rPr>
            </w:pPr>
            <w:r>
              <w:rPr>
                <w:rFonts w:ascii="Arial" w:cs="Arial" w:eastAsia="Arial" w:hAnsi="Arial"/>
                <w:sz w:val="14"/>
                <w:szCs w:val="14"/>
                <w:b w:val="1"/>
                <w:bCs w:val="1"/>
                <w:color w:val="auto"/>
              </w:rPr>
              <w:t>April 15, 2010</w:t>
            </w:r>
          </w:p>
        </w:tc>
        <w:tc>
          <w:tcPr>
            <w:tcW w:w="1880" w:type="dxa"/>
            <w:vAlign w:val="bottom"/>
          </w:tcPr>
          <w:p>
            <w:pPr>
              <w:jc w:val="right"/>
              <w:ind w:right="428"/>
              <w:spacing w:after="0" w:line="157" w:lineRule="exact"/>
              <w:rPr>
                <w:sz w:val="20"/>
                <w:szCs w:val="20"/>
                <w:color w:val="auto"/>
              </w:rPr>
            </w:pPr>
            <w:r>
              <w:rPr>
                <w:rFonts w:ascii="Arial" w:cs="Arial" w:eastAsia="Arial" w:hAnsi="Arial"/>
                <w:sz w:val="14"/>
                <w:szCs w:val="14"/>
                <w:b w:val="1"/>
                <w:bCs w:val="1"/>
                <w:color w:val="auto"/>
              </w:rPr>
              <w:t>April 15, 2011</w:t>
            </w:r>
          </w:p>
        </w:tc>
        <w:tc>
          <w:tcPr>
            <w:tcW w:w="1880" w:type="dxa"/>
            <w:vAlign w:val="bottom"/>
          </w:tcPr>
          <w:p>
            <w:pPr>
              <w:ind w:left="500"/>
              <w:spacing w:after="0" w:line="157" w:lineRule="exact"/>
              <w:rPr>
                <w:sz w:val="20"/>
                <w:szCs w:val="20"/>
                <w:color w:val="auto"/>
              </w:rPr>
            </w:pPr>
            <w:r>
              <w:rPr>
                <w:rFonts w:ascii="Arial" w:cs="Arial" w:eastAsia="Arial" w:hAnsi="Arial"/>
                <w:sz w:val="14"/>
                <w:szCs w:val="14"/>
                <w:b w:val="1"/>
                <w:bCs w:val="1"/>
                <w:color w:val="auto"/>
              </w:rPr>
              <w:t>April 15, 2012</w:t>
            </w:r>
          </w:p>
        </w:tc>
        <w:tc>
          <w:tcPr>
            <w:tcW w:w="1740" w:type="dxa"/>
            <w:vAlign w:val="bottom"/>
          </w:tcPr>
          <w:p>
            <w:pPr>
              <w:ind w:left="500"/>
              <w:spacing w:after="0" w:line="157" w:lineRule="exact"/>
              <w:rPr>
                <w:sz w:val="20"/>
                <w:szCs w:val="20"/>
                <w:color w:val="auto"/>
              </w:rPr>
            </w:pPr>
            <w:r>
              <w:rPr>
                <w:rFonts w:ascii="Arial" w:cs="Arial" w:eastAsia="Arial" w:hAnsi="Arial"/>
                <w:sz w:val="14"/>
                <w:szCs w:val="14"/>
                <w:b w:val="1"/>
                <w:bCs w:val="1"/>
                <w:color w:val="auto"/>
              </w:rPr>
              <w:t>April 15, 2013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131" w:name="page132"/>
    <w:bookmarkEnd w:id="131"/>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w:t>
      </w:r>
    </w:p>
    <w:p>
      <w:pPr>
        <w:spacing w:after="0" w:line="211" w:lineRule="exact"/>
        <w:rPr>
          <w:sz w:val="20"/>
          <w:szCs w:val="20"/>
          <w:color w:val="auto"/>
        </w:rPr>
      </w:pPr>
    </w:p>
    <w:p>
      <w:pPr>
        <w:ind w:right="200" w:firstLine="1305"/>
        <w:spacing w:after="0" w:line="288" w:lineRule="auto"/>
        <w:tabs>
          <w:tab w:leader="none" w:pos="1641"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the exact Stock Price and Effective Date is not set forth in the table, then (i) if the Stock Price is between two Stock Prices in the table or the Effective Date is between two Effective Dates in the table, the Make-Whole Shares issued upon conversion of the Notes will be determined by a straight-line interpolation between the number of Make-Whole Shares set forth for the higher and lower Stock Prices and/or the earlier and later Effective</w:t>
      </w:r>
    </w:p>
    <w:tbl>
      <w:tblPr>
        <w:tblLayout w:type="fixed"/>
        <w:tblInd w:w="0" w:type="dxa"/>
        <w:tblCellMar>
          <w:top w:w="0" w:type="dxa"/>
          <w:left w:w="0" w:type="dxa"/>
          <w:bottom w:w="0" w:type="dxa"/>
          <w:right w:w="0" w:type="dxa"/>
        </w:tblCellMar>
      </w:tblPr>
      <w:tr>
        <w:trPr>
          <w:trHeight w:val="202"/>
        </w:trPr>
        <w:tc>
          <w:tcPr>
            <w:tcW w:w="7120" w:type="dxa"/>
            <w:vAlign w:val="bottom"/>
          </w:tcPr>
          <w:p>
            <w:pPr>
              <w:spacing w:after="0" w:line="202" w:lineRule="exact"/>
              <w:rPr>
                <w:sz w:val="20"/>
                <w:szCs w:val="20"/>
                <w:color w:val="auto"/>
              </w:rPr>
            </w:pPr>
            <w:r>
              <w:rPr>
                <w:rFonts w:ascii="Arial" w:cs="Arial" w:eastAsia="Arial" w:hAnsi="Arial"/>
                <w:sz w:val="18"/>
                <w:szCs w:val="18"/>
                <w:color w:val="auto"/>
                <w:w w:val="92"/>
              </w:rPr>
              <w:t>Dates in the table, as applicable, based on a 365-day year, (ii) if the Stock Price is in excess of $</w:t>
            </w:r>
          </w:p>
        </w:tc>
        <w:tc>
          <w:tcPr>
            <w:tcW w:w="4340" w:type="dxa"/>
            <w:vAlign w:val="bottom"/>
            <w:gridSpan w:val="2"/>
          </w:tcPr>
          <w:p>
            <w:pPr>
              <w:ind w:left="200"/>
              <w:spacing w:after="0" w:line="202" w:lineRule="exact"/>
              <w:rPr>
                <w:sz w:val="20"/>
                <w:szCs w:val="20"/>
                <w:color w:val="auto"/>
              </w:rPr>
            </w:pPr>
            <w:r>
              <w:rPr>
                <w:rFonts w:ascii="Arial" w:cs="Arial" w:eastAsia="Arial" w:hAnsi="Arial"/>
                <w:sz w:val="18"/>
                <w:szCs w:val="18"/>
                <w:color w:val="auto"/>
                <w:w w:val="89"/>
              </w:rPr>
              <w:t>per share of Common Stock (subject to adjustment as set</w:t>
            </w:r>
          </w:p>
        </w:tc>
      </w:tr>
      <w:tr>
        <w:trPr>
          <w:trHeight w:val="216"/>
        </w:trPr>
        <w:tc>
          <w:tcPr>
            <w:tcW w:w="10140" w:type="dxa"/>
            <w:vAlign w:val="bottom"/>
            <w:gridSpan w:val="2"/>
          </w:tcPr>
          <w:p>
            <w:pPr>
              <w:spacing w:after="0"/>
              <w:rPr>
                <w:sz w:val="20"/>
                <w:szCs w:val="20"/>
                <w:color w:val="auto"/>
              </w:rPr>
            </w:pPr>
            <w:r>
              <w:rPr>
                <w:rFonts w:ascii="Arial" w:cs="Arial" w:eastAsia="Arial" w:hAnsi="Arial"/>
                <w:sz w:val="18"/>
                <w:szCs w:val="18"/>
                <w:color w:val="auto"/>
                <w:w w:val="94"/>
              </w:rPr>
              <w:t>forth in Section 10.13(c)), no Make-Whole Shares will be issued upon conversion of the Notes; and (iii) if the Stock Price is less than $</w:t>
            </w:r>
          </w:p>
        </w:tc>
        <w:tc>
          <w:tcPr>
            <w:tcW w:w="1320" w:type="dxa"/>
            <w:vAlign w:val="bottom"/>
          </w:tcPr>
          <w:p>
            <w:pPr>
              <w:ind w:left="20"/>
              <w:spacing w:after="0"/>
              <w:rPr>
                <w:sz w:val="20"/>
                <w:szCs w:val="20"/>
                <w:color w:val="auto"/>
              </w:rPr>
            </w:pPr>
            <w:r>
              <w:rPr>
                <w:rFonts w:ascii="Arial" w:cs="Arial" w:eastAsia="Arial" w:hAnsi="Arial"/>
                <w:sz w:val="18"/>
                <w:szCs w:val="18"/>
                <w:color w:val="auto"/>
              </w:rPr>
              <w:t>per share of</w:t>
            </w:r>
          </w:p>
        </w:tc>
      </w:tr>
      <w:tr>
        <w:trPr>
          <w:trHeight w:val="230"/>
        </w:trPr>
        <w:tc>
          <w:tcPr>
            <w:tcW w:w="10140" w:type="dxa"/>
            <w:vAlign w:val="bottom"/>
            <w:gridSpan w:val="2"/>
          </w:tcPr>
          <w:p>
            <w:pPr>
              <w:spacing w:after="0"/>
              <w:rPr>
                <w:sz w:val="20"/>
                <w:szCs w:val="20"/>
                <w:color w:val="auto"/>
              </w:rPr>
            </w:pPr>
            <w:r>
              <w:rPr>
                <w:rFonts w:ascii="Arial" w:cs="Arial" w:eastAsia="Arial" w:hAnsi="Arial"/>
                <w:sz w:val="18"/>
                <w:szCs w:val="18"/>
                <w:color w:val="auto"/>
                <w:w w:val="90"/>
              </w:rPr>
              <w:t>Common Stock (subject to adjustment as set forth in Section 10.13(c)), no Make-Whole Shares will be issued upon conversion of the Notes.</w:t>
            </w:r>
          </w:p>
        </w:tc>
        <w:tc>
          <w:tcPr>
            <w:tcW w:w="1320" w:type="dxa"/>
            <w:vAlign w:val="bottom"/>
          </w:tcPr>
          <w:p>
            <w:pPr>
              <w:spacing w:after="0"/>
              <w:rPr>
                <w:sz w:val="20"/>
                <w:szCs w:val="20"/>
                <w:color w:val="auto"/>
              </w:rPr>
            </w:pPr>
          </w:p>
        </w:tc>
      </w:tr>
      <w:tr>
        <w:trPr>
          <w:trHeight w:val="432"/>
        </w:trPr>
        <w:tc>
          <w:tcPr>
            <w:tcW w:w="7120" w:type="dxa"/>
            <w:vAlign w:val="bottom"/>
          </w:tcPr>
          <w:p>
            <w:pPr>
              <w:jc w:val="right"/>
              <w:ind w:right="1230"/>
              <w:spacing w:after="0"/>
              <w:rPr>
                <w:sz w:val="20"/>
                <w:szCs w:val="20"/>
                <w:color w:val="auto"/>
              </w:rPr>
            </w:pPr>
            <w:r>
              <w:rPr>
                <w:rFonts w:ascii="Arial" w:cs="Arial" w:eastAsia="Arial" w:hAnsi="Arial"/>
                <w:sz w:val="18"/>
                <w:szCs w:val="18"/>
                <w:color w:val="auto"/>
              </w:rPr>
              <w:t>48</w:t>
            </w:r>
          </w:p>
        </w:tc>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32"/>
        </w:trPr>
        <w:tc>
          <w:tcPr>
            <w:tcW w:w="7120" w:type="dxa"/>
            <w:vAlign w:val="bottom"/>
            <w:tcBorders>
              <w:bottom w:val="single" w:sz="8" w:color="010101"/>
            </w:tcBorders>
          </w:tcPr>
          <w:p>
            <w:pPr>
              <w:spacing w:after="0"/>
              <w:rPr>
                <w:sz w:val="11"/>
                <w:szCs w:val="11"/>
                <w:color w:val="auto"/>
              </w:rPr>
            </w:pPr>
          </w:p>
        </w:tc>
        <w:tc>
          <w:tcPr>
            <w:tcW w:w="3020" w:type="dxa"/>
            <w:vAlign w:val="bottom"/>
            <w:tcBorders>
              <w:bottom w:val="single" w:sz="8" w:color="010101"/>
            </w:tcBorders>
          </w:tcPr>
          <w:p>
            <w:pPr>
              <w:spacing w:after="0"/>
              <w:rPr>
                <w:sz w:val="11"/>
                <w:szCs w:val="11"/>
                <w:color w:val="auto"/>
              </w:rPr>
            </w:pPr>
          </w:p>
        </w:tc>
        <w:tc>
          <w:tcPr>
            <w:tcW w:w="132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firstLine="1305"/>
        <w:spacing w:after="0" w:line="312" w:lineRule="auto"/>
        <w:tabs>
          <w:tab w:leader="none" w:pos="1631"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Company may make such increases in the Conversion Rate, in addition to those required by Section 10.06, 10.07, 10.08, 10.09 and 10.10 as the Board of Directors considers to be advisable to avoid or diminish any income tax to holders of Common Stock or rights to purchase Common Stock resulting from any dividend or distribution of stock (or rights to acquire stock) or from any event treated as such for income tax purposes.</w:t>
      </w:r>
    </w:p>
    <w:p>
      <w:pPr>
        <w:spacing w:after="0" w:line="146" w:lineRule="exact"/>
        <w:rPr>
          <w:rFonts w:ascii="Arial" w:cs="Arial" w:eastAsia="Arial" w:hAnsi="Arial"/>
          <w:sz w:val="16"/>
          <w:szCs w:val="16"/>
          <w:color w:val="auto"/>
        </w:rPr>
      </w:pPr>
    </w:p>
    <w:p>
      <w:pPr>
        <w:ind w:right="160" w:firstLine="1305"/>
        <w:spacing w:after="0" w:line="255" w:lineRule="auto"/>
        <w:tabs>
          <w:tab w:leader="none" w:pos="165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the extent permitted by applicable law, the Company from time to time may increase the Conversion Rate by any amount for any period of time if the period is at least twenty (20) days, the increase is irrevocable during the period and the Board of Directors shall have made a determination that such increase would be in the best interests of the Company, which determination shall be conclusive. Whenever the Conversion Rate is increased pursuant to the preceding sentence, the Company shall mail to holders of record of the Notes a notice of the increase at least fifteen (15) days prior to the date the increased Conversion Rate takes effect, and such notice shall state the increased Conversion Rate and the period during which it will be in effect.</w:t>
      </w:r>
    </w:p>
    <w:p>
      <w:pPr>
        <w:spacing w:after="0" w:line="193"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i w:val="1"/>
          <w:iCs w:val="1"/>
          <w:color w:val="auto"/>
        </w:rPr>
        <w:t>When Adjustment May Be Deferred</w:t>
      </w:r>
      <w:r>
        <w:rPr>
          <w:rFonts w:ascii="Arial" w:cs="Arial" w:eastAsia="Arial" w:hAnsi="Arial"/>
          <w:sz w:val="17"/>
          <w:szCs w:val="17"/>
          <w:color w:val="auto"/>
        </w:rPr>
        <w:t>. No adjustment in the Conversion Rate need be made unless the adjustment would require an increase or decrease of at least 1% of the Conversion Rate. Any adjustments that are less than 1% of the Conversion Rate will be carried forward and taken into account in determining any subsequent adjustment. In addition, the Company shall make any carry forward adjustments not otherwise effected on each anniversary of the date hereof, upon conversion of any Note (but only with respect to such Converted Note), upon required repurchases of the Notes pursuant to Section 3.01, and on the Scheduled Trading Day prior to the Maturity Date.</w:t>
      </w:r>
    </w:p>
    <w:p>
      <w:pPr>
        <w:spacing w:after="0" w:line="173"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color w:val="auto"/>
        </w:rPr>
        <w:t xml:space="preserve">Section 10.15. </w:t>
      </w:r>
      <w:r>
        <w:rPr>
          <w:rFonts w:ascii="Arial" w:cs="Arial" w:eastAsia="Arial" w:hAnsi="Arial"/>
          <w:sz w:val="16"/>
          <w:szCs w:val="16"/>
          <w:i w:val="1"/>
          <w:iCs w:val="1"/>
          <w:color w:val="auto"/>
        </w:rPr>
        <w:t>When No Adjustment Required</w:t>
      </w:r>
      <w:r>
        <w:rPr>
          <w:rFonts w:ascii="Arial" w:cs="Arial" w:eastAsia="Arial" w:hAnsi="Arial"/>
          <w:sz w:val="16"/>
          <w:szCs w:val="16"/>
          <w:color w:val="auto"/>
        </w:rPr>
        <w:t xml:space="preserve">. (a) No adjustment need be made for a transaction referred to in Section 10.06, 10.07, 10.08, 10.09 or 10.10 if Noteholders participate, without conversion, in the transaction or event that would otherwise give rise to an adjustment pursuant to such Section at the same time as holders of Common Stock participate with respect to such transaction or event and on the same terms as holders of Common Stock participate with respect to such transaction or event as if Noteholders, at such time, held a number of shares of Common Stock equal to the Applicable Conversion Rate, </w:t>
      </w:r>
      <w:r>
        <w:rPr>
          <w:rFonts w:ascii="Arial" w:cs="Arial" w:eastAsia="Arial" w:hAnsi="Arial"/>
          <w:sz w:val="16"/>
          <w:szCs w:val="16"/>
          <w:i w:val="1"/>
          <w:iCs w:val="1"/>
          <w:color w:val="auto"/>
        </w:rPr>
        <w:t>multiplied by</w:t>
      </w:r>
      <w:r>
        <w:rPr>
          <w:rFonts w:ascii="Arial" w:cs="Arial" w:eastAsia="Arial" w:hAnsi="Arial"/>
          <w:sz w:val="16"/>
          <w:szCs w:val="16"/>
          <w:color w:val="auto"/>
        </w:rPr>
        <w:t xml:space="preserve"> the principal amount (expressed in thousands) of Notes held by such Noteholder, without having to convert their Notes.</w:t>
      </w:r>
    </w:p>
    <w:p>
      <w:pPr>
        <w:spacing w:after="0" w:line="158" w:lineRule="exact"/>
        <w:rPr>
          <w:sz w:val="20"/>
          <w:szCs w:val="20"/>
          <w:color w:val="auto"/>
        </w:rPr>
      </w:pPr>
    </w:p>
    <w:p>
      <w:pPr>
        <w:ind w:right="140" w:firstLine="1305"/>
        <w:spacing w:after="0" w:line="277" w:lineRule="auto"/>
        <w:tabs>
          <w:tab w:leader="none" w:pos="1641"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adjustment need be made for the issuance of Common Stock or any securities convertible into or exchangeable for Common Stock or carrying the right to purchase Common Stock or any such security.</w:t>
      </w:r>
    </w:p>
    <w:p>
      <w:pPr>
        <w:spacing w:after="0" w:line="170" w:lineRule="exact"/>
        <w:rPr>
          <w:rFonts w:ascii="Arial" w:cs="Arial" w:eastAsia="Arial" w:hAnsi="Arial"/>
          <w:sz w:val="18"/>
          <w:szCs w:val="18"/>
          <w:color w:val="auto"/>
        </w:rPr>
      </w:pPr>
    </w:p>
    <w:p>
      <w:pPr>
        <w:ind w:left="1640" w:hanging="335"/>
        <w:spacing w:after="0"/>
        <w:tabs>
          <w:tab w:leader="none" w:pos="164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No adjustment need be made for rights to purchase Common Stock pursuant to a Company plan for reinvestment of dividends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interest.</w:t>
      </w:r>
    </w:p>
    <w:p>
      <w:pPr>
        <w:spacing w:after="0" w:line="210" w:lineRule="exact"/>
        <w:rPr>
          <w:rFonts w:ascii="Arial" w:cs="Arial" w:eastAsia="Arial" w:hAnsi="Arial"/>
          <w:sz w:val="17"/>
          <w:szCs w:val="17"/>
          <w:color w:val="auto"/>
        </w:rPr>
      </w:pPr>
    </w:p>
    <w:p>
      <w:pPr>
        <w:ind w:left="1640" w:hanging="335"/>
        <w:spacing w:after="0"/>
        <w:tabs>
          <w:tab w:leader="none" w:pos="1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 adjustment need be made for a change in the par value or no par value of Common Stock.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firstLine="1305"/>
        <w:spacing w:after="0" w:line="277" w:lineRule="auto"/>
        <w:tabs>
          <w:tab w:leader="none" w:pos="1631"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the extent the Notes become convertible pursuant to this Article 10 into Cash, no adjustment need be made thereafter as to the Cash. Interest will not accrue on the Cash.</w:t>
      </w:r>
    </w:p>
    <w:p>
      <w:pPr>
        <w:spacing w:after="0" w:line="170" w:lineRule="exact"/>
        <w:rPr>
          <w:sz w:val="20"/>
          <w:szCs w:val="20"/>
          <w:color w:val="auto"/>
        </w:rPr>
      </w:pPr>
    </w:p>
    <w:p>
      <w:pPr>
        <w:ind w:right="360" w:firstLine="1297"/>
        <w:spacing w:after="0" w:line="264" w:lineRule="auto"/>
        <w:rPr>
          <w:sz w:val="20"/>
          <w:szCs w:val="20"/>
          <w:color w:val="auto"/>
        </w:rPr>
      </w:pPr>
      <w:r>
        <w:rPr>
          <w:rFonts w:ascii="Arial" w:cs="Arial" w:eastAsia="Arial" w:hAnsi="Arial"/>
          <w:sz w:val="18"/>
          <w:szCs w:val="18"/>
          <w:color w:val="auto"/>
        </w:rPr>
        <w:t>(f) Notwithstanding anything in this Article 10 to the contrary, the Applicable Conversion Rate shall not exceed per $1,000 principal amount of Notes, other than on account of adjustments to the Conversion Rate in the manner set forth in Sections 10.06, 10.07, 10.08, 10.09 and 10.10.</w:t>
      </w:r>
    </w:p>
    <w:p>
      <w:pPr>
        <w:spacing w:after="0" w:line="181"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i w:val="1"/>
          <w:iCs w:val="1"/>
          <w:color w:val="auto"/>
        </w:rPr>
        <w:t>Notice of Adjustment</w:t>
      </w:r>
      <w:r>
        <w:rPr>
          <w:rFonts w:ascii="Arial" w:cs="Arial" w:eastAsia="Arial" w:hAnsi="Arial"/>
          <w:sz w:val="18"/>
          <w:szCs w:val="18"/>
          <w:color w:val="auto"/>
        </w:rPr>
        <w:t>. Whenever the Conversion Rate is adjusted, the Company shall promptly send to Noteholders a written notice of the adjustment. The Company shall file with the Trustee and the Conversion Agent such notice and a certificate from the Company’s independent public accountants briefly stating the facts requiring the adjustment and the manner of computing it. The certificate shall be conclusive evidence that the adjustment is correct. Neither the Trustee nor any Conversion Agent shall be under any duty or responsibility with respect to any such certificate except to exhibit the same to any Holder desiring inspection thereof.</w:t>
      </w:r>
    </w:p>
    <w:p>
      <w:pPr>
        <w:spacing w:after="0" w:line="18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 xml:space="preserve">Section 10.17. </w:t>
      </w:r>
      <w:r>
        <w:rPr>
          <w:rFonts w:ascii="Arial" w:cs="Arial" w:eastAsia="Arial" w:hAnsi="Arial"/>
          <w:sz w:val="18"/>
          <w:szCs w:val="18"/>
          <w:i w:val="1"/>
          <w:iCs w:val="1"/>
          <w:color w:val="auto"/>
        </w:rPr>
        <w:t>Notice of Certain Transactions</w:t>
      </w:r>
      <w:r>
        <w:rPr>
          <w:rFonts w:ascii="Arial" w:cs="Arial" w:eastAsia="Arial" w:hAnsi="Arial"/>
          <w:sz w:val="18"/>
          <w:szCs w:val="18"/>
          <w:color w:val="auto"/>
        </w:rPr>
        <w:t>. If (a) the Company takes any action that would require an adjustment in the Conversion Rate pursuant to Section 10.06, 10.07, 10.08, 10.09 or 10.10 (unless no adjustment is to occur pursuant to Section 10.14 or Section 10.15), (b) the Company takes any action that would require a supplemental indenture pursuant to Section 10.12, or (c) there is a liquidation or dissolution of the Company, then the Company shall send to Noteholders and file with the Trustee and the Conversion Agent a written notice stating the proposed Ex-Date for a dividend or distribution or the proposed effective date of a subdivision, combination, reclassification, consolidation, merger, combination, sale or conveyance. The Company shall file and send the notice at least 15 days before such date. Failure to file or send the notice or any defect in it shall not affect the validity of the transaction.</w:t>
      </w:r>
    </w:p>
    <w:p>
      <w:pPr>
        <w:spacing w:after="0" w:line="18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 xml:space="preserve">Section 10.18. </w:t>
      </w:r>
      <w:r>
        <w:rPr>
          <w:rFonts w:ascii="Arial" w:cs="Arial" w:eastAsia="Arial" w:hAnsi="Arial"/>
          <w:sz w:val="18"/>
          <w:szCs w:val="18"/>
          <w:i w:val="1"/>
          <w:iCs w:val="1"/>
          <w:color w:val="auto"/>
        </w:rPr>
        <w:t>Right of Holders to Convert</w:t>
      </w:r>
      <w:r>
        <w:rPr>
          <w:rFonts w:ascii="Arial" w:cs="Arial" w:eastAsia="Arial" w:hAnsi="Arial"/>
          <w:sz w:val="18"/>
          <w:szCs w:val="18"/>
          <w:color w:val="auto"/>
        </w:rPr>
        <w:t>. Notwithstanding any other provision in this Indenture, the Holder of any Note shall have the right to convert its Note in accordance with this Article 10 and to bring an action for the enforcement of any such right to convert, and such rights shall not be impaired or affected without the consent of such Holder.</w:t>
      </w:r>
    </w:p>
    <w:p>
      <w:pPr>
        <w:sectPr>
          <w:pgSz w:w="11900" w:h="16918" w:orient="portrait"/>
          <w:cols w:equalWidth="0" w:num="1">
            <w:col w:w="11460"/>
          </w:cols>
          <w:pgMar w:left="240" w:top="121" w:right="199" w:bottom="0" w:gutter="0" w:footer="0" w:header="0"/>
        </w:sectPr>
      </w:pPr>
    </w:p>
    <w:bookmarkStart w:id="132" w:name="page133"/>
    <w:bookmarkEnd w:id="132"/>
    <w:p>
      <w:pPr>
        <w:ind w:right="20" w:firstLine="648"/>
        <w:spacing w:after="0" w:line="259" w:lineRule="auto"/>
        <w:rPr>
          <w:sz w:val="20"/>
          <w:szCs w:val="20"/>
          <w:color w:val="auto"/>
        </w:rPr>
      </w:pPr>
      <w:r>
        <w:rPr>
          <w:rFonts w:ascii="Arial" w:cs="Arial" w:eastAsia="Arial" w:hAnsi="Arial"/>
          <w:sz w:val="18"/>
          <w:szCs w:val="18"/>
          <w:color w:val="auto"/>
        </w:rPr>
        <w:t xml:space="preserve">Section 10.19. </w:t>
      </w:r>
      <w:r>
        <w:rPr>
          <w:rFonts w:ascii="Arial" w:cs="Arial" w:eastAsia="Arial" w:hAnsi="Arial"/>
          <w:sz w:val="18"/>
          <w:szCs w:val="18"/>
          <w:i w:val="1"/>
          <w:iCs w:val="1"/>
          <w:color w:val="auto"/>
        </w:rPr>
        <w:t>Company Determination Final</w:t>
      </w:r>
      <w:r>
        <w:rPr>
          <w:rFonts w:ascii="Arial" w:cs="Arial" w:eastAsia="Arial" w:hAnsi="Arial"/>
          <w:sz w:val="18"/>
          <w:szCs w:val="18"/>
          <w:color w:val="auto"/>
        </w:rPr>
        <w:t>. The Company shall be responsible for making all calculations called for hereunder and under the Notes. The Company shall make all these calculations using commercially reasonable means and, absent manifest error, the Company’s calculations will be final and binding on Noteholders. The Company shall provide a schedule of the Company’s calculations to the Trustee, and the Trustee is entitled to rely upon the accuracy of the Company’s calculations without independent verification.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Section 10.20. </w:t>
      </w:r>
      <w:r>
        <w:rPr>
          <w:rFonts w:ascii="Arial" w:cs="Arial" w:eastAsia="Arial" w:hAnsi="Arial"/>
          <w:sz w:val="17"/>
          <w:szCs w:val="17"/>
          <w:i w:val="1"/>
          <w:iCs w:val="1"/>
          <w:color w:val="auto"/>
        </w:rPr>
        <w:t>Trustee’s Adjustment Disclaimer</w:t>
      </w:r>
      <w:r>
        <w:rPr>
          <w:rFonts w:ascii="Arial" w:cs="Arial" w:eastAsia="Arial" w:hAnsi="Arial"/>
          <w:sz w:val="17"/>
          <w:szCs w:val="17"/>
          <w:color w:val="auto"/>
        </w:rPr>
        <w:t>. The Trustee has no duty to determine when an adjustment under this Article 10 should be made, how it should be made or what it should be. The Trustee has no duty to determine whether a supplemental indenture under Section 10.12 need be entered into or whether any provisions of any supplemental indenture are correct. The Trustee shall not be accountable for and makes no representation as to the validity or value of any securities or assets issued upon conversion of Notes. The Trustee shall not be responsible for the Company’s failure to comply with this Article 10. Each Conversion Agent shall have the same protection under this Section 10.20 as the Trustee.</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 xml:space="preserve">Section 10.21. </w:t>
      </w:r>
      <w:r>
        <w:rPr>
          <w:rFonts w:ascii="Arial" w:cs="Arial" w:eastAsia="Arial" w:hAnsi="Arial"/>
          <w:sz w:val="18"/>
          <w:szCs w:val="18"/>
          <w:i w:val="1"/>
          <w:iCs w:val="1"/>
          <w:color w:val="auto"/>
        </w:rPr>
        <w:t>Simultaneous Adjustments</w:t>
      </w:r>
      <w:r>
        <w:rPr>
          <w:rFonts w:ascii="Arial" w:cs="Arial" w:eastAsia="Arial" w:hAnsi="Arial"/>
          <w:sz w:val="18"/>
          <w:szCs w:val="18"/>
          <w:color w:val="auto"/>
        </w:rPr>
        <w:t>. For purposes of Section 10.08, Section 10.06 and Section 10.07, any dividend or distribution to which Section 10.08 is applicable that also includes shares of Common Stock, or rights, options or warrants to subscribe for or purchase shares of Common Stock (or both), shall be deemed instead to be (1) a dividend or distribution of the debt securities, assets or shares of Capital Stock other than such shares of Common Stock or rights (and any Conversion Rate adjustment required by Section 10.08 with respect to such dividend or distribution shall then be made) immediately followed by (2) a dividend or distribution of such shares of Common Stock or such rights (and any further Conversion Rate adjustment required by Section 10.06 and Section 10.07 with respect to such dividend or distribution shall then be made), except any shares of Common Stock included in such dividend or distribution shall not be deemed “outstanding at the Close of Business on the Business Day immediately preceding such Ex-Date” within the meaning of Section 10.06.</w:t>
      </w:r>
    </w:p>
    <w:p>
      <w:pPr>
        <w:spacing w:after="0" w:line="19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Section 10.22. </w:t>
      </w:r>
      <w:r>
        <w:rPr>
          <w:rFonts w:ascii="Arial" w:cs="Arial" w:eastAsia="Arial" w:hAnsi="Arial"/>
          <w:sz w:val="18"/>
          <w:szCs w:val="18"/>
          <w:i w:val="1"/>
          <w:iCs w:val="1"/>
          <w:color w:val="auto"/>
        </w:rPr>
        <w:t>Successive Adjustments</w:t>
      </w:r>
      <w:r>
        <w:rPr>
          <w:rFonts w:ascii="Arial" w:cs="Arial" w:eastAsia="Arial" w:hAnsi="Arial"/>
          <w:sz w:val="18"/>
          <w:szCs w:val="18"/>
          <w:color w:val="auto"/>
        </w:rPr>
        <w:t>. After an adjustment to the Conversion Rate under this Article 10, any subsequent event requiring an adjustment under this Article 10 shall cause an adjustment to the Conversion Rate as so adjusted.</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Section 10.23. </w:t>
      </w:r>
      <w:r>
        <w:rPr>
          <w:rFonts w:ascii="Arial" w:cs="Arial" w:eastAsia="Arial" w:hAnsi="Arial"/>
          <w:sz w:val="17"/>
          <w:szCs w:val="17"/>
          <w:i w:val="1"/>
          <w:iCs w:val="1"/>
          <w:color w:val="auto"/>
        </w:rPr>
        <w:t>Rights Issued in Respect of Common Stock Issued Upon Conversion</w:t>
      </w:r>
      <w:r>
        <w:rPr>
          <w:rFonts w:ascii="Arial" w:cs="Arial" w:eastAsia="Arial" w:hAnsi="Arial"/>
          <w:sz w:val="17"/>
          <w:szCs w:val="17"/>
          <w:color w:val="auto"/>
        </w:rPr>
        <w:t>. Each share of Common Stock issued upon conversion of Notes pursuant to this Article 10 shall be entitled to receive the appropriate number of rights (“</w:t>
      </w:r>
      <w:r>
        <w:rPr>
          <w:rFonts w:ascii="Arial" w:cs="Arial" w:eastAsia="Arial" w:hAnsi="Arial"/>
          <w:sz w:val="17"/>
          <w:szCs w:val="17"/>
          <w:b w:val="1"/>
          <w:bCs w:val="1"/>
          <w:color w:val="auto"/>
        </w:rPr>
        <w:t>Rights</w:t>
      </w:r>
      <w:r>
        <w:rPr>
          <w:rFonts w:ascii="Arial" w:cs="Arial" w:eastAsia="Arial" w:hAnsi="Arial"/>
          <w:sz w:val="17"/>
          <w:szCs w:val="17"/>
          <w:color w:val="auto"/>
        </w:rPr>
        <w:t>”), if any, and the certificates representing Common Stock issued upon such conversion shall bear such legends, if any, in each case as may be provided by the terms of any rights plan (i.e., a poison pill) adopted by the Company, as the same may be amended form time to time, is in effect, (in each case, a “</w:t>
      </w:r>
      <w:r>
        <w:rPr>
          <w:rFonts w:ascii="Arial" w:cs="Arial" w:eastAsia="Arial" w:hAnsi="Arial"/>
          <w:sz w:val="17"/>
          <w:szCs w:val="17"/>
          <w:b w:val="1"/>
          <w:bCs w:val="1"/>
          <w:color w:val="auto"/>
        </w:rPr>
        <w:t>Shareholders Rights Plan</w:t>
      </w:r>
      <w:r>
        <w:rPr>
          <w:rFonts w:ascii="Arial" w:cs="Arial" w:eastAsia="Arial" w:hAnsi="Arial"/>
          <w:sz w:val="17"/>
          <w:szCs w:val="17"/>
          <w:color w:val="auto"/>
        </w:rPr>
        <w:t>”). Upon conversion of the Notes a Holder will receive, in addition to any Common Stock received in connection with such conversion, the Rights under the Shareholders Rights Plan, unless prior to any conversion, the Rights have separated from Common Stock, in which case the Applicable Conversion Rate will be adjusted at the time of separation as if the Company distributed to all holders of Common Stock, shares of Company Capital Stock, assets, debt securities or certain rights to purchase securities of the Company as described in Section 10.08, subject to readjustment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in the event of the expiration, termination or redemption of such rights. Any distribution of Rights pursuant to the Shareholders Rights Plan that would allow a Holder to receive upon conversion, in addition to shares of Common Stock, the Rights described therein (unless such Rights have separated from Common Stock) shall not constitute a distribution of Rights that would entitle the Holder to an adjustment to the Conversion Rate.</w:t>
      </w:r>
    </w:p>
    <w:p>
      <w:pPr>
        <w:spacing w:after="0" w:line="166"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 xml:space="preserve">Section 10.24. </w:t>
      </w:r>
      <w:r>
        <w:rPr>
          <w:rFonts w:ascii="Arial" w:cs="Arial" w:eastAsia="Arial" w:hAnsi="Arial"/>
          <w:sz w:val="18"/>
          <w:szCs w:val="18"/>
          <w:i w:val="1"/>
          <w:iCs w:val="1"/>
          <w:color w:val="auto"/>
        </w:rPr>
        <w:t>Withholding Taxes for Adjustments in Conversion Rate</w:t>
      </w:r>
      <w:r>
        <w:rPr>
          <w:rFonts w:ascii="Arial" w:cs="Arial" w:eastAsia="Arial" w:hAnsi="Arial"/>
          <w:sz w:val="18"/>
          <w:szCs w:val="18"/>
          <w:color w:val="auto"/>
        </w:rPr>
        <w:t>. The Company may, at its option, set-off withholding taxes due with respect to Notes against delivery of Common Stock upon conversion of the Notes. In the case of any such set-off against Common Stock delivered upon conversion of the Notes, such Common Stock shall be valued based on the Closing Price of the Common Stock on the Trading Day immediately following the Conversion Date.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REDEMPTION</w:t>
      </w:r>
    </w:p>
    <w:p>
      <w:pPr>
        <w:spacing w:after="0" w:line="229" w:lineRule="exact"/>
        <w:rPr>
          <w:sz w:val="20"/>
          <w:szCs w:val="20"/>
          <w:color w:val="auto"/>
        </w:rPr>
      </w:pPr>
    </w:p>
    <w:p>
      <w:pPr>
        <w:ind w:left="660"/>
        <w:spacing w:after="0"/>
        <w:tabs>
          <w:tab w:leader="none" w:pos="198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i w:val="1"/>
          <w:iCs w:val="1"/>
          <w:color w:val="auto"/>
        </w:rPr>
        <w:t>Right to Redeem; Notices to Trustee</w:t>
      </w:r>
      <w:r>
        <w:rPr>
          <w:rFonts w:ascii="Arial" w:cs="Arial" w:eastAsia="Arial" w:hAnsi="Arial"/>
          <w:sz w:val="16"/>
          <w:szCs w:val="16"/>
          <w:color w:val="auto"/>
        </w:rPr>
        <w:t>.</w:t>
      </w:r>
    </w:p>
    <w:p>
      <w:pPr>
        <w:spacing w:after="0" w:line="225" w:lineRule="exact"/>
        <w:rPr>
          <w:sz w:val="20"/>
          <w:szCs w:val="20"/>
          <w:color w:val="auto"/>
        </w:rPr>
      </w:pPr>
    </w:p>
    <w:p>
      <w:pPr>
        <w:ind w:right="120" w:firstLine="1305"/>
        <w:spacing w:after="0" w:line="259" w:lineRule="auto"/>
        <w:tabs>
          <w:tab w:leader="none" w:pos="163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Notes are not redeemable by the Company prior to April 20, 2012. On or after April 20, 2012, the Notes may be redeemed in whole or in part at the option of the Company if the Closing Price of the Company’s Common Stock has been greater than or equal to 135% of the Conversion Price then in effect for at least 20 Trading Days during any 30 consecutive Trading Day period ending within five Trading Days prior to the date on which the Company provides notice of redemption.</w:t>
      </w:r>
    </w:p>
    <w:p>
      <w:pPr>
        <w:spacing w:after="0" w:line="182" w:lineRule="exact"/>
        <w:rPr>
          <w:rFonts w:ascii="Arial" w:cs="Arial" w:eastAsia="Arial" w:hAnsi="Arial"/>
          <w:sz w:val="18"/>
          <w:szCs w:val="18"/>
          <w:color w:val="auto"/>
        </w:rPr>
      </w:pPr>
    </w:p>
    <w:p>
      <w:pPr>
        <w:ind w:firstLine="1305"/>
        <w:spacing w:after="0" w:line="290" w:lineRule="auto"/>
        <w:tabs>
          <w:tab w:leader="none" w:pos="1628"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redemption price at which the Notes are redeemable (the “</w:t>
      </w:r>
      <w:r>
        <w:rPr>
          <w:rFonts w:ascii="Arial" w:cs="Arial" w:eastAsia="Arial" w:hAnsi="Arial"/>
          <w:sz w:val="16"/>
          <w:szCs w:val="16"/>
          <w:b w:val="1"/>
          <w:bCs w:val="1"/>
          <w:color w:val="auto"/>
        </w:rPr>
        <w:t>Redemption Price</w:t>
      </w:r>
      <w:r>
        <w:rPr>
          <w:rFonts w:ascii="Arial" w:cs="Arial" w:eastAsia="Arial" w:hAnsi="Arial"/>
          <w:sz w:val="16"/>
          <w:szCs w:val="16"/>
          <w:color w:val="auto"/>
        </w:rPr>
        <w:t xml:space="preserve">”) shall be equal to (i) 100% of the principal of Notes to be redeemed, plus (ii) accrued and unpaid interest (including any Additional Interest) to, but excluding, the Redemption Date, plus (iii) the Make-Whole Premium;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Redemption Date is after a Regular Record Date and on or prior to the Interest Payment Date to which it relates, then the accrued and unpaid interest, if any, to, but excluding, the Redemption Date, shall be paid on such Interest Payment Date to the holders of record of such Notes on the applicable Regular Record Date instead of the holders surrendering such Notes for redemption on the Redemption Date (and in this circumstance, the Make-Whole Premium shall be calculated based on the present values of the remaining scheduled payments of interest on such Notes starting with the next Interest Payment Date for which interest has not been provided for herein). The Trustee shall have no duty to determine or calculate the Make-Whole Premium, which shall be determined by the Company in accordance with the provisions of this Indenture, and the Trustee shall not be under any responsibility to determine the correctness of any such determination and/or calculation and may conclusively rely on the correctness thereof.</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707" w:gutter="0" w:footer="0" w:header="0"/>
        </w:sectPr>
      </w:pPr>
    </w:p>
    <w:bookmarkStart w:id="133" w:name="page134"/>
    <w:bookmarkEnd w:id="133"/>
    <w:p>
      <w:pPr>
        <w:ind w:right="20" w:firstLine="1305"/>
        <w:spacing w:after="0" w:line="276" w:lineRule="auto"/>
        <w:tabs>
          <w:tab w:leader="none" w:pos="163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Upon any redemption in accordance with this Article 11, the Company shall pay the Make-Whole Premium with respect to the Notes called for redemption to Holders, at its option, in Cash, shares of Common Stock or a combination of Cash and shares of Common Stock and shall specify the type of consideration for the Make-Whole Premium (and, if a combination, will specify the dollar amount of the Make-Whole Premium to be paid in Cash) in the notice of redemption sent by the Company pursuant to Section 11.03. If the Company does not specify the type of consideration for the Make-Whole Premium in such notice of redemption, the Company shall pay the Make-Whole Premium entirely in Cash.</w:t>
      </w:r>
    </w:p>
    <w:p>
      <w:pPr>
        <w:spacing w:after="0" w:line="173"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Company may elect to pay the Make-Whole Premium or any portion thereof, subject to the fulfillment by the Company of the conditions set forth in Section 11.01(i), by delivering the number of shares of Common Stock equal to (i) the amount of the Make-Whole Premium (or any portion thereof that the Company elects to pay in shares of Common Stock) divided by (ii) the product of (x) the average of the Closing Prices per share of Common Stock for the five consecutive Trading Days immediately preceding and including the third Trading Day prior to the Redemption Date and (y) 97.5%.</w:t>
      </w:r>
    </w:p>
    <w:p>
      <w:pPr>
        <w:spacing w:after="0" w:line="154" w:lineRule="exact"/>
        <w:rPr>
          <w:sz w:val="20"/>
          <w:szCs w:val="20"/>
          <w:color w:val="auto"/>
        </w:rPr>
      </w:pPr>
    </w:p>
    <w:p>
      <w:pPr>
        <w:ind w:right="260" w:firstLine="1305"/>
        <w:spacing w:after="0" w:line="264" w:lineRule="auto"/>
        <w:tabs>
          <w:tab w:leader="none" w:pos="162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shall pay the Make-Whole Premium on all Notes called for redemption on or after April 20, 2012 and prior to October 15, 2013, including any Notes converted into Common Stock pursuant to the terms of the Indenture after the date of the notice of redemption sent pursuant to Section 11.03 of this Indenture and prior to such Redemption Date.</w:t>
      </w:r>
    </w:p>
    <w:p>
      <w:pPr>
        <w:spacing w:after="0" w:line="181" w:lineRule="exact"/>
        <w:rPr>
          <w:rFonts w:ascii="Arial" w:cs="Arial" w:eastAsia="Arial" w:hAnsi="Arial"/>
          <w:sz w:val="18"/>
          <w:szCs w:val="18"/>
          <w:color w:val="auto"/>
        </w:rPr>
      </w:pPr>
    </w:p>
    <w:p>
      <w:pPr>
        <w:ind w:right="20" w:firstLine="1305"/>
        <w:spacing w:after="0" w:line="259" w:lineRule="auto"/>
        <w:tabs>
          <w:tab w:leader="none" w:pos="163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Company may not redeem any Notes unless all accrued and unpaid interest (including any Additional Interest) thereon has been or is simultaneously paid for all semi-annual periods or portions thereof terminating prior to the Redemption Date. In addition, the Company may not redeem any Notes or deliver to any Holder of Notes a notice of redemption pursuant to Section 11.03 at any time when there exists any accrued and unpaid Defaulted Interest.</w:t>
      </w:r>
    </w:p>
    <w:p>
      <w:pPr>
        <w:spacing w:after="0" w:line="186" w:lineRule="exact"/>
        <w:rPr>
          <w:rFonts w:ascii="Arial" w:cs="Arial" w:eastAsia="Arial" w:hAnsi="Arial"/>
          <w:sz w:val="18"/>
          <w:szCs w:val="18"/>
          <w:color w:val="auto"/>
        </w:rPr>
      </w:pPr>
    </w:p>
    <w:p>
      <w:pPr>
        <w:ind w:right="60" w:firstLine="1305"/>
        <w:spacing w:after="0" w:line="254" w:lineRule="auto"/>
        <w:tabs>
          <w:tab w:leader="none" w:pos="1638" w:val="left"/>
        </w:tabs>
        <w:numPr>
          <w:ilvl w:val="0"/>
          <w:numId w:val="192"/>
        </w:numPr>
        <w:rPr>
          <w:rFonts w:ascii="Arial" w:cs="Arial" w:eastAsia="Arial" w:hAnsi="Arial"/>
          <w:sz w:val="18"/>
          <w:szCs w:val="18"/>
          <w:color w:val="auto"/>
        </w:rPr>
      </w:pPr>
      <w:r>
        <w:rPr>
          <w:rFonts w:ascii="Arial" w:cs="Arial" w:eastAsia="Arial" w:hAnsi="Arial"/>
          <w:sz w:val="18"/>
          <w:szCs w:val="18"/>
          <w:color w:val="auto"/>
        </w:rPr>
        <w:t xml:space="preserve">Any issuance of shares of Common Stock in respect of the Make-Whole Premium shall be deemed to have been effected immediately prior to the Close of Business on the Redemption Date and the Person or Persons in whose name or names any stock certificate or stock certificates representing shares of Common Stock shall be issuable upon such redemption shall be deemed to have become on the Redemption Date the holder or holders of record of the shares represented thereby;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surrender for redemption on a date when the stock transfer books of the Company shall be closed shall constitute the Person or Persons in whose name or names the stock certificate or stock certificates representing such shares are to be issued as the holder or holders of record of the shares represented thereby for all purposes at the opening of business on the next succeeding day on which such stock transfer books are open. No payment or adjustment shall be made for dividends or distributions on any Common Stock declared prior to the Redemption Date.</w:t>
      </w:r>
    </w:p>
    <w:p>
      <w:pPr>
        <w:spacing w:after="0" w:line="192"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A Holder receiving shares of Common Stock in respect of the Make-Whole Premium shall not be entitled to any rights as a holder of Common Stock, including, among other things, the right to vote and receive dividends and notices of stockholder meetings, until the Close of Business on the Redemption Date.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firstLine="1305"/>
        <w:spacing w:after="0" w:line="342" w:lineRule="auto"/>
        <w:tabs>
          <w:tab w:leader="none" w:pos="162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The Company will not issue a fractional share of Common Stock upon payment of the Make-Whole Premium. Instead, the Company shall pay Cash in lieu of fractional shares based on the Closing Price of Common Stock on the Trading Day prior to the applicable Conversion Date.</w:t>
      </w:r>
    </w:p>
    <w:p>
      <w:pPr>
        <w:spacing w:after="0" w:line="123" w:lineRule="exact"/>
        <w:rPr>
          <w:rFonts w:ascii="Arial" w:cs="Arial" w:eastAsia="Arial" w:hAnsi="Arial"/>
          <w:sz w:val="16"/>
          <w:szCs w:val="16"/>
          <w:color w:val="auto"/>
        </w:rPr>
      </w:pPr>
    </w:p>
    <w:p>
      <w:pPr>
        <w:ind w:firstLine="1305"/>
        <w:spacing w:after="0" w:line="293" w:lineRule="auto"/>
        <w:tabs>
          <w:tab w:leader="none" w:pos="1628" w:val="left"/>
        </w:tabs>
        <w:numPr>
          <w:ilvl w:val="1"/>
          <w:numId w:val="193"/>
        </w:numPr>
        <w:rPr>
          <w:rFonts w:ascii="Arial" w:cs="Arial" w:eastAsia="Arial" w:hAnsi="Arial"/>
          <w:sz w:val="16"/>
          <w:szCs w:val="16"/>
          <w:color w:val="auto"/>
        </w:rPr>
      </w:pPr>
      <w:r>
        <w:rPr>
          <w:rFonts w:ascii="Arial" w:cs="Arial" w:eastAsia="Arial" w:hAnsi="Arial"/>
          <w:sz w:val="16"/>
          <w:szCs w:val="16"/>
          <w:color w:val="auto"/>
        </w:rPr>
        <w:t xml:space="preserve">Any issuance and delivery of stock certificates representing shares of Common Stock on payment of the Make-Whole Premium shall be made without charge to the Holder of Notes being redeemed or for any tax or duty in respect of the issuance or delivery of such stock certificates or the Notes represented thereby;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pay any tax or duty which may be payable in respect of (i) income of the Holder or (ii) any transfer involved in the issuance or delivery of stock certificates representing shares of Common Stock in a name other than that of the Holder of the Notes being redeemed, and no such issuance or delivery shall be made unless the Persons requesting such issuance or delivery has paid to the Company the amount of any such tax or duty or has established, to the satisfaction of the Company, that such tax or duty has been paid.</w:t>
      </w:r>
    </w:p>
    <w:p>
      <w:pPr>
        <w:spacing w:after="0" w:line="164" w:lineRule="exact"/>
        <w:rPr>
          <w:rFonts w:ascii="Arial" w:cs="Arial" w:eastAsia="Arial" w:hAnsi="Arial"/>
          <w:sz w:val="16"/>
          <w:szCs w:val="16"/>
          <w:color w:val="auto"/>
        </w:rPr>
      </w:pPr>
    </w:p>
    <w:p>
      <w:pPr>
        <w:ind w:right="180" w:firstLine="1305"/>
        <w:spacing w:after="0" w:line="277" w:lineRule="auto"/>
        <w:tabs>
          <w:tab w:leader="none" w:pos="1642"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Company may, at its option, pay the Make-Whole Premium payable to Holders pursuant to Section 11.01(b) upon redemption of the Notes, in shares of Common Stock, if the following conditions are satisfied:</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The shares of Common Stock to be so issued:</w:t>
      </w:r>
    </w:p>
    <w:p>
      <w:pPr>
        <w:spacing w:after="0" w:line="225" w:lineRule="exact"/>
        <w:rPr>
          <w:rFonts w:ascii="Arial" w:cs="Arial" w:eastAsia="Arial" w:hAnsi="Arial"/>
          <w:sz w:val="18"/>
          <w:szCs w:val="18"/>
          <w:color w:val="auto"/>
        </w:rPr>
      </w:pPr>
    </w:p>
    <w:p>
      <w:pPr>
        <w:ind w:left="660" w:right="40" w:firstLine="645"/>
        <w:spacing w:after="0" w:line="264" w:lineRule="auto"/>
        <w:tabs>
          <w:tab w:leader="none" w:pos="1978" w:val="left"/>
        </w:tabs>
        <w:numPr>
          <w:ilvl w:val="1"/>
          <w:numId w:val="194"/>
        </w:numPr>
        <w:rPr>
          <w:rFonts w:ascii="Arial" w:cs="Arial" w:eastAsia="Arial" w:hAnsi="Arial"/>
          <w:sz w:val="18"/>
          <w:szCs w:val="18"/>
          <w:color w:val="auto"/>
        </w:rPr>
      </w:pPr>
      <w:r>
        <w:rPr>
          <w:rFonts w:ascii="Arial" w:cs="Arial" w:eastAsia="Arial" w:hAnsi="Arial"/>
          <w:sz w:val="18"/>
          <w:szCs w:val="18"/>
          <w:color w:val="auto"/>
        </w:rPr>
        <w:t>shall not require registration under any federal securities law before such shares may be freely transferable without being subject to any transfer restrictions under the Securities Act upon redemption or if such registration is required, such registration shall be completed and shall become effective prior to the Redemption Date; and</w:t>
      </w:r>
    </w:p>
    <w:p>
      <w:pPr>
        <w:spacing w:after="0" w:line="181" w:lineRule="exact"/>
        <w:rPr>
          <w:sz w:val="20"/>
          <w:szCs w:val="20"/>
          <w:color w:val="auto"/>
        </w:rPr>
      </w:pPr>
    </w:p>
    <w:p>
      <w:pPr>
        <w:ind w:left="660" w:right="120" w:firstLine="645"/>
        <w:spacing w:after="0" w:line="264" w:lineRule="auto"/>
        <w:tabs>
          <w:tab w:leader="none" w:pos="1987" w:val="left"/>
        </w:tabs>
        <w:numPr>
          <w:ilvl w:val="1"/>
          <w:numId w:val="195"/>
        </w:numPr>
        <w:rPr>
          <w:rFonts w:ascii="Arial" w:cs="Arial" w:eastAsia="Arial" w:hAnsi="Arial"/>
          <w:sz w:val="18"/>
          <w:szCs w:val="18"/>
          <w:color w:val="auto"/>
        </w:rPr>
      </w:pPr>
      <w:r>
        <w:rPr>
          <w:rFonts w:ascii="Arial" w:cs="Arial" w:eastAsia="Arial" w:hAnsi="Arial"/>
          <w:sz w:val="18"/>
          <w:szCs w:val="18"/>
          <w:color w:val="auto"/>
        </w:rPr>
        <w:t>shall not require registration with, or approval of, any governmental authority under any state law or any other federal law before shares may be validly issued or delivered upon redemption or if such registration is required or such approval must be obtained, such registration shall be completed or such approval shall be obtained prior to the Redemption Date.</w:t>
      </w:r>
    </w:p>
    <w:p>
      <w:pPr>
        <w:spacing w:after="0" w:line="181" w:lineRule="exact"/>
        <w:rPr>
          <w:rFonts w:ascii="Arial" w:cs="Arial" w:eastAsia="Arial" w:hAnsi="Arial"/>
          <w:sz w:val="18"/>
          <w:szCs w:val="18"/>
          <w:color w:val="auto"/>
        </w:rPr>
      </w:pPr>
    </w:p>
    <w:p>
      <w:pPr>
        <w:ind w:right="300" w:firstLine="656"/>
        <w:spacing w:after="0" w:line="342" w:lineRule="auto"/>
        <w:tabs>
          <w:tab w:leader="none" w:pos="1320"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shares of Common Stock to be listed upon redemption of Notes hereunder are, or shall have been, approved for listing on The New York Stock Exchange or any other stock exchange on which the shares of Common Stock are then listed, in any case, prior to the Redemption Date.</w:t>
      </w:r>
    </w:p>
    <w:p>
      <w:pPr>
        <w:spacing w:after="0" w:line="123" w:lineRule="exact"/>
        <w:rPr>
          <w:rFonts w:ascii="Arial" w:cs="Arial" w:eastAsia="Arial" w:hAnsi="Arial"/>
          <w:sz w:val="16"/>
          <w:szCs w:val="16"/>
          <w:color w:val="auto"/>
        </w:rPr>
      </w:pPr>
    </w:p>
    <w:p>
      <w:pPr>
        <w:ind w:right="100" w:firstLine="656"/>
        <w:spacing w:after="0" w:line="308" w:lineRule="auto"/>
        <w:tabs>
          <w:tab w:leader="none" w:pos="132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All shares of Common Stock which may be issued upon redemption of Notes shall be newly issued shares or treasury shares, shall be duly and validly issued and fully paid and nonassessable and shall be free from preemptive rights and free of any lien or adverse claim.</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656"/>
        <w:spacing w:after="0" w:line="277" w:lineRule="auto"/>
        <w:tabs>
          <w:tab w:leader="none" w:pos="1317"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If any of the conditions set forth in clauses (A) through (C) of this Section 11.01(i) are not satisfied in accordance with the terms thereof, the Make-Whole Premium shall be paid by the Company only in Cash.</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 xml:space="preserve">Section 11.02. </w:t>
      </w:r>
      <w:r>
        <w:rPr>
          <w:rFonts w:ascii="Arial" w:cs="Arial" w:eastAsia="Arial" w:hAnsi="Arial"/>
          <w:sz w:val="16"/>
          <w:szCs w:val="16"/>
          <w:i w:val="1"/>
          <w:iCs w:val="1"/>
          <w:color w:val="auto"/>
        </w:rPr>
        <w:t>Selection of Notes to be Redeemed</w:t>
      </w:r>
      <w:r>
        <w:rPr>
          <w:rFonts w:ascii="Arial" w:cs="Arial" w:eastAsia="Arial" w:hAnsi="Arial"/>
          <w:sz w:val="16"/>
          <w:szCs w:val="16"/>
          <w:color w:val="auto"/>
        </w:rPr>
        <w:t>. If less than all the Notes are to be redeemed, the Trustee shall select the Notes to be redeemed pro rata or by lot or by any other method the Trustee considers fair and appropriate (so long as such method is not prohibited by the rules of The New York</w:t>
      </w:r>
    </w:p>
    <w:p>
      <w:pPr>
        <w:sectPr>
          <w:pgSz w:w="11900" w:h="16838" w:orient="portrait"/>
          <w:cols w:equalWidth="0" w:num="1">
            <w:col w:w="11400"/>
          </w:cols>
          <w:pgMar w:left="240" w:top="125" w:right="259" w:bottom="0" w:gutter="0" w:footer="0" w:header="0"/>
        </w:sectPr>
      </w:pPr>
    </w:p>
    <w:bookmarkStart w:id="134" w:name="page135"/>
    <w:bookmarkEnd w:id="134"/>
    <w:p>
      <w:pPr>
        <w:ind w:right="100"/>
        <w:spacing w:after="0" w:line="308" w:lineRule="auto"/>
        <w:rPr>
          <w:sz w:val="20"/>
          <w:szCs w:val="20"/>
          <w:color w:val="auto"/>
        </w:rPr>
      </w:pPr>
      <w:r>
        <w:rPr>
          <w:rFonts w:ascii="Arial" w:cs="Arial" w:eastAsia="Arial" w:hAnsi="Arial"/>
          <w:sz w:val="17"/>
          <w:szCs w:val="17"/>
          <w:color w:val="auto"/>
        </w:rPr>
        <w:t>Stock Exchange or any other stock exchange on which the Notes are then listed, as applicable). The Trustee shall make the selection within seven days from its receipt of the notice from the Company delivered pursuant to Section 11.03 from outstanding Notes not previously called for redemption.</w:t>
      </w:r>
    </w:p>
    <w:p>
      <w:pPr>
        <w:spacing w:after="0" w:line="147"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Notes and portions of them the Trustee selects shall be in principal amounts of $1,000 or integral multiples of $1,000. Provisions of this Indenture that apply to Notes called for redemption in whole also apply to Notes called for redemption in part. The Trustee shall notify the Company promptly of the Notes or portions of Notes to be redeemed.</w:t>
      </w:r>
    </w:p>
    <w:p>
      <w:pPr>
        <w:spacing w:after="0" w:line="181" w:lineRule="exact"/>
        <w:rPr>
          <w:sz w:val="20"/>
          <w:szCs w:val="20"/>
          <w:color w:val="auto"/>
        </w:rPr>
      </w:pPr>
    </w:p>
    <w:p>
      <w:pPr>
        <w:jc w:val="both"/>
        <w:ind w:right="140" w:firstLine="648"/>
        <w:spacing w:after="0" w:line="286" w:lineRule="auto"/>
        <w:rPr>
          <w:sz w:val="20"/>
          <w:szCs w:val="20"/>
          <w:color w:val="auto"/>
        </w:rPr>
      </w:pPr>
      <w:r>
        <w:rPr>
          <w:rFonts w:ascii="Arial" w:cs="Arial" w:eastAsia="Arial" w:hAnsi="Arial"/>
          <w:sz w:val="17"/>
          <w:szCs w:val="17"/>
          <w:color w:val="auto"/>
        </w:rPr>
        <w:t>If any Note selected for partial redemption is converted in part before termination of the conversion right with respect to the portion of the Note so selected, the converted portion of such Note shall be deemed (so far as may be) to be the portion selected for redemption. Notes which have been converted during a selection of Notes to be redeemed may be treated by the Trustee as outstanding for the purpose of such selection.</w:t>
      </w:r>
    </w:p>
    <w:p>
      <w:pPr>
        <w:spacing w:after="0" w:line="166"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i w:val="1"/>
          <w:iCs w:val="1"/>
          <w:color w:val="auto"/>
        </w:rPr>
        <w:t>Notice of Redemption</w:t>
      </w:r>
      <w:r>
        <w:rPr>
          <w:rFonts w:ascii="Arial" w:cs="Arial" w:eastAsia="Arial" w:hAnsi="Arial"/>
          <w:sz w:val="17"/>
          <w:szCs w:val="17"/>
          <w:color w:val="auto"/>
        </w:rPr>
        <w:t xml:space="preserve">. At least 30 days but not more than 60 days before a Redemption Date, the Company shall mail a notice of redemption by first-class mail, postage prepaid, to the Trustee, the Paying Agent and each Holder of Notes to be redeemed; </w:t>
      </w:r>
      <w:r>
        <w:rPr>
          <w:rFonts w:ascii="Arial" w:cs="Arial" w:eastAsia="Arial" w:hAnsi="Arial"/>
          <w:sz w:val="17"/>
          <w:szCs w:val="17"/>
          <w:i w:val="1"/>
          <w:iCs w:val="1"/>
          <w:color w:val="auto"/>
        </w:rPr>
        <w:t>provided</w:t>
      </w:r>
      <w:r>
        <w:rPr>
          <w:rFonts w:ascii="Arial" w:cs="Arial" w:eastAsia="Arial" w:hAnsi="Arial"/>
          <w:sz w:val="17"/>
          <w:szCs w:val="17"/>
          <w:color w:val="auto"/>
        </w:rPr>
        <w:t>, however, that the Company may not deliver any such notice to any Holder of Notes at any time when there exists any accrued and unpaid Defaulted Interest.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notice shall specify the Notes to be redeemed and shall state:</w:t>
      </w:r>
    </w:p>
    <w:p>
      <w:pPr>
        <w:spacing w:after="0" w:line="225" w:lineRule="exact"/>
        <w:rPr>
          <w:sz w:val="20"/>
          <w:szCs w:val="20"/>
          <w:color w:val="auto"/>
        </w:rPr>
      </w:pPr>
    </w:p>
    <w:p>
      <w:pPr>
        <w:ind w:left="2620" w:hanging="343"/>
        <w:spacing w:after="0"/>
        <w:tabs>
          <w:tab w:leader="none" w:pos="26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Redemption Date, including the type of consideration to be paid for the Make-Whole Premium;</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640" w:hanging="363"/>
        <w:spacing w:after="0"/>
        <w:tabs>
          <w:tab w:leader="none" w:pos="26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Applicable Conversion Rate and any adjustments thereto;</w:t>
      </w:r>
    </w:p>
    <w:p>
      <w:pPr>
        <w:spacing w:after="0" w:line="225" w:lineRule="exact"/>
        <w:rPr>
          <w:rFonts w:ascii="Arial" w:cs="Arial" w:eastAsia="Arial" w:hAnsi="Arial"/>
          <w:sz w:val="18"/>
          <w:szCs w:val="18"/>
          <w:color w:val="auto"/>
        </w:rPr>
      </w:pPr>
    </w:p>
    <w:p>
      <w:pPr>
        <w:ind w:left="2620" w:hanging="343"/>
        <w:spacing w:after="0"/>
        <w:tabs>
          <w:tab w:leader="none" w:pos="26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name and address of the Paying Agent and Conversion Agent;</w:t>
      </w:r>
    </w:p>
    <w:p>
      <w:pPr>
        <w:spacing w:after="0" w:line="225" w:lineRule="exact"/>
        <w:rPr>
          <w:rFonts w:ascii="Arial" w:cs="Arial" w:eastAsia="Arial" w:hAnsi="Arial"/>
          <w:sz w:val="18"/>
          <w:szCs w:val="18"/>
          <w:color w:val="auto"/>
        </w:rPr>
      </w:pPr>
    </w:p>
    <w:p>
      <w:pPr>
        <w:ind w:right="660" w:firstLine="2277"/>
        <w:spacing w:after="0" w:line="277" w:lineRule="auto"/>
        <w:tabs>
          <w:tab w:leader="none" w:pos="26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that Notes called for redemption may be converted at any time before the Close of Business on the Business Day immediately preceding the Redemption Date;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(vi) the procedures a Holder must follow to exercise rights under Section 3.01.</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At the Company’s written request delivered at least 30 days prior to the date such notice is to be given to the Holders (unless a shorter time period shall be acceptable to the Trustee), the Trustee shall give the notice of redemption to each Holder of Notes to be redeemed in the Company’s name and at the Company’s expense.</w:t>
      </w:r>
    </w:p>
    <w:p>
      <w:pPr>
        <w:spacing w:after="0" w:line="181" w:lineRule="exact"/>
        <w:rPr>
          <w:sz w:val="20"/>
          <w:szCs w:val="20"/>
          <w:color w:val="auto"/>
        </w:rPr>
      </w:pPr>
    </w:p>
    <w:p>
      <w:pPr>
        <w:jc w:val="both"/>
        <w:ind w:right="120" w:firstLine="648"/>
        <w:spacing w:after="0" w:line="264"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Effect of Notice of Redemption</w:t>
      </w:r>
      <w:r>
        <w:rPr>
          <w:rFonts w:ascii="Arial" w:cs="Arial" w:eastAsia="Arial" w:hAnsi="Arial"/>
          <w:sz w:val="18"/>
          <w:szCs w:val="18"/>
          <w:color w:val="auto"/>
        </w:rPr>
        <w:t>. Once notice of redemption is given, Notes called for redemption become due and payable on the Redemption Date and at the Redemption Price stated in the notice except for Notes that are converted in accordance with the terms of this Indenture. Upon surrender to the Paying Agent, such Notes shall be paid at the Redemption Price stated in the notice.</w:t>
      </w:r>
    </w:p>
    <w:p>
      <w:pPr>
        <w:spacing w:after="0" w:line="181"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i w:val="1"/>
          <w:iCs w:val="1"/>
          <w:color w:val="auto"/>
        </w:rPr>
        <w:t>Deposit of Redemption Price</w:t>
      </w:r>
      <w:r>
        <w:rPr>
          <w:rFonts w:ascii="Arial" w:cs="Arial" w:eastAsia="Arial" w:hAnsi="Arial"/>
          <w:sz w:val="16"/>
          <w:szCs w:val="16"/>
          <w:color w:val="auto"/>
        </w:rPr>
        <w:t>. Prior to 12:00 p.m. (New York City time) on or prior to the Redemption Date, the Company shall deposit with the Trustee or with the Paying Agent (or, if the Company or a Subsidiary of the Company or an Affiliate of either of them is acting as the Paying Agent, shall segregate and hold in trust as provided in Section 2.04) an amount of money (in immediately available funds if deposited on such Trading Day) sufficient to pay the aggregate Redemption Price of all the Notes or portions thereof which are to be redeemed as of the Redemption Date.</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If the Paying Agent holds money sufficient to pay the Redemption Price with respect to the Notes to be redeemed on the Redemption Date in accordance with the terms of this Indenture, then, immediately on and after the Redemption Date, interest on such Notes shall cease to accrue, whether or not the Notes are delivered to the Paying Agent, and all other rights of the Holders of such Notes shall terminate, other than the right to receive the Redemption Price upon delivery of such Notes.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i w:val="1"/>
          <w:iCs w:val="1"/>
          <w:color w:val="auto"/>
        </w:rPr>
        <w:t>Notes Redeemed in Part</w:t>
      </w:r>
      <w:r>
        <w:rPr>
          <w:rFonts w:ascii="Arial" w:cs="Arial" w:eastAsia="Arial" w:hAnsi="Arial"/>
          <w:sz w:val="17"/>
          <w:szCs w:val="17"/>
          <w:color w:val="auto"/>
        </w:rPr>
        <w:t xml:space="preserve">. Any Note which is to be redeemed only in part shall be surrendered at the office of the Paying Agent (with, if the Company or the Trustee so requires, due endorsement by, or a written instrument of transfer in form satisfactory to the Company and the Trustee duly executed by, the Holder thereof or such Holder’s attorney duly authorized in writing) and the Company shall execute and the Trustee shall authenticate and deliver to the Holder of such Note, without service charge, a new Note or Note, of any authorized denomination as requested by such Holder in aggregate principal amount equal to, and in exchange for, the portion of the principal amount of the Note so surrendered that is not redeemed; </w:t>
      </w:r>
      <w:r>
        <w:rPr>
          <w:rFonts w:ascii="Arial" w:cs="Arial" w:eastAsia="Arial" w:hAnsi="Arial"/>
          <w:sz w:val="17"/>
          <w:szCs w:val="17"/>
          <w:i w:val="1"/>
          <w:iCs w:val="1"/>
          <w:color w:val="auto"/>
        </w:rPr>
        <w:t>provided</w:t>
      </w:r>
      <w:r>
        <w:rPr>
          <w:rFonts w:ascii="Arial" w:cs="Arial" w:eastAsia="Arial" w:hAnsi="Arial"/>
          <w:sz w:val="17"/>
          <w:szCs w:val="17"/>
          <w:color w:val="auto"/>
        </w:rPr>
        <w:t>, that the Company shall not be required to (i) issue, register the transfer of or exchange any Notes during a period beginning at the opening of business 15 days before any selection for redemption of Notes and ending at the Close of Business on the earliest date on which the relevant notice of redemption is deemed to have been given to all Holders of Notes to be redeemed or (ii) register the transfer of or exchange any Notes so selected for redemption, in whole or in part, except the unredeemed portion of any Notes being redeemed in part.</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PAYMENT OF INTEREST</w:t>
      </w:r>
    </w:p>
    <w:p>
      <w:pPr>
        <w:spacing w:after="0" w:line="229"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Section 12.01. </w:t>
      </w:r>
      <w:r>
        <w:rPr>
          <w:rFonts w:ascii="Arial" w:cs="Arial" w:eastAsia="Arial" w:hAnsi="Arial"/>
          <w:sz w:val="16"/>
          <w:szCs w:val="16"/>
          <w:i w:val="1"/>
          <w:iCs w:val="1"/>
          <w:color w:val="auto"/>
        </w:rPr>
        <w:t>Interest Payments</w:t>
      </w:r>
      <w:r>
        <w:rPr>
          <w:rFonts w:ascii="Arial" w:cs="Arial" w:eastAsia="Arial" w:hAnsi="Arial"/>
          <w:sz w:val="16"/>
          <w:szCs w:val="16"/>
          <w:color w:val="auto"/>
        </w:rPr>
        <w:t>. Interest (including any Additional Interest) on any Note that is payable, and is punctually paid or duly provided for, on any applicable Interest Payment Date shall be paid to the Person in whose name that Note is registered at the Close of Business on the Regular Record Date for such interest at the office or agency of the Company maintained for such purpose. Each installment of interest payable in Cash on any Note shall be paid in same-day funds by transfer to an account maintained by the payee located inside the United States, if the Trustee shall have received proper wire transfer instructions from such payee not later than the related Regular Record Date or, if no such instructions have been received by check drawn on a bank in the United States mailed to the payee at its address set forth on the Registrar’s books. In the case of a Global Note, interest payable on any</w:t>
      </w:r>
    </w:p>
    <w:p>
      <w:pPr>
        <w:sectPr>
          <w:pgSz w:w="11900" w:h="16838" w:orient="portrait"/>
          <w:cols w:equalWidth="0" w:num="1">
            <w:col w:w="11400"/>
          </w:cols>
          <w:pgMar w:left="240" w:top="125" w:right="259" w:bottom="0" w:gutter="0" w:footer="0" w:header="0"/>
        </w:sectPr>
      </w:pPr>
    </w:p>
    <w:bookmarkStart w:id="135" w:name="page136"/>
    <w:bookmarkEnd w:id="135"/>
    <w:p>
      <w:pPr>
        <w:ind w:right="540"/>
        <w:spacing w:after="0" w:line="277" w:lineRule="auto"/>
        <w:rPr>
          <w:sz w:val="20"/>
          <w:szCs w:val="20"/>
          <w:color w:val="auto"/>
        </w:rPr>
      </w:pPr>
      <w:r>
        <w:rPr>
          <w:rFonts w:ascii="Arial" w:cs="Arial" w:eastAsia="Arial" w:hAnsi="Arial"/>
          <w:sz w:val="18"/>
          <w:szCs w:val="18"/>
          <w:color w:val="auto"/>
        </w:rPr>
        <w:t>applicable payment date will be paid by wire transfer of same-day funds to the Depositary for the purpose of permitting such party to credit the interest received by it in respect of such Global Note to the accounts of the beneficial owners thereof.</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Section 12.02. </w:t>
      </w:r>
      <w:r>
        <w:rPr>
          <w:rFonts w:ascii="Arial" w:cs="Arial" w:eastAsia="Arial" w:hAnsi="Arial"/>
          <w:sz w:val="18"/>
          <w:szCs w:val="18"/>
          <w:i w:val="1"/>
          <w:iCs w:val="1"/>
          <w:color w:val="auto"/>
        </w:rPr>
        <w:t>Defaulted Interest</w:t>
      </w:r>
      <w:r>
        <w:rPr>
          <w:rFonts w:ascii="Arial" w:cs="Arial" w:eastAsia="Arial" w:hAnsi="Arial"/>
          <w:sz w:val="18"/>
          <w:szCs w:val="18"/>
          <w:color w:val="auto"/>
        </w:rPr>
        <w:t>. Any interest (including any Additional Interest) on any Note that is payable, but is not punctually paid or duly provided for, within 30 days following any applicable payment date (herein called “</w:t>
      </w:r>
      <w:r>
        <w:rPr>
          <w:rFonts w:ascii="Arial" w:cs="Arial" w:eastAsia="Arial" w:hAnsi="Arial"/>
          <w:sz w:val="18"/>
          <w:szCs w:val="18"/>
          <w:b w:val="1"/>
          <w:bCs w:val="1"/>
          <w:color w:val="auto"/>
        </w:rPr>
        <w:t>Defaulted Interest</w:t>
      </w:r>
      <w:r>
        <w:rPr>
          <w:rFonts w:ascii="Arial" w:cs="Arial" w:eastAsia="Arial" w:hAnsi="Arial"/>
          <w:sz w:val="18"/>
          <w:szCs w:val="18"/>
          <w:color w:val="auto"/>
        </w:rPr>
        <w:t>,” which term shall include any accrued and unpaid interest (including any Additional Interest) that has accrued on such defaulted amount in accordance with paragraph 1 of the Notes), shall forthwith cease to be payable to the registered Holder thereof on the relevant Regular Record Date by virtue of having been such Holder, and such Defaulted Interest may be paid by the Company, at its election in each case, as provided in clause (a) or (b) below.</w:t>
      </w:r>
    </w:p>
    <w:p>
      <w:pPr>
        <w:spacing w:after="0" w:line="188" w:lineRule="exact"/>
        <w:rPr>
          <w:sz w:val="20"/>
          <w:szCs w:val="20"/>
          <w:color w:val="auto"/>
        </w:rPr>
      </w:pPr>
    </w:p>
    <w:p>
      <w:pPr>
        <w:ind w:firstLine="1305"/>
        <w:spacing w:after="0" w:line="270" w:lineRule="auto"/>
        <w:tabs>
          <w:tab w:leader="none" w:pos="163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The Company may elect to make payment of any Defaulted Interest to the persons in whose names the Notes are registered at the Close of Business on a Special Record Date for the payment of such Defaulted Interest, which shall be fixed in the following manner. The Company shall notify the Trustee in writing of the amount of Defaulted Interest proposed to be paid on each Note and the date of the proposed payment (which shall not be less than 20 days after such notice is received by the Trustee), and at the same time the Company shall deposit with the Trustee an amount of money equal to the aggregate amount proposed to be paid in respect of such Defaulted Interest or shall make arrangements satisfactory to the Trustee for such deposit on or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be not more than 20 days and not less than 15 days prior to the date of the proposed payment and not less than 10 days (or such shorter period as is acceptable to the Trustee) after the receipt by the Trustee of the notice of the proposed payment (the “</w:t>
      </w:r>
      <w:r>
        <w:rPr>
          <w:rFonts w:ascii="Arial" w:cs="Arial" w:eastAsia="Arial" w:hAnsi="Arial"/>
          <w:sz w:val="17"/>
          <w:szCs w:val="17"/>
          <w:b w:val="1"/>
          <w:bCs w:val="1"/>
          <w:color w:val="auto"/>
        </w:rPr>
        <w:t>Special Record Date</w:t>
      </w:r>
      <w:r>
        <w:rPr>
          <w:rFonts w:ascii="Arial" w:cs="Arial" w:eastAsia="Arial" w:hAnsi="Arial"/>
          <w:sz w:val="17"/>
          <w:szCs w:val="17"/>
          <w:color w:val="auto"/>
        </w:rPr>
        <w:t>”). The Trustee shall promptly notify the Company of such Special Record Date and, in the name and at the expense of the Company, shall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cause notice of the proposed payment of such Defaulted Interest and the Special Record Date therefor to be mailed, first-class postage prepaid, to each Holder of Notes at his address as it appears on the list of Noteholders maintained pursuant to Section 2.05 not less than 25 days prior to such Special Record Date. Notice of the proposed payment of such Defaulted Interest and the Special Record Date therefor having been mailed as aforesaid, such Defaulted Interest shall be paid to the persons in whose names the Notes are registered at the Close of Business on such Special Record Date and shall no longer be payable pursuant to the following clause (b).</w:t>
      </w:r>
    </w:p>
    <w:p>
      <w:pPr>
        <w:spacing w:after="0" w:line="188" w:lineRule="exact"/>
        <w:rPr>
          <w:sz w:val="20"/>
          <w:szCs w:val="20"/>
          <w:color w:val="auto"/>
        </w:rPr>
      </w:pPr>
    </w:p>
    <w:p>
      <w:pPr>
        <w:ind w:right="80" w:firstLine="1305"/>
        <w:spacing w:after="0" w:line="312" w:lineRule="auto"/>
        <w:tabs>
          <w:tab w:leader="none" w:pos="1641" w:val="left"/>
        </w:tabs>
        <w:numPr>
          <w:ilvl w:val="0"/>
          <w:numId w:val="200"/>
        </w:numPr>
        <w:rPr>
          <w:rFonts w:ascii="Arial" w:cs="Arial" w:eastAsia="Arial" w:hAnsi="Arial"/>
          <w:sz w:val="16"/>
          <w:szCs w:val="16"/>
          <w:color w:val="auto"/>
        </w:rPr>
      </w:pPr>
      <w:r>
        <w:rPr>
          <w:rFonts w:ascii="Arial" w:cs="Arial" w:eastAsia="Arial" w:hAnsi="Arial"/>
          <w:sz w:val="16"/>
          <w:szCs w:val="16"/>
          <w:color w:val="auto"/>
        </w:rPr>
        <w:t>The Company may make payment of any Defaulted Interest on the Notes in any other lawful manner not inconsistent with the requirements of any securities exchange on which such Notes may be listed, and upon such notice as may be required by such exchange, if, after notice given by the Company to the Trustee of the proposed payment pursuant to this clause, such manner of payment shall be deemed practicable by the Trustee.</w:t>
      </w:r>
    </w:p>
    <w:p>
      <w:pPr>
        <w:spacing w:after="0" w:line="14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Section 12.03. </w:t>
      </w:r>
      <w:r>
        <w:rPr>
          <w:rFonts w:ascii="Arial" w:cs="Arial" w:eastAsia="Arial" w:hAnsi="Arial"/>
          <w:sz w:val="18"/>
          <w:szCs w:val="18"/>
          <w:i w:val="1"/>
          <w:iCs w:val="1"/>
          <w:color w:val="auto"/>
        </w:rPr>
        <w:t>Interest Rights Preserved</w:t>
      </w:r>
      <w:r>
        <w:rPr>
          <w:rFonts w:ascii="Arial" w:cs="Arial" w:eastAsia="Arial" w:hAnsi="Arial"/>
          <w:sz w:val="18"/>
          <w:szCs w:val="18"/>
          <w:color w:val="auto"/>
        </w:rPr>
        <w:t>. Subject to the foregoing provisions of this Article 12 and Section 2.06, each Note delivered under this Indenture upon registration of transfer of or in exchange for or in lieu of any other Note shall carry the rights to interest accrued and unpaid, including any Additional Interest, and to accrue, which were carried by such other Notes.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Trust Indenture Act of 1939</w:t>
      </w:r>
      <w:r>
        <w:rPr>
          <w:rFonts w:ascii="Arial" w:cs="Arial" w:eastAsia="Arial" w:hAnsi="Arial"/>
          <w:sz w:val="18"/>
          <w:szCs w:val="18"/>
          <w:color w:val="auto"/>
        </w:rPr>
        <w:t>. This Indenture shall incorporate and be governed by the provisions of the Trust Indenture Act that are required to be part of and to govern indentures qualified under the Trust Indenture Act.</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 xml:space="preserve">Section 13.02. </w:t>
      </w:r>
      <w:r>
        <w:rPr>
          <w:rFonts w:ascii="Arial" w:cs="Arial" w:eastAsia="Arial" w:hAnsi="Arial"/>
          <w:sz w:val="18"/>
          <w:szCs w:val="18"/>
          <w:i w:val="1"/>
          <w:iCs w:val="1"/>
          <w:color w:val="auto"/>
        </w:rPr>
        <w:t>Noteholder Communications; Noteholder Actions</w:t>
      </w:r>
      <w:r>
        <w:rPr>
          <w:rFonts w:ascii="Arial" w:cs="Arial" w:eastAsia="Arial" w:hAnsi="Arial"/>
          <w:sz w:val="18"/>
          <w:szCs w:val="18"/>
          <w:color w:val="auto"/>
        </w:rPr>
        <w:t>. (a) The rights of Holders to communicate with other Holders with respect to this Indenture or the Notes are as provided by the Trust Indenture Act, and the Company and the Trustee shall comply with the requirements of Trust Indenture Act Sections 312(a) and 312(b). Neither the Company nor the Trustee will be held accountable by reason of any disclosure of information as to names and addresses of Holders made pursuant to the Trust Indenture Act.</w:t>
      </w:r>
    </w:p>
    <w:p>
      <w:pPr>
        <w:spacing w:after="0" w:line="187" w:lineRule="exact"/>
        <w:rPr>
          <w:sz w:val="20"/>
          <w:szCs w:val="20"/>
          <w:color w:val="auto"/>
        </w:rPr>
      </w:pPr>
    </w:p>
    <w:p>
      <w:pPr>
        <w:ind w:firstLine="1305"/>
        <w:spacing w:after="0" w:line="286" w:lineRule="auto"/>
        <w:tabs>
          <w:tab w:leader="none" w:pos="1596" w:val="left"/>
        </w:tabs>
        <w:numPr>
          <w:ilvl w:val="0"/>
          <w:numId w:val="201"/>
        </w:numPr>
        <w:rPr>
          <w:rFonts w:ascii="Arial" w:cs="Arial" w:eastAsia="Arial" w:hAnsi="Arial"/>
          <w:sz w:val="17"/>
          <w:szCs w:val="17"/>
          <w:color w:val="auto"/>
        </w:rPr>
      </w:pPr>
      <w:r>
        <w:rPr>
          <w:rFonts w:ascii="Arial" w:cs="Arial" w:eastAsia="Arial" w:hAnsi="Arial"/>
          <w:sz w:val="17"/>
          <w:szCs w:val="17"/>
          <w:color w:val="auto"/>
        </w:rPr>
        <w:t>(i) Any request, demand, authorization, direction, notice, consent to amendment, supplement or waiver or other action provided by this Indenture to be given or taken by a Holder (an “</w:t>
      </w:r>
      <w:r>
        <w:rPr>
          <w:rFonts w:ascii="Arial" w:cs="Arial" w:eastAsia="Arial" w:hAnsi="Arial"/>
          <w:sz w:val="17"/>
          <w:szCs w:val="17"/>
          <w:b w:val="1"/>
          <w:bCs w:val="1"/>
          <w:color w:val="auto"/>
        </w:rPr>
        <w:t>act</w:t>
      </w:r>
      <w:r>
        <w:rPr>
          <w:rFonts w:ascii="Arial" w:cs="Arial" w:eastAsia="Arial" w:hAnsi="Arial"/>
          <w:sz w:val="17"/>
          <w:szCs w:val="17"/>
          <w:color w:val="auto"/>
        </w:rPr>
        <w:t>”) may be evidenced by an instrument signed by the Holder delivered to the Trustee. The fact and date of the execution of the instrument, or the authority of the person executing it, may be proved in any manner that the Trustee deems sufficient.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280"/>
        <w:spacing w:after="0"/>
        <w:rPr>
          <w:sz w:val="20"/>
          <w:szCs w:val="20"/>
          <w:color w:val="auto"/>
        </w:rPr>
      </w:pPr>
      <w:r>
        <w:rPr>
          <w:rFonts w:ascii="Arial" w:cs="Arial" w:eastAsia="Arial" w:hAnsi="Arial"/>
          <w:sz w:val="17"/>
          <w:szCs w:val="17"/>
          <w:color w:val="auto"/>
        </w:rPr>
        <w:t>(ii)  The Trustee may make reasonable rules for action by or at a meeting of Holders, which will be binding on all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Holders.</w:t>
      </w:r>
    </w:p>
    <w:p>
      <w:pPr>
        <w:spacing w:after="0" w:line="211" w:lineRule="exact"/>
        <w:rPr>
          <w:sz w:val="20"/>
          <w:szCs w:val="20"/>
          <w:color w:val="auto"/>
        </w:rPr>
      </w:pPr>
    </w:p>
    <w:p>
      <w:pPr>
        <w:ind w:right="180" w:firstLine="1305"/>
        <w:spacing w:after="0" w:line="286" w:lineRule="auto"/>
        <w:tabs>
          <w:tab w:leader="none" w:pos="163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Any act by the Holder of any Note binds that Holder and every subsequent Holder of a Note that evidences the same debt as the Note of the acting Holder, even if no notation thereof appears on the Note. Subject to paragraph (d), a Holder may revoke an act as to its Notes, but only if the Trustee receives the notice of revocation before the date the amendment or waiver or other consequence of the act becomes effective.</w:t>
      </w:r>
    </w:p>
    <w:p>
      <w:pPr>
        <w:spacing w:after="0" w:line="165" w:lineRule="exact"/>
        <w:rPr>
          <w:rFonts w:ascii="Arial" w:cs="Arial" w:eastAsia="Arial" w:hAnsi="Arial"/>
          <w:sz w:val="17"/>
          <w:szCs w:val="17"/>
          <w:color w:val="auto"/>
        </w:rPr>
      </w:pPr>
    </w:p>
    <w:p>
      <w:pPr>
        <w:ind w:right="200" w:firstLine="1305"/>
        <w:spacing w:after="0" w:line="273" w:lineRule="auto"/>
        <w:tabs>
          <w:tab w:leader="none" w:pos="164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Company may, but is not obligated to, fix a record date (which need not be within the time limits otherwise prescribed by Trust Indenture Act Section 316(c)) for the purpose of determining the Holders entitled to act with respect to any amendment or waiver or in any other regard, except that during the continuance of an Event of Default, only the Trustee may set a record date as to notices of Default, any declaration or acceleration or any other remedies or other consequences of the Event of Default. If a record date is fixed, those Persons that were Holders at such record date and only those Persons will be entitled to act, or to revoke any previous act, whether or not those Persons continue to be Holders after the record date. No act will be valid or effective for more than 90 days after the record date.</w:t>
      </w:r>
    </w:p>
    <w:p>
      <w:pPr>
        <w:spacing w:after="0" w:line="17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color w:val="auto"/>
        </w:rPr>
        <w:t>Section 13.03.</w:t>
      </w:r>
      <w:r>
        <w:rPr>
          <w:sz w:val="20"/>
          <w:szCs w:val="20"/>
          <w:color w:val="auto"/>
        </w:rPr>
        <w:tab/>
      </w:r>
      <w:r>
        <w:rPr>
          <w:rFonts w:ascii="Arial" w:cs="Arial" w:eastAsia="Arial" w:hAnsi="Arial"/>
          <w:sz w:val="16"/>
          <w:szCs w:val="16"/>
          <w:i w:val="1"/>
          <w:iCs w:val="1"/>
          <w:color w:val="auto"/>
        </w:rPr>
        <w:t>Notices</w:t>
      </w:r>
      <w:r>
        <w:rPr>
          <w:rFonts w:ascii="Arial" w:cs="Arial" w:eastAsia="Arial" w:hAnsi="Arial"/>
          <w:sz w:val="16"/>
          <w:szCs w:val="16"/>
          <w:color w:val="auto"/>
        </w:rPr>
        <w:t>. (a) Any notice or communication to the Company will be deemed given if in writing (i) when delivered in person or</w:t>
      </w:r>
    </w:p>
    <w:p>
      <w:pPr>
        <w:spacing w:after="0" w:line="23" w:lineRule="exact"/>
        <w:rPr>
          <w:sz w:val="20"/>
          <w:szCs w:val="20"/>
          <w:color w:val="auto"/>
        </w:rPr>
      </w:pPr>
    </w:p>
    <w:p>
      <w:pPr>
        <w:ind w:right="500" w:firstLine="8"/>
        <w:spacing w:after="0" w:line="261" w:lineRule="auto"/>
        <w:tabs>
          <w:tab w:leader="none" w:pos="26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five days after mailing when mailed by first class mail, or (iii) when sent by facsimile transmission, with transmission confirmed. Any notice to the Trustee will be effective only upon receipt. In each case the notice or communication should be addressed as follows:</w:t>
      </w:r>
    </w:p>
    <w:p>
      <w:pPr>
        <w:sectPr>
          <w:pgSz w:w="11900" w:h="16838" w:orient="portrait"/>
          <w:cols w:equalWidth="0" w:num="1">
            <w:col w:w="11420"/>
          </w:cols>
          <w:pgMar w:left="240" w:top="125" w:right="239" w:bottom="0" w:gutter="0" w:footer="0" w:header="0"/>
        </w:sectPr>
      </w:pPr>
    </w:p>
    <w:bookmarkStart w:id="136" w:name="page137"/>
    <w:bookmarkEnd w:id="136"/>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Company</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(208) 368-4000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Professional Corporation</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California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John A. Fore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(650) 493-9300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(650) 493-6811</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if to the Trustee</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625 Marquette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MAC N9311-110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Minneapolis, Minnesota 55479</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Micron Account Manager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Tel: (800) 344-5128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 (612) 667-9825</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or the Trustee by notice to the other may designate additional or different addresses for subsequent notices or communications.</w:t>
      </w:r>
    </w:p>
    <w:p>
      <w:pPr>
        <w:spacing w:after="0" w:line="237" w:lineRule="exact"/>
        <w:rPr>
          <w:sz w:val="20"/>
          <w:szCs w:val="20"/>
          <w:color w:val="auto"/>
        </w:rPr>
      </w:pPr>
    </w:p>
    <w:p>
      <w:pPr>
        <w:ind w:right="20" w:firstLine="1305"/>
        <w:spacing w:after="0" w:line="257" w:lineRule="auto"/>
        <w:tabs>
          <w:tab w:leader="none" w:pos="164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Except as otherwise expressly provided with respect to published notices, any notice or communication to a Holder will be deemed given when sent to the Holder at its address as it appears on the Register by first class mail or, as to any Global Note registered in the name of the Depository or its nominee, as agreed by the Company, the Trustee and the Depository. Copies of any notice or communication to a Holder, if given by the Company, will be sent to the Trustee at the same time. Any defect in sending a notice or communication to any particular Holder will not affect its sufficiency with respect to other Holders.</w:t>
      </w:r>
    </w:p>
    <w:p>
      <w:pPr>
        <w:spacing w:after="0" w:line="188" w:lineRule="exact"/>
        <w:rPr>
          <w:rFonts w:ascii="Arial" w:cs="Arial" w:eastAsia="Arial" w:hAnsi="Arial"/>
          <w:sz w:val="18"/>
          <w:szCs w:val="18"/>
          <w:color w:val="auto"/>
        </w:rPr>
      </w:pPr>
    </w:p>
    <w:p>
      <w:pPr>
        <w:ind w:right="240" w:firstLine="1305"/>
        <w:spacing w:after="0" w:line="264" w:lineRule="auto"/>
        <w:tabs>
          <w:tab w:leader="none" w:pos="1631" w:val="left"/>
        </w:tabs>
        <w:numPr>
          <w:ilvl w:val="0"/>
          <w:numId w:val="204"/>
        </w:numPr>
        <w:rPr>
          <w:rFonts w:ascii="Arial" w:cs="Arial" w:eastAsia="Arial" w:hAnsi="Arial"/>
          <w:sz w:val="18"/>
          <w:szCs w:val="18"/>
          <w:color w:val="auto"/>
        </w:rPr>
      </w:pPr>
      <w:r>
        <w:rPr>
          <w:rFonts w:ascii="Arial" w:cs="Arial" w:eastAsia="Arial" w:hAnsi="Arial"/>
          <w:sz w:val="18"/>
          <w:szCs w:val="18"/>
          <w:color w:val="auto"/>
        </w:rPr>
        <w:t>Where this Indenture provides for notice, the notice may be waived in writing by the Person entitled to receive such notice, either before or after the event, and the waiver will be the equivalent of the notice. Waivers of notice by Holders must be filed with the Trustee, but such filing is not a condition precedent to the validity of any action taken in reliance upon such waivers.</w:t>
      </w:r>
    </w:p>
    <w:p>
      <w:pPr>
        <w:spacing w:after="0" w:line="181"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Communication by Holders with Other Holders</w:t>
      </w:r>
      <w:r>
        <w:rPr>
          <w:rFonts w:ascii="Arial" w:cs="Arial" w:eastAsia="Arial" w:hAnsi="Arial"/>
          <w:sz w:val="18"/>
          <w:szCs w:val="18"/>
          <w:color w:val="auto"/>
        </w:rPr>
        <w:t>. Noteholders may communicate pursuant to Section 312(b) of the Trust Indenture Act with other Noteholders with respect to their rights under this Indenture or the Notes. The Company, the Trustee, the Registrar, the Paying Agent, the Conversion Agent and anyone else shall have the protection of Section 312(c) of the Trust Indenture Act.</w:t>
      </w:r>
    </w:p>
    <w:p>
      <w:pPr>
        <w:spacing w:after="0" w:line="18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Certificate and Opinion as to Conditions Precedent</w:t>
      </w:r>
      <w:r>
        <w:rPr>
          <w:rFonts w:ascii="Arial" w:cs="Arial" w:eastAsia="Arial" w:hAnsi="Arial"/>
          <w:sz w:val="18"/>
          <w:szCs w:val="18"/>
          <w:color w:val="auto"/>
        </w:rPr>
        <w:t>. Upon any request or application by the Company to the Trustee to take any action under this Indenture, the Company shall furnish to the Trustee:</w:t>
      </w:r>
    </w:p>
    <w:p>
      <w:pPr>
        <w:spacing w:after="0" w:line="170" w:lineRule="exact"/>
        <w:rPr>
          <w:sz w:val="20"/>
          <w:szCs w:val="20"/>
          <w:color w:val="auto"/>
        </w:rPr>
      </w:pPr>
    </w:p>
    <w:p>
      <w:pPr>
        <w:ind w:right="360" w:firstLine="2044"/>
        <w:spacing w:after="0" w:line="277" w:lineRule="auto"/>
        <w:tabs>
          <w:tab w:leader="none" w:pos="265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2660" w:hanging="616"/>
        <w:spacing w:after="0"/>
        <w:tabs>
          <w:tab w:leader="none" w:pos="26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 Opinion of Counsel stating that all such conditions precedent have been complied with.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Notwithstanding the foregoing, no such Opinion of Counsel shall be required with respect to the authentication and delivery of any Initial Notes or Additional Notes.</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Statements Required in Certificate or Opinion</w:t>
      </w:r>
      <w:r>
        <w:rPr>
          <w:rFonts w:ascii="Arial" w:cs="Arial" w:eastAsia="Arial" w:hAnsi="Arial"/>
          <w:sz w:val="18"/>
          <w:szCs w:val="18"/>
          <w:color w:val="auto"/>
        </w:rPr>
        <w:t>. Each certificate or opinion with respect to compliance with a condition or covenant provided for in this Indenture must include:</w:t>
      </w:r>
    </w:p>
    <w:p>
      <w:pPr>
        <w:spacing w:after="0" w:line="170" w:lineRule="exact"/>
        <w:rPr>
          <w:sz w:val="20"/>
          <w:szCs w:val="20"/>
          <w:color w:val="auto"/>
        </w:rPr>
      </w:pPr>
    </w:p>
    <w:p>
      <w:pPr>
        <w:ind w:left="2660" w:hanging="616"/>
        <w:spacing w:after="0"/>
        <w:tabs>
          <w:tab w:leader="none" w:pos="2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 statement that each person signing the certificate or opinion has read the covenant or condition and the related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ind w:right="400" w:firstLine="2044"/>
        <w:spacing w:after="0" w:line="277" w:lineRule="auto"/>
        <w:tabs>
          <w:tab w:leader="none" w:pos="265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 or opinion contained in the certificate or opinion is based;</w:t>
      </w:r>
    </w:p>
    <w:p>
      <w:pPr>
        <w:spacing w:after="0" w:line="170" w:lineRule="exact"/>
        <w:rPr>
          <w:rFonts w:ascii="Arial" w:cs="Arial" w:eastAsia="Arial" w:hAnsi="Arial"/>
          <w:sz w:val="18"/>
          <w:szCs w:val="18"/>
          <w:color w:val="auto"/>
        </w:rPr>
      </w:pPr>
    </w:p>
    <w:p>
      <w:pPr>
        <w:ind w:right="600" w:firstLine="2044"/>
        <w:spacing w:after="0" w:line="342" w:lineRule="auto"/>
        <w:tabs>
          <w:tab w:leader="none" w:pos="2650" w:val="left"/>
        </w:tabs>
        <w:numPr>
          <w:ilvl w:val="0"/>
          <w:numId w:val="207"/>
        </w:numPr>
        <w:rPr>
          <w:rFonts w:ascii="Arial" w:cs="Arial" w:eastAsia="Arial" w:hAnsi="Arial"/>
          <w:sz w:val="16"/>
          <w:szCs w:val="16"/>
          <w:color w:val="auto"/>
        </w:rPr>
      </w:pPr>
      <w:r>
        <w:rPr>
          <w:rFonts w:ascii="Arial" w:cs="Arial" w:eastAsia="Arial" w:hAnsi="Arial"/>
          <w:sz w:val="16"/>
          <w:szCs w:val="16"/>
          <w:color w:val="auto"/>
        </w:rPr>
        <w:t>a statement that, in the opinion of each such person, that person has made such examination or investigation as is necessary to enable the person to express an informed opinion as to whether or not such covenant or condition has been complied with; and</w:t>
      </w:r>
    </w:p>
    <w:p>
      <w:pPr>
        <w:sectPr>
          <w:pgSz w:w="11900" w:h="16975" w:orient="portrait"/>
          <w:cols w:equalWidth="0" w:num="1">
            <w:col w:w="11400"/>
          </w:cols>
          <w:pgMar w:left="240" w:top="125" w:right="259" w:bottom="0" w:gutter="0" w:footer="0" w:header="0"/>
        </w:sectPr>
      </w:pPr>
    </w:p>
    <w:bookmarkStart w:id="137" w:name="page138"/>
    <w:bookmarkEnd w:id="137"/>
    <w:p>
      <w:pPr>
        <w:ind w:right="80" w:firstLine="2044"/>
        <w:spacing w:after="0" w:line="308" w:lineRule="auto"/>
        <w:tabs>
          <w:tab w:leader="none" w:pos="265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 xml:space="preserve">a statement as to whether or not, in the opinion of each such person, such condition or covenant has been complied with,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 Opinion of Counsel may rely on an Officers’ Certificate or certificates of public officials with respect to matters of fact.</w:t>
      </w:r>
    </w:p>
    <w:p>
      <w:pPr>
        <w:spacing w:after="0" w:line="143" w:lineRule="exact"/>
        <w:rPr>
          <w:sz w:val="20"/>
          <w:szCs w:val="20"/>
          <w:color w:val="auto"/>
        </w:rPr>
      </w:pPr>
    </w:p>
    <w:p>
      <w:pPr>
        <w:ind w:right="240" w:firstLine="648"/>
        <w:spacing w:after="0" w:line="289" w:lineRule="auto"/>
        <w:rPr>
          <w:sz w:val="20"/>
          <w:szCs w:val="20"/>
          <w:color w:val="auto"/>
        </w:rPr>
      </w:pPr>
      <w:r>
        <w:rPr>
          <w:rFonts w:ascii="Arial" w:cs="Arial" w:eastAsia="Arial" w:hAnsi="Arial"/>
          <w:sz w:val="17"/>
          <w:szCs w:val="17"/>
          <w:color w:val="auto"/>
        </w:rPr>
        <w:t xml:space="preserve">Section 13.07. </w:t>
      </w:r>
      <w:r>
        <w:rPr>
          <w:rFonts w:ascii="Arial" w:cs="Arial" w:eastAsia="Arial" w:hAnsi="Arial"/>
          <w:sz w:val="17"/>
          <w:szCs w:val="17"/>
          <w:i w:val="1"/>
          <w:iCs w:val="1"/>
          <w:color w:val="auto"/>
        </w:rPr>
        <w:t>Legal Holiday</w:t>
      </w:r>
      <w:r>
        <w:rPr>
          <w:rFonts w:ascii="Arial" w:cs="Arial" w:eastAsia="Arial" w:hAnsi="Arial"/>
          <w:sz w:val="17"/>
          <w:szCs w:val="17"/>
          <w:color w:val="auto"/>
        </w:rPr>
        <w:t>. A “</w:t>
      </w:r>
      <w:r>
        <w:rPr>
          <w:rFonts w:ascii="Arial" w:cs="Arial" w:eastAsia="Arial" w:hAnsi="Arial"/>
          <w:sz w:val="17"/>
          <w:szCs w:val="17"/>
          <w:b w:val="1"/>
          <w:bCs w:val="1"/>
          <w:color w:val="auto"/>
        </w:rPr>
        <w:t>Legal Holiday</w:t>
      </w:r>
      <w:r>
        <w:rPr>
          <w:rFonts w:ascii="Arial" w:cs="Arial" w:eastAsia="Arial" w:hAnsi="Arial"/>
          <w:sz w:val="17"/>
          <w:szCs w:val="17"/>
          <w:color w:val="auto"/>
        </w:rPr>
        <w:t>” is any day other than a Business Day. If any specified date (including a date for giving notice) is a Legal Holiday, the action shall be taken on the next succeeding day that is not a Legal Holiday, with the same force and effect as if made on the Interest Payment Date or Redemption Date, at the Stated Maturity or the last date of conversion, as the case may be.</w:t>
      </w:r>
    </w:p>
    <w:p>
      <w:pPr>
        <w:spacing w:after="0" w:line="162"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 xml:space="preserve">Section 13.08. </w:t>
      </w:r>
      <w:r>
        <w:rPr>
          <w:rFonts w:ascii="Arial" w:cs="Arial" w:eastAsia="Arial" w:hAnsi="Arial"/>
          <w:sz w:val="17"/>
          <w:szCs w:val="17"/>
          <w:i w:val="1"/>
          <w:iCs w:val="1"/>
          <w:color w:val="auto"/>
        </w:rPr>
        <w:t>Rules by Trustee, Paying Agent, Conversion Agent and Registrar</w:t>
      </w:r>
      <w:r>
        <w:rPr>
          <w:rFonts w:ascii="Arial" w:cs="Arial" w:eastAsia="Arial" w:hAnsi="Arial"/>
          <w:sz w:val="17"/>
          <w:szCs w:val="17"/>
          <w:color w:val="auto"/>
        </w:rPr>
        <w:t>. The Trustee may make reasonable rules for action by or a meeting of Noteholders. The Registrar, Conversion Agent and the Paying Agent may make reasonable rules for their functions.</w:t>
      </w:r>
    </w:p>
    <w:p>
      <w:pPr>
        <w:spacing w:after="0" w:line="147"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Governing Law</w:t>
      </w:r>
      <w:r>
        <w:rPr>
          <w:rFonts w:ascii="Arial" w:cs="Arial" w:eastAsia="Arial" w:hAnsi="Arial"/>
          <w:sz w:val="18"/>
          <w:szCs w:val="18"/>
          <w:color w:val="auto"/>
        </w:rPr>
        <w:t>. THIS INDENTURE AND EACH NOTE SHALL BE DEEMED TO BE A CONTRACT MADE UNDER THE LAWS OF NEW YORK, AND FOR ALL PURPOSES SHALL BE CONSTRUED IN ACCORDANCE WITH THE LAWS OF NEW YORK (WITHOUT REGARD TO THE CONFLICTS OF LAWS PROVISIONS THEREOF).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No Adverse Interpretation of Other Agreements</w:t>
      </w:r>
      <w:r>
        <w:rPr>
          <w:rFonts w:ascii="Arial" w:cs="Arial" w:eastAsia="Arial" w:hAnsi="Arial"/>
          <w:sz w:val="16"/>
          <w:szCs w:val="16"/>
          <w:color w:val="auto"/>
        </w:rPr>
        <w:t>. This Indenture may not be used to interpret another indenture or loan or debt agreement of the Company or any Subsidiary of the Company, and no such indenture or loan or debt agreement may be used to interpret this Indenture.</w:t>
      </w:r>
    </w:p>
    <w:p>
      <w:pPr>
        <w:spacing w:after="0" w:line="124"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 xml:space="preserve">Section 13.11. </w:t>
      </w:r>
      <w:r>
        <w:rPr>
          <w:rFonts w:ascii="Arial" w:cs="Arial" w:eastAsia="Arial" w:hAnsi="Arial"/>
          <w:sz w:val="18"/>
          <w:szCs w:val="18"/>
          <w:i w:val="1"/>
          <w:iCs w:val="1"/>
          <w:color w:val="auto"/>
        </w:rPr>
        <w:t>Successors</w:t>
      </w:r>
      <w:r>
        <w:rPr>
          <w:rFonts w:ascii="Arial" w:cs="Arial" w:eastAsia="Arial" w:hAnsi="Arial"/>
          <w:sz w:val="18"/>
          <w:szCs w:val="18"/>
          <w:color w:val="auto"/>
        </w:rPr>
        <w:t>. All agreements of the Company in this Indenture and the Notes will bind its successors. All agreements of the Trustee in this Indenture will bind its successor.</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Section 13.12. </w:t>
      </w:r>
      <w:r>
        <w:rPr>
          <w:rFonts w:ascii="Arial" w:cs="Arial" w:eastAsia="Arial" w:hAnsi="Arial"/>
          <w:sz w:val="18"/>
          <w:szCs w:val="18"/>
          <w:i w:val="1"/>
          <w:iCs w:val="1"/>
          <w:color w:val="auto"/>
        </w:rPr>
        <w:t>Counterparts</w:t>
      </w:r>
      <w:r>
        <w:rPr>
          <w:rFonts w:ascii="Arial" w:cs="Arial" w:eastAsia="Arial" w:hAnsi="Arial"/>
          <w:sz w:val="18"/>
          <w:szCs w:val="18"/>
          <w:color w:val="auto"/>
        </w:rPr>
        <w:t>. The parties may sign any number of copies of this Indenture. Each signed copy shall be an original, but all of them together represent the same agreement.</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13.13. </w:t>
      </w:r>
      <w:r>
        <w:rPr>
          <w:rFonts w:ascii="Arial" w:cs="Arial" w:eastAsia="Arial" w:hAnsi="Arial"/>
          <w:sz w:val="18"/>
          <w:szCs w:val="18"/>
          <w:i w:val="1"/>
          <w:iCs w:val="1"/>
          <w:color w:val="auto"/>
        </w:rPr>
        <w:t>Severability</w:t>
      </w:r>
      <w:r>
        <w:rPr>
          <w:rFonts w:ascii="Arial" w:cs="Arial" w:eastAsia="Arial" w:hAnsi="Arial"/>
          <w:sz w:val="18"/>
          <w:szCs w:val="18"/>
          <w:color w:val="auto"/>
        </w:rPr>
        <w:t>. In case any provision in this Indenture or in the Notes is invalid, illegal or unenforceable, the validity, legality and enforceability of the remaining provisions will not in any way be affected or impaired thereby.</w:t>
      </w:r>
    </w:p>
    <w:p>
      <w:pPr>
        <w:spacing w:after="0" w:line="170"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Section 13.14. </w:t>
      </w:r>
      <w:r>
        <w:rPr>
          <w:rFonts w:ascii="Arial" w:cs="Arial" w:eastAsia="Arial" w:hAnsi="Arial"/>
          <w:sz w:val="18"/>
          <w:szCs w:val="18"/>
          <w:i w:val="1"/>
          <w:iCs w:val="1"/>
          <w:color w:val="auto"/>
        </w:rPr>
        <w:t>Table of Contents and Headings</w:t>
      </w:r>
      <w:r>
        <w:rPr>
          <w:rFonts w:ascii="Arial" w:cs="Arial" w:eastAsia="Arial" w:hAnsi="Arial"/>
          <w:sz w:val="18"/>
          <w:szCs w:val="18"/>
          <w:color w:val="auto"/>
        </w:rPr>
        <w:t>. The Table of Contents, Cross-Reference Table and headings of the Articles and Sections of this Indenture have been inserted for convenience of reference only, are not to be considered a part of this Indenture and in no way modify or restrict any of the terms and provisions of this Indenture.</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 xml:space="preserve">Section 13.15. </w:t>
      </w:r>
      <w:r>
        <w:rPr>
          <w:rFonts w:ascii="Arial" w:cs="Arial" w:eastAsia="Arial" w:hAnsi="Arial"/>
          <w:sz w:val="18"/>
          <w:szCs w:val="18"/>
          <w:i w:val="1"/>
          <w:iCs w:val="1"/>
          <w:color w:val="auto"/>
        </w:rPr>
        <w:t>No Liability of Directors, Officers, Employees, Incorporators, Members and Stockholders</w:t>
      </w:r>
      <w:r>
        <w:rPr>
          <w:rFonts w:ascii="Arial" w:cs="Arial" w:eastAsia="Arial" w:hAnsi="Arial"/>
          <w:sz w:val="18"/>
          <w:szCs w:val="18"/>
          <w:color w:val="auto"/>
        </w:rPr>
        <w:t>. No director, officer, employee, incorporator, member or stockholder of the Company, as such, will have any liability for any obligations of the Company under the Notes or this Indenture or for any claim based on, in respect of, or by reason of, such obligations. Each Holder of Notes by accepting a Note waives and releases all such liability. The waiver and release are part of the consideration for issuance of the Notes.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caused this Indenture to be duly executed as of the date first written above.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MICRON TECHNOLOGY, INC., as Issuer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WELLS FARGO BANK, NATIONAL ASSOCIATION, as Trustee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-130810</wp:posOffset>
            </wp:positionV>
            <wp:extent cx="34391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3"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 OF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 Convertible Senior Note due October 15, 2013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 ]</w:t>
      </w:r>
    </w:p>
    <w:p>
      <w:pPr>
        <w:spacing w:after="0" w:line="225" w:lineRule="exact"/>
        <w:rPr>
          <w:sz w:val="20"/>
          <w:szCs w:val="20"/>
          <w:color w:val="auto"/>
        </w:rPr>
      </w:pPr>
    </w:p>
    <w:p>
      <w:pPr>
        <w:ind w:left="7140"/>
        <w:spacing w:after="0"/>
        <w:tabs>
          <w:tab w:leader="none" w:pos="8620" w:val="left"/>
        </w:tabs>
        <w:rPr>
          <w:sz w:val="20"/>
          <w:szCs w:val="20"/>
          <w:color w:val="auto"/>
        </w:rPr>
      </w:pPr>
      <w:r>
        <w:rPr>
          <w:rFonts w:ascii="Arial" w:cs="Arial" w:eastAsia="Arial" w:hAnsi="Arial"/>
          <w:sz w:val="18"/>
          <w:szCs w:val="18"/>
          <w:color w:val="auto"/>
        </w:rPr>
        <w:t>CUSIP [</w:t>
      </w:r>
      <w:r>
        <w:rPr>
          <w:sz w:val="20"/>
          <w:szCs w:val="20"/>
          <w:color w:val="auto"/>
        </w:rPr>
        <w:tab/>
      </w:r>
      <w:r>
        <w:rPr>
          <w:rFonts w:ascii="Arial" w:cs="Arial" w:eastAsia="Arial" w:hAnsi="Arial"/>
          <w:sz w:val="18"/>
          <w:szCs w:val="18"/>
          <w:color w:val="auto"/>
        </w:rPr>
        <w:t>]</w:t>
      </w:r>
    </w:p>
    <w:p>
      <w:pPr>
        <w:sectPr>
          <w:pgSz w:w="11900" w:h="16838" w:orient="portrait"/>
          <w:cols w:equalWidth="0" w:num="1">
            <w:col w:w="11420"/>
          </w:cols>
          <w:pgMar w:left="240" w:top="341" w:right="239" w:bottom="0" w:gutter="0" w:footer="0" w:header="0"/>
        </w:sectPr>
      </w:pPr>
    </w:p>
    <w:bookmarkStart w:id="138" w:name="page139"/>
    <w:bookmarkEnd w:id="138"/>
    <w:p>
      <w:pPr>
        <w:ind w:left="7140"/>
        <w:spacing w:after="0"/>
        <w:tabs>
          <w:tab w:leader="none" w:pos="8660" w:val="left"/>
        </w:tabs>
        <w:rPr>
          <w:sz w:val="20"/>
          <w:szCs w:val="20"/>
          <w:color w:val="auto"/>
        </w:rPr>
      </w:pPr>
      <w:r>
        <w:rPr>
          <w:rFonts w:ascii="Arial" w:cs="Arial" w:eastAsia="Arial" w:hAnsi="Arial"/>
          <w:sz w:val="18"/>
          <w:szCs w:val="18"/>
          <w:color w:val="auto"/>
        </w:rPr>
        <w:t>ISIN [</w:t>
      </w:r>
      <w:r>
        <w:rPr>
          <w:sz w:val="20"/>
          <w:szCs w:val="20"/>
          <w:color w:val="auto"/>
        </w:rPr>
        <w:tab/>
      </w:r>
      <w:r>
        <w:rPr>
          <w:rFonts w:ascii="Arial" w:cs="Arial" w:eastAsia="Arial" w:hAnsi="Arial"/>
          <w:sz w:val="18"/>
          <w:szCs w:val="18"/>
          <w:color w:val="auto"/>
        </w:rPr>
        <w: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Micron Technology,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which term includes any successor under the Indenture hereinafter referred to),</w:t>
      </w:r>
    </w:p>
    <w:p>
      <w:pPr>
        <w:spacing w:after="0" w:line="50"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for value received, promises to pay to Cede &amp; Co. or its registered assigns, the principal sum [of ] [set forth on Schedule I hereto]* on October 15, 2013.</w:t>
      </w:r>
    </w:p>
    <w:p>
      <w:pPr>
        <w:spacing w:after="0" w:line="184" w:lineRule="exact"/>
        <w:rPr>
          <w:sz w:val="20"/>
          <w:szCs w:val="20"/>
          <w:color w:val="auto"/>
        </w:rPr>
      </w:pPr>
    </w:p>
    <w:p>
      <w:pPr>
        <w:ind w:left="660"/>
        <w:spacing w:after="0"/>
        <w:tabs>
          <w:tab w:leader="none" w:pos="2480" w:val="left"/>
        </w:tabs>
        <w:rPr>
          <w:sz w:val="20"/>
          <w:szCs w:val="20"/>
          <w:color w:val="auto"/>
        </w:rPr>
      </w:pPr>
      <w:r>
        <w:rPr>
          <w:rFonts w:ascii="Arial" w:cs="Arial" w:eastAsia="Arial" w:hAnsi="Arial"/>
          <w:sz w:val="18"/>
          <w:szCs w:val="18"/>
          <w:color w:val="auto"/>
        </w:rPr>
        <w:t>Initial Interest Rate:</w:t>
      </w:r>
      <w:r>
        <w:rPr>
          <w:sz w:val="20"/>
          <w:szCs w:val="20"/>
          <w:color w:val="auto"/>
        </w:rPr>
        <w:tab/>
      </w:r>
      <w:r>
        <w:rPr>
          <w:rFonts w:ascii="Arial" w:cs="Arial" w:eastAsia="Arial" w:hAnsi="Arial"/>
          <w:sz w:val="16"/>
          <w:szCs w:val="16"/>
          <w:color w:val="auto"/>
        </w:rPr>
        <w:t>% per annum.</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Payment Dates: April 15 and October 15, commencing October 15, 2009.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Regular Record Dates: April 1 and October 1.</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Note set forth on the reverse hereof, which will for all purposes have the same effect as if set forth at this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18268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0" w:lineRule="exact"/>
        <w:rPr>
          <w:sz w:val="20"/>
          <w:szCs w:val="20"/>
          <w:color w:val="auto"/>
        </w:rPr>
      </w:pPr>
    </w:p>
    <w:p>
      <w:pPr>
        <w:ind w:left="700" w:hanging="368"/>
        <w:spacing w:after="0"/>
        <w:tabs>
          <w:tab w:leader="none" w:pos="7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This schedule should be included only if the Note is a Global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Company has caused this Note to be signed manually or by facsimile by its duly authorized officer.</w:t>
      </w:r>
    </w:p>
    <w:p>
      <w:pPr>
        <w:spacing w:after="0" w:line="225" w:lineRule="exact"/>
        <w:rPr>
          <w:sz w:val="20"/>
          <w:szCs w:val="20"/>
          <w:color w:val="auto"/>
        </w:rPr>
      </w:pPr>
    </w:p>
    <w:p>
      <w:pPr>
        <w:spacing w:after="0"/>
        <w:tabs>
          <w:tab w:leader="none" w:pos="1020" w:val="left"/>
          <w:tab w:leader="none" w:pos="5720" w:val="left"/>
        </w:tabs>
        <w:rPr>
          <w:sz w:val="20"/>
          <w:szCs w:val="20"/>
          <w:color w:val="auto"/>
        </w:rPr>
      </w:pPr>
      <w:r>
        <w:rPr>
          <w:rFonts w:ascii="Arial" w:cs="Arial" w:eastAsia="Arial" w:hAnsi="Arial"/>
          <w:sz w:val="18"/>
          <w:szCs w:val="18"/>
          <w:color w:val="auto"/>
        </w:rPr>
        <w:t>Date: April</w:t>
        <w:tab/>
        <w:t>, 2009</w:t>
      </w:r>
      <w:r>
        <w:rPr>
          <w:sz w:val="20"/>
          <w:szCs w:val="20"/>
          <w:color w:val="auto"/>
        </w:rPr>
        <w:tab/>
      </w:r>
      <w:r>
        <w:rPr>
          <w:rFonts w:ascii="Arial" w:cs="Arial" w:eastAsia="Arial" w:hAnsi="Arial"/>
          <w:sz w:val="17"/>
          <w:szCs w:val="17"/>
          <w:color w:val="auto"/>
        </w:rPr>
        <w:t>MICRON TECHNOLOGY, INC.</w:t>
      </w:r>
    </w:p>
    <w:p>
      <w:pPr>
        <w:spacing w:after="0" w:line="22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-130810</wp:posOffset>
            </wp:positionV>
            <wp:extent cx="33616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61690" cy="8890"/>
                    </a:xfrm>
                    <a:prstGeom prst="rect">
                      <a:avLst/>
                    </a:prstGeom>
                    <a:noFill/>
                  </pic:spPr>
                </pic:pic>
              </a:graphicData>
            </a:graphic>
          </wp:anchor>
        </w:drawing>
      </w:r>
    </w:p>
    <w:p>
      <w:pPr>
        <w:spacing w:after="0" w:line="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 Trustee’s Certificate of Authentication)</w:t>
      </w:r>
    </w:p>
    <w:p>
      <w:pPr>
        <w:spacing w:after="0" w:line="225" w:lineRule="exact"/>
        <w:rPr>
          <w:sz w:val="20"/>
          <w:szCs w:val="20"/>
          <w:color w:val="auto"/>
        </w:rPr>
      </w:pPr>
    </w:p>
    <w:p>
      <w:pPr>
        <w:ind w:left="660"/>
        <w:spacing w:after="0"/>
        <w:tabs>
          <w:tab w:leader="none" w:pos="2300" w:val="left"/>
        </w:tabs>
        <w:rPr>
          <w:sz w:val="20"/>
          <w:szCs w:val="20"/>
          <w:color w:val="auto"/>
        </w:rPr>
      </w:pPr>
      <w:r>
        <w:rPr>
          <w:rFonts w:ascii="Arial" w:cs="Arial" w:eastAsia="Arial" w:hAnsi="Arial"/>
          <w:sz w:val="18"/>
          <w:szCs w:val="18"/>
          <w:color w:val="auto"/>
        </w:rPr>
        <w:t>This is one of the</w:t>
      </w:r>
      <w:r>
        <w:rPr>
          <w:sz w:val="20"/>
          <w:szCs w:val="20"/>
          <w:color w:val="auto"/>
        </w:rPr>
        <w:tab/>
      </w:r>
      <w:r>
        <w:rPr>
          <w:rFonts w:ascii="Arial" w:cs="Arial" w:eastAsia="Arial" w:hAnsi="Arial"/>
          <w:sz w:val="16"/>
          <w:szCs w:val="16"/>
          <w:color w:val="auto"/>
        </w:rPr>
        <w:t>% Convertible Senior Notes due October 15, 2013 described in the Indenture referred to in this Note.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 ASSOCIATION, as Trustee</w:t>
      </w:r>
    </w:p>
    <w:p>
      <w:pPr>
        <w:spacing w:after="0" w:line="225"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 SIDE OF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25"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 Convertible Senior Note due October 15, 2013</w:t>
      </w:r>
    </w:p>
    <w:p>
      <w:pPr>
        <w:spacing w:after="0" w:line="225" w:lineRule="exact"/>
        <w:rPr>
          <w:sz w:val="20"/>
          <w:szCs w:val="20"/>
          <w:color w:val="auto"/>
        </w:rPr>
      </w:pPr>
    </w:p>
    <w:p>
      <w:pPr>
        <w:ind w:left="1020" w:hanging="364"/>
        <w:spacing w:after="0"/>
        <w:tabs>
          <w:tab w:leader="none" w:pos="1020" w:val="left"/>
        </w:tabs>
        <w:numPr>
          <w:ilvl w:val="0"/>
          <w:numId w:val="210"/>
        </w:numPr>
        <w:rPr>
          <w:rFonts w:ascii="Arial" w:cs="Arial" w:eastAsia="Arial" w:hAnsi="Arial"/>
          <w:sz w:val="18"/>
          <w:szCs w:val="18"/>
          <w:color w:val="auto"/>
        </w:rPr>
      </w:pPr>
      <w:r>
        <w:rPr>
          <w:rFonts w:ascii="Arial" w:cs="Arial" w:eastAsia="Arial" w:hAnsi="Arial"/>
          <w:sz w:val="18"/>
          <w:szCs w:val="18"/>
          <w:i w:val="1"/>
          <w:iCs w:val="1"/>
          <w:color w:val="auto"/>
        </w:rPr>
        <w:t>Principal and Interest</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promises to pay the principal of this Note on October 15, 2013.</w:t>
      </w:r>
    </w:p>
    <w:p>
      <w:pPr>
        <w:spacing w:after="0" w:line="225"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The Company promises to pay interest on the principal amount of this Note on each Interest Payment Date, as set forth on the face of this Note, at the rate of % per annum.</w:t>
      </w:r>
    </w:p>
    <w:p>
      <w:pPr>
        <w:spacing w:after="0" w:line="170" w:lineRule="exact"/>
        <w:rPr>
          <w:sz w:val="20"/>
          <w:szCs w:val="20"/>
          <w:color w:val="auto"/>
        </w:rPr>
      </w:pPr>
    </w:p>
    <w:p>
      <w:pPr>
        <w:ind w:right="740" w:firstLine="1297"/>
        <w:spacing w:after="0" w:line="277" w:lineRule="auto"/>
        <w:rPr>
          <w:sz w:val="20"/>
          <w:szCs w:val="20"/>
          <w:color w:val="auto"/>
        </w:rPr>
      </w:pPr>
      <w:r>
        <w:rPr>
          <w:rFonts w:ascii="Arial" w:cs="Arial" w:eastAsia="Arial" w:hAnsi="Arial"/>
          <w:sz w:val="18"/>
          <w:szCs w:val="18"/>
          <w:color w:val="auto"/>
        </w:rPr>
        <w:t>Interest will be payable semiannually (to the holders of record of the Notes at the Close of Business on the April 15 or October 15 immediately preceding the interest payment date) on each interest payment date, commencing October 15, 2009.</w:t>
      </w:r>
    </w:p>
    <w:p>
      <w:pPr>
        <w:spacing w:after="0" w:line="170"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Interest on this Note will accrue from the most recent date to which interest has been paid or provided for on this Note or the Note surrendered in exchange for this Note or, if no interest has been paid, from April , 2009, through the day before each Interest Payment Date. Interest will be computed in the basis of a 360-day year of twelve 30-day months.</w:t>
      </w:r>
    </w:p>
    <w:p>
      <w:pPr>
        <w:spacing w:after="0" w:line="18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If the Company elects to pay Additional Interest pursuant to Section 6.15 of the Indenture referred to below, the Company will pay any such Additional Interest on the date or dates described in such Indenture.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will pay interest on overdue principal, premium, if any, and, to the extent lawful, interest at a rate per annum that is 1% in</w:t>
      </w:r>
    </w:p>
    <w:p>
      <w:pPr>
        <w:spacing w:after="0" w:line="46" w:lineRule="exact"/>
        <w:rPr>
          <w:sz w:val="20"/>
          <w:szCs w:val="20"/>
          <w:color w:val="auto"/>
        </w:rPr>
      </w:pPr>
    </w:p>
    <w:p>
      <w:pPr>
        <w:ind w:right="680"/>
        <w:spacing w:after="0" w:line="261" w:lineRule="auto"/>
        <w:rPr>
          <w:sz w:val="20"/>
          <w:szCs w:val="20"/>
          <w:color w:val="auto"/>
        </w:rPr>
      </w:pPr>
      <w:r>
        <w:rPr>
          <w:rFonts w:ascii="Arial" w:cs="Arial" w:eastAsia="Arial" w:hAnsi="Arial"/>
          <w:sz w:val="18"/>
          <w:szCs w:val="18"/>
          <w:color w:val="auto"/>
        </w:rPr>
        <w:t>excess of %. Defaulted Interest shall be paid to the Persons that are Holders on a Special Record Date, which will established as set forth in the Indenture.</w:t>
      </w:r>
    </w:p>
    <w:p>
      <w:pPr>
        <w:spacing w:after="0" w:line="184" w:lineRule="exact"/>
        <w:rPr>
          <w:sz w:val="20"/>
          <w:szCs w:val="20"/>
          <w:color w:val="auto"/>
        </w:rPr>
      </w:pPr>
    </w:p>
    <w:p>
      <w:pPr>
        <w:ind w:left="1020" w:hanging="364"/>
        <w:spacing w:after="0"/>
        <w:tabs>
          <w:tab w:leader="none" w:pos="1020" w:val="left"/>
        </w:tabs>
        <w:numPr>
          <w:ilvl w:val="0"/>
          <w:numId w:val="211"/>
        </w:numPr>
        <w:rPr>
          <w:rFonts w:ascii="Arial" w:cs="Arial" w:eastAsia="Arial" w:hAnsi="Arial"/>
          <w:sz w:val="18"/>
          <w:szCs w:val="18"/>
          <w:color w:val="auto"/>
        </w:rPr>
      </w:pPr>
      <w:r>
        <w:rPr>
          <w:rFonts w:ascii="Arial" w:cs="Arial" w:eastAsia="Arial" w:hAnsi="Arial"/>
          <w:sz w:val="18"/>
          <w:szCs w:val="18"/>
          <w:i w:val="1"/>
          <w:iCs w:val="1"/>
          <w:color w:val="auto"/>
        </w:rPr>
        <w:t>Method of Payment</w:t>
      </w:r>
      <w:r>
        <w:rPr>
          <w:rFonts w:ascii="Arial" w:cs="Arial" w:eastAsia="Arial" w:hAnsi="Arial"/>
          <w:sz w:val="18"/>
          <w:szCs w:val="18"/>
          <w:color w:val="auto"/>
        </w:rPr>
        <w:t>.</w:t>
      </w:r>
    </w:p>
    <w:p>
      <w:pPr>
        <w:spacing w:after="0" w:line="225" w:lineRule="exact"/>
        <w:rPr>
          <w:sz w:val="20"/>
          <w:szCs w:val="20"/>
          <w:color w:val="auto"/>
        </w:rPr>
      </w:pPr>
    </w:p>
    <w:p>
      <w:pPr>
        <w:ind w:right="140" w:firstLine="1297"/>
        <w:spacing w:after="0" w:line="342" w:lineRule="auto"/>
        <w:rPr>
          <w:sz w:val="20"/>
          <w:szCs w:val="20"/>
          <w:color w:val="auto"/>
        </w:rPr>
      </w:pPr>
      <w:r>
        <w:rPr>
          <w:rFonts w:ascii="Arial" w:cs="Arial" w:eastAsia="Arial" w:hAnsi="Arial"/>
          <w:sz w:val="16"/>
          <w:szCs w:val="16"/>
          <w:color w:val="auto"/>
        </w:rPr>
        <w:t>Subject to the terms and conditions of the Indenture, the Company shall pay interest (including any Additional Interest) on this Note to the person who is the Holder of this Note at the Close of Business on the Regular Record Date next preceding the related Interest Payment Date. The Company</w:t>
      </w:r>
    </w:p>
    <w:p>
      <w:pPr>
        <w:sectPr>
          <w:pgSz w:w="11900" w:h="16838" w:orient="portrait"/>
          <w:cols w:equalWidth="0" w:num="1">
            <w:col w:w="11400"/>
          </w:cols>
          <w:pgMar w:left="240" w:top="341" w:right="259" w:bottom="0" w:gutter="0" w:footer="0" w:header="0"/>
        </w:sectPr>
      </w:pPr>
    </w:p>
    <w:bookmarkStart w:id="139" w:name="page140"/>
    <w:bookmarkEnd w:id="139"/>
    <w:p>
      <w:pPr>
        <w:spacing w:after="0"/>
        <w:rPr>
          <w:sz w:val="20"/>
          <w:szCs w:val="20"/>
          <w:color w:val="auto"/>
        </w:rPr>
      </w:pPr>
      <w:r>
        <w:rPr>
          <w:rFonts w:ascii="Arial" w:cs="Arial" w:eastAsia="Arial" w:hAnsi="Arial"/>
          <w:sz w:val="18"/>
          <w:szCs w:val="18"/>
          <w:color w:val="auto"/>
        </w:rPr>
        <w:t>will pay any Cash amounts in money of the United States that at the time of payment is legal tender for payment of public and private debts.</w:t>
      </w:r>
    </w:p>
    <w:p>
      <w:pPr>
        <w:spacing w:after="0" w:line="225" w:lineRule="exact"/>
        <w:rPr>
          <w:sz w:val="20"/>
          <w:szCs w:val="20"/>
          <w:color w:val="auto"/>
        </w:rPr>
      </w:pPr>
    </w:p>
    <w:p>
      <w:pPr>
        <w:ind w:left="1020" w:hanging="364"/>
        <w:spacing w:after="0"/>
        <w:tabs>
          <w:tab w:leader="none" w:pos="1020" w:val="left"/>
        </w:tabs>
        <w:numPr>
          <w:ilvl w:val="0"/>
          <w:numId w:val="212"/>
        </w:numPr>
        <w:rPr>
          <w:rFonts w:ascii="Arial" w:cs="Arial" w:eastAsia="Arial" w:hAnsi="Arial"/>
          <w:sz w:val="18"/>
          <w:szCs w:val="18"/>
          <w:color w:val="auto"/>
        </w:rPr>
      </w:pPr>
      <w:r>
        <w:rPr>
          <w:rFonts w:ascii="Arial" w:cs="Arial" w:eastAsia="Arial" w:hAnsi="Arial"/>
          <w:sz w:val="18"/>
          <w:szCs w:val="18"/>
          <w:i w:val="1"/>
          <w:iCs w:val="1"/>
          <w:color w:val="auto"/>
        </w:rPr>
        <w:t>Paying Agent, Conversion Agent and Registrar</w:t>
      </w:r>
      <w:r>
        <w:rPr>
          <w:rFonts w:ascii="Arial" w:cs="Arial" w:eastAsia="Arial" w:hAnsi="Arial"/>
          <w:sz w:val="18"/>
          <w:szCs w:val="18"/>
          <w:color w:val="auto"/>
        </w:rPr>
        <w:t>.</w:t>
      </w:r>
    </w:p>
    <w:p>
      <w:pPr>
        <w:spacing w:after="0" w:line="225" w:lineRule="exact"/>
        <w:rPr>
          <w:sz w:val="20"/>
          <w:szCs w:val="20"/>
          <w:color w:val="auto"/>
        </w:rPr>
      </w:pPr>
    </w:p>
    <w:p>
      <w:pPr>
        <w:ind w:right="120" w:firstLine="1297"/>
        <w:spacing w:after="0" w:line="308" w:lineRule="auto"/>
        <w:rPr>
          <w:sz w:val="20"/>
          <w:szCs w:val="20"/>
          <w:color w:val="auto"/>
        </w:rPr>
      </w:pPr>
      <w:r>
        <w:rPr>
          <w:rFonts w:ascii="Arial" w:cs="Arial" w:eastAsia="Arial" w:hAnsi="Arial"/>
          <w:sz w:val="17"/>
          <w:szCs w:val="17"/>
          <w:color w:val="auto"/>
        </w:rPr>
        <w:t>Initially, the Trustee will act as Paying Agent, Conversion Agent and Registrar. The Company may appoint and change any Paying Agent, Conversion Agent, Registrar or co-registrar without notice, other than notice to the Trustee. The Company or any of its Subsidiaries or any 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their Affiliates may act as Paying Agent, Conversion Agent, Registrar or co-registrar. The Company may maintain deposit accounts and conduct other banking transactions with the Trustee in the normal course of business.</w:t>
      </w:r>
    </w:p>
    <w:p>
      <w:pPr>
        <w:spacing w:after="0" w:line="170" w:lineRule="exact"/>
        <w:rPr>
          <w:sz w:val="20"/>
          <w:szCs w:val="20"/>
          <w:color w:val="auto"/>
        </w:rPr>
      </w:pPr>
    </w:p>
    <w:p>
      <w:pPr>
        <w:ind w:left="1020" w:hanging="364"/>
        <w:spacing w:after="0"/>
        <w:tabs>
          <w:tab w:leader="none" w:pos="1020" w:val="left"/>
        </w:tabs>
        <w:numPr>
          <w:ilvl w:val="0"/>
          <w:numId w:val="213"/>
        </w:numPr>
        <w:rPr>
          <w:rFonts w:ascii="Arial" w:cs="Arial" w:eastAsia="Arial" w:hAnsi="Arial"/>
          <w:sz w:val="18"/>
          <w:szCs w:val="18"/>
          <w:color w:val="auto"/>
        </w:rPr>
      </w:pPr>
      <w:r>
        <w:rPr>
          <w:rFonts w:ascii="Arial" w:cs="Arial" w:eastAsia="Arial" w:hAnsi="Arial"/>
          <w:sz w:val="18"/>
          <w:szCs w:val="18"/>
          <w:i w:val="1"/>
          <w:iCs w:val="1"/>
          <w:color w:val="auto"/>
        </w:rPr>
        <w:t>Indenture</w:t>
      </w:r>
      <w:r>
        <w:rPr>
          <w:rFonts w:ascii="Arial" w:cs="Arial" w:eastAsia="Arial" w:hAnsi="Arial"/>
          <w:sz w:val="18"/>
          <w:szCs w:val="18"/>
          <w:color w:val="auto"/>
        </w:rPr>
        <w:t>.</w:t>
      </w:r>
    </w:p>
    <w:p>
      <w:pPr>
        <w:spacing w:after="0" w:line="221" w:lineRule="exact"/>
        <w:rPr>
          <w:sz w:val="20"/>
          <w:szCs w:val="20"/>
          <w:color w:val="auto"/>
        </w:rPr>
      </w:pPr>
    </w:p>
    <w:p>
      <w:pPr>
        <w:ind w:firstLine="1297"/>
        <w:spacing w:after="0" w:line="256" w:lineRule="auto"/>
        <w:rPr>
          <w:sz w:val="20"/>
          <w:szCs w:val="20"/>
          <w:color w:val="auto"/>
        </w:rPr>
      </w:pPr>
      <w:r>
        <w:rPr>
          <w:rFonts w:ascii="Arial" w:cs="Arial" w:eastAsia="Arial" w:hAnsi="Arial"/>
          <w:sz w:val="18"/>
          <w:szCs w:val="18"/>
          <w:color w:val="auto"/>
        </w:rPr>
        <w:t>This is one of the Notes issued under an Indenture dated as of April , 2009 (as amended from time to time, the “</w:t>
      </w:r>
      <w:r>
        <w:rPr>
          <w:rFonts w:ascii="Arial" w:cs="Arial" w:eastAsia="Arial" w:hAnsi="Arial"/>
          <w:sz w:val="18"/>
          <w:szCs w:val="18"/>
          <w:b w:val="1"/>
          <w:bCs w:val="1"/>
          <w:color w:val="auto"/>
        </w:rPr>
        <w:t>Indenture</w:t>
      </w:r>
      <w:r>
        <w:rPr>
          <w:rFonts w:ascii="Arial" w:cs="Arial" w:eastAsia="Arial" w:hAnsi="Arial"/>
          <w:sz w:val="18"/>
          <w:szCs w:val="18"/>
          <w:color w:val="auto"/>
        </w:rPr>
        <w:t>”), between the Company and Wells Fargo Bank, National Association, as Trustee. Capitalized terms used herein are used as defined in the Indenture unless otherwise indicated. The terms of the Notes include those stated in the Indenture and those made part of the Indenture by reference to the Trust Indenture Act. The Notes are subject to all such terms, and Holders are referred to the Indenture and the Trust Indenture Act for a statement of all such terms. To the extent permitted by applicable law, in the event of any inconsistency between the terms of this Note and the terms of the Indenture, the terms of the Indenture will control. The Notes are general unsecured obligations of the Company.</w:t>
      </w:r>
    </w:p>
    <w:p>
      <w:pPr>
        <w:spacing w:after="0" w:line="192" w:lineRule="exact"/>
        <w:rPr>
          <w:sz w:val="20"/>
          <w:szCs w:val="20"/>
          <w:color w:val="auto"/>
        </w:rPr>
      </w:pPr>
    </w:p>
    <w:p>
      <w:pPr>
        <w:ind w:left="1020" w:hanging="364"/>
        <w:spacing w:after="0"/>
        <w:tabs>
          <w:tab w:leader="none" w:pos="1020" w:val="left"/>
        </w:tabs>
        <w:numPr>
          <w:ilvl w:val="0"/>
          <w:numId w:val="214"/>
        </w:numPr>
        <w:rPr>
          <w:rFonts w:ascii="Arial" w:cs="Arial" w:eastAsia="Arial" w:hAnsi="Arial"/>
          <w:sz w:val="18"/>
          <w:szCs w:val="18"/>
          <w:color w:val="auto"/>
        </w:rPr>
      </w:pPr>
      <w:r>
        <w:rPr>
          <w:rFonts w:ascii="Arial" w:cs="Arial" w:eastAsia="Arial" w:hAnsi="Arial"/>
          <w:sz w:val="18"/>
          <w:szCs w:val="18"/>
          <w:i w:val="1"/>
          <w:iCs w:val="1"/>
          <w:color w:val="auto"/>
        </w:rPr>
        <w:t>Repurchase at the Option of the Holders upon Change in Control or Termination of Trading</w:t>
      </w:r>
      <w:r>
        <w:rPr>
          <w:rFonts w:ascii="Arial" w:cs="Arial" w:eastAsia="Arial" w:hAnsi="Arial"/>
          <w:sz w:val="18"/>
          <w:szCs w:val="18"/>
          <w:color w:val="auto"/>
        </w:rPr>
        <w:t>.</w:t>
      </w:r>
    </w:p>
    <w:p>
      <w:pPr>
        <w:spacing w:after="0" w:line="225" w:lineRule="exact"/>
        <w:rPr>
          <w:sz w:val="20"/>
          <w:szCs w:val="20"/>
          <w:color w:val="auto"/>
        </w:rPr>
      </w:pPr>
    </w:p>
    <w:p>
      <w:pPr>
        <w:ind w:right="320" w:firstLine="1297"/>
        <w:spacing w:after="0" w:line="264" w:lineRule="auto"/>
        <w:rPr>
          <w:sz w:val="20"/>
          <w:szCs w:val="20"/>
          <w:color w:val="auto"/>
        </w:rPr>
      </w:pPr>
      <w:r>
        <w:rPr>
          <w:rFonts w:ascii="Arial" w:cs="Arial" w:eastAsia="Arial" w:hAnsi="Arial"/>
          <w:sz w:val="18"/>
          <w:szCs w:val="18"/>
          <w:color w:val="auto"/>
        </w:rPr>
        <w:t>Upon the occurrence of a Change in Control or Termination of Trading, a Holder has the right, at such Holder’s option, to require the Company to repurchase all of such Holder’s Notes or any portion thereof (in principal amounts of $1,000 or integral multiples thereof) on the Repurchase Date at a price equal to the Repurchase Price.</w:t>
      </w:r>
    </w:p>
    <w:p>
      <w:pPr>
        <w:spacing w:after="0" w:line="181" w:lineRule="exact"/>
        <w:rPr>
          <w:sz w:val="20"/>
          <w:szCs w:val="20"/>
          <w:color w:val="auto"/>
        </w:rPr>
      </w:pPr>
    </w:p>
    <w:p>
      <w:pPr>
        <w:ind w:left="1020" w:hanging="364"/>
        <w:spacing w:after="0"/>
        <w:tabs>
          <w:tab w:leader="none" w:pos="1020" w:val="left"/>
        </w:tabs>
        <w:numPr>
          <w:ilvl w:val="0"/>
          <w:numId w:val="215"/>
        </w:numPr>
        <w:rPr>
          <w:rFonts w:ascii="Arial" w:cs="Arial" w:eastAsia="Arial" w:hAnsi="Arial"/>
          <w:sz w:val="18"/>
          <w:szCs w:val="18"/>
          <w:color w:val="auto"/>
        </w:rPr>
      </w:pPr>
      <w:r>
        <w:rPr>
          <w:rFonts w:ascii="Arial" w:cs="Arial" w:eastAsia="Arial" w:hAnsi="Arial"/>
          <w:sz w:val="18"/>
          <w:szCs w:val="18"/>
          <w:i w:val="1"/>
          <w:iCs w:val="1"/>
          <w:color w:val="auto"/>
        </w:rPr>
        <w:t>Redemption at the Option of the Company.</w:t>
      </w:r>
    </w:p>
    <w:p>
      <w:pPr>
        <w:spacing w:after="0" w:line="225" w:lineRule="exact"/>
        <w:rPr>
          <w:sz w:val="20"/>
          <w:szCs w:val="20"/>
          <w:color w:val="auto"/>
        </w:rPr>
      </w:pPr>
    </w:p>
    <w:p>
      <w:pPr>
        <w:ind w:right="40" w:firstLine="1297"/>
        <w:spacing w:after="0" w:line="255" w:lineRule="auto"/>
        <w:rPr>
          <w:sz w:val="20"/>
          <w:szCs w:val="20"/>
          <w:color w:val="auto"/>
        </w:rPr>
      </w:pPr>
      <w:r>
        <w:rPr>
          <w:rFonts w:ascii="Arial" w:cs="Arial" w:eastAsia="Arial" w:hAnsi="Arial"/>
          <w:sz w:val="18"/>
          <w:szCs w:val="18"/>
          <w:color w:val="auto"/>
        </w:rPr>
        <w:t>No sinking fund is provided for the Notes. The Notes are redeemable as a whole, or from time to time in part, at any time commencing on April 20, 2012 at the option of the Company if the Closing Price of the Company’s Common Stock has been greater than or equal to 135% of Conversion Price then in effect for at least 20 Trading Days during any 30 consecutive Trading Day period ending within five Trading Days prior to the date on which the Company provides notice of redemption. The redemption price (the “</w:t>
      </w:r>
      <w:r>
        <w:rPr>
          <w:rFonts w:ascii="Arial" w:cs="Arial" w:eastAsia="Arial" w:hAnsi="Arial"/>
          <w:sz w:val="18"/>
          <w:szCs w:val="18"/>
          <w:b w:val="1"/>
          <w:bCs w:val="1"/>
          <w:color w:val="auto"/>
        </w:rPr>
        <w:t>Redemption Price</w:t>
      </w:r>
      <w:r>
        <w:rPr>
          <w:rFonts w:ascii="Arial" w:cs="Arial" w:eastAsia="Arial" w:hAnsi="Arial"/>
          <w:sz w:val="18"/>
          <w:szCs w:val="18"/>
          <w:color w:val="auto"/>
        </w:rPr>
        <w:t>”) for any such redemption is equal to 100%, expressed as a percentage of the Principal Amount of Notes to be redeemed, together with accrued and unpaid interest (including any Additional Interest) to, but excluding, the Redemption Date, plus the Make-Whole Premium.</w:t>
      </w:r>
    </w:p>
    <w:p>
      <w:pPr>
        <w:spacing w:after="0" w:line="193" w:lineRule="exact"/>
        <w:rPr>
          <w:sz w:val="20"/>
          <w:szCs w:val="20"/>
          <w:color w:val="auto"/>
        </w:rPr>
      </w:pPr>
    </w:p>
    <w:p>
      <w:pPr>
        <w:ind w:left="1020" w:hanging="364"/>
        <w:spacing w:after="0"/>
        <w:tabs>
          <w:tab w:leader="none" w:pos="1020"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Conversion</w:t>
      </w:r>
      <w:r>
        <w:rPr>
          <w:rFonts w:ascii="Arial" w:cs="Arial" w:eastAsia="Arial" w:hAnsi="Arial"/>
          <w:sz w:val="18"/>
          <w:szCs w:val="18"/>
          <w:color w:val="auto"/>
        </w:rPr>
        <w:t>.</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Subject to the provisions of the Indenture, the Holder hereof has the right, at its option, prior to the close of business on the Business Day immediately preceding the Maturity Date, to convert this Note or portion thereof that is $1,000 or an integral multiple thereof, into Common Stock at a Conversion Rate specified in the Indenture, as adjusted from time to time as provided in the Indenture.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64"/>
        <w:spacing w:after="0"/>
        <w:tabs>
          <w:tab w:leader="none" w:pos="1020" w:val="left"/>
        </w:tabs>
        <w:numPr>
          <w:ilvl w:val="0"/>
          <w:numId w:val="217"/>
        </w:numPr>
        <w:rPr>
          <w:rFonts w:ascii="Arial" w:cs="Arial" w:eastAsia="Arial" w:hAnsi="Arial"/>
          <w:sz w:val="18"/>
          <w:szCs w:val="18"/>
          <w:color w:val="auto"/>
        </w:rPr>
      </w:pPr>
      <w:r>
        <w:rPr>
          <w:rFonts w:ascii="Arial" w:cs="Arial" w:eastAsia="Arial" w:hAnsi="Arial"/>
          <w:sz w:val="18"/>
          <w:szCs w:val="18"/>
          <w:i w:val="1"/>
          <w:iCs w:val="1"/>
          <w:color w:val="auto"/>
        </w:rPr>
        <w:t>Defaults and Remedies</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Subject to certain exceptions, if an Event of Default, other than a Bankruptcy Default, occurs and is continuing under the Indenture, the Trustee or the Holders of at least 25% in aggregate of the outstanding principal amount of the Notes, by written notice to the Company (and to the Trustee if the notice is given by the Holders), may, and the Trustee at the request of such Holders may, declare the principal of and accrued interest (including any Additional Interest) on the Notes to be immediately due and payable. Upon a declaration of acceleration, such principal and interest (including any Additional Interest) will become immediately due and payable. If a Bankruptcy Default occurs, the principal of and accrued interest (including any Additional Interest) on the Notes then outstanding will become immediately due and payable automatically without any declaration or other act on the part of the Trustee or any Holder.</w:t>
      </w:r>
    </w:p>
    <w:p>
      <w:pPr>
        <w:spacing w:after="0" w:line="189" w:lineRule="exact"/>
        <w:rPr>
          <w:sz w:val="20"/>
          <w:szCs w:val="20"/>
          <w:color w:val="auto"/>
        </w:rPr>
      </w:pPr>
    </w:p>
    <w:p>
      <w:pPr>
        <w:ind w:left="1020" w:hanging="364"/>
        <w:spacing w:after="0"/>
        <w:tabs>
          <w:tab w:leader="none" w:pos="1020" w:val="left"/>
        </w:tabs>
        <w:numPr>
          <w:ilvl w:val="0"/>
          <w:numId w:val="218"/>
        </w:numPr>
        <w:rPr>
          <w:rFonts w:ascii="Arial" w:cs="Arial" w:eastAsia="Arial" w:hAnsi="Arial"/>
          <w:sz w:val="18"/>
          <w:szCs w:val="18"/>
          <w:color w:val="auto"/>
        </w:rPr>
      </w:pPr>
      <w:r>
        <w:rPr>
          <w:rFonts w:ascii="Arial" w:cs="Arial" w:eastAsia="Arial" w:hAnsi="Arial"/>
          <w:sz w:val="18"/>
          <w:szCs w:val="18"/>
          <w:i w:val="1"/>
          <w:iCs w:val="1"/>
          <w:color w:val="auto"/>
        </w:rPr>
        <w:t>Amendment and Waiver</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Subject to certain exceptions set forth in the Indenture, the Indenture and the Notes may be amended, or default may be waived, with the consent of the Holders of a majority in principal amount of the outstanding Notes. Without notice to or the consent of any Holder, the Company and the Trustee may amend or supplement the Indenture or this Note to, among other things, cure any ambiguity, omission, defect or inconsistency in the Indenture or this Note that does not adversely affect the rights of any Holder of the Notes.</w:t>
      </w:r>
    </w:p>
    <w:p>
      <w:pPr>
        <w:spacing w:after="0" w:line="187" w:lineRule="exact"/>
        <w:rPr>
          <w:sz w:val="20"/>
          <w:szCs w:val="20"/>
          <w:color w:val="auto"/>
        </w:rPr>
      </w:pPr>
    </w:p>
    <w:p>
      <w:pPr>
        <w:ind w:left="1020" w:hanging="364"/>
        <w:spacing w:after="0"/>
        <w:tabs>
          <w:tab w:leader="none" w:pos="102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Registered Form; Denominations; Transfer; Exchange</w:t>
      </w:r>
      <w:r>
        <w:rPr>
          <w:rFonts w:ascii="Arial" w:cs="Arial" w:eastAsia="Arial" w:hAnsi="Arial"/>
          <w:sz w:val="18"/>
          <w:szCs w:val="18"/>
          <w:color w:val="auto"/>
        </w:rPr>
        <w:t>.</w:t>
      </w:r>
    </w:p>
    <w:p>
      <w:pPr>
        <w:spacing w:after="0" w:line="225" w:lineRule="exact"/>
        <w:rPr>
          <w:sz w:val="20"/>
          <w:szCs w:val="20"/>
          <w:color w:val="auto"/>
        </w:rPr>
      </w:pPr>
    </w:p>
    <w:p>
      <w:pPr>
        <w:ind w:right="60" w:firstLine="1297"/>
        <w:spacing w:after="0" w:line="279" w:lineRule="auto"/>
        <w:rPr>
          <w:sz w:val="20"/>
          <w:szCs w:val="20"/>
          <w:color w:val="auto"/>
        </w:rPr>
      </w:pPr>
      <w:r>
        <w:rPr>
          <w:rFonts w:ascii="Arial" w:cs="Arial" w:eastAsia="Arial" w:hAnsi="Arial"/>
          <w:sz w:val="17"/>
          <w:szCs w:val="17"/>
          <w:color w:val="auto"/>
        </w:rPr>
        <w:t>The Notes are in registered form without coupons in denominations of $1,000 principal amount and integral multiples of $1,000. A Holder may register the transfer or exchange of Notes in accordance with the Indenture. The Trustee may require a Holder to furnish appropriate endorsements and transfer documents and to pay any taxes and fees as set forth in the Indenture. Pursuant to the Indenture, there are certain periods during which the Trustee will not be required to issue, register the transfer of or exchange any Note or certain portions of a Note.</w:t>
      </w:r>
    </w:p>
    <w:p>
      <w:pPr>
        <w:spacing w:after="0" w:line="171" w:lineRule="exact"/>
        <w:rPr>
          <w:sz w:val="20"/>
          <w:szCs w:val="20"/>
          <w:color w:val="auto"/>
        </w:rPr>
      </w:pPr>
    </w:p>
    <w:p>
      <w:pPr>
        <w:ind w:left="1000" w:hanging="344"/>
        <w:spacing w:after="0"/>
        <w:tabs>
          <w:tab w:leader="none" w:pos="1000" w:val="left"/>
        </w:tabs>
        <w:numPr>
          <w:ilvl w:val="0"/>
          <w:numId w:val="220"/>
        </w:numPr>
        <w:rPr>
          <w:rFonts w:ascii="Arial" w:cs="Arial" w:eastAsia="Arial" w:hAnsi="Arial"/>
          <w:sz w:val="18"/>
          <w:szCs w:val="18"/>
          <w:color w:val="auto"/>
        </w:rPr>
      </w:pPr>
      <w:r>
        <w:rPr>
          <w:rFonts w:ascii="Arial" w:cs="Arial" w:eastAsia="Arial" w:hAnsi="Arial"/>
          <w:sz w:val="18"/>
          <w:szCs w:val="18"/>
          <w:i w:val="1"/>
          <w:iCs w:val="1"/>
          <w:color w:val="auto"/>
        </w:rPr>
        <w:t>Persons Deemed Owners</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registered Holder of this Note may be treated as the owner of this Note for all purposes.</w:t>
      </w:r>
    </w:p>
    <w:p>
      <w:pPr>
        <w:sectPr>
          <w:pgSz w:w="11900" w:h="16838" w:orient="portrait"/>
          <w:cols w:equalWidth="0" w:num="1">
            <w:col w:w="11400"/>
          </w:cols>
          <w:pgMar w:left="240" w:top="125" w:right="259" w:bottom="0" w:gutter="0" w:footer="0" w:header="0"/>
        </w:sectPr>
      </w:pPr>
    </w:p>
    <w:bookmarkStart w:id="140" w:name="page141"/>
    <w:bookmarkEnd w:id="140"/>
    <w:p>
      <w:pPr>
        <w:ind w:left="1020" w:hanging="364"/>
        <w:spacing w:after="0"/>
        <w:tabs>
          <w:tab w:leader="none" w:pos="1020" w:val="left"/>
        </w:tabs>
        <w:numPr>
          <w:ilvl w:val="0"/>
          <w:numId w:val="221"/>
        </w:numPr>
        <w:rPr>
          <w:rFonts w:ascii="Arial" w:cs="Arial" w:eastAsia="Arial" w:hAnsi="Arial"/>
          <w:sz w:val="18"/>
          <w:szCs w:val="18"/>
          <w:color w:val="auto"/>
        </w:rPr>
      </w:pPr>
      <w:r>
        <w:rPr>
          <w:rFonts w:ascii="Arial" w:cs="Arial" w:eastAsia="Arial" w:hAnsi="Arial"/>
          <w:sz w:val="18"/>
          <w:szCs w:val="18"/>
          <w:i w:val="1"/>
          <w:iCs w:val="1"/>
          <w:color w:val="auto"/>
        </w:rPr>
        <w:t>Unclaimed Money or Notes</w:t>
      </w:r>
      <w:r>
        <w:rPr>
          <w:rFonts w:ascii="Arial" w:cs="Arial" w:eastAsia="Arial" w:hAnsi="Arial"/>
          <w:sz w:val="18"/>
          <w:szCs w:val="18"/>
          <w:color w:val="auto"/>
        </w:rPr>
        <w:t>.</w:t>
      </w:r>
    </w:p>
    <w:p>
      <w:pPr>
        <w:spacing w:after="0" w:line="225"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Subject to applicable abandoned property law, the Trustee and each Paying Agent shall pay or deliver, as the case may be, to the Company upon request any money, Common Stock or other consideration held by them for the payment of the principal amount of (including the relevant Repurchase Price or Redemption Price) and interest (including any Additional Interest) on, or the Common Stock due in connection with any conversion of, this Note that remains unclaimed for two years after a right to such money, Common Stock or other consideration has matured.</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020" w:hanging="364"/>
        <w:spacing w:after="0"/>
        <w:tabs>
          <w:tab w:leader="none" w:pos="1020"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Trustee Dealings with the Company</w:t>
      </w:r>
      <w:r>
        <w:rPr>
          <w:rFonts w:ascii="Arial" w:cs="Arial" w:eastAsia="Arial" w:hAnsi="Arial"/>
          <w:sz w:val="18"/>
          <w:szCs w:val="18"/>
          <w:color w:val="auto"/>
        </w:rPr>
        <w:t>.</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The Trustee, in its individual or any other capacity, may become the owner or pledgee of this Note and may otherwise deal with the Company or its Affiliates with the same rights it would have if it were not the Trustee. Any Agent may do the same with like rights. However, the Trustee is subject to Trust Indenture Act Sections 310(b) and 311.</w:t>
      </w:r>
    </w:p>
    <w:p>
      <w:pPr>
        <w:spacing w:after="0" w:line="181" w:lineRule="exact"/>
        <w:rPr>
          <w:sz w:val="20"/>
          <w:szCs w:val="20"/>
          <w:color w:val="auto"/>
        </w:rPr>
      </w:pPr>
    </w:p>
    <w:p>
      <w:pPr>
        <w:ind w:left="1020" w:hanging="364"/>
        <w:spacing w:after="0"/>
        <w:tabs>
          <w:tab w:leader="none" w:pos="1020" w:val="left"/>
        </w:tabs>
        <w:numPr>
          <w:ilvl w:val="0"/>
          <w:numId w:val="223"/>
        </w:numPr>
        <w:rPr>
          <w:rFonts w:ascii="Arial" w:cs="Arial" w:eastAsia="Arial" w:hAnsi="Arial"/>
          <w:sz w:val="18"/>
          <w:szCs w:val="18"/>
          <w:color w:val="auto"/>
        </w:rPr>
      </w:pPr>
      <w:r>
        <w:rPr>
          <w:rFonts w:ascii="Arial" w:cs="Arial" w:eastAsia="Arial" w:hAnsi="Arial"/>
          <w:sz w:val="18"/>
          <w:szCs w:val="18"/>
          <w:i w:val="1"/>
          <w:iCs w:val="1"/>
          <w:color w:val="auto"/>
        </w:rPr>
        <w:t>No Recourse Against Others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No director, officer, employee, incorporator, member or stockholder of the Company, as such, will have any liability for any obligations of the Company under this Note or the Indenture or for any claim based on, in respect of, or by reason of, such obligations. Each Holder of this Note by accepting this Note waives and releases all such liability. The waiver and release are part of the consideration for issuance of this Note.</w:t>
      </w:r>
    </w:p>
    <w:p>
      <w:pPr>
        <w:spacing w:after="0" w:line="166" w:lineRule="exact"/>
        <w:rPr>
          <w:sz w:val="20"/>
          <w:szCs w:val="20"/>
          <w:color w:val="auto"/>
        </w:rPr>
      </w:pPr>
    </w:p>
    <w:p>
      <w:pPr>
        <w:ind w:left="1020" w:hanging="364"/>
        <w:spacing w:after="0"/>
        <w:tabs>
          <w:tab w:leader="none" w:pos="1020" w:val="left"/>
        </w:tabs>
        <w:numPr>
          <w:ilvl w:val="0"/>
          <w:numId w:val="224"/>
        </w:numPr>
        <w:rPr>
          <w:rFonts w:ascii="Arial" w:cs="Arial" w:eastAsia="Arial" w:hAnsi="Arial"/>
          <w:sz w:val="18"/>
          <w:szCs w:val="18"/>
          <w:color w:val="auto"/>
        </w:rPr>
      </w:pPr>
      <w:r>
        <w:rPr>
          <w:rFonts w:ascii="Arial" w:cs="Arial" w:eastAsia="Arial" w:hAnsi="Arial"/>
          <w:sz w:val="18"/>
          <w:szCs w:val="18"/>
          <w:i w:val="1"/>
          <w:iCs w:val="1"/>
          <w:color w:val="auto"/>
        </w:rPr>
        <w:t>Authentication</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Note shall not be valid until an authorized officer of the Trustee signs manually the Trustee’s Certificate of Authentication on the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side of this Note.</w:t>
      </w:r>
    </w:p>
    <w:p>
      <w:pPr>
        <w:spacing w:after="0" w:line="211" w:lineRule="exact"/>
        <w:rPr>
          <w:sz w:val="20"/>
          <w:szCs w:val="20"/>
          <w:color w:val="auto"/>
        </w:rPr>
      </w:pPr>
    </w:p>
    <w:p>
      <w:pPr>
        <w:ind w:left="1020" w:hanging="364"/>
        <w:spacing w:after="0"/>
        <w:tabs>
          <w:tab w:leader="none" w:pos="1020" w:val="left"/>
        </w:tabs>
        <w:numPr>
          <w:ilvl w:val="0"/>
          <w:numId w:val="225"/>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w:t>
      </w:r>
    </w:p>
    <w:p>
      <w:pPr>
        <w:spacing w:after="0" w:line="225"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THE INDENTURE AND THE NOTE SHALL BE DEEMED TO BE A CONTRACT MADE UNDER THE LAWS OF NEW YORK, AND FOR ALL PURPOSES SHALL BE CONSTRUED IN ACCORDANCE WITH THE LAWS OF NEW YORK (WITHOUT REGARD TO THE CONFLICTS OF LAWS PROVISIONS THEREOF).</w:t>
      </w:r>
    </w:p>
    <w:p>
      <w:pPr>
        <w:spacing w:after="0" w:line="181" w:lineRule="exact"/>
        <w:rPr>
          <w:sz w:val="20"/>
          <w:szCs w:val="20"/>
          <w:color w:val="auto"/>
        </w:rPr>
      </w:pPr>
    </w:p>
    <w:p>
      <w:pPr>
        <w:ind w:left="1020" w:hanging="364"/>
        <w:spacing w:after="0"/>
        <w:tabs>
          <w:tab w:leader="none" w:pos="1020" w:val="left"/>
        </w:tabs>
        <w:numPr>
          <w:ilvl w:val="0"/>
          <w:numId w:val="226"/>
        </w:numPr>
        <w:rPr>
          <w:rFonts w:ascii="Arial" w:cs="Arial" w:eastAsia="Arial" w:hAnsi="Arial"/>
          <w:sz w:val="18"/>
          <w:szCs w:val="18"/>
          <w:color w:val="auto"/>
        </w:rPr>
      </w:pPr>
      <w:r>
        <w:rPr>
          <w:rFonts w:ascii="Arial" w:cs="Arial" w:eastAsia="Arial" w:hAnsi="Arial"/>
          <w:sz w:val="18"/>
          <w:szCs w:val="18"/>
          <w:i w:val="1"/>
          <w:iCs w:val="1"/>
          <w:color w:val="auto"/>
        </w:rPr>
        <w:t>Abbreviations</w:t>
      </w:r>
      <w:r>
        <w:rPr>
          <w:rFonts w:ascii="Arial" w:cs="Arial" w:eastAsia="Arial" w:hAnsi="Arial"/>
          <w:sz w:val="18"/>
          <w:szCs w:val="18"/>
          <w:color w:val="auto"/>
        </w:rPr>
        <w:t>.</w:t>
      </w:r>
    </w:p>
    <w:p>
      <w:pPr>
        <w:spacing w:after="0" w:line="225"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Customary abbreviations may be used in the name of a Holder or an assignee, such as: TEN COM (= tenants in common), TEN ENT (= tenants by the entireties), JT TEN (= joint tenants with right of survivorship and not as tenants in common), CUST (= Custodian) and U/G/M/A/ (= Uniform Gifts to Minors Act).</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will furnish a copy of the Indenture to any Holder upon written request and without charge.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[FORM OF TRANSFER NOTICE]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VALUE RECEIVED the undersigned registered holder hereby sell(s), assign(s) and transfer(s) unto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Insert Taxpayer Identification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Please print or typewrite name and address, including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the within Note and all rights thereunder, hereby irrevocably constituting and appointing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attorney to transfer said Note on the books of the Company with full power of substitution in the premises.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380"/>
          </w:cols>
          <w:pgMar w:left="240" w:top="125" w:right="279" w:bottom="86" w:gutter="0" w:footer="0" w:header="0"/>
        </w:sectPr>
      </w:pPr>
    </w:p>
    <w:bookmarkStart w:id="141" w:name="page142"/>
    <w:bookmarkEnd w:id="141"/>
    <w:p>
      <w:pPr>
        <w:spacing w:after="0" w:line="62" w:lineRule="exact"/>
        <w:rPr>
          <w:sz w:val="20"/>
          <w:szCs w:val="20"/>
          <w:color w:val="auto"/>
        </w:rPr>
      </w:pPr>
    </w:p>
    <w:p>
      <w:pPr>
        <w:ind w:right="200" w:firstLine="332"/>
        <w:spacing w:after="0" w:line="264" w:lineRule="auto"/>
        <w:tabs>
          <w:tab w:leader="none" w:pos="684"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Idaho 83716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(208) 368-4540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Corporate Trust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 N9311-110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 55479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Micron Account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(612) 667-9825</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CONVERSION NOTICE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convert this Note, check the box: 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convert only part of this Note, state the principal amount to be converted (must be $1,000 principal amount or an integral multiple of $1,000</w:t>
      </w:r>
    </w:p>
    <w:p>
      <w:pPr>
        <w:spacing w:after="0" w:line="35"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principal amount):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938530</wp:posOffset>
            </wp:positionH>
            <wp:positionV relativeFrom="paragraph">
              <wp:posOffset>-19050</wp:posOffset>
            </wp:positionV>
            <wp:extent cx="57150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want the stock certificate made out in another person’s name, fill in the form below:</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(Insert assignee’s soc. sec. or tax I.D.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461010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and irrevocably appoint</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agent to transfer this Note on the books of the Company. The agent may substitute another to act for him or 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 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0" w:firstLine="332"/>
        <w:spacing w:after="0" w:line="264" w:lineRule="auto"/>
        <w:tabs>
          <w:tab w:leader="none" w:pos="684"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0" w:type="dxa"/>
            <w:vAlign w:val="bottom"/>
            <w:gridSpan w:val="2"/>
          </w:tcPr>
          <w:p>
            <w:pPr>
              <w:ind w:left="1700"/>
              <w:spacing w:after="0"/>
              <w:rPr>
                <w:sz w:val="20"/>
                <w:szCs w:val="20"/>
                <w:color w:val="auto"/>
              </w:rPr>
            </w:pPr>
            <w:r>
              <w:rPr>
                <w:rFonts w:ascii="Arial" w:cs="Arial" w:eastAsia="Arial" w:hAnsi="Arial"/>
                <w:sz w:val="18"/>
                <w:szCs w:val="18"/>
                <w:b w:val="1"/>
                <w:bCs w:val="1"/>
                <w:color w:val="auto"/>
                <w:w w:val="90"/>
              </w:rPr>
              <w:t>Schedule I*</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No. [</w:t>
            </w:r>
          </w:p>
        </w:tc>
        <w:tc>
          <w:tcPr>
            <w:tcW w:w="2460" w:type="dxa"/>
            <w:vAlign w:val="bottom"/>
          </w:tcPr>
          <w:p>
            <w:pPr>
              <w:jc w:val="right"/>
              <w:ind w:right="22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840" w:type="dxa"/>
            <w:vAlign w:val="bottom"/>
            <w:gridSpan w:val="3"/>
          </w:tcPr>
          <w:p>
            <w:pPr>
              <w:ind w:left="200"/>
              <w:spacing w:after="0"/>
              <w:rPr>
                <w:sz w:val="20"/>
                <w:szCs w:val="20"/>
                <w:color w:val="auto"/>
              </w:rPr>
            </w:pPr>
            <w:r>
              <w:rPr>
                <w:rFonts w:ascii="Arial" w:cs="Arial" w:eastAsia="Arial" w:hAnsi="Arial"/>
                <w:sz w:val="18"/>
                <w:szCs w:val="18"/>
                <w:color w:val="auto"/>
              </w:rPr>
              <w:t>The initial principal amount of this Global Note is $[</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vMerge w:val="restart"/>
          </w:tcPr>
          <w:p>
            <w:pPr>
              <w:jc w:val="center"/>
              <w:ind w:left="368"/>
              <w:spacing w:after="0"/>
              <w:rPr>
                <w:sz w:val="20"/>
                <w:szCs w:val="20"/>
                <w:color w:val="auto"/>
              </w:rPr>
            </w:pPr>
            <w:r>
              <w:rPr>
                <w:rFonts w:ascii="Arial" w:cs="Arial" w:eastAsia="Arial" w:hAnsi="Arial"/>
                <w:sz w:val="14"/>
                <w:szCs w:val="14"/>
                <w:b w:val="1"/>
                <w:bCs w:val="1"/>
                <w:color w:val="auto"/>
                <w:w w:val="93"/>
              </w:rPr>
              <w:t>Principal Amount of this</w:t>
            </w: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Notation Explaining</w:t>
            </w:r>
          </w:p>
        </w:tc>
        <w:tc>
          <w:tcPr>
            <w:tcW w:w="26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Authorized Signature of</w:t>
            </w:r>
          </w:p>
        </w:tc>
        <w:tc>
          <w:tcPr>
            <w:tcW w:w="0" w:type="dxa"/>
            <w:vAlign w:val="bottom"/>
          </w:tcPr>
          <w:p>
            <w:pPr>
              <w:spacing w:after="0"/>
              <w:rPr>
                <w:sz w:val="1"/>
                <w:szCs w:val="1"/>
                <w:color w:val="auto"/>
              </w:rPr>
            </w:pPr>
          </w:p>
        </w:tc>
      </w:tr>
      <w:tr>
        <w:trPr>
          <w:trHeight w:val="149"/>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rPr>
              <w:t>Date</w:t>
            </w:r>
          </w:p>
        </w:tc>
        <w:tc>
          <w:tcPr>
            <w:tcW w:w="2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Change in Principal</w:t>
            </w:r>
          </w:p>
        </w:tc>
        <w:tc>
          <w:tcPr>
            <w:tcW w:w="2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tcPr>
          <w:p>
            <w:pPr>
              <w:jc w:val="center"/>
              <w:ind w:left="348"/>
              <w:spacing w:after="0"/>
              <w:rPr>
                <w:sz w:val="20"/>
                <w:szCs w:val="20"/>
                <w:color w:val="auto"/>
              </w:rPr>
            </w:pPr>
            <w:r>
              <w:rPr>
                <w:rFonts w:ascii="Arial" w:cs="Arial" w:eastAsia="Arial" w:hAnsi="Arial"/>
                <w:sz w:val="14"/>
                <w:szCs w:val="14"/>
                <w:b w:val="1"/>
                <w:bCs w:val="1"/>
                <w:color w:val="auto"/>
                <w:w w:val="94"/>
              </w:rPr>
              <w:t>Global Note</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Amount</w:t>
            </w: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Trustee</w:t>
            </w:r>
          </w:p>
        </w:tc>
        <w:tc>
          <w:tcPr>
            <w:tcW w:w="0" w:type="dxa"/>
            <w:vAlign w:val="bottom"/>
          </w:tcPr>
          <w:p>
            <w:pPr>
              <w:spacing w:after="0"/>
              <w:rPr>
                <w:sz w:val="1"/>
                <w:szCs w:val="1"/>
                <w:color w:val="auto"/>
              </w:rPr>
            </w:pPr>
          </w:p>
        </w:tc>
      </w:tr>
      <w:tr>
        <w:trPr>
          <w:trHeight w:val="131"/>
        </w:trPr>
        <w:tc>
          <w:tcPr>
            <w:tcW w:w="460" w:type="dxa"/>
            <w:vAlign w:val="bottom"/>
            <w:tcBorders>
              <w:top w:val="single" w:sz="8" w:color="auto"/>
            </w:tcBorders>
            <w:shd w:val="clear" w:color="auto" w:fill="CCEEFF"/>
          </w:tcPr>
          <w:p>
            <w:pPr>
              <w:spacing w:after="0"/>
              <w:rPr>
                <w:sz w:val="11"/>
                <w:szCs w:val="11"/>
                <w:color w:val="auto"/>
              </w:rPr>
            </w:pPr>
          </w:p>
        </w:tc>
        <w:tc>
          <w:tcPr>
            <w:tcW w:w="246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8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48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5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142" w:name="page143"/>
    <w:bookmarkEnd w:id="142"/>
    <w:p>
      <w:pPr>
        <w:ind w:left="700" w:hanging="368"/>
        <w:spacing w:after="0"/>
        <w:tabs>
          <w:tab w:leader="none" w:pos="700" w:val="left"/>
        </w:tabs>
        <w:numPr>
          <w:ilvl w:val="0"/>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363220</wp:posOffset>
            </wp:positionV>
            <wp:extent cx="7246620"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706120</wp:posOffset>
            </wp:positionV>
            <wp:extent cx="182689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826895" cy="8890"/>
                    </a:xfrm>
                    <a:prstGeom prst="rect">
                      <a:avLst/>
                    </a:prstGeom>
                    <a:noFill/>
                  </pic:spPr>
                </pic:pic>
              </a:graphicData>
            </a:graphic>
          </wp:anchor>
        </w:drawing>
        <w:t>This schedule should be included only if the Note is a Global Note.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DTC LEGEND</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UNLESS THIS CERTIFICATE IS PRESENTED BY AN AUTHORIZED REPRESENTATIVE OF THE DEPOSITORY TRUST COMPANY, A NEW YORK CORPORATION (“</w:t>
      </w:r>
      <w:r>
        <w:rPr>
          <w:rFonts w:ascii="Arial" w:cs="Arial" w:eastAsia="Arial" w:hAnsi="Arial"/>
          <w:sz w:val="17"/>
          <w:szCs w:val="17"/>
          <w:b w:val="1"/>
          <w:bCs w:val="1"/>
          <w:color w:val="auto"/>
        </w:rPr>
        <w:t>DTC</w:t>
      </w:r>
      <w:r>
        <w:rPr>
          <w:rFonts w:ascii="Arial" w:cs="Arial" w:eastAsia="Arial" w:hAnsi="Arial"/>
          <w:sz w:val="17"/>
          <w:szCs w:val="17"/>
          <w:color w:val="auto"/>
        </w:rPr>
        <w:t>”),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7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TRANSFERS OF THIS GLOBAL NOTE ARE LIMITED TO TRANSFERS IN WHOLE, BUT NOT IN PART, TO NOMINEES OF CEDE &amp; CO. OR TO A SUCCESSOR THEREOF OR SUCH SUCCESSOR’S NOMINEE AND TRANSFERS OF PORTIONS OF THIS GLOBAL NOTE ARE LIMITED TO TRANSFERS MADE IN ACCORDANCE WITH THE TRANSFER PROVISIONS OF THE INDENTURE.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9" w:right="239" w:bottom="1440" w:gutter="0" w:footer="0" w:header="0"/>
        </w:sectPr>
      </w:pPr>
    </w:p>
    <w:bookmarkStart w:id="143" w:name="page144"/>
    <w:bookmarkEnd w:id="143"/>
    <w:p>
      <w:pPr>
        <w:spacing w:after="0"/>
        <w:rPr>
          <w:rFonts w:ascii="Arial" w:cs="Arial" w:eastAsia="Arial" w:hAnsi="Arial"/>
          <w:sz w:val="22"/>
          <w:szCs w:val="22"/>
          <w:color w:val="0000EE"/>
        </w:rPr>
      </w:pPr>
      <w:hyperlink w:anchor="page147">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560"/>
        <w:spacing w:after="0"/>
        <w:rPr>
          <w:sz w:val="20"/>
          <w:szCs w:val="20"/>
          <w:color w:val="auto"/>
        </w:rPr>
      </w:pPr>
      <w:r>
        <w:rPr>
          <w:rFonts w:ascii="Arial" w:cs="Arial" w:eastAsia="Arial" w:hAnsi="Arial"/>
          <w:sz w:val="16"/>
          <w:szCs w:val="16"/>
          <w:b w:val="1"/>
          <w:bCs w:val="1"/>
          <w:color w:val="auto"/>
        </w:rPr>
        <w:t>Exhibit 5.1</w:t>
      </w:r>
    </w:p>
    <w:p>
      <w:pPr>
        <w:spacing w:after="0" w:line="25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April 7,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Micron Technology,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Boise, ID 83716</w:t>
      </w:r>
    </w:p>
    <w:p>
      <w:pPr>
        <w:spacing w:after="0" w:line="213" w:lineRule="exact"/>
        <w:rPr>
          <w:sz w:val="20"/>
          <w:szCs w:val="20"/>
          <w:color w:val="auto"/>
        </w:rPr>
      </w:pPr>
    </w:p>
    <w:p>
      <w:pPr>
        <w:ind w:left="540"/>
        <w:spacing w:after="0"/>
        <w:tabs>
          <w:tab w:leader="none" w:pos="1060" w:val="left"/>
        </w:tabs>
        <w:rPr>
          <w:sz w:val="20"/>
          <w:szCs w:val="20"/>
          <w:color w:val="auto"/>
        </w:rPr>
      </w:pPr>
      <w:r>
        <w:rPr>
          <w:rFonts w:ascii="Arial" w:cs="Arial" w:eastAsia="Arial" w:hAnsi="Arial"/>
          <w:sz w:val="18"/>
          <w:szCs w:val="18"/>
          <w:b w:val="1"/>
          <w:bCs w:val="1"/>
          <w:color w:val="auto"/>
        </w:rPr>
        <w:t>Re:</w:t>
        <w:tab/>
        <w:t>Micron Technology, Inc.—Registration Statement on Form S-3</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have acted as special counsel to Micron Technology, Inc., a Delaware corporation (the "Company"), in connection with the filing by the Company with the Securities and Exchange Commission of a registration statement on Form S-3 (the "Registration Statement"), under the Securities Act of 1933, as amended (the "Act"), that is automatically effective under the Act pursuant to Rule 462(e) promulgated thereunder. Pursuant to the Registration Statement, the Company is registering under the Act an indeterminate amount of the Company's debt securities (the "Debt Securities"), shares of the Company's Common Stock, $0.10 par value per share (the "Common Stock"), and warrants to purchase Debt Securities or Common Stock (the "Warrants"). The Debt Securities, the Common Stock and the Warrants are to be sold from time to time as set forth in the Registration Statement, the Prospectus contained therein (the "Prospectus"), and the supplements to the Prospectus (the "Prospectus Supplements"). The Debt Securities may be senior debt securities (the "Senior Debt Securities"), subordinated debt securities (the "Subordinated Debt Securities") or convertible senior debt securities (the "Convertible Senior Debt Securities").</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Senior Debt Securities are to be issued pursuant to a Senior Indenture, which has been filed as an exhibit to the Registration Statement (the "Senior Indenture"), to be entered into between the Company and a Trustee to be named therein. The Subordinated Debt Securities are to be issued pursuant to a Subordinated Indenture, which has been filed as an exhibit to the Registration Statement (the "Subordinated Indenture"), to be entered into between the Company and a Trustee to be named therein. Each such Senior Indenture or Subordinated Indenture may be supplemented, in connection with the issuance of each such series, by a supplemental indenture or other appropriate action of the Company creating such series. The Convertible Senior Debt Securities are to be issued pursuant to a Convertible Senior Note Indenture, which has been filed as an exhibit to the Registration Statement (the "Convertible Senior Note Indenture," and together with the Senior Indenture and the Subordinated Indenture, the "Indentures"), to be entered into between the Company and a Trustee to be named therein. The shares of Common Stock may be sold pursuant to an Underwriting Agreement (Common Stock) (the "Common Stock Underwriting Agreement"), and the Debt Securities may be sold pursuant to an Underwriting Agreement (Debt Securities) (the "Debt Securities Underwriting Agreement"), in substantially the respective forms to be filed as an exhibit to, or incorporated by reference in, the Registration Statement. The Debt Securities are to be issued in the forms included in the Indentures filed as exhibits to the Registration Statement.</w:t>
      </w:r>
    </w:p>
    <w:p>
      <w:pPr>
        <w:spacing w:after="0" w:line="181" w:lineRule="exact"/>
        <w:rPr>
          <w:sz w:val="20"/>
          <w:szCs w:val="20"/>
          <w:color w:val="auto"/>
        </w:rPr>
      </w:pPr>
    </w:p>
    <w:p>
      <w:pPr>
        <w:ind w:right="160" w:firstLine="348"/>
        <w:spacing w:after="0" w:line="289" w:lineRule="auto"/>
        <w:rPr>
          <w:sz w:val="20"/>
          <w:szCs w:val="20"/>
          <w:color w:val="auto"/>
        </w:rPr>
      </w:pPr>
      <w:r>
        <w:rPr>
          <w:rFonts w:ascii="Arial" w:cs="Arial" w:eastAsia="Arial" w:hAnsi="Arial"/>
          <w:sz w:val="16"/>
          <w:szCs w:val="16"/>
          <w:color w:val="auto"/>
        </w:rPr>
        <w:t>We have examined the Registration Statement, the Indentures and such other instruments, documents, certificates and records which we have deemed relevant and necessary for the basis of our opinions hereinafter expressed. In such examination, we have assumed (a) the authenticity of original documents and the genuineness of all signatures; (b) the conformity to the originals of all documents submitted to us as copies; (c) the truth, accuracy and completeness of the information, representations and warranties contained in the records, documents, instruments and certificates we have reviewed; (d) the Registration Statement, and any amendments thereto (including post-effective amendments), will have become effective under the Act; (e) a prospectus supplement will have been filed with the Securities and Exchange Commission describing the securities offered thereby; (f) all securities will be issued and sold in compliance with applicable federal and state securities laws and in the manner stated in the Registration Statement and the applicable prospectus supplement; (g) a definitive purchase, underwriting or similar agreement with respect to any securities offered will have been duly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250430" cy="215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44" w:name="page145"/>
    <w:bookmarkEnd w:id="144"/>
    <w:p>
      <w:pPr>
        <w:ind w:right="160"/>
        <w:spacing w:after="0" w:line="291" w:lineRule="auto"/>
        <w:rPr>
          <w:sz w:val="20"/>
          <w:szCs w:val="20"/>
          <w:color w:val="auto"/>
        </w:rPr>
      </w:pPr>
      <w:r>
        <w:rPr>
          <w:rFonts w:ascii="Arial" w:cs="Arial" w:eastAsia="Arial" w:hAnsi="Arial"/>
          <w:sz w:val="16"/>
          <w:szCs w:val="16"/>
          <w:color w:val="auto"/>
        </w:rPr>
        <w:t>and validly executed and delivered by the Company and the other parties thereto; (h) any securities issuable upon conversion, exchange, redemption or exercise of any securities being offered will have been duly authorized, created and, if appropriate, reserved for issuance upon such conversion, exchange, redemption or exercise; (i) with respect to shares of Common Stock, there will be sufficient shares of Common Stock authorized under the Company's certificate of incorporation, as amended and in effect at the relevant time, and not otherwise reserved for issuance, and (j) the legal capacity of all natural persons. As to any facts material to the opinions expressed herein that were not independently established or verified, we have relied upon oral or written statements and representations of officers and other representatives of the Company.</w:t>
      </w:r>
    </w:p>
    <w:p>
      <w:pPr>
        <w:spacing w:after="0" w:line="17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are opining herein as to the effect of the subject transaction with respect to the General Corporation Law of the State of Delaware and, with respect to our opinions set forth in paragraphs 1, 2 and 3 below, the internal laws of the State of New York, and we express no opinion with respect to the applicability thereto, or the effect thereon, of the laws of any other jurisdiction or, in the case of Delaware, any other laws.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such examination, we are of the opinion that:</w:t>
      </w:r>
    </w:p>
    <w:p>
      <w:pPr>
        <w:spacing w:after="0" w:line="239" w:lineRule="exact"/>
        <w:rPr>
          <w:sz w:val="20"/>
          <w:szCs w:val="20"/>
          <w:color w:val="auto"/>
        </w:rPr>
      </w:pPr>
    </w:p>
    <w:p>
      <w:pPr>
        <w:ind w:left="1080" w:right="40" w:hanging="532"/>
        <w:spacing w:after="0" w:line="289" w:lineRule="auto"/>
        <w:tabs>
          <w:tab w:leader="none" w:pos="10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When the issuance of the Senior Debt Securities has been duly authorized by appropriate corporate action and the Senior Debt Securities, in the form included in the Senior Indenture filed as an exhibit to the Registration Statement, have been duly completed, executed, authenticated and delivered in accordance with the Senior Indenture and sold pursuant to the Debt Securities Underwriting Agreement, the applicable definitive purchase agreement or similar agreement approved by or on behalf of the Board of Directors of the Company (the "Board") or upon exercise of Warrants to purchase Senior Debt Securities, and (in the case of Senior Debt Securities acquired on the exercise of Warrants to purchase Senior Debt Securities) when the Company shall have received any additional consideration which is payable upon such exercise as described in the Registration Statement, any amendment thereto, the Prospectus and any Prospectus Supplement relating thereto, the Senior Debt Securities will be valid and binding obligations of the Company, entitled to the benefits of the Senior Indenture.</w:t>
      </w:r>
    </w:p>
    <w:p>
      <w:pPr>
        <w:spacing w:after="0" w:line="199" w:lineRule="exact"/>
        <w:rPr>
          <w:rFonts w:ascii="Arial" w:cs="Arial" w:eastAsia="Arial" w:hAnsi="Arial"/>
          <w:sz w:val="16"/>
          <w:szCs w:val="16"/>
          <w:color w:val="auto"/>
        </w:rPr>
      </w:pPr>
    </w:p>
    <w:p>
      <w:pPr>
        <w:ind w:left="1080" w:right="40" w:hanging="532"/>
        <w:spacing w:after="0" w:line="289" w:lineRule="auto"/>
        <w:tabs>
          <w:tab w:leader="none" w:pos="10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When the issuance of the Subordinated Debt Securities has been duly authorized by appropriate corporate action and the Subordinated Debt Securities, in the form included in the Subordinated Indenture filed as an exhibit to the Registration Statement, have been duly completed, executed, authenticated and delivered in accordance with the Subordinated Indenture and sold pursuant to the Debt Securities Underwriting Agreement, the applicable definitive purchase agreement or similar agreement approved by or on behalf of the Board or upon exercise of Warrants to purchase Subordinated Debt Securities, and (in the case of Subordinated Debt Securities acquired on the exercise of Warrants to purchase Subordinated Debt Securities) when the Company shall have received any additional consideration which is payable upon such exercise as described in the Registration Statement, any amendment thereto, the Prospectus and any Prospectus Supplement relating thereto, the Subordinated Debt Securities will be valid and binding obligations of the Company, entitled to the benefits of the Subordinated Indenture.</w:t>
      </w:r>
    </w:p>
    <w:p>
      <w:pPr>
        <w:spacing w:after="0" w:line="185" w:lineRule="exact"/>
        <w:rPr>
          <w:rFonts w:ascii="Arial" w:cs="Arial" w:eastAsia="Arial" w:hAnsi="Arial"/>
          <w:sz w:val="16"/>
          <w:szCs w:val="16"/>
          <w:color w:val="auto"/>
        </w:rPr>
      </w:pPr>
    </w:p>
    <w:p>
      <w:pPr>
        <w:ind w:left="1080" w:right="100" w:hanging="532"/>
        <w:spacing w:after="0" w:line="294" w:lineRule="auto"/>
        <w:tabs>
          <w:tab w:leader="none" w:pos="108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When the issuance of the Convertible Senior Debt Securities has been duly authorized by appropriate corporate action and the Convertible Senior Debt Securities, in the form included in the Convertible Senior Note Indenture filed as an exhibit to the Registration Statement, have been duly completed, executed, authenticated and delivered in accordance with the Convertible Senior Note Indenture and sold pursuant to the Debt Securities Underwriting Agreement, the applicable definitive purchase agreement or similar agreement approved by or on behalf of the Board or upon exercise of Warrants to purchase Convertible Senior Debt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90" w:right="239" w:bottom="1440" w:gutter="0" w:footer="0" w:header="0"/>
        </w:sectPr>
      </w:pPr>
    </w:p>
    <w:bookmarkStart w:id="145" w:name="page146"/>
    <w:bookmarkEnd w:id="145"/>
    <w:p>
      <w:pPr>
        <w:ind w:left="1080" w:right="400"/>
        <w:spacing w:after="0" w:line="298" w:lineRule="auto"/>
        <w:rPr>
          <w:sz w:val="20"/>
          <w:szCs w:val="20"/>
          <w:color w:val="auto"/>
        </w:rPr>
      </w:pPr>
      <w:r>
        <w:rPr>
          <w:rFonts w:ascii="Arial" w:cs="Arial" w:eastAsia="Arial" w:hAnsi="Arial"/>
          <w:sz w:val="16"/>
          <w:szCs w:val="16"/>
          <w:color w:val="auto"/>
        </w:rPr>
        <w:t>Securities, and (in the case of Convertible Senior Debt Securities acquired on the exercise of Warrants to purchase Convertible Senior Debt Securities) when the Company shall have received any additional consideration which is payable upon such exercise as described in the Registration Statement, any amendment thereto, the Prospectus and any Prospectus Supplement relating thereto, the Convertible Senior Debt Securities will be valid and binding obligations of the Company, entitled to the benefits of the Convertible Senior Note Indenture.</w:t>
      </w:r>
    </w:p>
    <w:p>
      <w:pPr>
        <w:spacing w:after="0" w:line="180" w:lineRule="exact"/>
        <w:rPr>
          <w:sz w:val="20"/>
          <w:szCs w:val="20"/>
          <w:color w:val="auto"/>
        </w:rPr>
      </w:pPr>
    </w:p>
    <w:p>
      <w:pPr>
        <w:ind w:left="1080" w:right="40" w:hanging="532"/>
        <w:spacing w:after="0" w:line="289" w:lineRule="auto"/>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When the issuance of the shares of Common Stock has been duly authorized by appropriate corporate action, including any Common Stock that may be issuable pursuant to the conversion of any Debt Securities or the exercise of any Warrants to purchase Common Stock, and the shares of Common Stock have been duly issued, sold and delivered in accordance with the Common Stock Underwriting Agreement, the applicable definitive purchase agreement or other similar agreement approved by or on behalf of the Board or upon the conversion of any Debt Securities or upon the exercise of Warrants to purchase Common Stock, and (in the case of Common Stock acquired upon the exercise of Warrants to purchase Common Stock) when the Company shall have received any additional consideration which is payable upon such exercise and as described in the Registration Statement, any amendment thereto, the Prospectus and any Prospectus Supplement relating thereto, the shares of Common Stock will be legally issued, fully paid and nonassessable.</w:t>
      </w:r>
    </w:p>
    <w:p>
      <w:pPr>
        <w:spacing w:after="0" w:line="199" w:lineRule="exact"/>
        <w:rPr>
          <w:rFonts w:ascii="Arial" w:cs="Arial" w:eastAsia="Arial" w:hAnsi="Arial"/>
          <w:sz w:val="16"/>
          <w:szCs w:val="16"/>
          <w:color w:val="auto"/>
        </w:rPr>
      </w:pPr>
    </w:p>
    <w:p>
      <w:pPr>
        <w:ind w:left="1080" w:right="60" w:hanging="532"/>
        <w:spacing w:after="0" w:line="298" w:lineRule="auto"/>
        <w:tabs>
          <w:tab w:leader="none" w:pos="108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When the issuance of the Warrants has been duly authorized by appropriate corporate action and the Warrants have been duly executed and delivered against payment therefore, pursuant to a warrant agreement or agreements duly authorized, executed and delivered by the Company and a warrant agent, as applicable, and as described in the Registration Statement, any amendment thereto, the Prospectus and any Prospectus Supplement relating thereto, the Warrants will be valid and binding obligations of the Company.</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opinion is qualified as to:</w:t>
      </w:r>
    </w:p>
    <w:p>
      <w:pPr>
        <w:spacing w:after="0" w:line="239" w:lineRule="exact"/>
        <w:rPr>
          <w:sz w:val="20"/>
          <w:szCs w:val="20"/>
          <w:color w:val="auto"/>
        </w:rPr>
      </w:pPr>
    </w:p>
    <w:p>
      <w:pPr>
        <w:ind w:left="1080" w:right="460" w:hanging="532"/>
        <w:spacing w:after="0" w:line="268"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limitations imposed by bankruptcy, insolvency, reorganization, arrangement, fraudulent conveyance, moratorium or other laws relating to or affecting the rights of creditors generally;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rights to indemnification and contribution which may be limited by applicable law or equitable principles; and</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general principles of equity, including without limitation, concepts of materiality, reasonableness, unconscionability, good faith and fair dealing, and the possible unavailability of specific performance or injunctive relief, and limitation of rights of acceleration regardless of whether such valid and binding effect are considered in a proceeding in equity or at law.</w:t>
      </w:r>
    </w:p>
    <w:p>
      <w:pPr>
        <w:spacing w:after="0" w:line="194" w:lineRule="exact"/>
        <w:rPr>
          <w:sz w:val="20"/>
          <w:szCs w:val="20"/>
          <w:color w:val="auto"/>
        </w:rPr>
      </w:pPr>
    </w:p>
    <w:p>
      <w:pPr>
        <w:jc w:val="both"/>
        <w:ind w:right="120" w:firstLine="348"/>
        <w:spacing w:after="0" w:line="298" w:lineRule="auto"/>
        <w:rPr>
          <w:sz w:val="20"/>
          <w:szCs w:val="20"/>
          <w:color w:val="auto"/>
        </w:rPr>
      </w:pPr>
      <w:r>
        <w:rPr>
          <w:rFonts w:ascii="Arial" w:cs="Arial" w:eastAsia="Arial" w:hAnsi="Arial"/>
          <w:sz w:val="16"/>
          <w:szCs w:val="16"/>
          <w:color w:val="auto"/>
        </w:rPr>
        <w:t>We hereby consent to the filing of this opinion as an exhibit to the above-referenced Registration Statement and the use of our name wherever it appears in the Registration Statement, the Prospectus, the Prospectus Supplement, and in any amendment of supplement thereto. In giving such consent, we do not believe that we are "experts" within the meaning of such term used in the Act or the rules and regulations of the Securities and Exchange Commission issued thereunder with respect to any part of the Registration Statement, including this opinion as an exhibit or otherwise.</w:t>
      </w:r>
    </w:p>
    <w:p>
      <w:pPr>
        <w:spacing w:after="0" w:line="167"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WILSON SONSINI GOODRICH &amp; ROSATI</w:t>
      </w:r>
    </w:p>
    <w:p>
      <w:pPr>
        <w:spacing w:after="0" w:line="15"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Professional Corporation</w:t>
      </w:r>
    </w:p>
    <w:p>
      <w:pPr>
        <w:spacing w:after="0" w:line="21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 WILSON SONSINI GOODRICH &amp; ROSATI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jc w:val="right"/>
        <w:ind w:right="8899"/>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Exhibit 5.1</w:t>
        </w:r>
      </w:hyperlink>
    </w:p>
    <w:p>
      <w:pPr>
        <w:sectPr>
          <w:pgSz w:w="11900" w:h="16838" w:orient="portrait"/>
          <w:cols w:equalWidth="0" w:num="1">
            <w:col w:w="10219"/>
          </w:cols>
          <w:pgMar w:left="240" w:top="820" w:right="1440" w:bottom="1440" w:gutter="0" w:footer="0" w:header="0"/>
        </w:sectPr>
      </w:pPr>
    </w:p>
    <w:bookmarkStart w:id="147" w:name="page148"/>
    <w:bookmarkEnd w:id="147"/>
    <w:p>
      <w:pPr>
        <w:spacing w:after="0"/>
        <w:rPr>
          <w:rFonts w:ascii="Arial" w:cs="Arial" w:eastAsia="Arial" w:hAnsi="Arial"/>
          <w:sz w:val="22"/>
          <w:szCs w:val="22"/>
          <w:color w:val="0000EE"/>
        </w:rPr>
      </w:pPr>
      <w:hyperlink w:anchor="page14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12.1</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COMPUTATION OF RATIO EARNINGS TO FIXED CHARGES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Six</w:t>
            </w:r>
          </w:p>
        </w:tc>
      </w:tr>
      <w:tr>
        <w:trPr>
          <w:trHeight w:val="149"/>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Six Months</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Months</w:t>
            </w:r>
          </w:p>
        </w:tc>
      </w:tr>
      <w:tr>
        <w:trPr>
          <w:trHeight w:val="149"/>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3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February 28,</w:t>
            </w: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March 5,</w:t>
            </w:r>
          </w:p>
        </w:tc>
      </w:tr>
      <w:tr>
        <w:trPr>
          <w:trHeight w:val="161"/>
        </w:trPr>
        <w:tc>
          <w:tcPr>
            <w:tcW w:w="3200" w:type="dxa"/>
            <w:vAlign w:val="bottom"/>
            <w:gridSpan w:val="2"/>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2004</w:t>
            </w: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300" w:type="dxa"/>
            <w:vAlign w:val="bottom"/>
          </w:tcPr>
          <w:p>
            <w:pPr>
              <w:spacing w:after="0"/>
              <w:rPr>
                <w:sz w:val="14"/>
                <w:szCs w:val="14"/>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2006</w:t>
            </w: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2007</w:t>
            </w:r>
          </w:p>
        </w:tc>
        <w:tc>
          <w:tcPr>
            <w:tcW w:w="80" w:type="dxa"/>
            <w:vAlign w:val="bottom"/>
          </w:tcPr>
          <w:p>
            <w:pPr>
              <w:spacing w:after="0"/>
              <w:rPr>
                <w:sz w:val="14"/>
                <w:szCs w:val="14"/>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20" w:type="dxa"/>
            <w:vAlign w:val="bottom"/>
          </w:tcPr>
          <w:p>
            <w:pPr>
              <w:spacing w:after="0"/>
              <w:rPr>
                <w:sz w:val="14"/>
                <w:szCs w:val="14"/>
                <w:color w:val="auto"/>
              </w:rPr>
            </w:pPr>
          </w:p>
        </w:tc>
      </w:tr>
      <w:tr>
        <w:trPr>
          <w:trHeight w:val="210"/>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Earnings: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08"/>
        </w:trPr>
        <w:tc>
          <w:tcPr>
            <w:tcW w:w="3820" w:type="dxa"/>
            <w:vAlign w:val="bottom"/>
            <w:gridSpan w:val="3"/>
          </w:tcPr>
          <w:p>
            <w:pPr>
              <w:ind w:left="140"/>
              <w:spacing w:after="0"/>
              <w:rPr>
                <w:sz w:val="20"/>
                <w:szCs w:val="20"/>
                <w:color w:val="auto"/>
              </w:rPr>
            </w:pPr>
            <w:r>
              <w:rPr>
                <w:rFonts w:ascii="Arial" w:cs="Arial" w:eastAsia="Arial" w:hAnsi="Arial"/>
                <w:sz w:val="18"/>
                <w:szCs w:val="18"/>
                <w:color w:val="auto"/>
              </w:rPr>
              <w:t>Income (loss) from continuing operations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20" w:type="dxa"/>
            <w:vAlign w:val="bottom"/>
            <w:gridSpan w:val="3"/>
          </w:tcPr>
          <w:p>
            <w:pPr>
              <w:ind w:left="320"/>
              <w:spacing w:after="0"/>
              <w:rPr>
                <w:sz w:val="20"/>
                <w:szCs w:val="20"/>
                <w:color w:val="auto"/>
              </w:rPr>
            </w:pPr>
            <w:r>
              <w:rPr>
                <w:rFonts w:ascii="Arial" w:cs="Arial" w:eastAsia="Arial" w:hAnsi="Arial"/>
                <w:sz w:val="18"/>
                <w:szCs w:val="18"/>
                <w:color w:val="auto"/>
              </w:rPr>
              <w:t>before income taxes, noncontrolling</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3820" w:type="dxa"/>
            <w:vAlign w:val="bottom"/>
            <w:gridSpan w:val="3"/>
          </w:tcPr>
          <w:p>
            <w:pPr>
              <w:ind w:left="320"/>
              <w:spacing w:after="0"/>
              <w:rPr>
                <w:sz w:val="20"/>
                <w:szCs w:val="20"/>
                <w:color w:val="auto"/>
              </w:rPr>
            </w:pPr>
            <w:r>
              <w:rPr>
                <w:rFonts w:ascii="Arial" w:cs="Arial" w:eastAsia="Arial" w:hAnsi="Arial"/>
                <w:sz w:val="18"/>
                <w:szCs w:val="18"/>
                <w:color w:val="auto"/>
              </w:rPr>
              <w:t>interests and equity in net losses of</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3820" w:type="dxa"/>
            <w:vAlign w:val="bottom"/>
            <w:gridSpan w:val="3"/>
          </w:tcPr>
          <w:p>
            <w:pPr>
              <w:ind w:left="320"/>
              <w:spacing w:after="0"/>
              <w:rPr>
                <w:sz w:val="20"/>
                <w:szCs w:val="20"/>
                <w:color w:val="auto"/>
              </w:rPr>
            </w:pPr>
            <w:r>
              <w:rPr>
                <w:rFonts w:ascii="Arial" w:cs="Arial" w:eastAsia="Arial" w:hAnsi="Arial"/>
                <w:sz w:val="18"/>
                <w:szCs w:val="18"/>
                <w:color w:val="auto"/>
              </w:rPr>
              <w:t>equity method investees</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232</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199</w:t>
            </w:r>
          </w:p>
        </w:tc>
        <w:tc>
          <w:tcPr>
            <w:tcW w:w="1060" w:type="dxa"/>
            <w:vAlign w:val="bottom"/>
          </w:tcPr>
          <w:p>
            <w:pPr>
              <w:jc w:val="right"/>
              <w:spacing w:after="0"/>
              <w:rPr>
                <w:sz w:val="20"/>
                <w:szCs w:val="20"/>
                <w:color w:val="auto"/>
              </w:rPr>
            </w:pPr>
            <w:r>
              <w:rPr>
                <w:rFonts w:ascii="Arial" w:cs="Arial" w:eastAsia="Arial" w:hAnsi="Arial"/>
                <w:sz w:val="18"/>
                <w:szCs w:val="18"/>
                <w:color w:val="auto"/>
              </w:rPr>
              <w:t>433</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(168)</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(1,611)</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(1,027)</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(1,443)</w:t>
            </w:r>
          </w:p>
        </w:tc>
      </w:tr>
      <w:tr>
        <w:trPr>
          <w:trHeight w:val="209"/>
        </w:trPr>
        <w:tc>
          <w:tcPr>
            <w:tcW w:w="3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Equity in net losses of equity method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3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investee</w:t>
            </w:r>
          </w:p>
        </w:tc>
        <w:tc>
          <w:tcPr>
            <w:tcW w:w="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r>
      <w:tr>
        <w:trPr>
          <w:trHeight w:val="208"/>
        </w:trPr>
        <w:tc>
          <w:tcPr>
            <w:tcW w:w="3820" w:type="dxa"/>
            <w:vAlign w:val="bottom"/>
            <w:gridSpan w:val="3"/>
          </w:tcPr>
          <w:p>
            <w:pPr>
              <w:ind w:left="140"/>
              <w:spacing w:after="0"/>
              <w:rPr>
                <w:sz w:val="20"/>
                <w:szCs w:val="20"/>
                <w:color w:val="auto"/>
              </w:rPr>
            </w:pPr>
            <w:r>
              <w:rPr>
                <w:rFonts w:ascii="Arial" w:cs="Arial" w:eastAsia="Arial" w:hAnsi="Arial"/>
                <w:sz w:val="18"/>
                <w:szCs w:val="18"/>
                <w:color w:val="auto"/>
              </w:rPr>
              <w:t>Amortization of capitalized interest</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3820" w:type="dxa"/>
            <w:vAlign w:val="bottom"/>
            <w:gridSpan w:val="3"/>
          </w:tcPr>
          <w:p>
            <w:pPr>
              <w:ind w:left="320"/>
              <w:spacing w:after="0"/>
              <w:rPr>
                <w:sz w:val="20"/>
                <w:szCs w:val="20"/>
                <w:color w:val="auto"/>
              </w:rPr>
            </w:pPr>
            <w:r>
              <w:rPr>
                <w:rFonts w:ascii="Arial" w:cs="Arial" w:eastAsia="Arial" w:hAnsi="Arial"/>
                <w:sz w:val="18"/>
                <w:szCs w:val="18"/>
                <w:color w:val="auto"/>
              </w:rPr>
              <w:t>expense, net of tax</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r>
      <w:tr>
        <w:trPr>
          <w:trHeight w:val="217"/>
        </w:trPr>
        <w:tc>
          <w:tcPr>
            <w:tcW w:w="3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Capitalized interest</w:t>
            </w:r>
          </w:p>
        </w:tc>
        <w:tc>
          <w:tcPr>
            <w:tcW w:w="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r>
      <w:tr>
        <w:trPr>
          <w:trHeight w:val="222"/>
        </w:trPr>
        <w:tc>
          <w:tcPr>
            <w:tcW w:w="3820" w:type="dxa"/>
            <w:vAlign w:val="bottom"/>
            <w:gridSpan w:val="3"/>
          </w:tcPr>
          <w:p>
            <w:pPr>
              <w:ind w:left="140"/>
              <w:spacing w:after="0"/>
              <w:rPr>
                <w:sz w:val="20"/>
                <w:szCs w:val="20"/>
                <w:color w:val="auto"/>
              </w:rPr>
            </w:pPr>
            <w:r>
              <w:rPr>
                <w:rFonts w:ascii="Arial" w:cs="Arial" w:eastAsia="Arial" w:hAnsi="Arial"/>
                <w:sz w:val="18"/>
                <w:szCs w:val="18"/>
                <w:color w:val="auto"/>
              </w:rPr>
              <w:t>Fixed charges, as below</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9"/>
                <w:szCs w:val="19"/>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57</w:t>
            </w: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79</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108</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r>
      <w:tr>
        <w:trPr>
          <w:trHeight w:val="21"/>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82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Total earnings, as defined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276</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(1,513)</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(1,431)</w:t>
            </w:r>
          </w:p>
        </w:tc>
      </w:tr>
      <w:tr>
        <w:trPr>
          <w:trHeight w:val="431"/>
        </w:trPr>
        <w:tc>
          <w:tcPr>
            <w:tcW w:w="3820" w:type="dxa"/>
            <w:vAlign w:val="bottom"/>
            <w:gridSpan w:val="3"/>
          </w:tcPr>
          <w:p>
            <w:pPr>
              <w:spacing w:after="0"/>
              <w:rPr>
                <w:sz w:val="20"/>
                <w:szCs w:val="20"/>
                <w:color w:val="auto"/>
              </w:rPr>
            </w:pPr>
            <w:r>
              <w:rPr>
                <w:rFonts w:ascii="Arial" w:cs="Arial" w:eastAsia="Arial" w:hAnsi="Arial"/>
                <w:sz w:val="18"/>
                <w:szCs w:val="18"/>
                <w:color w:val="auto"/>
              </w:rPr>
              <w:t>Fixed charges: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9"/>
        </w:trPr>
        <w:tc>
          <w:tcPr>
            <w:tcW w:w="3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Interest expense, net of capitalized</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24"/>
        </w:trPr>
        <w:tc>
          <w:tcPr>
            <w:tcW w:w="38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portion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r>
      <w:tr>
        <w:trPr>
          <w:trHeight w:val="216"/>
        </w:trPr>
        <w:tc>
          <w:tcPr>
            <w:tcW w:w="3820" w:type="dxa"/>
            <w:vAlign w:val="bottom"/>
            <w:gridSpan w:val="3"/>
          </w:tcPr>
          <w:p>
            <w:pPr>
              <w:ind w:left="140"/>
              <w:spacing w:after="0"/>
              <w:rPr>
                <w:sz w:val="20"/>
                <w:szCs w:val="20"/>
                <w:color w:val="auto"/>
              </w:rPr>
            </w:pPr>
            <w:r>
              <w:rPr>
                <w:rFonts w:ascii="Arial" w:cs="Arial" w:eastAsia="Arial" w:hAnsi="Arial"/>
                <w:sz w:val="18"/>
                <w:szCs w:val="18"/>
                <w:color w:val="auto"/>
              </w:rPr>
              <w:t>Capitalized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r>
      <w:tr>
        <w:trPr>
          <w:trHeight w:val="216"/>
        </w:trPr>
        <w:tc>
          <w:tcPr>
            <w:tcW w:w="38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Rental expense, representative of interest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r>
      <w:tr>
        <w:trPr>
          <w:trHeight w:val="27"/>
        </w:trPr>
        <w:tc>
          <w:tcPr>
            <w:tcW w:w="30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r>
      <w:tr>
        <w:trPr>
          <w:trHeight w:val="216"/>
        </w:trPr>
        <w:tc>
          <w:tcPr>
            <w:tcW w:w="3200" w:type="dxa"/>
            <w:vAlign w:val="bottom"/>
            <w:gridSpan w:val="2"/>
          </w:tcPr>
          <w:p>
            <w:pPr>
              <w:ind w:left="280"/>
              <w:spacing w:after="0"/>
              <w:rPr>
                <w:sz w:val="20"/>
                <w:szCs w:val="20"/>
                <w:color w:val="auto"/>
              </w:rPr>
            </w:pPr>
            <w:r>
              <w:rPr>
                <w:rFonts w:ascii="Arial" w:cs="Arial" w:eastAsia="Arial" w:hAnsi="Arial"/>
                <w:sz w:val="18"/>
                <w:szCs w:val="18"/>
                <w:color w:val="auto"/>
              </w:rPr>
              <w:t>Total fixed charges, as defined</w:t>
            </w: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3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00" w:type="dxa"/>
            <w:vAlign w:val="bottom"/>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0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spacing w:after="0"/>
              <w:rPr>
                <w:sz w:val="18"/>
                <w:szCs w:val="18"/>
                <w:color w:val="auto"/>
              </w:rPr>
            </w:pPr>
          </w:p>
        </w:tc>
      </w:tr>
      <w:tr>
        <w:trPr>
          <w:trHeight w:val="21"/>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Ratio of earnings to fixed charges(1)</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6.3x</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4.5x</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10.4x</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0"/>
        </w:trPr>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9"/>
        </w:trPr>
        <w:tc>
          <w:tcPr>
            <w:tcW w:w="30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30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21" w:lineRule="exact"/>
        <w:rPr>
          <w:sz w:val="20"/>
          <w:szCs w:val="20"/>
          <w:color w:val="auto"/>
        </w:rPr>
      </w:pPr>
    </w:p>
    <w:p>
      <w:pPr>
        <w:ind w:left="540" w:right="100" w:hanging="532"/>
        <w:spacing w:after="0" w:line="294" w:lineRule="auto"/>
        <w:tabs>
          <w:tab w:leader="none" w:pos="54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For the purpose of calculating such ratios, "earnings" consist of income from continuing operations before income taxes, equity in net losses of equity method investees and noncontrolling interests plus fixed charges and "fixed charges" consist of interest expense (net of capitalized portion), capitalized interest, amortization of debt discount and the portion of rental expense representative of interest expense. Earnings before fixed charges were inadequate to cover total fixed charges by $184 million and $1,622 million for the fiscal years ended August 30, 2007 and August 28, 2008, respectively and by $1,029 million and $1,504 million for the first six months ended February 28, 2008 and March 5, 2009,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111125</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Exhibit 12.1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48">
        <w:r>
          <w:rPr>
            <w:rFonts w:ascii="Arial" w:cs="Arial" w:eastAsia="Arial" w:hAnsi="Arial"/>
            <w:sz w:val="16"/>
            <w:szCs w:val="16"/>
            <w:u w:val="single" w:color="auto"/>
            <w:color w:val="0000EE"/>
          </w:rPr>
          <w:t>MICRON TECHNOLOGY, INC. COMPUTATION OF RATIO EARNINGS TO FIXED CHARGES</w:t>
        </w:r>
      </w:hyperlink>
    </w:p>
    <w:p>
      <w:pPr>
        <w:sectPr>
          <w:pgSz w:w="11900" w:h="16838" w:orient="portrait"/>
          <w:cols w:equalWidth="0" w:num="1">
            <w:col w:w="10219"/>
          </w:cols>
          <w:pgMar w:left="240" w:top="820" w:right="1440" w:bottom="1440" w:gutter="0" w:footer="0" w:header="0"/>
        </w:sectPr>
      </w:pPr>
    </w:p>
    <w:bookmarkStart w:id="149" w:name="page150"/>
    <w:bookmarkEnd w:id="149"/>
    <w:p>
      <w:pPr>
        <w:spacing w:after="0"/>
        <w:rPr>
          <w:rFonts w:ascii="Arial" w:cs="Arial" w:eastAsia="Arial" w:hAnsi="Arial"/>
          <w:sz w:val="22"/>
          <w:szCs w:val="22"/>
          <w:color w:val="0000EE"/>
        </w:rPr>
      </w:pPr>
      <w:hyperlink w:anchor="page1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ACOUNTING FIRM</w:t>
      </w:r>
    </w:p>
    <w:p>
      <w:pPr>
        <w:spacing w:after="0" w:line="231" w:lineRule="exact"/>
        <w:rPr>
          <w:sz w:val="20"/>
          <w:szCs w:val="20"/>
          <w:color w:val="auto"/>
        </w:rPr>
      </w:pPr>
    </w:p>
    <w:p>
      <w:pPr>
        <w:ind w:firstLine="348"/>
        <w:spacing w:after="0" w:line="335" w:lineRule="auto"/>
        <w:rPr>
          <w:sz w:val="20"/>
          <w:szCs w:val="20"/>
          <w:color w:val="auto"/>
        </w:rPr>
      </w:pPr>
      <w:r>
        <w:rPr>
          <w:rFonts w:ascii="Arial" w:cs="Arial" w:eastAsia="Arial" w:hAnsi="Arial"/>
          <w:sz w:val="15"/>
          <w:szCs w:val="15"/>
          <w:color w:val="auto"/>
        </w:rPr>
        <w:t>We hereby consent to the incorporation by reference in this Registration Statement on Form S-3 of our report dated October 27, 2008 relating to the financial statements, financial statement schedule and the effectiveness of internal control over financial reporting, which appears in Micron Technology, Inc's Annual Report on Form 10-K for the year ended August 28, 2008. We also consent to the reference to us under the heading "Experts" in such Registration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Jose, 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150" w:name="page151"/>
    <w:bookmarkEnd w:id="1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50">
        <w:r>
          <w:rPr>
            <w:rFonts w:ascii="Arial" w:cs="Arial" w:eastAsia="Arial" w:hAnsi="Arial"/>
            <w:sz w:val="16"/>
            <w:szCs w:val="16"/>
            <w:u w:val="single" w:color="auto"/>
            <w:color w:val="0000EE"/>
          </w:rPr>
          <w:t>CONSENT OF INDEPENDENT REGISTERED PUBLIC ACOUNTING FIRM</w:t>
        </w:r>
      </w:hyperlink>
    </w:p>
    <w:p>
      <w:pPr>
        <w:sectPr>
          <w:pgSz w:w="11900" w:h="16838" w:orient="portrait"/>
          <w:cols w:equalWidth="0" w:num="1">
            <w:col w:w="10219"/>
          </w:cols>
          <w:pgMar w:left="240" w:top="820" w:right="1440" w:bottom="1440" w:gutter="0" w:footer="0" w:header="0"/>
        </w:sectPr>
      </w:pPr>
    </w:p>
    <w:bookmarkStart w:id="151" w:name="page152"/>
    <w:bookmarkEnd w:id="151"/>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760" w:right="940" w:hanging="3846"/>
        <w:spacing w:after="0" w:line="256" w:lineRule="auto"/>
        <w:tabs>
          <w:tab w:leader="none" w:pos="1137" w:val="left"/>
        </w:tabs>
        <w:numPr>
          <w:ilvl w:val="0"/>
          <w:numId w:val="234"/>
        </w:numPr>
        <w:rPr>
          <w:rFonts w:ascii="Arial" w:cs="Arial" w:eastAsia="Arial" w:hAnsi="Arial"/>
          <w:sz w:val="22"/>
          <w:szCs w:val="22"/>
          <w:b w:val="1"/>
          <w:bCs w:val="1"/>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WELLS FARGO BANK, NATIONAL ASSOCIATION</w:t>
      </w:r>
    </w:p>
    <w:p>
      <w:pPr>
        <w:spacing w:after="0" w:line="40"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340" w:type="dxa"/>
            <w:vAlign w:val="bottom"/>
          </w:tcPr>
          <w:p>
            <w:pPr>
              <w:ind w:left="2580"/>
              <w:spacing w:after="0"/>
              <w:rPr>
                <w:sz w:val="20"/>
                <w:szCs w:val="20"/>
                <w:color w:val="auto"/>
              </w:rPr>
            </w:pPr>
            <w:r>
              <w:rPr>
                <w:rFonts w:ascii="Arial" w:cs="Arial" w:eastAsia="Arial" w:hAnsi="Arial"/>
                <w:sz w:val="18"/>
                <w:szCs w:val="18"/>
                <w:color w:val="auto"/>
                <w:w w:val="95"/>
              </w:rPr>
              <w:t>(Exact name of trustee as specified in its charter)</w:t>
            </w:r>
          </w:p>
        </w:tc>
        <w:tc>
          <w:tcPr>
            <w:tcW w:w="1580" w:type="dxa"/>
            <w:vAlign w:val="bottom"/>
          </w:tcPr>
          <w:p>
            <w:pPr>
              <w:spacing w:after="0"/>
              <w:rPr>
                <w:sz w:val="20"/>
                <w:szCs w:val="20"/>
                <w:color w:val="auto"/>
              </w:rPr>
            </w:pPr>
          </w:p>
        </w:tc>
      </w:tr>
      <w:tr>
        <w:trPr>
          <w:trHeight w:val="402"/>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A National Banking Association</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94-1347393</w:t>
            </w:r>
          </w:p>
        </w:tc>
      </w:tr>
      <w:tr>
        <w:trPr>
          <w:trHeight w:val="216"/>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3"/>
              </w:rPr>
              <w:t>(Jurisdiction of incorporation or</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16"/>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2"/>
              </w:rPr>
              <w:t>organization if not a U.S. national</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3"/>
              </w:rPr>
              <w:t>bank)</w:t>
            </w:r>
          </w:p>
        </w:tc>
        <w:tc>
          <w:tcPr>
            <w:tcW w:w="1580" w:type="dxa"/>
            <w:vAlign w:val="bottom"/>
          </w:tcPr>
          <w:p>
            <w:pPr>
              <w:spacing w:after="0"/>
              <w:rPr>
                <w:sz w:val="20"/>
                <w:szCs w:val="20"/>
                <w:color w:val="auto"/>
              </w:rPr>
            </w:pPr>
          </w:p>
        </w:tc>
      </w:tr>
      <w:tr>
        <w:trPr>
          <w:trHeight w:val="414"/>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101 North Phillips Avenue</w:t>
            </w:r>
          </w:p>
        </w:tc>
        <w:tc>
          <w:tcPr>
            <w:tcW w:w="1580" w:type="dxa"/>
            <w:vAlign w:val="bottom"/>
          </w:tcPr>
          <w:p>
            <w:pPr>
              <w:spacing w:after="0"/>
              <w:rPr>
                <w:sz w:val="24"/>
                <w:szCs w:val="24"/>
                <w:color w:val="auto"/>
              </w:rPr>
            </w:pPr>
          </w:p>
        </w:tc>
      </w:tr>
      <w:tr>
        <w:trPr>
          <w:trHeight w:val="220"/>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89"/>
              </w:rPr>
              <w:t>Sioux Falls, South Dakota</w:t>
            </w: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57104</w:t>
            </w:r>
          </w:p>
        </w:tc>
      </w:tr>
      <w:tr>
        <w:trPr>
          <w:trHeight w:val="230"/>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Wells Fargo &amp;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Law Department, Trust Section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MAC N9305-175</w:t>
      </w:r>
    </w:p>
    <w:p>
      <w:pPr>
        <w:jc w:val="center"/>
        <w:ind w:right="40"/>
        <w:spacing w:after="0" w:line="205" w:lineRule="auto"/>
        <w:rPr>
          <w:sz w:val="20"/>
          <w:szCs w:val="20"/>
          <w:color w:val="auto"/>
        </w:rPr>
      </w:pPr>
      <w:r>
        <w:rPr>
          <w:rFonts w:ascii="Arial" w:cs="Arial" w:eastAsia="Arial" w:hAnsi="Arial"/>
          <w:sz w:val="18"/>
          <w:szCs w:val="18"/>
          <w:b w:val="1"/>
          <w:bCs w:val="1"/>
          <w:color w:val="auto"/>
        </w:rPr>
        <w:t>Sixth Street and Marquette Avenue, 17</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Minneapolis, Minnesota 55479</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(612) 667-4608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0"/>
              </w:rPr>
              <w:t>Micron Technology, Inc.</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7500" w:type="dxa"/>
            <w:vAlign w:val="bottom"/>
            <w:gridSpan w:val="3"/>
          </w:tcPr>
          <w:p>
            <w:pPr>
              <w:jc w:val="center"/>
              <w:ind w:right="3810"/>
              <w:spacing w:after="0"/>
              <w:rPr>
                <w:sz w:val="20"/>
                <w:szCs w:val="20"/>
                <w:color w:val="auto"/>
              </w:rPr>
            </w:pPr>
            <w:r>
              <w:rPr>
                <w:rFonts w:ascii="Arial" w:cs="Arial" w:eastAsia="Arial" w:hAnsi="Arial"/>
                <w:sz w:val="18"/>
                <w:szCs w:val="18"/>
                <w:color w:val="auto"/>
                <w:w w:val="91"/>
              </w:rPr>
              <w:t>(Exact name of obligor as specified in its charter)</w:t>
            </w:r>
          </w:p>
        </w:tc>
        <w:tc>
          <w:tcPr>
            <w:tcW w:w="40" w:type="dxa"/>
            <w:vAlign w:val="bottom"/>
          </w:tcPr>
          <w:p>
            <w:pPr>
              <w:spacing w:after="0"/>
              <w:rPr>
                <w:sz w:val="20"/>
                <w:szCs w:val="20"/>
                <w:color w:val="auto"/>
              </w:rPr>
            </w:pPr>
          </w:p>
        </w:tc>
      </w:tr>
      <w:tr>
        <w:trPr>
          <w:trHeight w:val="418"/>
        </w:trPr>
        <w:tc>
          <w:tcPr>
            <w:tcW w:w="39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Delaware</w:t>
            </w:r>
          </w:p>
        </w:tc>
        <w:tc>
          <w:tcPr>
            <w:tcW w:w="750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91"/>
              </w:rPr>
              <w:t>75-1618004</w:t>
            </w:r>
          </w:p>
        </w:tc>
        <w:tc>
          <w:tcPr>
            <w:tcW w:w="40" w:type="dxa"/>
            <w:vAlign w:val="bottom"/>
          </w:tcPr>
          <w:p>
            <w:pPr>
              <w:spacing w:after="0"/>
              <w:rPr>
                <w:sz w:val="24"/>
                <w:szCs w:val="24"/>
                <w:color w:val="auto"/>
              </w:rPr>
            </w:pPr>
          </w:p>
        </w:tc>
      </w:tr>
      <w:tr>
        <w:trPr>
          <w:trHeight w:val="216"/>
        </w:trPr>
        <w:tc>
          <w:tcPr>
            <w:tcW w:w="3920" w:type="dxa"/>
            <w:vAlign w:val="bottom"/>
          </w:tcPr>
          <w:p>
            <w:pPr>
              <w:jc w:val="center"/>
              <w:ind w:left="1610"/>
              <w:spacing w:after="0"/>
              <w:rPr>
                <w:sz w:val="20"/>
                <w:szCs w:val="20"/>
                <w:color w:val="auto"/>
              </w:rPr>
            </w:pPr>
            <w:r>
              <w:rPr>
                <w:rFonts w:ascii="Arial" w:cs="Arial" w:eastAsia="Arial" w:hAnsi="Arial"/>
                <w:sz w:val="18"/>
                <w:szCs w:val="18"/>
                <w:color w:val="auto"/>
                <w:w w:val="93"/>
              </w:rPr>
              <w:t>(State or other jurisdiction of</w:t>
            </w: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r>
      <w:tr>
        <w:trPr>
          <w:trHeight w:val="230"/>
        </w:trPr>
        <w:tc>
          <w:tcPr>
            <w:tcW w:w="3920" w:type="dxa"/>
            <w:vAlign w:val="bottom"/>
          </w:tcPr>
          <w:p>
            <w:pPr>
              <w:jc w:val="center"/>
              <w:ind w:left="1610"/>
              <w:spacing w:after="0"/>
              <w:rPr>
                <w:sz w:val="20"/>
                <w:szCs w:val="20"/>
                <w:color w:val="auto"/>
              </w:rPr>
            </w:pPr>
            <w:r>
              <w:rPr>
                <w:rFonts w:ascii="Arial" w:cs="Arial" w:eastAsia="Arial" w:hAnsi="Arial"/>
                <w:sz w:val="18"/>
                <w:szCs w:val="18"/>
                <w:color w:val="auto"/>
                <w:w w:val="93"/>
              </w:rPr>
              <w:t>incorporation or organization)</w:t>
            </w:r>
          </w:p>
        </w:tc>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tcPr>
          <w:p>
            <w:pPr>
              <w:jc w:val="center"/>
              <w:ind w:right="1230"/>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1"/>
              </w:rPr>
              <w:t>8000 S. Federal Way</w:t>
            </w:r>
          </w:p>
        </w:tc>
        <w:tc>
          <w:tcPr>
            <w:tcW w:w="40" w:type="dxa"/>
            <w:vAlign w:val="bottom"/>
          </w:tcPr>
          <w:p>
            <w:pPr>
              <w:spacing w:after="0"/>
              <w:rPr>
                <w:sz w:val="24"/>
                <w:szCs w:val="24"/>
                <w:color w:val="auto"/>
              </w:rPr>
            </w:pPr>
          </w:p>
        </w:tc>
      </w:tr>
      <w:tr>
        <w:trPr>
          <w:trHeight w:val="220"/>
        </w:trPr>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89"/>
              </w:rPr>
              <w:t>Boise, Idaho 83716-9632</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r>
      <w:tr>
        <w:trPr>
          <w:trHeight w:val="324"/>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88"/>
              </w:rPr>
              <w:t>Senior Debt Securities</w:t>
            </w:r>
          </w:p>
        </w:tc>
        <w:tc>
          <w:tcPr>
            <w:tcW w:w="40" w:type="dxa"/>
            <w:vAlign w:val="bottom"/>
          </w:tcPr>
          <w:p>
            <w:pPr>
              <w:spacing w:after="0"/>
              <w:rPr>
                <w:sz w:val="24"/>
                <w:szCs w:val="24"/>
                <w:color w:val="auto"/>
              </w:rPr>
            </w:pPr>
          </w:p>
        </w:tc>
      </w:tr>
      <w:tr>
        <w:trPr>
          <w:trHeight w:val="230"/>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
          </w:tcPr>
          <w:p>
            <w:pPr>
              <w:jc w:val="center"/>
              <w:ind w:right="4170"/>
              <w:spacing w:after="0"/>
              <w:rPr>
                <w:sz w:val="20"/>
                <w:szCs w:val="20"/>
                <w:color w:val="auto"/>
              </w:rPr>
            </w:pPr>
            <w:r>
              <w:rPr>
                <w:rFonts w:ascii="Arial" w:cs="Arial" w:eastAsia="Arial" w:hAnsi="Arial"/>
                <w:sz w:val="18"/>
                <w:szCs w:val="18"/>
                <w:color w:val="auto"/>
                <w:w w:val="91"/>
              </w:rPr>
              <w:t>(Title of the indenture securities)</w:t>
            </w:r>
          </w:p>
        </w:tc>
        <w:tc>
          <w:tcPr>
            <w:tcW w:w="40" w:type="dxa"/>
            <w:vAlign w:val="bottom"/>
          </w:tcPr>
          <w:p>
            <w:pPr>
              <w:spacing w:after="0"/>
              <w:rPr>
                <w:sz w:val="20"/>
                <w:szCs w:val="20"/>
                <w:color w:val="auto"/>
              </w:rPr>
            </w:pPr>
          </w:p>
        </w:tc>
      </w:tr>
      <w:tr>
        <w:trPr>
          <w:trHeight w:val="216"/>
        </w:trPr>
        <w:tc>
          <w:tcPr>
            <w:tcW w:w="3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39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9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 xml:space="preserve">General Information. </w:t>
      </w:r>
      <w:r>
        <w:rPr>
          <w:rFonts w:ascii="Arial" w:cs="Arial" w:eastAsia="Arial" w:hAnsi="Arial"/>
          <w:sz w:val="16"/>
          <w:szCs w:val="16"/>
          <w:color w:val="auto"/>
        </w:rPr>
        <w:t>Furnish the following information as to the trustee:</w:t>
      </w:r>
    </w:p>
    <w:p>
      <w:pPr>
        <w:spacing w:after="0" w:line="225" w:lineRule="exact"/>
        <w:rPr>
          <w:sz w:val="20"/>
          <w:szCs w:val="20"/>
          <w:color w:val="auto"/>
        </w:rPr>
      </w:pPr>
    </w:p>
    <w:p>
      <w:pPr>
        <w:ind w:left="1920" w:hanging="615"/>
        <w:spacing w:after="0"/>
        <w:tabs>
          <w:tab w:leader="none" w:pos="19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Federal Deposit Insurance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w:t>
      </w:r>
    </w:p>
    <w:p>
      <w:pPr>
        <w:sectPr>
          <w:pgSz w:w="11900" w:h="16861" w:orient="portrait"/>
          <w:cols w:equalWidth="0" w:num="1">
            <w:col w:w="11460"/>
          </w:cols>
          <w:pgMar w:left="240" w:top="364" w:right="199" w:bottom="0" w:gutter="0" w:footer="0" w:header="0"/>
        </w:sectPr>
      </w:pPr>
    </w:p>
    <w:bookmarkStart w:id="152" w:name="page153"/>
    <w:bookmarkEnd w:id="152"/>
    <w:tbl>
      <w:tblPr>
        <w:tblLayout w:type="fixed"/>
        <w:tblInd w:w="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Federal Reserve Bank of San Francisco</w:t>
            </w: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San Francisco, California 94120</w:t>
            </w:r>
          </w:p>
        </w:tc>
      </w:tr>
      <w:tr>
        <w:trPr>
          <w:trHeight w:val="432"/>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3"/>
          </w:tcPr>
          <w:p>
            <w:pPr>
              <w:ind w:left="600"/>
              <w:spacing w:after="0"/>
              <w:rPr>
                <w:sz w:val="20"/>
                <w:szCs w:val="20"/>
                <w:color w:val="auto"/>
              </w:rPr>
            </w:pPr>
            <w:r>
              <w:rPr>
                <w:rFonts w:ascii="Arial" w:cs="Arial" w:eastAsia="Arial" w:hAnsi="Arial"/>
                <w:sz w:val="18"/>
                <w:szCs w:val="18"/>
                <w:color w:val="auto"/>
              </w:rPr>
              <w:t>(b)</w:t>
            </w:r>
          </w:p>
        </w:tc>
        <w:tc>
          <w:tcPr>
            <w:tcW w:w="9560" w:type="dxa"/>
            <w:vAlign w:val="bottom"/>
            <w:gridSpan w:val="2"/>
          </w:tcPr>
          <w:p>
            <w:pPr>
              <w:ind w:left="40"/>
              <w:spacing w:after="0"/>
              <w:rPr>
                <w:sz w:val="20"/>
                <w:szCs w:val="20"/>
                <w:color w:val="auto"/>
              </w:rPr>
            </w:pPr>
            <w:r>
              <w:rPr>
                <w:rFonts w:ascii="Arial" w:cs="Arial" w:eastAsia="Arial" w:hAnsi="Arial"/>
                <w:sz w:val="18"/>
                <w:szCs w:val="18"/>
                <w:color w:val="auto"/>
              </w:rPr>
              <w:t>Whether it is authorized to exercise corporate trust powers.</w:t>
            </w:r>
          </w:p>
        </w:tc>
      </w:tr>
      <w:tr>
        <w:trPr>
          <w:trHeight w:val="432"/>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92"/>
        </w:trPr>
        <w:tc>
          <w:tcPr>
            <w:tcW w:w="11460" w:type="dxa"/>
            <w:vAlign w:val="bottom"/>
            <w:gridSpan w:val="7"/>
          </w:tcPr>
          <w:p>
            <w:pPr>
              <w:spacing w:after="0"/>
              <w:rPr>
                <w:sz w:val="20"/>
                <w:szCs w:val="20"/>
                <w:color w:val="auto"/>
              </w:rPr>
            </w:pPr>
            <w:r>
              <w:rPr>
                <w:rFonts w:ascii="Arial" w:cs="Arial" w:eastAsia="Arial" w:hAnsi="Arial"/>
                <w:sz w:val="18"/>
                <w:szCs w:val="18"/>
                <w:color w:val="auto"/>
              </w:rPr>
              <w:t>Item 2.  Affiliations with Obligor. If the obligor is an affiliate of the trustee, describe each such affiliation.</w:t>
            </w:r>
          </w:p>
        </w:tc>
      </w:tr>
      <w:tr>
        <w:trPr>
          <w:trHeight w:val="20"/>
        </w:trPr>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53"/>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900" w:type="dxa"/>
            <w:vAlign w:val="bottom"/>
            <w:gridSpan w:val="5"/>
          </w:tcPr>
          <w:p>
            <w:pPr>
              <w:spacing w:after="0"/>
              <w:rPr>
                <w:sz w:val="20"/>
                <w:szCs w:val="20"/>
                <w:color w:val="auto"/>
              </w:rPr>
            </w:pPr>
            <w:r>
              <w:rPr>
                <w:rFonts w:ascii="Arial" w:cs="Arial" w:eastAsia="Arial" w:hAnsi="Arial"/>
                <w:sz w:val="18"/>
                <w:szCs w:val="18"/>
                <w:color w:val="auto"/>
              </w:rPr>
              <w:t>Items 3-14.</w:t>
            </w:r>
          </w:p>
        </w:tc>
        <w:tc>
          <w:tcPr>
            <w:tcW w:w="9560" w:type="dxa"/>
            <w:vAlign w:val="bottom"/>
            <w:gridSpan w:val="2"/>
          </w:tcPr>
          <w:p>
            <w:pPr>
              <w:ind w:left="40"/>
              <w:spacing w:after="0"/>
              <w:rPr>
                <w:sz w:val="20"/>
                <w:szCs w:val="20"/>
                <w:color w:val="auto"/>
              </w:rPr>
            </w:pPr>
            <w:r>
              <w:rPr>
                <w:rFonts w:ascii="Arial" w:cs="Arial" w:eastAsia="Arial" w:hAnsi="Arial"/>
                <w:sz w:val="18"/>
                <w:szCs w:val="18"/>
                <w:color w:val="auto"/>
                <w:w w:val="97"/>
              </w:rPr>
              <w:t>No responses are included for Items 3-14 of this Form T-1 because the obligor is not in default as provided under Item 13.</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w w:val="95"/>
              </w:rPr>
              <w:t>Item 15.</w:t>
            </w:r>
          </w:p>
        </w:tc>
        <w:tc>
          <w:tcPr>
            <w:tcW w:w="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89"/>
              </w:rPr>
              <w:t>Foreign Trustee.</w:t>
            </w:r>
          </w:p>
        </w:tc>
        <w:tc>
          <w:tcPr>
            <w:tcW w:w="956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w w:val="95"/>
              </w:rPr>
              <w:t>Item 16.</w:t>
            </w:r>
          </w:p>
        </w:tc>
        <w:tc>
          <w:tcPr>
            <w:tcW w:w="60" w:type="dxa"/>
            <w:vAlign w:val="bottom"/>
          </w:tcPr>
          <w:p>
            <w:pPr>
              <w:spacing w:after="0"/>
              <w:rPr>
                <w:sz w:val="24"/>
                <w:szCs w:val="24"/>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List of Exhibits.</w:t>
            </w:r>
          </w:p>
        </w:tc>
        <w:tc>
          <w:tcPr>
            <w:tcW w:w="20" w:type="dxa"/>
            <w:vAlign w:val="bottom"/>
          </w:tcPr>
          <w:p>
            <w:pPr>
              <w:spacing w:after="0"/>
              <w:rPr>
                <w:sz w:val="24"/>
                <w:szCs w:val="24"/>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560" w:type="dxa"/>
            <w:vAlign w:val="bottom"/>
            <w:gridSpan w:val="2"/>
          </w:tcPr>
          <w:p>
            <w:pPr>
              <w:spacing w:after="0" w:line="20" w:lineRule="exact"/>
              <w:rPr>
                <w:sz w:val="1"/>
                <w:szCs w:val="1"/>
                <w:color w:val="auto"/>
              </w:rPr>
            </w:pPr>
          </w:p>
        </w:tc>
      </w:tr>
      <w:tr>
        <w:trPr>
          <w:trHeight w:val="453"/>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1.</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418"/>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2.</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w w:val="98"/>
              </w:rPr>
              <w:t>A copy of the Comptroller of the Currency Certificate of Corporate Existence and Fiduciary Powers for Wells Fargo Bank,</w:t>
            </w: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National Association, dated February 4, 2004.**</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3.</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See Exhibit 2</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4.</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Copy of By-laws of the trustee as now in effect.***</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5.</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6.</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7.</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authority.</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8.</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9.</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348"/>
        </w:trPr>
        <w:tc>
          <w:tcPr>
            <w:tcW w:w="6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8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426720</wp:posOffset>
            </wp:positionV>
            <wp:extent cx="177546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right="60" w:hanging="8"/>
        <w:spacing w:after="0" w:line="277" w:lineRule="auto"/>
        <w:tabs>
          <w:tab w:leader="none" w:pos="65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December 30, 2005 of file number 333-130784-06.</w:t>
      </w:r>
    </w:p>
    <w:p>
      <w:pPr>
        <w:spacing w:after="0" w:line="170" w:lineRule="exact"/>
        <w:rPr>
          <w:sz w:val="20"/>
          <w:szCs w:val="20"/>
          <w:color w:val="auto"/>
        </w:rPr>
      </w:pPr>
    </w:p>
    <w:p>
      <w:pPr>
        <w:ind w:left="340" w:right="180" w:hanging="8"/>
        <w:spacing w:after="0" w:line="277" w:lineRule="auto"/>
        <w:tabs>
          <w:tab w:leader="none" w:pos="63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T-3 dated March 3, 2004 of file number 022-28721.</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April, 2009.</w:t>
      </w:r>
    </w:p>
    <w:p>
      <w:pPr>
        <w:spacing w:after="0" w:line="29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Lynn M.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4/6/09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ectPr>
          <w:pgSz w:w="11900" w:h="16838" w:orient="portrait"/>
          <w:cols w:equalWidth="0" w:num="1">
            <w:col w:w="11460"/>
          </w:cols>
          <w:pgMar w:left="240" w:top="341" w:right="199" w:bottom="0" w:gutter="0" w:footer="0" w:header="0"/>
        </w:sectPr>
      </w:pPr>
    </w:p>
    <w:bookmarkStart w:id="153" w:name="page154"/>
    <w:bookmarkEnd w:id="153"/>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Lynn M. Steiner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7</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 the close of business December 31, 2008, filed in accordance with 12 U.S.C. §161 for National Banks.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Dollar Amounts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 Millions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balances and currency and coin</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Interest-bearing balances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Held-to-maturity securities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in domestic offices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Securities purchased under agreements to resell</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Loans and leases held for sale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335,209</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8,273</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Trading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Intangible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Deposits: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75,417</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232,987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 foreign offices, Edge and Agreement subsidiaries, and IBFs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37,455</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Federal funds purchased in domestic offices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28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Dollar Amounts</w:t>
      </w:r>
    </w:p>
    <w:p>
      <w:pPr>
        <w:jc w:val="center"/>
        <w:ind w:left="98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60"/>
          </w:cols>
          <w:pgMar w:left="240" w:top="126" w:right="199" w:bottom="0" w:gutter="0" w:footer="0" w:header="0"/>
        </w:sectPr>
      </w:pPr>
    </w:p>
    <w:p>
      <w:pPr>
        <w:spacing w:after="0"/>
        <w:tabs>
          <w:tab w:leader="none" w:pos="10880" w:val="left"/>
        </w:tabs>
        <w:rPr>
          <w:sz w:val="20"/>
          <w:szCs w:val="20"/>
          <w:color w:val="auto"/>
        </w:rPr>
      </w:pPr>
      <w:r>
        <w:rPr>
          <w:rFonts w:ascii="Arial" w:cs="Arial" w:eastAsia="Arial" w:hAnsi="Arial"/>
          <w:sz w:val="18"/>
          <w:szCs w:val="18"/>
          <w:color w:val="auto"/>
        </w:rPr>
        <w:t>Trading liabilities</w:t>
      </w:r>
      <w:r>
        <w:rPr>
          <w:sz w:val="20"/>
          <w:szCs w:val="20"/>
          <w:color w:val="auto"/>
        </w:rPr>
        <w:tab/>
      </w:r>
      <w:r>
        <w:rPr>
          <w:rFonts w:ascii="Arial" w:cs="Arial" w:eastAsia="Arial" w:hAnsi="Arial"/>
          <w:sz w:val="16"/>
          <w:szCs w:val="16"/>
          <w:color w:val="auto"/>
        </w:rPr>
        <w:t>7,240</w:t>
      </w:r>
    </w:p>
    <w:p>
      <w:pPr>
        <w:sectPr>
          <w:pgSz w:w="11900" w:h="16838" w:orient="portrait"/>
          <w:cols w:equalWidth="0" w:num="1">
            <w:col w:w="11460"/>
          </w:cols>
          <w:pgMar w:left="240" w:top="126" w:right="199" w:bottom="0" w:gutter="0" w:footer="0" w:header="0"/>
          <w:type w:val="continuous"/>
        </w:sectPr>
      </w:pPr>
    </w:p>
    <w:bookmarkStart w:id="154" w:name="page155"/>
    <w:bookmarkEnd w:id="154"/>
    <w:tbl>
      <w:tblPr>
        <w:tblLayout w:type="fixed"/>
        <w:tblInd w:w="0" w:type="dxa"/>
        <w:tblCellMar>
          <w:top w:w="0" w:type="dxa"/>
          <w:left w:w="0" w:type="dxa"/>
          <w:bottom w:w="0" w:type="dxa"/>
          <w:right w:w="0" w:type="dxa"/>
        </w:tblCellMar>
      </w:tblPr>
      <w:tr>
        <w:trPr>
          <w:trHeight w:val="230"/>
        </w:trPr>
        <w:tc>
          <w:tcPr>
            <w:tcW w:w="9960" w:type="dxa"/>
            <w:vAlign w:val="bottom"/>
            <w:gridSpan w:val="2"/>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Minority interest in consolidated subsidiaries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EQUITY CAPITAL</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equity capital components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 capital</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 Howard I. Atkins,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47" w:lineRule="exact"/>
        <w:rPr>
          <w:sz w:val="20"/>
          <w:szCs w:val="20"/>
          <w:color w:val="auto"/>
        </w:rPr>
      </w:pPr>
    </w:p>
    <w:p>
      <w:pPr>
        <w:jc w:val="center"/>
        <w:ind w:left="8500"/>
        <w:spacing w:after="0"/>
        <w:rPr>
          <w:sz w:val="20"/>
          <w:szCs w:val="20"/>
          <w:color w:val="auto"/>
        </w:rPr>
      </w:pPr>
      <w:r>
        <w:rPr>
          <w:rFonts w:ascii="Arial" w:cs="Arial" w:eastAsia="Arial" w:hAnsi="Arial"/>
          <w:sz w:val="18"/>
          <w:szCs w:val="18"/>
          <w:color w:val="auto"/>
        </w:rPr>
        <w:t>Howard I. Atkins</w:t>
      </w:r>
    </w:p>
    <w:p>
      <w:pPr>
        <w:spacing w:after="0" w:line="23" w:lineRule="exact"/>
        <w:rPr>
          <w:sz w:val="20"/>
          <w:szCs w:val="20"/>
          <w:color w:val="auto"/>
        </w:rPr>
      </w:pPr>
    </w:p>
    <w:p>
      <w:pPr>
        <w:jc w:val="center"/>
        <w:ind w:left="8500"/>
        <w:spacing w:after="0"/>
        <w:rPr>
          <w:sz w:val="20"/>
          <w:szCs w:val="20"/>
          <w:color w:val="auto"/>
        </w:rPr>
      </w:pPr>
      <w:r>
        <w:rPr>
          <w:rFonts w:ascii="Arial" w:cs="Arial" w:eastAsia="Arial" w:hAnsi="Arial"/>
          <w:sz w:val="18"/>
          <w:szCs w:val="18"/>
          <w:color w:val="auto"/>
        </w:rPr>
        <w:t>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Dave Hoyt</w:t>
      </w:r>
    </w:p>
    <w:p>
      <w:pPr>
        <w:spacing w:after="0" w:line="23"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John Stumpf</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Tolstedt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760" w:right="940" w:hanging="3846"/>
        <w:spacing w:after="0" w:line="256" w:lineRule="auto"/>
        <w:tabs>
          <w:tab w:leader="none" w:pos="1137" w:val="left"/>
        </w:tabs>
        <w:numPr>
          <w:ilvl w:val="0"/>
          <w:numId w:val="23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WELLS FARGO BANK, NATIONAL ASSOCIATION</w:t>
      </w:r>
    </w:p>
    <w:p>
      <w:pPr>
        <w:spacing w:after="0" w:line="40"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340" w:type="dxa"/>
            <w:vAlign w:val="bottom"/>
          </w:tcPr>
          <w:p>
            <w:pPr>
              <w:ind w:left="2580"/>
              <w:spacing w:after="0"/>
              <w:rPr>
                <w:sz w:val="20"/>
                <w:szCs w:val="20"/>
                <w:color w:val="auto"/>
              </w:rPr>
            </w:pPr>
            <w:r>
              <w:rPr>
                <w:rFonts w:ascii="Arial" w:cs="Arial" w:eastAsia="Arial" w:hAnsi="Arial"/>
                <w:sz w:val="18"/>
                <w:szCs w:val="18"/>
                <w:color w:val="auto"/>
                <w:w w:val="95"/>
              </w:rPr>
              <w:t>(Exact name of trustee as specified in its charter)</w:t>
            </w:r>
          </w:p>
        </w:tc>
        <w:tc>
          <w:tcPr>
            <w:tcW w:w="1580" w:type="dxa"/>
            <w:vAlign w:val="bottom"/>
          </w:tcPr>
          <w:p>
            <w:pPr>
              <w:spacing w:after="0"/>
              <w:rPr>
                <w:sz w:val="20"/>
                <w:szCs w:val="20"/>
                <w:color w:val="auto"/>
              </w:rPr>
            </w:pPr>
          </w:p>
        </w:tc>
      </w:tr>
      <w:tr>
        <w:trPr>
          <w:trHeight w:val="402"/>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A National Banking Association</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94-1347393</w:t>
            </w:r>
          </w:p>
        </w:tc>
      </w:tr>
      <w:tr>
        <w:trPr>
          <w:trHeight w:val="216"/>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3"/>
              </w:rPr>
              <w:t>(Jurisdiction of incorporation or</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16"/>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2"/>
              </w:rPr>
              <w:t>organization if not a U.S. national</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3"/>
              </w:rPr>
              <w:t>bank)</w:t>
            </w:r>
          </w:p>
        </w:tc>
        <w:tc>
          <w:tcPr>
            <w:tcW w:w="1580" w:type="dxa"/>
            <w:vAlign w:val="bottom"/>
          </w:tcPr>
          <w:p>
            <w:pPr>
              <w:spacing w:after="0"/>
              <w:rPr>
                <w:sz w:val="20"/>
                <w:szCs w:val="20"/>
                <w:color w:val="auto"/>
              </w:rPr>
            </w:pPr>
          </w:p>
        </w:tc>
      </w:tr>
      <w:tr>
        <w:trPr>
          <w:trHeight w:val="414"/>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101 North Phillips Avenue</w:t>
            </w:r>
          </w:p>
        </w:tc>
        <w:tc>
          <w:tcPr>
            <w:tcW w:w="1580" w:type="dxa"/>
            <w:vAlign w:val="bottom"/>
          </w:tcPr>
          <w:p>
            <w:pPr>
              <w:spacing w:after="0"/>
              <w:rPr>
                <w:sz w:val="24"/>
                <w:szCs w:val="24"/>
                <w:color w:val="auto"/>
              </w:rPr>
            </w:pPr>
          </w:p>
        </w:tc>
      </w:tr>
      <w:tr>
        <w:trPr>
          <w:trHeight w:val="220"/>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89"/>
              </w:rPr>
              <w:t>Sioux Falls, South Dakota</w:t>
            </w: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57104</w:t>
            </w:r>
          </w:p>
        </w:tc>
      </w:tr>
      <w:tr>
        <w:trPr>
          <w:trHeight w:val="230"/>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Wells Fargo &amp;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Law Department, Trust Section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MAC N9305-175</w:t>
      </w:r>
    </w:p>
    <w:p>
      <w:pPr>
        <w:jc w:val="center"/>
        <w:ind w:right="40"/>
        <w:spacing w:after="0" w:line="205" w:lineRule="auto"/>
        <w:rPr>
          <w:sz w:val="20"/>
          <w:szCs w:val="20"/>
          <w:color w:val="auto"/>
        </w:rPr>
      </w:pPr>
      <w:r>
        <w:rPr>
          <w:rFonts w:ascii="Arial" w:cs="Arial" w:eastAsia="Arial" w:hAnsi="Arial"/>
          <w:sz w:val="18"/>
          <w:szCs w:val="18"/>
          <w:b w:val="1"/>
          <w:bCs w:val="1"/>
          <w:color w:val="auto"/>
        </w:rPr>
        <w:t>Sixth Street and Marquette Avenue, 17</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Minneapolis, Minnesota 55479</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(612) 667-4608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0"/>
              </w:rPr>
              <w:t>Micron Technology, Inc.</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7500" w:type="dxa"/>
            <w:vAlign w:val="bottom"/>
            <w:gridSpan w:val="3"/>
          </w:tcPr>
          <w:p>
            <w:pPr>
              <w:jc w:val="center"/>
              <w:ind w:right="3810"/>
              <w:spacing w:after="0"/>
              <w:rPr>
                <w:sz w:val="20"/>
                <w:szCs w:val="20"/>
                <w:color w:val="auto"/>
              </w:rPr>
            </w:pPr>
            <w:r>
              <w:rPr>
                <w:rFonts w:ascii="Arial" w:cs="Arial" w:eastAsia="Arial" w:hAnsi="Arial"/>
                <w:sz w:val="18"/>
                <w:szCs w:val="18"/>
                <w:color w:val="auto"/>
                <w:w w:val="91"/>
              </w:rPr>
              <w:t>(Exact name of obligor as specified in its charter)</w:t>
            </w:r>
          </w:p>
        </w:tc>
        <w:tc>
          <w:tcPr>
            <w:tcW w:w="40" w:type="dxa"/>
            <w:vAlign w:val="bottom"/>
          </w:tcPr>
          <w:p>
            <w:pPr>
              <w:spacing w:after="0"/>
              <w:rPr>
                <w:sz w:val="20"/>
                <w:szCs w:val="20"/>
                <w:color w:val="auto"/>
              </w:rPr>
            </w:pPr>
          </w:p>
        </w:tc>
      </w:tr>
      <w:tr>
        <w:trPr>
          <w:trHeight w:val="418"/>
        </w:trPr>
        <w:tc>
          <w:tcPr>
            <w:tcW w:w="3920" w:type="dxa"/>
            <w:vAlign w:val="bottom"/>
          </w:tcPr>
          <w:p>
            <w:pPr>
              <w:jc w:val="center"/>
              <w:ind w:left="1610"/>
              <w:spacing w:after="0"/>
              <w:rPr>
                <w:sz w:val="20"/>
                <w:szCs w:val="20"/>
                <w:color w:val="auto"/>
              </w:rPr>
            </w:pPr>
            <w:r>
              <w:rPr>
                <w:rFonts w:ascii="Arial" w:cs="Arial" w:eastAsia="Arial" w:hAnsi="Arial"/>
                <w:sz w:val="18"/>
                <w:szCs w:val="18"/>
                <w:b w:val="1"/>
                <w:bCs w:val="1"/>
                <w:color w:val="auto"/>
                <w:w w:val="93"/>
              </w:rPr>
              <w:t>Delaware</w:t>
            </w:r>
          </w:p>
        </w:tc>
        <w:tc>
          <w:tcPr>
            <w:tcW w:w="7500" w:type="dxa"/>
            <w:vAlign w:val="bottom"/>
            <w:gridSpan w:val="3"/>
          </w:tcPr>
          <w:p>
            <w:pPr>
              <w:jc w:val="center"/>
              <w:ind w:left="1810"/>
              <w:spacing w:after="0"/>
              <w:rPr>
                <w:sz w:val="20"/>
                <w:szCs w:val="20"/>
                <w:color w:val="auto"/>
              </w:rPr>
            </w:pPr>
            <w:r>
              <w:rPr>
                <w:rFonts w:ascii="Arial" w:cs="Arial" w:eastAsia="Arial" w:hAnsi="Arial"/>
                <w:sz w:val="18"/>
                <w:szCs w:val="18"/>
                <w:b w:val="1"/>
                <w:bCs w:val="1"/>
                <w:color w:val="auto"/>
                <w:w w:val="91"/>
              </w:rPr>
              <w:t>75-1618004</w:t>
            </w:r>
          </w:p>
        </w:tc>
        <w:tc>
          <w:tcPr>
            <w:tcW w:w="40" w:type="dxa"/>
            <w:vAlign w:val="bottom"/>
          </w:tcPr>
          <w:p>
            <w:pPr>
              <w:spacing w:after="0"/>
              <w:rPr>
                <w:sz w:val="24"/>
                <w:szCs w:val="24"/>
                <w:color w:val="auto"/>
              </w:rPr>
            </w:pPr>
          </w:p>
        </w:tc>
      </w:tr>
      <w:tr>
        <w:trPr>
          <w:trHeight w:val="216"/>
        </w:trPr>
        <w:tc>
          <w:tcPr>
            <w:tcW w:w="3920" w:type="dxa"/>
            <w:vAlign w:val="bottom"/>
          </w:tcPr>
          <w:p>
            <w:pPr>
              <w:jc w:val="center"/>
              <w:ind w:left="1610"/>
              <w:spacing w:after="0"/>
              <w:rPr>
                <w:sz w:val="20"/>
                <w:szCs w:val="20"/>
                <w:color w:val="auto"/>
              </w:rPr>
            </w:pPr>
            <w:r>
              <w:rPr>
                <w:rFonts w:ascii="Arial" w:cs="Arial" w:eastAsia="Arial" w:hAnsi="Arial"/>
                <w:sz w:val="18"/>
                <w:szCs w:val="18"/>
                <w:color w:val="auto"/>
                <w:w w:val="93"/>
              </w:rPr>
              <w:t>(State or other jurisdiction of</w:t>
            </w: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r>
      <w:tr>
        <w:trPr>
          <w:trHeight w:val="230"/>
        </w:trPr>
        <w:tc>
          <w:tcPr>
            <w:tcW w:w="3920" w:type="dxa"/>
            <w:vAlign w:val="bottom"/>
          </w:tcPr>
          <w:p>
            <w:pPr>
              <w:jc w:val="center"/>
              <w:ind w:left="1610"/>
              <w:spacing w:after="0"/>
              <w:rPr>
                <w:sz w:val="20"/>
                <w:szCs w:val="20"/>
                <w:color w:val="auto"/>
              </w:rPr>
            </w:pPr>
            <w:r>
              <w:rPr>
                <w:rFonts w:ascii="Arial" w:cs="Arial" w:eastAsia="Arial" w:hAnsi="Arial"/>
                <w:sz w:val="18"/>
                <w:szCs w:val="18"/>
                <w:color w:val="auto"/>
                <w:w w:val="93"/>
              </w:rPr>
              <w:t>incorporation or organization)</w:t>
            </w:r>
          </w:p>
        </w:tc>
        <w:tc>
          <w:tcPr>
            <w:tcW w:w="3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tcPr>
          <w:p>
            <w:pPr>
              <w:jc w:val="center"/>
              <w:ind w:right="1230"/>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0"/>
                <w:szCs w:val="20"/>
                <w:color w:val="auto"/>
              </w:rPr>
            </w:pPr>
          </w:p>
        </w:tc>
      </w:tr>
      <w:tr>
        <w:trPr>
          <w:trHeight w:val="414"/>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1"/>
              </w:rPr>
              <w:t>8000 S. Federal Way</w:t>
            </w:r>
          </w:p>
        </w:tc>
        <w:tc>
          <w:tcPr>
            <w:tcW w:w="40" w:type="dxa"/>
            <w:vAlign w:val="bottom"/>
          </w:tcPr>
          <w:p>
            <w:pPr>
              <w:spacing w:after="0"/>
              <w:rPr>
                <w:sz w:val="24"/>
                <w:szCs w:val="24"/>
                <w:color w:val="auto"/>
              </w:rPr>
            </w:pPr>
          </w:p>
        </w:tc>
      </w:tr>
      <w:tr>
        <w:trPr>
          <w:trHeight w:val="220"/>
        </w:trPr>
        <w:tc>
          <w:tcPr>
            <w:tcW w:w="3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89"/>
              </w:rPr>
              <w:t>Boise, Idaho 83716-9632</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r>
      <w:tr>
        <w:trPr>
          <w:trHeight w:val="324"/>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3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89"/>
              </w:rPr>
              <w:t>Subordinated Debt Securities</w:t>
            </w:r>
          </w:p>
        </w:tc>
        <w:tc>
          <w:tcPr>
            <w:tcW w:w="40" w:type="dxa"/>
            <w:vAlign w:val="bottom"/>
          </w:tcPr>
          <w:p>
            <w:pPr>
              <w:spacing w:after="0"/>
              <w:rPr>
                <w:sz w:val="24"/>
                <w:szCs w:val="24"/>
                <w:color w:val="auto"/>
              </w:rPr>
            </w:pPr>
          </w:p>
        </w:tc>
      </w:tr>
      <w:tr>
        <w:trPr>
          <w:trHeight w:val="230"/>
        </w:trPr>
        <w:tc>
          <w:tcPr>
            <w:tcW w:w="3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40" w:type="dxa"/>
            <w:vAlign w:val="bottom"/>
            <w:gridSpan w:val="2"/>
          </w:tcPr>
          <w:p>
            <w:pPr>
              <w:jc w:val="center"/>
              <w:ind w:right="4170"/>
              <w:spacing w:after="0"/>
              <w:rPr>
                <w:sz w:val="20"/>
                <w:szCs w:val="20"/>
                <w:color w:val="auto"/>
              </w:rPr>
            </w:pPr>
            <w:r>
              <w:rPr>
                <w:rFonts w:ascii="Arial" w:cs="Arial" w:eastAsia="Arial" w:hAnsi="Arial"/>
                <w:sz w:val="18"/>
                <w:szCs w:val="18"/>
                <w:color w:val="auto"/>
                <w:w w:val="91"/>
              </w:rPr>
              <w:t>(Title of the indenture securities)</w:t>
            </w:r>
          </w:p>
        </w:tc>
        <w:tc>
          <w:tcPr>
            <w:tcW w:w="40" w:type="dxa"/>
            <w:vAlign w:val="bottom"/>
          </w:tcPr>
          <w:p>
            <w:pPr>
              <w:spacing w:after="0"/>
              <w:rPr>
                <w:sz w:val="20"/>
                <w:szCs w:val="20"/>
                <w:color w:val="auto"/>
              </w:rPr>
            </w:pPr>
          </w:p>
        </w:tc>
      </w:tr>
      <w:tr>
        <w:trPr>
          <w:trHeight w:val="216"/>
        </w:trPr>
        <w:tc>
          <w:tcPr>
            <w:tcW w:w="39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39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9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 xml:space="preserve">General Information. </w:t>
      </w:r>
      <w:r>
        <w:rPr>
          <w:rFonts w:ascii="Arial" w:cs="Arial" w:eastAsia="Arial" w:hAnsi="Arial"/>
          <w:sz w:val="16"/>
          <w:szCs w:val="16"/>
          <w:color w:val="auto"/>
        </w:rPr>
        <w:t>Furnish the following information as to the trustee:</w:t>
      </w:r>
    </w:p>
    <w:p>
      <w:pPr>
        <w:spacing w:after="0" w:line="225" w:lineRule="exact"/>
        <w:rPr>
          <w:sz w:val="20"/>
          <w:szCs w:val="20"/>
          <w:color w:val="auto"/>
        </w:rPr>
      </w:pPr>
    </w:p>
    <w:p>
      <w:pPr>
        <w:ind w:left="1920" w:hanging="615"/>
        <w:spacing w:after="0"/>
        <w:tabs>
          <w:tab w:leader="none" w:pos="19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Federal Deposit Insurance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w:t>
      </w:r>
    </w:p>
    <w:p>
      <w:pPr>
        <w:sectPr>
          <w:pgSz w:w="11900" w:h="16861" w:orient="portrait"/>
          <w:cols w:equalWidth="0" w:num="1">
            <w:col w:w="11460"/>
          </w:cols>
          <w:pgMar w:left="240" w:top="364" w:right="199" w:bottom="0" w:gutter="0" w:footer="0" w:header="0"/>
        </w:sectPr>
      </w:pPr>
    </w:p>
    <w:bookmarkStart w:id="156" w:name="page157"/>
    <w:bookmarkEnd w:id="156"/>
    <w:p>
      <w:pPr>
        <w:ind w:left="1960"/>
        <w:spacing w:after="0"/>
        <w:rPr>
          <w:sz w:val="20"/>
          <w:szCs w:val="20"/>
          <w:color w:val="auto"/>
        </w:rPr>
      </w:pPr>
      <w:r>
        <w:rPr>
          <w:rFonts w:ascii="Arial" w:cs="Arial" w:eastAsia="Arial" w:hAnsi="Arial"/>
          <w:sz w:val="18"/>
          <w:szCs w:val="18"/>
          <w:color w:val="auto"/>
        </w:rPr>
        <w:t>Federal Reserve Bank of San Francisco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94120</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Whether it is authorized to exercise corporate trust powers.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92"/>
        </w:trPr>
        <w:tc>
          <w:tcPr>
            <w:tcW w:w="11460" w:type="dxa"/>
            <w:vAlign w:val="bottom"/>
            <w:gridSpan w:val="7"/>
          </w:tcPr>
          <w:p>
            <w:pPr>
              <w:spacing w:after="0"/>
              <w:rPr>
                <w:sz w:val="20"/>
                <w:szCs w:val="20"/>
                <w:color w:val="auto"/>
              </w:rPr>
            </w:pPr>
            <w:r>
              <w:rPr>
                <w:rFonts w:ascii="Arial" w:cs="Arial" w:eastAsia="Arial" w:hAnsi="Arial"/>
                <w:sz w:val="18"/>
                <w:szCs w:val="18"/>
                <w:color w:val="auto"/>
              </w:rPr>
              <w:t>Item 2.  Affiliations with Obligor. If the obligor is an affiliate of the trustee, describe each such affiliation.</w:t>
            </w:r>
          </w:p>
        </w:tc>
      </w:tr>
      <w:tr>
        <w:trPr>
          <w:trHeight w:val="20"/>
        </w:trPr>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53"/>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900" w:type="dxa"/>
            <w:vAlign w:val="bottom"/>
            <w:gridSpan w:val="5"/>
          </w:tcPr>
          <w:p>
            <w:pPr>
              <w:spacing w:after="0"/>
              <w:rPr>
                <w:sz w:val="20"/>
                <w:szCs w:val="20"/>
                <w:color w:val="auto"/>
              </w:rPr>
            </w:pPr>
            <w:r>
              <w:rPr>
                <w:rFonts w:ascii="Arial" w:cs="Arial" w:eastAsia="Arial" w:hAnsi="Arial"/>
                <w:sz w:val="18"/>
                <w:szCs w:val="18"/>
                <w:color w:val="auto"/>
              </w:rPr>
              <w:t>Items 3-14.</w:t>
            </w:r>
          </w:p>
        </w:tc>
        <w:tc>
          <w:tcPr>
            <w:tcW w:w="9560" w:type="dxa"/>
            <w:vAlign w:val="bottom"/>
            <w:gridSpan w:val="2"/>
          </w:tcPr>
          <w:p>
            <w:pPr>
              <w:ind w:left="40"/>
              <w:spacing w:after="0"/>
              <w:rPr>
                <w:sz w:val="20"/>
                <w:szCs w:val="20"/>
                <w:color w:val="auto"/>
              </w:rPr>
            </w:pPr>
            <w:r>
              <w:rPr>
                <w:rFonts w:ascii="Arial" w:cs="Arial" w:eastAsia="Arial" w:hAnsi="Arial"/>
                <w:sz w:val="18"/>
                <w:szCs w:val="18"/>
                <w:color w:val="auto"/>
                <w:w w:val="97"/>
              </w:rPr>
              <w:t>No responses are included for Items 3-14 of this Form T-1 because the obligor is not in default as provided under Item 13.</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w w:val="95"/>
              </w:rPr>
              <w:t>Item 15.</w:t>
            </w:r>
          </w:p>
        </w:tc>
        <w:tc>
          <w:tcPr>
            <w:tcW w:w="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89"/>
              </w:rPr>
              <w:t>Foreign Trustee.</w:t>
            </w:r>
          </w:p>
        </w:tc>
        <w:tc>
          <w:tcPr>
            <w:tcW w:w="956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w w:val="95"/>
              </w:rPr>
              <w:t>Item 16.</w:t>
            </w:r>
          </w:p>
        </w:tc>
        <w:tc>
          <w:tcPr>
            <w:tcW w:w="60" w:type="dxa"/>
            <w:vAlign w:val="bottom"/>
          </w:tcPr>
          <w:p>
            <w:pPr>
              <w:spacing w:after="0"/>
              <w:rPr>
                <w:sz w:val="24"/>
                <w:szCs w:val="24"/>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List of Exhibits.</w:t>
            </w:r>
          </w:p>
        </w:tc>
        <w:tc>
          <w:tcPr>
            <w:tcW w:w="20" w:type="dxa"/>
            <w:vAlign w:val="bottom"/>
          </w:tcPr>
          <w:p>
            <w:pPr>
              <w:spacing w:after="0"/>
              <w:rPr>
                <w:sz w:val="24"/>
                <w:szCs w:val="24"/>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560" w:type="dxa"/>
            <w:vAlign w:val="bottom"/>
            <w:gridSpan w:val="2"/>
          </w:tcPr>
          <w:p>
            <w:pPr>
              <w:spacing w:after="0" w:line="20" w:lineRule="exact"/>
              <w:rPr>
                <w:sz w:val="1"/>
                <w:szCs w:val="1"/>
                <w:color w:val="auto"/>
              </w:rPr>
            </w:pPr>
          </w:p>
        </w:tc>
      </w:tr>
      <w:tr>
        <w:trPr>
          <w:trHeight w:val="453"/>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1.</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418"/>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2.</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w w:val="98"/>
              </w:rPr>
              <w:t>A copy of the Comptroller of the Currency Certificate of Corporate Existence and Fiduciary Powers for Wells Fargo Bank,</w:t>
            </w: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National Association, dated February 4, 2004.**</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3.</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See Exhibit 2</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4.</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Copy of By-laws of the trustee as now in effect.***</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5.</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6.</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7.</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authority.</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8.</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9.</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348"/>
        </w:trPr>
        <w:tc>
          <w:tcPr>
            <w:tcW w:w="6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8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426720</wp:posOffset>
            </wp:positionV>
            <wp:extent cx="177546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right="60" w:hanging="8"/>
        <w:spacing w:after="0" w:line="277" w:lineRule="auto"/>
        <w:tabs>
          <w:tab w:leader="none" w:pos="659"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December 30, 2005 of file number 333-130784-06.</w:t>
      </w:r>
    </w:p>
    <w:p>
      <w:pPr>
        <w:spacing w:after="0" w:line="170" w:lineRule="exact"/>
        <w:rPr>
          <w:sz w:val="20"/>
          <w:szCs w:val="20"/>
          <w:color w:val="auto"/>
        </w:rPr>
      </w:pPr>
    </w:p>
    <w:p>
      <w:pPr>
        <w:ind w:left="340" w:right="180" w:hanging="8"/>
        <w:spacing w:after="0" w:line="277" w:lineRule="auto"/>
        <w:tabs>
          <w:tab w:leader="none" w:pos="63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T-3 dated March 3, 2004 of file number 022-28721.</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655" w:val="left"/>
        </w:tabs>
        <w:numPr>
          <w:ilvl w:val="0"/>
          <w:numId w:val="243"/>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April, 2009.</w:t>
      </w:r>
    </w:p>
    <w:p>
      <w:pPr>
        <w:spacing w:after="0" w:line="29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Lynn M.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4/6/09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ectPr>
          <w:pgSz w:w="11900" w:h="16838" w:orient="portrait"/>
          <w:cols w:equalWidth="0" w:num="1">
            <w:col w:w="11460"/>
          </w:cols>
          <w:pgMar w:left="240" w:top="341" w:right="199" w:bottom="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Lynn M. Steiner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7</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 the close of business December 31, 2008, filed in accordance with 12 U.S.C. §161 for National Banks.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Dollar Amounts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 Millions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balances and currency and coin</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Interest-bearing balances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Held-to-maturity securities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in domestic offices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Securities purchased under agreements to resell</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Loans and leases held for sale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335,209</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8,273</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Trading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Intangible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Deposits: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75,417</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232,987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 foreign offices, Edge and Agreement subsidiaries, and IBFs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37,455</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Federal funds purchased in domestic offices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28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Dollar Amounts</w:t>
      </w:r>
    </w:p>
    <w:p>
      <w:pPr>
        <w:jc w:val="center"/>
        <w:ind w:left="98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tabs>
          <w:tab w:leader="none" w:pos="10880" w:val="left"/>
        </w:tabs>
        <w:rPr>
          <w:sz w:val="20"/>
          <w:szCs w:val="20"/>
          <w:color w:val="auto"/>
        </w:rPr>
      </w:pPr>
      <w:r>
        <w:rPr>
          <w:rFonts w:ascii="Arial" w:cs="Arial" w:eastAsia="Arial" w:hAnsi="Arial"/>
          <w:sz w:val="18"/>
          <w:szCs w:val="18"/>
          <w:color w:val="auto"/>
        </w:rPr>
        <w:t>Trading liabilities</w:t>
      </w:r>
      <w:r>
        <w:rPr>
          <w:sz w:val="20"/>
          <w:szCs w:val="20"/>
          <w:color w:val="auto"/>
        </w:rPr>
        <w:tab/>
      </w:r>
      <w:r>
        <w:rPr>
          <w:rFonts w:ascii="Arial" w:cs="Arial" w:eastAsia="Arial" w:hAnsi="Arial"/>
          <w:sz w:val="16"/>
          <w:szCs w:val="16"/>
          <w:color w:val="auto"/>
        </w:rPr>
        <w:t>7,240</w:t>
      </w:r>
    </w:p>
    <w:p>
      <w:pPr>
        <w:sectPr>
          <w:pgSz w:w="11900" w:h="16838" w:orient="portrait"/>
          <w:cols w:equalWidth="0" w:num="1">
            <w:col w:w="11460"/>
          </w:cols>
          <w:pgMar w:left="240" w:top="125" w:right="199" w:bottom="0" w:gutter="0" w:footer="0" w:header="0"/>
          <w:type w:val="continuous"/>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9960" w:type="dxa"/>
            <w:vAlign w:val="bottom"/>
            <w:gridSpan w:val="2"/>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Minority interest in consolidated subsidiaries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EQUITY CAPITAL</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equity capital components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 capital</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 Howard I. Atkins,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47" w:lineRule="exact"/>
        <w:rPr>
          <w:sz w:val="20"/>
          <w:szCs w:val="20"/>
          <w:color w:val="auto"/>
        </w:rPr>
      </w:pPr>
    </w:p>
    <w:p>
      <w:pPr>
        <w:jc w:val="center"/>
        <w:ind w:left="8500"/>
        <w:spacing w:after="0"/>
        <w:rPr>
          <w:sz w:val="20"/>
          <w:szCs w:val="20"/>
          <w:color w:val="auto"/>
        </w:rPr>
      </w:pPr>
      <w:r>
        <w:rPr>
          <w:rFonts w:ascii="Arial" w:cs="Arial" w:eastAsia="Arial" w:hAnsi="Arial"/>
          <w:sz w:val="18"/>
          <w:szCs w:val="18"/>
          <w:color w:val="auto"/>
        </w:rPr>
        <w:t>Howard I. Atkins</w:t>
      </w:r>
    </w:p>
    <w:p>
      <w:pPr>
        <w:spacing w:after="0" w:line="23" w:lineRule="exact"/>
        <w:rPr>
          <w:sz w:val="20"/>
          <w:szCs w:val="20"/>
          <w:color w:val="auto"/>
        </w:rPr>
      </w:pPr>
    </w:p>
    <w:p>
      <w:pPr>
        <w:jc w:val="center"/>
        <w:ind w:left="8500"/>
        <w:spacing w:after="0"/>
        <w:rPr>
          <w:sz w:val="20"/>
          <w:szCs w:val="20"/>
          <w:color w:val="auto"/>
        </w:rPr>
      </w:pPr>
      <w:r>
        <w:rPr>
          <w:rFonts w:ascii="Arial" w:cs="Arial" w:eastAsia="Arial" w:hAnsi="Arial"/>
          <w:sz w:val="18"/>
          <w:szCs w:val="18"/>
          <w:color w:val="auto"/>
        </w:rPr>
        <w:t>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Dave Hoyt</w:t>
      </w:r>
    </w:p>
    <w:p>
      <w:pPr>
        <w:spacing w:after="0" w:line="23"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John Stumpf</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Tolstedt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9" w:name="page160"/>
    <w:bookmarkEnd w:id="159"/>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342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FORM T-1</w:t>
      </w:r>
    </w:p>
    <w:p>
      <w:pPr>
        <w:spacing w:after="0" w:line="22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UNDER THE TRUST INDENTURE ACT OF 1939 OF A</w:t>
      </w:r>
    </w:p>
    <w:p>
      <w:pPr>
        <w:jc w:val="center"/>
        <w:ind w:right="40"/>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201930</wp:posOffset>
            </wp:positionV>
            <wp:extent cx="182689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4760" w:right="940" w:hanging="3846"/>
        <w:spacing w:after="0" w:line="256" w:lineRule="auto"/>
        <w:tabs>
          <w:tab w:leader="none" w:pos="1137" w:val="left"/>
        </w:tabs>
        <w:numPr>
          <w:ilvl w:val="0"/>
          <w:numId w:val="244"/>
        </w:numPr>
        <w:rPr>
          <w:rFonts w:ascii="Arial" w:cs="Arial" w:eastAsia="Arial" w:hAnsi="Arial"/>
          <w:sz w:val="22"/>
          <w:szCs w:val="22"/>
          <w:b w:val="1"/>
          <w:bCs w:val="1"/>
          <w:color w:val="auto"/>
        </w:rPr>
      </w:pPr>
      <w:r>
        <w:rPr>
          <w:rFonts w:ascii="Arial" w:cs="Arial" w:eastAsia="Arial" w:hAnsi="Arial"/>
          <w:sz w:val="22"/>
          <w:szCs w:val="22"/>
          <w:b w:val="1"/>
          <w:bCs w:val="1"/>
          <w:color w:val="auto"/>
        </w:rPr>
        <w:t>CHECK IF AN APPLICATION TO DETERMINE ELIGIBILITY OF A TRUSTEE PURSUANT TO SECTION 305(b) (2)</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32"/>
          <w:szCs w:val="32"/>
          <w:b w:val="1"/>
          <w:bCs w:val="1"/>
          <w:color w:val="auto"/>
        </w:rPr>
        <w:t>WELLS FARGO BANK, NATIONAL ASSOCIATION</w:t>
      </w:r>
    </w:p>
    <w:p>
      <w:pPr>
        <w:spacing w:after="0" w:line="40"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6340" w:type="dxa"/>
            <w:vAlign w:val="bottom"/>
          </w:tcPr>
          <w:p>
            <w:pPr>
              <w:ind w:left="2580"/>
              <w:spacing w:after="0"/>
              <w:rPr>
                <w:sz w:val="20"/>
                <w:szCs w:val="20"/>
                <w:color w:val="auto"/>
              </w:rPr>
            </w:pPr>
            <w:r>
              <w:rPr>
                <w:rFonts w:ascii="Arial" w:cs="Arial" w:eastAsia="Arial" w:hAnsi="Arial"/>
                <w:sz w:val="18"/>
                <w:szCs w:val="18"/>
                <w:color w:val="auto"/>
                <w:w w:val="95"/>
              </w:rPr>
              <w:t>(Exact name of trustee as specified in its charter)</w:t>
            </w:r>
          </w:p>
        </w:tc>
        <w:tc>
          <w:tcPr>
            <w:tcW w:w="1580" w:type="dxa"/>
            <w:vAlign w:val="bottom"/>
          </w:tcPr>
          <w:p>
            <w:pPr>
              <w:spacing w:after="0"/>
              <w:rPr>
                <w:sz w:val="20"/>
                <w:szCs w:val="20"/>
                <w:color w:val="auto"/>
              </w:rPr>
            </w:pPr>
          </w:p>
        </w:tc>
      </w:tr>
      <w:tr>
        <w:trPr>
          <w:trHeight w:val="402"/>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A National Banking Association</w:t>
            </w:r>
          </w:p>
        </w:tc>
        <w:tc>
          <w:tcPr>
            <w:tcW w:w="1580" w:type="dxa"/>
            <w:vAlign w:val="bottom"/>
          </w:tcPr>
          <w:p>
            <w:pPr>
              <w:jc w:val="right"/>
              <w:ind w:right="150"/>
              <w:spacing w:after="0"/>
              <w:rPr>
                <w:sz w:val="20"/>
                <w:szCs w:val="20"/>
                <w:color w:val="auto"/>
              </w:rPr>
            </w:pPr>
            <w:r>
              <w:rPr>
                <w:rFonts w:ascii="Arial" w:cs="Arial" w:eastAsia="Arial" w:hAnsi="Arial"/>
                <w:sz w:val="18"/>
                <w:szCs w:val="18"/>
                <w:b w:val="1"/>
                <w:bCs w:val="1"/>
                <w:color w:val="auto"/>
              </w:rPr>
              <w:t>94-1347393</w:t>
            </w:r>
          </w:p>
        </w:tc>
      </w:tr>
      <w:tr>
        <w:trPr>
          <w:trHeight w:val="216"/>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3"/>
              </w:rPr>
              <w:t>(Jurisdiction of incorporation or</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16"/>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2"/>
              </w:rPr>
              <w:t>organization if not a U.S. national</w:t>
            </w:r>
          </w:p>
        </w:tc>
        <w:tc>
          <w:tcPr>
            <w:tcW w:w="1580" w:type="dxa"/>
            <w:vAlign w:val="bottom"/>
          </w:tcPr>
          <w:p>
            <w:pPr>
              <w:jc w:val="center"/>
              <w:ind w:left="150"/>
              <w:spacing w:after="0"/>
              <w:rPr>
                <w:sz w:val="20"/>
                <w:szCs w:val="20"/>
                <w:color w:val="auto"/>
              </w:rPr>
            </w:pPr>
            <w:r>
              <w:rPr>
                <w:rFonts w:ascii="Arial" w:cs="Arial" w:eastAsia="Arial" w:hAnsi="Arial"/>
                <w:sz w:val="18"/>
                <w:szCs w:val="18"/>
                <w:color w:val="auto"/>
                <w:w w:val="95"/>
              </w:rPr>
              <w:t>Identification No.)</w:t>
            </w:r>
          </w:p>
        </w:tc>
      </w:tr>
      <w:tr>
        <w:trPr>
          <w:trHeight w:val="230"/>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3"/>
              </w:rPr>
              <w:t>bank)</w:t>
            </w:r>
          </w:p>
        </w:tc>
        <w:tc>
          <w:tcPr>
            <w:tcW w:w="1580" w:type="dxa"/>
            <w:vAlign w:val="bottom"/>
          </w:tcPr>
          <w:p>
            <w:pPr>
              <w:spacing w:after="0"/>
              <w:rPr>
                <w:sz w:val="20"/>
                <w:szCs w:val="20"/>
                <w:color w:val="auto"/>
              </w:rPr>
            </w:pPr>
          </w:p>
        </w:tc>
      </w:tr>
      <w:tr>
        <w:trPr>
          <w:trHeight w:val="414"/>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90"/>
              </w:rPr>
              <w:t>101 North Phillips Avenue</w:t>
            </w:r>
          </w:p>
        </w:tc>
        <w:tc>
          <w:tcPr>
            <w:tcW w:w="1580" w:type="dxa"/>
            <w:vAlign w:val="bottom"/>
          </w:tcPr>
          <w:p>
            <w:pPr>
              <w:spacing w:after="0"/>
              <w:rPr>
                <w:sz w:val="24"/>
                <w:szCs w:val="24"/>
                <w:color w:val="auto"/>
              </w:rPr>
            </w:pPr>
          </w:p>
        </w:tc>
      </w:tr>
      <w:tr>
        <w:trPr>
          <w:trHeight w:val="220"/>
        </w:trPr>
        <w:tc>
          <w:tcPr>
            <w:tcW w:w="6340" w:type="dxa"/>
            <w:vAlign w:val="bottom"/>
          </w:tcPr>
          <w:p>
            <w:pPr>
              <w:jc w:val="center"/>
              <w:ind w:right="3390"/>
              <w:spacing w:after="0"/>
              <w:rPr>
                <w:sz w:val="20"/>
                <w:szCs w:val="20"/>
                <w:color w:val="auto"/>
              </w:rPr>
            </w:pPr>
            <w:r>
              <w:rPr>
                <w:rFonts w:ascii="Arial" w:cs="Arial" w:eastAsia="Arial" w:hAnsi="Arial"/>
                <w:sz w:val="18"/>
                <w:szCs w:val="18"/>
                <w:b w:val="1"/>
                <w:bCs w:val="1"/>
                <w:color w:val="auto"/>
                <w:w w:val="89"/>
              </w:rPr>
              <w:t>Sioux Falls, South Dakota</w:t>
            </w:r>
          </w:p>
        </w:tc>
        <w:tc>
          <w:tcPr>
            <w:tcW w:w="1580" w:type="dxa"/>
            <w:vAlign w:val="bottom"/>
          </w:tcPr>
          <w:p>
            <w:pPr>
              <w:jc w:val="right"/>
              <w:ind w:right="370"/>
              <w:spacing w:after="0"/>
              <w:rPr>
                <w:sz w:val="20"/>
                <w:szCs w:val="20"/>
                <w:color w:val="auto"/>
              </w:rPr>
            </w:pPr>
            <w:r>
              <w:rPr>
                <w:rFonts w:ascii="Arial" w:cs="Arial" w:eastAsia="Arial" w:hAnsi="Arial"/>
                <w:sz w:val="18"/>
                <w:szCs w:val="18"/>
                <w:b w:val="1"/>
                <w:bCs w:val="1"/>
                <w:color w:val="auto"/>
              </w:rPr>
              <w:t>57104</w:t>
            </w:r>
          </w:p>
        </w:tc>
      </w:tr>
      <w:tr>
        <w:trPr>
          <w:trHeight w:val="230"/>
        </w:trPr>
        <w:tc>
          <w:tcPr>
            <w:tcW w:w="6340" w:type="dxa"/>
            <w:vAlign w:val="bottom"/>
          </w:tcPr>
          <w:p>
            <w:pPr>
              <w:jc w:val="center"/>
              <w:ind w:right="3390"/>
              <w:spacing w:after="0"/>
              <w:rPr>
                <w:sz w:val="20"/>
                <w:szCs w:val="20"/>
                <w:color w:val="auto"/>
              </w:rPr>
            </w:pPr>
            <w:r>
              <w:rPr>
                <w:rFonts w:ascii="Arial" w:cs="Arial" w:eastAsia="Arial" w:hAnsi="Arial"/>
                <w:sz w:val="18"/>
                <w:szCs w:val="18"/>
                <w:color w:val="auto"/>
                <w:w w:val="92"/>
              </w:rPr>
              <w:t>(Address of principal executive offices)</w:t>
            </w:r>
          </w:p>
        </w:tc>
        <w:tc>
          <w:tcPr>
            <w:tcW w:w="1580" w:type="dxa"/>
            <w:vAlign w:val="bottom"/>
          </w:tcPr>
          <w:p>
            <w:pPr>
              <w:jc w:val="center"/>
              <w:ind w:left="130"/>
              <w:spacing w:after="0"/>
              <w:rPr>
                <w:sz w:val="20"/>
                <w:szCs w:val="20"/>
                <w:color w:val="auto"/>
              </w:rPr>
            </w:pPr>
            <w:r>
              <w:rPr>
                <w:rFonts w:ascii="Arial" w:cs="Arial" w:eastAsia="Arial" w:hAnsi="Arial"/>
                <w:sz w:val="18"/>
                <w:szCs w:val="18"/>
                <w:color w:val="auto"/>
                <w:w w:val="93"/>
              </w:rPr>
              <w:t>(Zip code)</w:t>
            </w: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Wells Fargo &amp; Company</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Law Department, Trust Section</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MAC N9305-175</w:t>
      </w:r>
    </w:p>
    <w:p>
      <w:pPr>
        <w:jc w:val="center"/>
        <w:ind w:right="40"/>
        <w:spacing w:after="0" w:line="205" w:lineRule="auto"/>
        <w:rPr>
          <w:sz w:val="20"/>
          <w:szCs w:val="20"/>
          <w:color w:val="auto"/>
        </w:rPr>
      </w:pPr>
      <w:r>
        <w:rPr>
          <w:rFonts w:ascii="Arial" w:cs="Arial" w:eastAsia="Arial" w:hAnsi="Arial"/>
          <w:sz w:val="18"/>
          <w:szCs w:val="18"/>
          <w:b w:val="1"/>
          <w:bCs w:val="1"/>
          <w:color w:val="auto"/>
        </w:rPr>
        <w:t>Sixth Street and Marquette Avenue, 17</w:t>
      </w:r>
      <w:r>
        <w:rPr>
          <w:rFonts w:ascii="Arial" w:cs="Arial" w:eastAsia="Arial" w:hAnsi="Arial"/>
          <w:sz w:val="23"/>
          <w:szCs w:val="23"/>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Minneapolis, Minnesota 55479</w:t>
      </w:r>
    </w:p>
    <w:p>
      <w:pPr>
        <w:spacing w:after="0" w:line="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(612) 667-4608</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(Name, address and telephone number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0"/>
              </w:rPr>
              <w:t>Micron Technology, Inc.</w:t>
            </w:r>
          </w:p>
        </w:tc>
        <w:tc>
          <w:tcPr>
            <w:tcW w:w="4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p>
        </w:tc>
        <w:tc>
          <w:tcPr>
            <w:tcW w:w="7520" w:type="dxa"/>
            <w:vAlign w:val="bottom"/>
            <w:gridSpan w:val="3"/>
          </w:tcPr>
          <w:p>
            <w:pPr>
              <w:jc w:val="center"/>
              <w:ind w:right="3790"/>
              <w:spacing w:after="0"/>
              <w:rPr>
                <w:sz w:val="20"/>
                <w:szCs w:val="20"/>
                <w:color w:val="auto"/>
              </w:rPr>
            </w:pPr>
            <w:r>
              <w:rPr>
                <w:rFonts w:ascii="Arial" w:cs="Arial" w:eastAsia="Arial" w:hAnsi="Arial"/>
                <w:sz w:val="18"/>
                <w:szCs w:val="18"/>
                <w:color w:val="auto"/>
                <w:w w:val="91"/>
              </w:rPr>
              <w:t>(Exact name of obligor as specified in its charter)</w:t>
            </w:r>
          </w:p>
        </w:tc>
        <w:tc>
          <w:tcPr>
            <w:tcW w:w="40" w:type="dxa"/>
            <w:vAlign w:val="bottom"/>
          </w:tcPr>
          <w:p>
            <w:pPr>
              <w:spacing w:after="0"/>
              <w:rPr>
                <w:sz w:val="20"/>
                <w:szCs w:val="20"/>
                <w:color w:val="auto"/>
              </w:rPr>
            </w:pPr>
          </w:p>
        </w:tc>
      </w:tr>
      <w:tr>
        <w:trPr>
          <w:trHeight w:val="418"/>
        </w:trPr>
        <w:tc>
          <w:tcPr>
            <w:tcW w:w="3900" w:type="dxa"/>
            <w:vAlign w:val="bottom"/>
          </w:tcPr>
          <w:p>
            <w:pPr>
              <w:jc w:val="center"/>
              <w:ind w:left="1630"/>
              <w:spacing w:after="0"/>
              <w:rPr>
                <w:sz w:val="20"/>
                <w:szCs w:val="20"/>
                <w:color w:val="auto"/>
              </w:rPr>
            </w:pPr>
            <w:r>
              <w:rPr>
                <w:rFonts w:ascii="Arial" w:cs="Arial" w:eastAsia="Arial" w:hAnsi="Arial"/>
                <w:sz w:val="18"/>
                <w:szCs w:val="18"/>
                <w:b w:val="1"/>
                <w:bCs w:val="1"/>
                <w:color w:val="auto"/>
                <w:w w:val="93"/>
              </w:rPr>
              <w:t>Delaware</w:t>
            </w:r>
          </w:p>
        </w:tc>
        <w:tc>
          <w:tcPr>
            <w:tcW w:w="7520" w:type="dxa"/>
            <w:vAlign w:val="bottom"/>
            <w:gridSpan w:val="3"/>
          </w:tcPr>
          <w:p>
            <w:pPr>
              <w:jc w:val="center"/>
              <w:ind w:left="1830"/>
              <w:spacing w:after="0"/>
              <w:rPr>
                <w:sz w:val="20"/>
                <w:szCs w:val="20"/>
                <w:color w:val="auto"/>
              </w:rPr>
            </w:pPr>
            <w:r>
              <w:rPr>
                <w:rFonts w:ascii="Arial" w:cs="Arial" w:eastAsia="Arial" w:hAnsi="Arial"/>
                <w:sz w:val="18"/>
                <w:szCs w:val="18"/>
                <w:b w:val="1"/>
                <w:bCs w:val="1"/>
                <w:color w:val="auto"/>
                <w:w w:val="91"/>
              </w:rPr>
              <w:t>75-1618004</w:t>
            </w:r>
          </w:p>
        </w:tc>
        <w:tc>
          <w:tcPr>
            <w:tcW w:w="40" w:type="dxa"/>
            <w:vAlign w:val="bottom"/>
          </w:tcPr>
          <w:p>
            <w:pPr>
              <w:spacing w:after="0"/>
              <w:rPr>
                <w:sz w:val="24"/>
                <w:szCs w:val="24"/>
                <w:color w:val="auto"/>
              </w:rPr>
            </w:pPr>
          </w:p>
        </w:tc>
      </w:tr>
      <w:tr>
        <w:trPr>
          <w:trHeight w:val="216"/>
        </w:trPr>
        <w:tc>
          <w:tcPr>
            <w:tcW w:w="3900" w:type="dxa"/>
            <w:vAlign w:val="bottom"/>
          </w:tcPr>
          <w:p>
            <w:pPr>
              <w:jc w:val="center"/>
              <w:ind w:left="1630"/>
              <w:spacing w:after="0"/>
              <w:rPr>
                <w:sz w:val="20"/>
                <w:szCs w:val="20"/>
                <w:color w:val="auto"/>
              </w:rPr>
            </w:pPr>
            <w:r>
              <w:rPr>
                <w:rFonts w:ascii="Arial" w:cs="Arial" w:eastAsia="Arial" w:hAnsi="Arial"/>
                <w:sz w:val="18"/>
                <w:szCs w:val="18"/>
                <w:color w:val="auto"/>
                <w:w w:val="93"/>
              </w:rPr>
              <w:t>(State or other jurisdiction of</w:t>
            </w:r>
          </w:p>
        </w:tc>
        <w:tc>
          <w:tcPr>
            <w:tcW w:w="3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260" w:type="dxa"/>
            <w:vAlign w:val="bottom"/>
          </w:tcPr>
          <w:p>
            <w:pPr>
              <w:jc w:val="center"/>
              <w:ind w:right="1250"/>
              <w:spacing w:after="0"/>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8"/>
                <w:szCs w:val="18"/>
                <w:color w:val="auto"/>
              </w:rPr>
            </w:pPr>
          </w:p>
        </w:tc>
      </w:tr>
      <w:tr>
        <w:trPr>
          <w:trHeight w:val="230"/>
        </w:trPr>
        <w:tc>
          <w:tcPr>
            <w:tcW w:w="3900" w:type="dxa"/>
            <w:vAlign w:val="bottom"/>
          </w:tcPr>
          <w:p>
            <w:pPr>
              <w:jc w:val="center"/>
              <w:ind w:left="1630"/>
              <w:spacing w:after="0"/>
              <w:rPr>
                <w:sz w:val="20"/>
                <w:szCs w:val="20"/>
                <w:color w:val="auto"/>
              </w:rPr>
            </w:pPr>
            <w:r>
              <w:rPr>
                <w:rFonts w:ascii="Arial" w:cs="Arial" w:eastAsia="Arial" w:hAnsi="Arial"/>
                <w:sz w:val="18"/>
                <w:szCs w:val="18"/>
                <w:color w:val="auto"/>
                <w:w w:val="93"/>
              </w:rPr>
              <w:t>incorporation or organization)</w:t>
            </w:r>
          </w:p>
        </w:tc>
        <w:tc>
          <w:tcPr>
            <w:tcW w:w="3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260" w:type="dxa"/>
            <w:vAlign w:val="bottom"/>
          </w:tcPr>
          <w:p>
            <w:pPr>
              <w:jc w:val="center"/>
              <w:ind w:right="1230"/>
              <w:spacing w:after="0"/>
              <w:rPr>
                <w:sz w:val="20"/>
                <w:szCs w:val="20"/>
                <w:color w:val="auto"/>
              </w:rPr>
            </w:pPr>
            <w:r>
              <w:rPr>
                <w:rFonts w:ascii="Arial" w:cs="Arial" w:eastAsia="Arial" w:hAnsi="Arial"/>
                <w:sz w:val="18"/>
                <w:szCs w:val="18"/>
                <w:color w:val="auto"/>
                <w:w w:val="95"/>
              </w:rPr>
              <w:t>Identification No.)</w:t>
            </w:r>
          </w:p>
        </w:tc>
        <w:tc>
          <w:tcPr>
            <w:tcW w:w="40" w:type="dxa"/>
            <w:vAlign w:val="bottom"/>
          </w:tcPr>
          <w:p>
            <w:pPr>
              <w:spacing w:after="0"/>
              <w:rPr>
                <w:sz w:val="20"/>
                <w:szCs w:val="20"/>
                <w:color w:val="auto"/>
              </w:rPr>
            </w:pPr>
          </w:p>
        </w:tc>
      </w:tr>
      <w:tr>
        <w:trPr>
          <w:trHeight w:val="414"/>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91"/>
              </w:rPr>
              <w:t>8000 S. Federal Way</w:t>
            </w:r>
          </w:p>
        </w:tc>
        <w:tc>
          <w:tcPr>
            <w:tcW w:w="40" w:type="dxa"/>
            <w:vAlign w:val="bottom"/>
          </w:tcPr>
          <w:p>
            <w:pPr>
              <w:spacing w:after="0"/>
              <w:rPr>
                <w:sz w:val="24"/>
                <w:szCs w:val="24"/>
                <w:color w:val="auto"/>
              </w:rPr>
            </w:pPr>
          </w:p>
        </w:tc>
      </w:tr>
      <w:tr>
        <w:trPr>
          <w:trHeight w:val="220"/>
        </w:trPr>
        <w:tc>
          <w:tcPr>
            <w:tcW w:w="39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b w:val="1"/>
                <w:bCs w:val="1"/>
                <w:color w:val="auto"/>
                <w:w w:val="89"/>
              </w:rPr>
              <w:t>Boise, Idaho 83716-9632</w:t>
            </w:r>
          </w:p>
        </w:tc>
        <w:tc>
          <w:tcPr>
            <w:tcW w:w="40" w:type="dxa"/>
            <w:vAlign w:val="bottom"/>
          </w:tcPr>
          <w:p>
            <w:pPr>
              <w:spacing w:after="0"/>
              <w:rPr>
                <w:sz w:val="19"/>
                <w:szCs w:val="19"/>
                <w:color w:val="auto"/>
              </w:rPr>
            </w:pPr>
          </w:p>
        </w:tc>
      </w:tr>
      <w:tr>
        <w:trPr>
          <w:trHeight w:val="230"/>
        </w:trPr>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gridSpan w:val="2"/>
          </w:tcPr>
          <w:p>
            <w:pPr>
              <w:jc w:val="center"/>
              <w:ind w:right="4190"/>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r>
      <w:tr>
        <w:trPr>
          <w:trHeight w:val="324"/>
        </w:trPr>
        <w:tc>
          <w:tcPr>
            <w:tcW w:w="3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4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519"/>
        </w:trPr>
        <w:tc>
          <w:tcPr>
            <w:tcW w:w="3900" w:type="dxa"/>
            <w:vAlign w:val="bottom"/>
          </w:tcPr>
          <w:p>
            <w:pPr>
              <w:spacing w:after="0"/>
              <w:rPr>
                <w:sz w:val="24"/>
                <w:szCs w:val="24"/>
                <w:color w:val="auto"/>
              </w:rPr>
            </w:pPr>
          </w:p>
        </w:tc>
        <w:tc>
          <w:tcPr>
            <w:tcW w:w="7520" w:type="dxa"/>
            <w:vAlign w:val="bottom"/>
            <w:gridSpan w:val="3"/>
          </w:tcPr>
          <w:p>
            <w:pPr>
              <w:jc w:val="center"/>
              <w:ind w:right="3790"/>
              <w:spacing w:after="0"/>
              <w:rPr>
                <w:sz w:val="20"/>
                <w:szCs w:val="20"/>
                <w:color w:val="auto"/>
              </w:rPr>
            </w:pPr>
            <w:r>
              <w:rPr>
                <w:rFonts w:ascii="Arial" w:cs="Arial" w:eastAsia="Arial" w:hAnsi="Arial"/>
                <w:sz w:val="18"/>
                <w:szCs w:val="18"/>
                <w:b w:val="1"/>
                <w:bCs w:val="1"/>
                <w:color w:val="auto"/>
                <w:w w:val="89"/>
              </w:rPr>
              <w:t>Convertible Senior Notes due October 15, 2013</w:t>
            </w:r>
          </w:p>
        </w:tc>
        <w:tc>
          <w:tcPr>
            <w:tcW w:w="40" w:type="dxa"/>
            <w:vAlign w:val="bottom"/>
          </w:tcPr>
          <w:p>
            <w:pPr>
              <w:spacing w:after="0"/>
              <w:rPr>
                <w:sz w:val="24"/>
                <w:szCs w:val="24"/>
                <w:color w:val="auto"/>
              </w:rPr>
            </w:pPr>
          </w:p>
        </w:tc>
      </w:tr>
      <w:tr>
        <w:trPr>
          <w:trHeight w:val="230"/>
        </w:trPr>
        <w:tc>
          <w:tcPr>
            <w:tcW w:w="39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140" w:type="dxa"/>
            <w:vAlign w:val="bottom"/>
            <w:gridSpan w:val="2"/>
          </w:tcPr>
          <w:p>
            <w:pPr>
              <w:jc w:val="center"/>
              <w:ind w:right="4170"/>
              <w:spacing w:after="0"/>
              <w:rPr>
                <w:sz w:val="20"/>
                <w:szCs w:val="20"/>
                <w:color w:val="auto"/>
              </w:rPr>
            </w:pPr>
            <w:r>
              <w:rPr>
                <w:rFonts w:ascii="Arial" w:cs="Arial" w:eastAsia="Arial" w:hAnsi="Arial"/>
                <w:sz w:val="18"/>
                <w:szCs w:val="18"/>
                <w:color w:val="auto"/>
                <w:w w:val="91"/>
              </w:rPr>
              <w:t>(Title of the indenture securities)</w:t>
            </w:r>
          </w:p>
        </w:tc>
        <w:tc>
          <w:tcPr>
            <w:tcW w:w="40" w:type="dxa"/>
            <w:vAlign w:val="bottom"/>
          </w:tcPr>
          <w:p>
            <w:pPr>
              <w:spacing w:after="0"/>
              <w:rPr>
                <w:sz w:val="20"/>
                <w:szCs w:val="20"/>
                <w:color w:val="auto"/>
              </w:rPr>
            </w:pPr>
          </w:p>
        </w:tc>
      </w:tr>
      <w:tr>
        <w:trPr>
          <w:trHeight w:val="216"/>
        </w:trPr>
        <w:tc>
          <w:tcPr>
            <w:tcW w:w="39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42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82"/>
        </w:trPr>
        <w:tc>
          <w:tcPr>
            <w:tcW w:w="39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880" w:type="dxa"/>
            <w:vAlign w:val="bottom"/>
            <w:tcBorders>
              <w:bottom w:val="single" w:sz="8" w:color="auto"/>
            </w:tcBorders>
          </w:tcPr>
          <w:p>
            <w:pPr>
              <w:spacing w:after="0"/>
              <w:rPr>
                <w:sz w:val="7"/>
                <w:szCs w:val="7"/>
                <w:color w:val="auto"/>
              </w:rPr>
            </w:pPr>
          </w:p>
        </w:tc>
        <w:tc>
          <w:tcPr>
            <w:tcW w:w="426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390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426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 xml:space="preserve">General Information. </w:t>
      </w:r>
      <w:r>
        <w:rPr>
          <w:rFonts w:ascii="Arial" w:cs="Arial" w:eastAsia="Arial" w:hAnsi="Arial"/>
          <w:sz w:val="16"/>
          <w:szCs w:val="16"/>
          <w:color w:val="auto"/>
        </w:rPr>
        <w:t>Furnish the following information as to the trustee:</w:t>
      </w:r>
    </w:p>
    <w:p>
      <w:pPr>
        <w:spacing w:after="0" w:line="225" w:lineRule="exact"/>
        <w:rPr>
          <w:sz w:val="20"/>
          <w:szCs w:val="20"/>
          <w:color w:val="auto"/>
        </w:rPr>
      </w:pPr>
    </w:p>
    <w:p>
      <w:pPr>
        <w:ind w:left="1920" w:hanging="615"/>
        <w:spacing w:after="0"/>
        <w:tabs>
          <w:tab w:leader="none" w:pos="19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Name and address of each examining or supervising authority to which it is subject.</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Comptroller of the Currency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Treasury Department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Federal Deposit Insurance Corporation</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Washington, D.C.</w:t>
      </w:r>
    </w:p>
    <w:p>
      <w:pPr>
        <w:sectPr>
          <w:pgSz w:w="11900" w:h="16861" w:orient="portrait"/>
          <w:cols w:equalWidth="0" w:num="1">
            <w:col w:w="11460"/>
          </w:cols>
          <w:pgMar w:left="240" w:top="364" w:right="199" w:bottom="0" w:gutter="0" w:footer="0" w:header="0"/>
        </w:sectPr>
      </w:pPr>
    </w:p>
    <w:bookmarkStart w:id="160" w:name="page161"/>
    <w:bookmarkEnd w:id="160"/>
    <w:p>
      <w:pPr>
        <w:ind w:left="1960"/>
        <w:spacing w:after="0"/>
        <w:rPr>
          <w:sz w:val="20"/>
          <w:szCs w:val="20"/>
          <w:color w:val="auto"/>
        </w:rPr>
      </w:pPr>
      <w:r>
        <w:rPr>
          <w:rFonts w:ascii="Arial" w:cs="Arial" w:eastAsia="Arial" w:hAnsi="Arial"/>
          <w:sz w:val="18"/>
          <w:szCs w:val="18"/>
          <w:color w:val="auto"/>
        </w:rPr>
        <w:t>Federal Reserve Bank of San Francisco</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 Francisco, California 94120</w:t>
      </w:r>
    </w:p>
    <w:p>
      <w:pPr>
        <w:spacing w:after="0" w:line="21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8"/>
          <w:szCs w:val="18"/>
          <w:color w:val="auto"/>
        </w:rPr>
        <w:t>Whether it is authorized to exercise corporate trust powers.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The trustee is authorized to exercise corporate trust powers.</w:t>
            </w:r>
          </w:p>
        </w:tc>
      </w:tr>
      <w:tr>
        <w:trPr>
          <w:trHeight w:val="392"/>
        </w:trPr>
        <w:tc>
          <w:tcPr>
            <w:tcW w:w="11460" w:type="dxa"/>
            <w:vAlign w:val="bottom"/>
            <w:gridSpan w:val="7"/>
          </w:tcPr>
          <w:p>
            <w:pPr>
              <w:spacing w:after="0"/>
              <w:rPr>
                <w:sz w:val="20"/>
                <w:szCs w:val="20"/>
                <w:color w:val="auto"/>
              </w:rPr>
            </w:pPr>
            <w:r>
              <w:rPr>
                <w:rFonts w:ascii="Arial" w:cs="Arial" w:eastAsia="Arial" w:hAnsi="Arial"/>
                <w:sz w:val="18"/>
                <w:szCs w:val="18"/>
                <w:color w:val="auto"/>
              </w:rPr>
              <w:t>Item 2.  Affiliations with Obligor. If the obligor is an affiliate of the trustee, describe each such affiliation.</w:t>
            </w:r>
          </w:p>
        </w:tc>
      </w:tr>
      <w:tr>
        <w:trPr>
          <w:trHeight w:val="20"/>
        </w:trPr>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r>
      <w:tr>
        <w:trPr>
          <w:trHeight w:val="453"/>
        </w:trPr>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None with respect to the trustee.</w:t>
            </w:r>
          </w:p>
        </w:tc>
      </w:tr>
      <w:tr>
        <w:trPr>
          <w:trHeight w:val="432"/>
        </w:trPr>
        <w:tc>
          <w:tcPr>
            <w:tcW w:w="1900" w:type="dxa"/>
            <w:vAlign w:val="bottom"/>
            <w:gridSpan w:val="5"/>
          </w:tcPr>
          <w:p>
            <w:pPr>
              <w:spacing w:after="0"/>
              <w:rPr>
                <w:sz w:val="20"/>
                <w:szCs w:val="20"/>
                <w:color w:val="auto"/>
              </w:rPr>
            </w:pPr>
            <w:r>
              <w:rPr>
                <w:rFonts w:ascii="Arial" w:cs="Arial" w:eastAsia="Arial" w:hAnsi="Arial"/>
                <w:sz w:val="18"/>
                <w:szCs w:val="18"/>
                <w:color w:val="auto"/>
              </w:rPr>
              <w:t>Items 3-14.</w:t>
            </w:r>
          </w:p>
        </w:tc>
        <w:tc>
          <w:tcPr>
            <w:tcW w:w="9560" w:type="dxa"/>
            <w:vAlign w:val="bottom"/>
            <w:gridSpan w:val="2"/>
          </w:tcPr>
          <w:p>
            <w:pPr>
              <w:ind w:left="40"/>
              <w:spacing w:after="0"/>
              <w:rPr>
                <w:sz w:val="20"/>
                <w:szCs w:val="20"/>
                <w:color w:val="auto"/>
              </w:rPr>
            </w:pPr>
            <w:r>
              <w:rPr>
                <w:rFonts w:ascii="Arial" w:cs="Arial" w:eastAsia="Arial" w:hAnsi="Arial"/>
                <w:sz w:val="18"/>
                <w:szCs w:val="18"/>
                <w:color w:val="auto"/>
                <w:w w:val="97"/>
              </w:rPr>
              <w:t>No responses are included for Items 3-14 of this Form T-1 because the obligor is not in default as provided under Item 13.</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w w:val="95"/>
              </w:rPr>
              <w:t>Item 15.</w:t>
            </w:r>
          </w:p>
        </w:tc>
        <w:tc>
          <w:tcPr>
            <w:tcW w:w="6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8"/>
                <w:szCs w:val="18"/>
                <w:color w:val="auto"/>
                <w:w w:val="89"/>
              </w:rPr>
              <w:t>Foreign Trustee.</w:t>
            </w:r>
          </w:p>
        </w:tc>
        <w:tc>
          <w:tcPr>
            <w:tcW w:w="9560" w:type="dxa"/>
            <w:vAlign w:val="bottom"/>
            <w:gridSpan w:val="2"/>
          </w:tcPr>
          <w:p>
            <w:pPr>
              <w:ind w:left="400"/>
              <w:spacing w:after="0"/>
              <w:rPr>
                <w:sz w:val="20"/>
                <w:szCs w:val="20"/>
                <w:color w:val="auto"/>
              </w:rPr>
            </w:pPr>
            <w:r>
              <w:rPr>
                <w:rFonts w:ascii="Arial" w:cs="Arial" w:eastAsia="Arial" w:hAnsi="Arial"/>
                <w:sz w:val="18"/>
                <w:szCs w:val="18"/>
                <w:color w:val="auto"/>
              </w:rPr>
              <w:t>Not applicable.</w:t>
            </w:r>
          </w:p>
        </w:tc>
      </w:tr>
      <w:tr>
        <w:trPr>
          <w:trHeight w:val="412"/>
        </w:trPr>
        <w:tc>
          <w:tcPr>
            <w:tcW w:w="640" w:type="dxa"/>
            <w:vAlign w:val="bottom"/>
          </w:tcPr>
          <w:p>
            <w:pPr>
              <w:spacing w:after="0"/>
              <w:rPr>
                <w:sz w:val="20"/>
                <w:szCs w:val="20"/>
                <w:color w:val="auto"/>
              </w:rPr>
            </w:pPr>
            <w:r>
              <w:rPr>
                <w:rFonts w:ascii="Arial" w:cs="Arial" w:eastAsia="Arial" w:hAnsi="Arial"/>
                <w:sz w:val="18"/>
                <w:szCs w:val="18"/>
                <w:color w:val="auto"/>
                <w:w w:val="95"/>
              </w:rPr>
              <w:t>Item 16.</w:t>
            </w:r>
          </w:p>
        </w:tc>
        <w:tc>
          <w:tcPr>
            <w:tcW w:w="60" w:type="dxa"/>
            <w:vAlign w:val="bottom"/>
          </w:tcPr>
          <w:p>
            <w:pPr>
              <w:spacing w:after="0"/>
              <w:rPr>
                <w:sz w:val="24"/>
                <w:szCs w:val="24"/>
                <w:color w:val="auto"/>
              </w:rPr>
            </w:pPr>
          </w:p>
        </w:tc>
        <w:tc>
          <w:tcPr>
            <w:tcW w:w="1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5"/>
              </w:rPr>
              <w:t>List of Exhibits.</w:t>
            </w:r>
          </w:p>
        </w:tc>
        <w:tc>
          <w:tcPr>
            <w:tcW w:w="20" w:type="dxa"/>
            <w:vAlign w:val="bottom"/>
          </w:tcPr>
          <w:p>
            <w:pPr>
              <w:spacing w:after="0"/>
              <w:rPr>
                <w:sz w:val="24"/>
                <w:szCs w:val="24"/>
                <w:color w:val="auto"/>
              </w:rPr>
            </w:pPr>
          </w:p>
        </w:tc>
        <w:tc>
          <w:tcPr>
            <w:tcW w:w="9560" w:type="dxa"/>
            <w:vAlign w:val="bottom"/>
            <w:gridSpan w:val="2"/>
          </w:tcPr>
          <w:p>
            <w:pPr>
              <w:ind w:left="420"/>
              <w:spacing w:after="0"/>
              <w:rPr>
                <w:sz w:val="20"/>
                <w:szCs w:val="20"/>
                <w:color w:val="auto"/>
              </w:rPr>
            </w:pPr>
            <w:r>
              <w:rPr>
                <w:rFonts w:ascii="Arial" w:cs="Arial" w:eastAsia="Arial" w:hAnsi="Arial"/>
                <w:sz w:val="18"/>
                <w:szCs w:val="18"/>
                <w:color w:val="auto"/>
              </w:rPr>
              <w:t>List below all exhibits filed as a part of this Statement of Eligibility.</w:t>
            </w:r>
          </w:p>
        </w:tc>
      </w:tr>
      <w:tr>
        <w:trPr>
          <w:trHeight w:val="20"/>
        </w:trPr>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560" w:type="dxa"/>
            <w:vAlign w:val="bottom"/>
            <w:gridSpan w:val="2"/>
          </w:tcPr>
          <w:p>
            <w:pPr>
              <w:spacing w:after="0" w:line="20" w:lineRule="exact"/>
              <w:rPr>
                <w:sz w:val="1"/>
                <w:szCs w:val="1"/>
                <w:color w:val="auto"/>
              </w:rPr>
            </w:pPr>
          </w:p>
        </w:tc>
      </w:tr>
      <w:tr>
        <w:trPr>
          <w:trHeight w:val="453"/>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1.</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A copy of the Articles of Association of the trustee now in effect.*</w:t>
            </w:r>
          </w:p>
        </w:tc>
      </w:tr>
      <w:tr>
        <w:trPr>
          <w:trHeight w:val="418"/>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2.</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w w:val="98"/>
              </w:rPr>
              <w:t>A copy of the Comptroller of the Currency Certificate of Corporate Existence and Fiduciary Powers for Wells Fargo Bank,</w:t>
            </w: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National Association, dated February 4, 2004.**</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3.</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See Exhibit 2</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4.</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Copy of By-laws of the trustee as now in effect.***</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5.</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6.</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The consent of the trustee required by Section 321(b) of the Act.</w:t>
            </w:r>
          </w:p>
        </w:tc>
      </w:tr>
      <w:tr>
        <w:trPr>
          <w:trHeight w:val="418"/>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7.</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w w:val="91"/>
              </w:rPr>
              <w:t>A copy of the latest report of condition of the trustee published pursuant to law or the requirements of its supervising or examining</w:t>
            </w:r>
          </w:p>
        </w:tc>
      </w:tr>
      <w:tr>
        <w:trPr>
          <w:trHeight w:val="230"/>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560" w:type="dxa"/>
            <w:vAlign w:val="bottom"/>
            <w:gridSpan w:val="2"/>
          </w:tcPr>
          <w:p>
            <w:pPr>
              <w:ind w:left="60"/>
              <w:spacing w:after="0"/>
              <w:rPr>
                <w:sz w:val="20"/>
                <w:szCs w:val="20"/>
                <w:color w:val="auto"/>
              </w:rPr>
            </w:pPr>
            <w:r>
              <w:rPr>
                <w:rFonts w:ascii="Arial" w:cs="Arial" w:eastAsia="Arial" w:hAnsi="Arial"/>
                <w:sz w:val="18"/>
                <w:szCs w:val="18"/>
                <w:color w:val="auto"/>
              </w:rPr>
              <w:t>authority.</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8.</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432"/>
        </w:trPr>
        <w:tc>
          <w:tcPr>
            <w:tcW w:w="640" w:type="dxa"/>
            <w:vAlign w:val="bottom"/>
          </w:tcPr>
          <w:p>
            <w:pPr>
              <w:spacing w:after="0"/>
              <w:rPr>
                <w:sz w:val="24"/>
                <w:szCs w:val="24"/>
                <w:color w:val="auto"/>
              </w:rPr>
            </w:pPr>
          </w:p>
        </w:tc>
        <w:tc>
          <w:tcPr>
            <w:tcW w:w="1260" w:type="dxa"/>
            <w:vAlign w:val="bottom"/>
            <w:gridSpan w:val="4"/>
          </w:tcPr>
          <w:p>
            <w:pPr>
              <w:ind w:left="20"/>
              <w:spacing w:after="0"/>
              <w:rPr>
                <w:sz w:val="20"/>
                <w:szCs w:val="20"/>
                <w:color w:val="auto"/>
              </w:rPr>
            </w:pPr>
            <w:r>
              <w:rPr>
                <w:rFonts w:ascii="Arial" w:cs="Arial" w:eastAsia="Arial" w:hAnsi="Arial"/>
                <w:sz w:val="18"/>
                <w:szCs w:val="18"/>
                <w:color w:val="auto"/>
              </w:rPr>
              <w:t>Exhibit 9.</w:t>
            </w:r>
          </w:p>
        </w:tc>
        <w:tc>
          <w:tcPr>
            <w:tcW w:w="9560" w:type="dxa"/>
            <w:vAlign w:val="bottom"/>
            <w:gridSpan w:val="2"/>
          </w:tcPr>
          <w:p>
            <w:pPr>
              <w:ind w:left="80"/>
              <w:spacing w:after="0"/>
              <w:rPr>
                <w:sz w:val="20"/>
                <w:szCs w:val="20"/>
                <w:color w:val="auto"/>
              </w:rPr>
            </w:pPr>
            <w:r>
              <w:rPr>
                <w:rFonts w:ascii="Arial" w:cs="Arial" w:eastAsia="Arial" w:hAnsi="Arial"/>
                <w:sz w:val="18"/>
                <w:szCs w:val="18"/>
                <w:color w:val="auto"/>
              </w:rPr>
              <w:t>Not applicable.</w:t>
            </w:r>
          </w:p>
        </w:tc>
      </w:tr>
      <w:tr>
        <w:trPr>
          <w:trHeight w:val="348"/>
        </w:trPr>
        <w:tc>
          <w:tcPr>
            <w:tcW w:w="6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8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426720</wp:posOffset>
            </wp:positionV>
            <wp:extent cx="177546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0" w:right="60" w:hanging="8"/>
        <w:spacing w:after="0" w:line="277" w:lineRule="auto"/>
        <w:tabs>
          <w:tab w:leader="none" w:pos="659"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December 30, 2005 of file number 333-130784-06.</w:t>
      </w:r>
    </w:p>
    <w:p>
      <w:pPr>
        <w:spacing w:after="0" w:line="170" w:lineRule="exact"/>
        <w:rPr>
          <w:sz w:val="20"/>
          <w:szCs w:val="20"/>
          <w:color w:val="auto"/>
        </w:rPr>
      </w:pPr>
    </w:p>
    <w:p>
      <w:pPr>
        <w:ind w:left="340" w:right="180" w:hanging="8"/>
        <w:spacing w:after="0" w:line="277" w:lineRule="auto"/>
        <w:tabs>
          <w:tab w:leader="none" w:pos="635" w:val="left"/>
        </w:tabs>
        <w:numPr>
          <w:ilvl w:val="0"/>
          <w:numId w:val="247"/>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T-3 dated March 3, 2004 of file number 022-28721.</w:t>
      </w:r>
    </w:p>
    <w:p>
      <w:pPr>
        <w:spacing w:after="0" w:line="170" w:lineRule="exact"/>
        <w:rPr>
          <w:rFonts w:ascii="Arial" w:cs="Arial" w:eastAsia="Arial" w:hAnsi="Arial"/>
          <w:sz w:val="18"/>
          <w:szCs w:val="18"/>
          <w:color w:val="auto"/>
        </w:rPr>
      </w:pPr>
    </w:p>
    <w:p>
      <w:pPr>
        <w:ind w:left="340" w:right="200" w:hanging="8"/>
        <w:spacing w:after="0" w:line="277" w:lineRule="auto"/>
        <w:tabs>
          <w:tab w:leader="none" w:pos="65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Incorporated by reference to the exhibit of the same number to the trustee’s Form T-1 filed as exhibit 25 to the Form S-4 dated May 26, 2005 of file number 333-125274.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280"/>
        <w:spacing w:after="0" w:line="294" w:lineRule="auto"/>
        <w:rPr>
          <w:sz w:val="20"/>
          <w:szCs w:val="20"/>
          <w:color w:val="auto"/>
        </w:rPr>
      </w:pPr>
      <w:r>
        <w:rPr>
          <w:rFonts w:ascii="Arial" w:cs="Arial" w:eastAsia="Arial" w:hAnsi="Arial"/>
          <w:sz w:val="17"/>
          <w:szCs w:val="17"/>
          <w:color w:val="auto"/>
        </w:rPr>
        <w:t>Pursuant to the requirements of the Trust Indenture Act of 1939, as amended, the trustee, Wells Fargo Bank, National Association, a national banking association organized and existing under the laws of the United States of America, has duly caused this statement of eligibility to be signed on its behalf by the undersigned, thereunto duly authorized, all in the City of Minneapolis and State of Minnesota on the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day of April, 2009.</w:t>
      </w:r>
    </w:p>
    <w:p>
      <w:pPr>
        <w:spacing w:after="0" w:line="292"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 Lynn M. Steiner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362775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4/6/09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ectPr>
          <w:pgSz w:w="11900" w:h="16838" w:orient="portrait"/>
          <w:cols w:equalWidth="0" w:num="1">
            <w:col w:w="11460"/>
          </w:cols>
          <w:pgMar w:left="240" w:top="341" w:right="199" w:bottom="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Washington, D.C. 20549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In accordance with Section 321(b) of the Trust Indenture Act of 1939, as amended, the undersigned hereby consents that reports of examination of the undersigned made by Federal, State, Territorial, or District authorities authorized to make such examination may be furnished by such authorities to the Securities and Exchange Commission upon its request therefor.</w:t>
      </w:r>
    </w:p>
    <w:p>
      <w:pPr>
        <w:spacing w:after="0" w:line="3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WELLS FARGO BANK, NATIONAL ASSOCIATION</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Lynn M. Steiner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Lynn M.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7</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Report of Condition of</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of 101 North Phillips Avenue, Sioux Falls, SD 57104</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 Foreign and Domestic Subsidiaries,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 the close of business December 31, 2008, filed in accordance with 12 U.S.C. §161 for National Banks.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Dollar Amounts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 Millions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Noninterest-bearing balances and currency and coin</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Interest-bearing balances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Held-to-maturity securities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Available-for-sale securities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 funds sold in domestic offices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Securities purchased under agreements to resell</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Loans and leases held for sale</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335,209</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LESS: Allowance for loan and lease losses</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8,273</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 and leases, net of unearned income and allowance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326,936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Trading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11,366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Intangible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15,449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28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Deposits: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 domestic offices</w:t>
            </w:r>
          </w:p>
        </w:tc>
        <w:tc>
          <w:tcPr>
            <w:tcW w:w="2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308,404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Noninterest-bearing</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75,417</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Interest-bearing</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232,987</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In foreign offices, Edge and Agreement subsidiaries, and IBFs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38,446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Noninterest-bearing</w:t>
            </w:r>
          </w:p>
        </w:tc>
        <w:tc>
          <w:tcPr>
            <w:tcW w:w="26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991</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Interest-bearing</w:t>
            </w:r>
          </w:p>
        </w:tc>
        <w:tc>
          <w:tcPr>
            <w:tcW w:w="2660" w:type="dxa"/>
            <w:vAlign w:val="bottom"/>
          </w:tcPr>
          <w:p>
            <w:pPr>
              <w:jc w:val="right"/>
              <w:ind w:right="190"/>
              <w:spacing w:after="0"/>
              <w:rPr>
                <w:sz w:val="20"/>
                <w:szCs w:val="20"/>
                <w:color w:val="auto"/>
              </w:rPr>
            </w:pPr>
            <w:r>
              <w:rPr>
                <w:rFonts w:ascii="Arial" w:cs="Arial" w:eastAsia="Arial" w:hAnsi="Arial"/>
                <w:sz w:val="18"/>
                <w:szCs w:val="18"/>
                <w:color w:val="auto"/>
              </w:rPr>
              <w:t>37,455</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160"/>
              <w:spacing w:after="0"/>
              <w:rPr>
                <w:sz w:val="20"/>
                <w:szCs w:val="20"/>
                <w:color w:val="auto"/>
              </w:rPr>
            </w:pPr>
            <w:r>
              <w:rPr>
                <w:rFonts w:ascii="Arial" w:cs="Arial" w:eastAsia="Arial" w:hAnsi="Arial"/>
                <w:sz w:val="18"/>
                <w:szCs w:val="18"/>
                <w:color w:val="auto"/>
              </w:rPr>
              <w:t>Federal funds purchased in domestic offices</w:t>
            </w:r>
          </w:p>
        </w:tc>
        <w:tc>
          <w:tcPr>
            <w:tcW w:w="2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45,153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sold under agreements to repurchase</w:t>
            </w:r>
          </w:p>
        </w:tc>
        <w:tc>
          <w:tcPr>
            <w:tcW w:w="2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010101"/>
            </w:tcBorders>
          </w:tcPr>
          <w:p>
            <w:pPr>
              <w:spacing w:after="0"/>
              <w:rPr>
                <w:sz w:val="24"/>
                <w:szCs w:val="24"/>
                <w:color w:val="auto"/>
              </w:rPr>
            </w:pPr>
          </w:p>
        </w:tc>
        <w:tc>
          <w:tcPr>
            <w:tcW w:w="7280" w:type="dxa"/>
            <w:vAlign w:val="bottom"/>
            <w:tcBorders>
              <w:bottom w:val="single" w:sz="8" w:color="010101"/>
            </w:tcBorders>
          </w:tcPr>
          <w:p>
            <w:pPr>
              <w:spacing w:after="0"/>
              <w:rPr>
                <w:sz w:val="24"/>
                <w:szCs w:val="24"/>
                <w:color w:val="auto"/>
              </w:rPr>
            </w:pPr>
          </w:p>
        </w:tc>
        <w:tc>
          <w:tcPr>
            <w:tcW w:w="266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1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jc w:val="center"/>
        <w:ind w:left="9860"/>
        <w:spacing w:after="0"/>
        <w:rPr>
          <w:sz w:val="20"/>
          <w:szCs w:val="20"/>
          <w:color w:val="auto"/>
        </w:rPr>
      </w:pPr>
      <w:r>
        <w:rPr>
          <w:rFonts w:ascii="Arial" w:cs="Arial" w:eastAsia="Arial" w:hAnsi="Arial"/>
          <w:sz w:val="14"/>
          <w:szCs w:val="14"/>
          <w:b w:val="1"/>
          <w:bCs w:val="1"/>
          <w:color w:val="auto"/>
        </w:rPr>
        <w:t>Dollar Amounts</w:t>
      </w:r>
    </w:p>
    <w:p>
      <w:pPr>
        <w:jc w:val="center"/>
        <w:ind w:left="98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460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p>
      <w:pPr>
        <w:spacing w:after="0"/>
        <w:tabs>
          <w:tab w:leader="none" w:pos="10880" w:val="left"/>
        </w:tabs>
        <w:rPr>
          <w:sz w:val="20"/>
          <w:szCs w:val="20"/>
          <w:color w:val="auto"/>
        </w:rPr>
      </w:pPr>
      <w:r>
        <w:rPr>
          <w:rFonts w:ascii="Arial" w:cs="Arial" w:eastAsia="Arial" w:hAnsi="Arial"/>
          <w:sz w:val="18"/>
          <w:szCs w:val="18"/>
          <w:color w:val="auto"/>
        </w:rPr>
        <w:t>Trading liabilities</w:t>
      </w:r>
      <w:r>
        <w:rPr>
          <w:sz w:val="20"/>
          <w:szCs w:val="20"/>
          <w:color w:val="auto"/>
        </w:rPr>
        <w:tab/>
      </w:r>
      <w:r>
        <w:rPr>
          <w:rFonts w:ascii="Arial" w:cs="Arial" w:eastAsia="Arial" w:hAnsi="Arial"/>
          <w:sz w:val="16"/>
          <w:szCs w:val="16"/>
          <w:color w:val="auto"/>
        </w:rPr>
        <w:t>7,240</w:t>
      </w:r>
    </w:p>
    <w:p>
      <w:pPr>
        <w:sectPr>
          <w:pgSz w:w="11900" w:h="16838" w:orient="portrait"/>
          <w:cols w:equalWidth="0" w:num="1">
            <w:col w:w="11460"/>
          </w:cols>
          <w:pgMar w:left="240" w:top="125" w:right="199" w:bottom="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9960" w:type="dxa"/>
            <w:vAlign w:val="bottom"/>
            <w:gridSpan w:val="2"/>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 liabilities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497,153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Minority interest in consolidated subsidiaries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EQUITY CAPITAL</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Retained earnings</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equity capital components</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equity capital</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41,651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Total liabilities, minority interest, and equity capital</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538,958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I, Howard I. Atkins, EVP &amp; CFO of the above-named bank do hereby declare that this Report of Condition has been prepared in conformance with the instructions issued by the appropriate Federal regulatory authority and is true to the best of my knowledge and belief.</w:t>
      </w:r>
    </w:p>
    <w:p>
      <w:pPr>
        <w:spacing w:after="0" w:line="147" w:lineRule="exact"/>
        <w:rPr>
          <w:sz w:val="20"/>
          <w:szCs w:val="20"/>
          <w:color w:val="auto"/>
        </w:rPr>
      </w:pPr>
    </w:p>
    <w:p>
      <w:pPr>
        <w:jc w:val="center"/>
        <w:ind w:left="8500"/>
        <w:spacing w:after="0"/>
        <w:rPr>
          <w:sz w:val="20"/>
          <w:szCs w:val="20"/>
          <w:color w:val="auto"/>
        </w:rPr>
      </w:pPr>
      <w:r>
        <w:rPr>
          <w:rFonts w:ascii="Arial" w:cs="Arial" w:eastAsia="Arial" w:hAnsi="Arial"/>
          <w:sz w:val="18"/>
          <w:szCs w:val="18"/>
          <w:color w:val="auto"/>
        </w:rPr>
        <w:t>Howard I. Atkins</w:t>
      </w:r>
    </w:p>
    <w:p>
      <w:pPr>
        <w:spacing w:after="0" w:line="23" w:lineRule="exact"/>
        <w:rPr>
          <w:sz w:val="20"/>
          <w:szCs w:val="20"/>
          <w:color w:val="auto"/>
        </w:rPr>
      </w:pPr>
    </w:p>
    <w:p>
      <w:pPr>
        <w:jc w:val="center"/>
        <w:ind w:left="8500"/>
        <w:spacing w:after="0"/>
        <w:rPr>
          <w:sz w:val="20"/>
          <w:szCs w:val="20"/>
          <w:color w:val="auto"/>
        </w:rPr>
      </w:pPr>
      <w:r>
        <w:rPr>
          <w:rFonts w:ascii="Arial" w:cs="Arial" w:eastAsia="Arial" w:hAnsi="Arial"/>
          <w:sz w:val="18"/>
          <w:szCs w:val="18"/>
          <w:color w:val="auto"/>
        </w:rPr>
        <w:t>EVP &amp; CFO</w:t>
      </w:r>
    </w:p>
    <w:p>
      <w:pPr>
        <w:spacing w:after="0" w:line="211"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the undersigned directors, attest to the correctness of this Report of Condition and declare that it has been examined by us and to the best of our knowledge and belief has been prepared in conformance with the instructions issued by the appropriate Federal regulatory authority and is true and correct.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Dave Hoyt</w:t>
      </w:r>
    </w:p>
    <w:p>
      <w:pPr>
        <w:spacing w:after="0" w:line="23" w:lineRule="exact"/>
        <w:rPr>
          <w:sz w:val="20"/>
          <w:szCs w:val="20"/>
          <w:color w:val="auto"/>
        </w:rPr>
      </w:pPr>
    </w:p>
    <w:p>
      <w:pPr>
        <w:spacing w:after="0"/>
        <w:tabs>
          <w:tab w:leader="none" w:pos="3920" w:val="left"/>
        </w:tabs>
        <w:rPr>
          <w:sz w:val="20"/>
          <w:szCs w:val="20"/>
          <w:color w:val="auto"/>
        </w:rPr>
      </w:pPr>
      <w:r>
        <w:rPr>
          <w:rFonts w:ascii="Arial" w:cs="Arial" w:eastAsia="Arial" w:hAnsi="Arial"/>
          <w:sz w:val="18"/>
          <w:szCs w:val="18"/>
          <w:color w:val="auto"/>
        </w:rPr>
        <w:t>John Stumpf</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Carrie Tolstedt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4FD6B4F"/>
    <w:multiLevelType w:val="hybridMultilevel"/>
    <w:lvl w:ilvl="0">
      <w:lvlJc w:val="left"/>
      <w:lvlText w:val="(%1)"/>
      <w:numFmt w:val="decimal"/>
      <w:start w:val="1"/>
    </w:lvl>
  </w:abstractNum>
  <w:abstractNum w:abstractNumId="1">
    <w:nsid w:val="5915FF32"/>
    <w:multiLevelType w:val="hybridMultilevel"/>
    <w:lvl w:ilvl="0">
      <w:lvlJc w:val="left"/>
      <w:lvlText w:val="(%1)"/>
      <w:numFmt w:val="decimal"/>
      <w:start w:val="1"/>
    </w:lvl>
  </w:abstractNum>
  <w:abstractNum w:abstractNumId="2">
    <w:nsid w:val="56438D15"/>
    <w:multiLevelType w:val="hybridMultilevel"/>
    <w:lvl w:ilvl="0">
      <w:lvlJc w:val="left"/>
      <w:lvlText w:val="•"/>
      <w:numFmt w:val="bullet"/>
      <w:start w:val="1"/>
    </w:lvl>
  </w:abstractNum>
  <w:abstractNum w:abstractNumId="3">
    <w:nsid w:val="519E3149"/>
    <w:multiLevelType w:val="hybridMultilevel"/>
    <w:lvl w:ilvl="0">
      <w:lvlJc w:val="left"/>
      <w:lvlText w:val="•"/>
      <w:numFmt w:val="bullet"/>
      <w:start w:val="1"/>
    </w:lvl>
  </w:abstractNum>
  <w:abstractNum w:abstractNumId="4">
    <w:nsid w:val="2C6E4AFD"/>
    <w:multiLevelType w:val="hybridMultilevel"/>
    <w:lvl w:ilvl="0">
      <w:lvlJc w:val="left"/>
      <w:lvlText w:val="•"/>
      <w:numFmt w:val="bullet"/>
      <w:start w:val="1"/>
    </w:lvl>
  </w:abstractNum>
  <w:abstractNum w:abstractNumId="5">
    <w:nsid w:val="17A1B582"/>
    <w:multiLevelType w:val="hybridMultilevel"/>
    <w:lvl w:ilvl="0">
      <w:lvlJc w:val="left"/>
      <w:lvlText w:val="$"/>
      <w:numFmt w:val="bullet"/>
      <w:start w:val="1"/>
    </w:lvl>
  </w:abstractNum>
  <w:abstractNum w:abstractNumId="6">
    <w:nsid w:val="4DF72E4E"/>
    <w:multiLevelType w:val="hybridMultilevel"/>
    <w:lvl w:ilvl="0">
      <w:lvlJc w:val="left"/>
      <w:lvlText w:val="*"/>
      <w:numFmt w:val="bullet"/>
      <w:start w:val="1"/>
    </w:lvl>
  </w:abstractNum>
  <w:abstractNum w:abstractNumId="7">
    <w:nsid w:val="5046B5A9"/>
    <w:multiLevelType w:val="hybridMultilevel"/>
    <w:lvl w:ilvl="0">
      <w:lvlJc w:val="left"/>
      <w:lvlText w:val="**"/>
      <w:numFmt w:val="bullet"/>
      <w:start w:val="1"/>
    </w:lvl>
  </w:abstractNum>
  <w:abstractNum w:abstractNumId="8">
    <w:nsid w:val="5D888A08"/>
    <w:multiLevelType w:val="hybridMultilevel"/>
    <w:lvl w:ilvl="0">
      <w:lvlJc w:val="left"/>
      <w:lvlText w:val="*"/>
      <w:numFmt w:val="bullet"/>
      <w:start w:val="1"/>
    </w:lvl>
  </w:abstractNum>
  <w:abstractNum w:abstractNumId="9">
    <w:nsid w:val="2A082C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0">
    <w:nsid w:val="5EC6AFD4"/>
    <w:multiLevelType w:val="hybridMultilevel"/>
    <w:lvl w:ilvl="0">
      <w:lvlJc w:val="left"/>
      <w:lvlText w:val="(%1)"/>
      <w:numFmt w:val="lowerRoman"/>
      <w:start w:val="3"/>
    </w:lvl>
  </w:abstractNum>
  <w:abstractNum w:abstractNumId="11">
    <w:nsid w:val="19E21BB2"/>
    <w:multiLevelType w:val="hybridMultilevel"/>
    <w:lvl w:ilvl="0">
      <w:lvlJc w:val="left"/>
      <w:lvlText w:val="(%1)"/>
      <w:numFmt w:val="decimal"/>
      <w:start w:val="2"/>
    </w:lvl>
    <w:lvl w:ilvl="1">
      <w:lvlJc w:val="left"/>
      <w:lvlText w:val="(%2)"/>
      <w:numFmt w:val="lowerRoman"/>
      <w:start w:val="1"/>
    </w:lvl>
  </w:abstractNum>
  <w:abstractNum w:abstractNumId="12">
    <w:nsid w:val="75E0858A"/>
    <w:multiLevelType w:val="hybridMultilevel"/>
    <w:lvl w:ilvl="0">
      <w:lvlJc w:val="left"/>
      <w:lvlText w:val="(%1)"/>
      <w:numFmt w:val="decimal"/>
      <w:start w:val="5"/>
    </w:lvl>
  </w:abstractNum>
  <w:abstractNum w:abstractNumId="13">
    <w:nsid w:val="57A61A29"/>
    <w:multiLevelType w:val="hybridMultilevel"/>
    <w:lvl w:ilvl="0">
      <w:lvlJc w:val="left"/>
      <w:lvlText w:val="%1"/>
      <w:numFmt w:val="lowerLetter"/>
      <w:start w:val="1"/>
    </w:lvl>
    <w:lvl w:ilvl="1">
      <w:lvlJc w:val="left"/>
      <w:lvlText w:val="(%2)"/>
      <w:numFmt w:val="lowerRoman"/>
      <w:start w:val="1"/>
    </w:lvl>
  </w:abstractNum>
  <w:abstractNum w:abstractNumId="14">
    <w:nsid w:val="5399C654"/>
    <w:multiLevelType w:val="hybridMultilevel"/>
    <w:lvl w:ilvl="0">
      <w:lvlJc w:val="left"/>
      <w:lvlText w:val="(%1)"/>
      <w:numFmt w:val="lowerLetter"/>
      <w:start w:val="2"/>
    </w:lvl>
    <w:lvl w:ilvl="1">
      <w:lvlJc w:val="left"/>
      <w:lvlText w:val="%2"/>
      <w:numFmt w:val="lowerRoman"/>
      <w:start w:val="1"/>
    </w:lvl>
  </w:abstractNum>
  <w:abstractNum w:abstractNumId="15">
    <w:nsid w:val="20EE1348"/>
    <w:multiLevelType w:val="hybridMultilevel"/>
    <w:lvl w:ilvl="0">
      <w:lvlJc w:val="left"/>
      <w:lvlText w:val="*"/>
      <w:numFmt w:val="bullet"/>
      <w:start w:val="1"/>
    </w:lvl>
  </w:abstractNum>
  <w:abstractNum w:abstractNumId="16">
    <w:nsid w:val="4427069A"/>
    <w:multiLevelType w:val="hybridMultilevel"/>
    <w:lvl w:ilvl="0">
      <w:lvlJc w:val="left"/>
      <w:lvlText w:val="(%1)"/>
      <w:numFmt w:val="decimal"/>
      <w:start w:val="1"/>
    </w:lvl>
  </w:abstractNum>
  <w:abstractNum w:abstractNumId="17">
    <w:nsid w:val="B37E80A"/>
    <w:multiLevelType w:val="hybridMultilevel"/>
    <w:lvl w:ilvl="0">
      <w:lvlJc w:val="left"/>
      <w:lvlText w:val="(%1)"/>
      <w:numFmt w:val="decimal"/>
      <w:start w:val="1"/>
    </w:lvl>
  </w:abstractNum>
  <w:abstractNum w:abstractNumId="18">
    <w:nsid w:val="2157F6BC"/>
    <w:multiLevelType w:val="hybridMultilevel"/>
    <w:lvl w:ilvl="0">
      <w:lvlJc w:val="left"/>
      <w:lvlText w:val="(%1)"/>
      <w:numFmt w:val="decimal"/>
      <w:start w:val="1"/>
    </w:lvl>
  </w:abstractNum>
  <w:abstractNum w:abstractNumId="19">
    <w:nsid w:val="704E1DD5"/>
    <w:multiLevelType w:val="hybridMultilevel"/>
    <w:lvl w:ilvl="0">
      <w:lvlJc w:val="left"/>
      <w:lvlText w:val="(%1)"/>
      <w:numFmt w:val="decimal"/>
      <w:start w:val="1"/>
    </w:lvl>
  </w:abstractNum>
  <w:abstractNum w:abstractNumId="20">
    <w:nsid w:val="57D2F10E"/>
    <w:multiLevelType w:val="hybridMultilevel"/>
    <w:lvl w:ilvl="0">
      <w:lvlJc w:val="left"/>
      <w:lvlText w:val="(%1)"/>
      <w:numFmt w:val="decimal"/>
      <w:start w:val="1"/>
    </w:lvl>
  </w:abstractNum>
  <w:abstractNum w:abstractNumId="21">
    <w:nsid w:val="BFFAE18"/>
    <w:multiLevelType w:val="hybridMultilevel"/>
    <w:lvl w:ilvl="0">
      <w:lvlJc w:val="left"/>
      <w:lvlText w:val="(%1)"/>
      <w:numFmt w:val="decimal"/>
      <w:start w:val="4"/>
    </w:lvl>
  </w:abstractNum>
  <w:abstractNum w:abstractNumId="22">
    <w:nsid w:val="E3E47A8"/>
    <w:multiLevelType w:val="hybridMultilevel"/>
    <w:lvl w:ilvl="0">
      <w:lvlJc w:val="left"/>
      <w:lvlText w:val="(%1)"/>
      <w:numFmt w:val="decimal"/>
      <w:start w:val="8"/>
    </w:lvl>
  </w:abstractNum>
  <w:abstractNum w:abstractNumId="23">
    <w:nsid w:val="2E48F044"/>
    <w:multiLevelType w:val="hybridMultilevel"/>
    <w:lvl w:ilvl="0">
      <w:lvlJc w:val="left"/>
      <w:lvlText w:val="(%1)"/>
      <w:numFmt w:val="decimal"/>
      <w:start w:val="16"/>
    </w:lvl>
  </w:abstractNum>
  <w:abstractNum w:abstractNumId="24">
    <w:nsid w:val="49D0FEAC"/>
    <w:multiLevelType w:val="hybridMultilevel"/>
    <w:lvl w:ilvl="0">
      <w:lvlJc w:val="left"/>
      <w:lvlText w:val="(%1)"/>
      <w:numFmt w:val="decimal"/>
      <w:start w:val="21"/>
    </w:lvl>
  </w:abstractNum>
  <w:abstractNum w:abstractNumId="25">
    <w:nsid w:val="4BEE5A5B"/>
    <w:multiLevelType w:val="hybridMultilevel"/>
    <w:lvl w:ilvl="0">
      <w:lvlJc w:val="left"/>
      <w:lvlText w:val="(%1)"/>
      <w:numFmt w:val="decimal"/>
      <w:start w:val="1"/>
    </w:lvl>
  </w:abstractNum>
  <w:abstractNum w:abstractNumId="26">
    <w:nsid w:val="5551B9F3"/>
    <w:multiLevelType w:val="hybridMultilevel"/>
    <w:lvl w:ilvl="0">
      <w:lvlJc w:val="left"/>
      <w:lvlText w:val="(%1)"/>
      <w:numFmt w:val="decimal"/>
      <w:start w:val="1"/>
    </w:lvl>
  </w:abstractNum>
  <w:abstractNum w:abstractNumId="27">
    <w:nsid w:val="24F6AB8E"/>
    <w:multiLevelType w:val="hybridMultilevel"/>
    <w:lvl w:ilvl="0">
      <w:lvlJc w:val="left"/>
      <w:lvlText w:val="(%1)"/>
      <w:numFmt w:val="decimal"/>
      <w:start w:val="3"/>
    </w:lvl>
  </w:abstractNum>
  <w:abstractNum w:abstractNumId="28">
    <w:nsid w:val="634C574C"/>
    <w:multiLevelType w:val="hybridMultilevel"/>
    <w:lvl w:ilvl="0">
      <w:lvlJc w:val="left"/>
      <w:lvlText w:val="(%1)"/>
      <w:numFmt w:val="lowerRoman"/>
      <w:start w:val="2"/>
    </w:lvl>
  </w:abstractNum>
  <w:abstractNum w:abstractNumId="29">
    <w:nsid w:val="24E99DD7"/>
    <w:multiLevelType w:val="hybridMultilevel"/>
    <w:lvl w:ilvl="0">
      <w:lvlJc w:val="left"/>
      <w:lvlText w:val="(%1)"/>
      <w:numFmt w:val="decimal"/>
      <w:start w:val="1"/>
    </w:lvl>
  </w:abstractNum>
  <w:abstractNum w:abstractNumId="30">
    <w:nsid w:val="2A31B62D"/>
    <w:multiLevelType w:val="hybridMultilevel"/>
    <w:lvl w:ilvl="0">
      <w:lvlJc w:val="left"/>
      <w:lvlText w:val="(%1)"/>
      <w:numFmt w:val="decimal"/>
      <w:start w:val="2"/>
    </w:lvl>
  </w:abstractNum>
  <w:abstractNum w:abstractNumId="31">
    <w:nsid w:val="1849C29B"/>
    <w:multiLevelType w:val="hybridMultilevel"/>
    <w:lvl w:ilvl="0">
      <w:lvlJc w:val="left"/>
      <w:lvlText w:val="(%1)"/>
      <w:numFmt w:val="decimal"/>
      <w:start w:val="1"/>
    </w:lvl>
    <w:lvl w:ilvl="1">
      <w:lvlJc w:val="left"/>
      <w:lvlText w:val="(%2)"/>
      <w:numFmt w:val="upperLetter"/>
      <w:start w:val="1"/>
    </w:lvl>
  </w:abstractNum>
  <w:abstractNum w:abstractNumId="32">
    <w:nsid w:val="7DFF9D09"/>
    <w:multiLevelType w:val="hybridMultilevel"/>
    <w:lvl w:ilvl="0">
      <w:lvlJc w:val="left"/>
      <w:lvlText w:val="(%1)"/>
      <w:numFmt w:val="upperLetter"/>
      <w:start w:val="2"/>
    </w:lvl>
    <w:lvl w:ilvl="1">
      <w:lvlJc w:val="left"/>
      <w:lvlText w:val="(%2)"/>
      <w:numFmt w:val="lowerRoman"/>
      <w:start w:val="1"/>
    </w:lvl>
  </w:abstractNum>
  <w:abstractNum w:abstractNumId="33">
    <w:nsid w:val="754342"/>
    <w:multiLevelType w:val="hybridMultilevel"/>
    <w:lvl w:ilvl="0">
      <w:lvlJc w:val="left"/>
      <w:lvlText w:val="(%1)"/>
      <w:numFmt w:val="decimal"/>
      <w:start w:val="2"/>
    </w:lvl>
  </w:abstractNum>
  <w:abstractNum w:abstractNumId="34">
    <w:nsid w:val="69E7F3E5"/>
    <w:multiLevelType w:val="hybridMultilevel"/>
    <w:lvl w:ilvl="0">
      <w:lvlJc w:val="left"/>
      <w:lvlText w:val="(%1)"/>
      <w:numFmt w:val="decimal"/>
      <w:start w:val="3"/>
    </w:lvl>
  </w:abstractNum>
  <w:abstractNum w:abstractNumId="35">
    <w:nsid w:val="2A6DE806"/>
    <w:multiLevelType w:val="hybridMultilevel"/>
    <w:lvl w:ilvl="0">
      <w:lvlJc w:val="left"/>
      <w:lvlText w:val="(%1)"/>
      <w:numFmt w:val="decimal"/>
      <w:start w:val="1"/>
    </w:lvl>
  </w:abstractNum>
  <w:abstractNum w:abstractNumId="36">
    <w:nsid w:val="1816F8C4"/>
    <w:multiLevelType w:val="hybridMultilevel"/>
    <w:lvl w:ilvl="0">
      <w:lvlJc w:val="left"/>
      <w:lvlText w:val="(%1)"/>
      <w:numFmt w:val="decimal"/>
      <w:start w:val="6"/>
    </w:lvl>
  </w:abstractNum>
  <w:abstractNum w:abstractNumId="37">
    <w:nsid w:val="37DF2233"/>
    <w:multiLevelType w:val="hybridMultilevel"/>
    <w:lvl w:ilvl="0">
      <w:lvlJc w:val="left"/>
      <w:lvlText w:val="(%1)"/>
      <w:numFmt w:val="lowerLetter"/>
      <w:start w:val="1"/>
    </w:lvl>
  </w:abstractNum>
  <w:abstractNum w:abstractNumId="38">
    <w:nsid w:val="7AB49DAF"/>
    <w:multiLevelType w:val="hybridMultilevel"/>
    <w:lvl w:ilvl="0">
      <w:lvlJc w:val="left"/>
      <w:lvlText w:val="(%1)"/>
      <w:numFmt w:val="lowerLetter"/>
      <w:start w:val="2"/>
    </w:lvl>
  </w:abstractNum>
  <w:abstractNum w:abstractNumId="39">
    <w:nsid w:val="759F82C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40">
    <w:nsid w:val="61E74EA3"/>
    <w:multiLevelType w:val="hybridMultilevel"/>
    <w:lvl w:ilvl="0">
      <w:lvlJc w:val="left"/>
      <w:lvlText w:val="(%1)"/>
      <w:numFmt w:val="decimal"/>
      <w:start w:val="2"/>
    </w:lvl>
  </w:abstractNum>
  <w:abstractNum w:abstractNumId="41">
    <w:nsid w:val="597B4D84"/>
    <w:multiLevelType w:val="hybridMultilevel"/>
    <w:lvl w:ilvl="0">
      <w:lvlJc w:val="left"/>
      <w:lvlText w:val="(%1)"/>
      <w:numFmt w:val="decimal"/>
      <w:start w:val="1"/>
    </w:lvl>
  </w:abstractNum>
  <w:abstractNum w:abstractNumId="42">
    <w:nsid w:val="F819E7F"/>
    <w:multiLevelType w:val="hybridMultilevel"/>
    <w:lvl w:ilvl="0">
      <w:lvlJc w:val="left"/>
      <w:lvlText w:val="(%1)"/>
      <w:numFmt w:val="decimal"/>
      <w:start w:val="1"/>
    </w:lvl>
  </w:abstractNum>
  <w:abstractNum w:abstractNumId="43">
    <w:nsid w:val="57C7D42D"/>
    <w:multiLevelType w:val="hybridMultilevel"/>
    <w:lvl w:ilvl="0">
      <w:lvlJc w:val="left"/>
      <w:lvlText w:val="(%1)"/>
      <w:numFmt w:val="decimal"/>
      <w:start w:val="2"/>
    </w:lvl>
  </w:abstractNum>
  <w:abstractNum w:abstractNumId="44">
    <w:nsid w:val="312167AD"/>
    <w:multiLevelType w:val="hybridMultilevel"/>
    <w:lvl w:ilvl="0">
      <w:lvlJc w:val="left"/>
      <w:lvlText w:val="(%1)"/>
      <w:numFmt w:val="decimal"/>
      <w:start w:val="1"/>
    </w:lvl>
  </w:abstractNum>
  <w:abstractNum w:abstractNumId="45">
    <w:nsid w:val="631B64D4"/>
    <w:multiLevelType w:val="hybridMultilevel"/>
    <w:lvl w:ilvl="0">
      <w:lvlJc w:val="left"/>
      <w:lvlText w:val="(%1)"/>
      <w:numFmt w:val="decimal"/>
      <w:start w:val="1"/>
    </w:lvl>
  </w:abstractNum>
  <w:abstractNum w:abstractNumId="46">
    <w:nsid w:val="78B5E776"/>
    <w:multiLevelType w:val="hybridMultilevel"/>
    <w:lvl w:ilvl="0">
      <w:lvlJc w:val="left"/>
      <w:lvlText w:val="(%1)"/>
      <w:numFmt w:val="decimal"/>
      <w:start w:val="3"/>
    </w:lvl>
  </w:abstractNum>
  <w:abstractNum w:abstractNumId="47">
    <w:nsid w:val="75486E47"/>
    <w:multiLevelType w:val="hybridMultilevel"/>
    <w:lvl w:ilvl="0">
      <w:lvlJc w:val="left"/>
      <w:lvlText w:val="(%1)"/>
      <w:numFmt w:val="decimal"/>
      <w:start w:val="1"/>
    </w:lvl>
  </w:abstractNum>
  <w:abstractNum w:abstractNumId="48">
    <w:nsid w:val="6E534CDE"/>
    <w:multiLevelType w:val="hybridMultilevel"/>
    <w:lvl w:ilvl="0">
      <w:lvlJc w:val="left"/>
      <w:lvlText w:val="(%1)"/>
      <w:numFmt w:val="decimal"/>
      <w:start w:val="4"/>
    </w:lvl>
  </w:abstractNum>
  <w:abstractNum w:abstractNumId="49">
    <w:nsid w:val="1A0DDE32"/>
    <w:multiLevelType w:val="hybridMultilevel"/>
    <w:lvl w:ilvl="0">
      <w:lvlJc w:val="left"/>
      <w:lvlText w:val="(%1)"/>
      <w:numFmt w:val="decimal"/>
      <w:start w:val="8"/>
    </w:lvl>
  </w:abstractNum>
  <w:abstractNum w:abstractNumId="50">
    <w:nsid w:val="65968C1C"/>
    <w:multiLevelType w:val="hybridMultilevel"/>
    <w:lvl w:ilvl="0">
      <w:lvlJc w:val="left"/>
      <w:lvlText w:val="(%1)"/>
      <w:numFmt w:val="decimal"/>
      <w:start w:val="1"/>
    </w:lvl>
  </w:abstractNum>
  <w:abstractNum w:abstractNumId="51">
    <w:nsid w:val="46263DEC"/>
    <w:multiLevelType w:val="hybridMultilevel"/>
    <w:lvl w:ilvl="0">
      <w:lvlJc w:val="left"/>
      <w:lvlText w:val="(%1)"/>
      <w:numFmt w:val="decimal"/>
      <w:start w:val="3"/>
    </w:lvl>
  </w:abstractNum>
  <w:abstractNum w:abstractNumId="52">
    <w:nsid w:val="260D8C4A"/>
    <w:multiLevelType w:val="hybridMultilevel"/>
    <w:lvl w:ilvl="0">
      <w:lvlJc w:val="left"/>
      <w:lvlText w:val="(%1)"/>
      <w:numFmt w:val="decimal"/>
      <w:start w:val="1"/>
    </w:lvl>
  </w:abstractNum>
  <w:abstractNum w:abstractNumId="53">
    <w:nsid w:val="73D4D3C4"/>
    <w:multiLevelType w:val="hybridMultilevel"/>
    <w:lvl w:ilvl="0">
      <w:lvlJc w:val="left"/>
      <w:lvlText w:val="(%1)"/>
      <w:numFmt w:val="decimal"/>
      <w:start w:val="1"/>
    </w:lvl>
  </w:abstractNum>
  <w:abstractNum w:abstractNumId="54">
    <w:nsid w:val="746F2E30"/>
    <w:multiLevelType w:val="hybridMultilevel"/>
    <w:lvl w:ilvl="0">
      <w:lvlJc w:val="left"/>
      <w:lvlText w:val="(%1)"/>
      <w:numFmt w:val="decimal"/>
      <w:start w:val="1"/>
    </w:lvl>
  </w:abstractNum>
  <w:abstractNum w:abstractNumId="55">
    <w:nsid w:val="6FDE8AF6"/>
    <w:multiLevelType w:val="hybridMultilevel"/>
    <w:lvl w:ilvl="0">
      <w:lvlJc w:val="left"/>
      <w:lvlText w:val="(%1)"/>
      <w:numFmt w:val="decimal"/>
      <w:start w:val="1"/>
    </w:lvl>
  </w:abstractNum>
  <w:abstractNum w:abstractNumId="56">
    <w:nsid w:val="3FC32E20"/>
    <w:multiLevelType w:val="hybridMultilevel"/>
    <w:lvl w:ilvl="0">
      <w:lvlJc w:val="left"/>
      <w:lvlText w:val="(%1)"/>
      <w:numFmt w:val="upperLetter"/>
      <w:start w:val="2"/>
    </w:lvl>
    <w:lvl w:ilvl="1">
      <w:lvlJc w:val="left"/>
      <w:lvlText w:val="(%2)"/>
      <w:numFmt w:val="decimal"/>
      <w:start w:val="6"/>
    </w:lvl>
  </w:abstractNum>
  <w:abstractNum w:abstractNumId="57">
    <w:nsid w:val="49C0E823"/>
    <w:multiLevelType w:val="hybridMultilevel"/>
    <w:lvl w:ilvl="0">
      <w:lvlJc w:val="left"/>
      <w:lvlText w:val="(%1)"/>
      <w:numFmt w:val="decimal"/>
      <w:start w:val="8"/>
    </w:lvl>
  </w:abstractNum>
  <w:abstractNum w:abstractNumId="58">
    <w:nsid w:val="14D53685"/>
    <w:multiLevelType w:val="hybridMultilevel"/>
    <w:lvl w:ilvl="0">
      <w:lvlJc w:val="left"/>
      <w:lvlText w:val="(%1)"/>
      <w:numFmt w:val="decimal"/>
      <w:start w:val="1"/>
    </w:lvl>
  </w:abstractNum>
  <w:abstractNum w:abstractNumId="59">
    <w:nsid w:val="230F856C"/>
    <w:multiLevelType w:val="hybridMultilevel"/>
    <w:lvl w:ilvl="0">
      <w:lvlJc w:val="left"/>
      <w:lvlText w:val="(%1)"/>
      <w:numFmt w:val="decimal"/>
      <w:start w:val="2"/>
    </w:lvl>
  </w:abstractNum>
  <w:abstractNum w:abstractNumId="60">
    <w:nsid w:val="6EAA85FB"/>
    <w:multiLevelType w:val="hybridMultilevel"/>
    <w:lvl w:ilvl="0">
      <w:lvlJc w:val="left"/>
      <w:lvlText w:val="(%1)"/>
      <w:numFmt w:val="decimal"/>
      <w:start w:val="1"/>
    </w:lvl>
  </w:abstractNum>
  <w:abstractNum w:abstractNumId="61">
    <w:nsid w:val="3F06ECB2"/>
    <w:multiLevelType w:val="hybridMultilevel"/>
    <w:lvl w:ilvl="0">
      <w:lvlJc w:val="left"/>
      <w:lvlText w:val="(%1)"/>
      <w:numFmt w:val="decimal"/>
      <w:start w:val="4"/>
    </w:lvl>
  </w:abstractNum>
  <w:abstractNum w:abstractNumId="62">
    <w:nsid w:val="3B594807"/>
    <w:multiLevelType w:val="hybridMultilevel"/>
    <w:lvl w:ilvl="0">
      <w:lvlJc w:val="left"/>
      <w:lvlText w:val="(%1)"/>
      <w:numFmt w:val="decimal"/>
      <w:start w:val="1"/>
    </w:lvl>
  </w:abstractNum>
  <w:abstractNum w:abstractNumId="63">
    <w:nsid w:val="6CAA2304"/>
    <w:multiLevelType w:val="hybridMultilevel"/>
    <w:lvl w:ilvl="0">
      <w:lvlJc w:val="left"/>
      <w:lvlText w:val="(%1)"/>
      <w:numFmt w:val="decimal"/>
      <w:start w:val="3"/>
    </w:lvl>
  </w:abstractNum>
  <w:abstractNum w:abstractNumId="64">
    <w:nsid w:val="3F7C2FF4"/>
    <w:multiLevelType w:val="hybridMultilevel"/>
    <w:lvl w:ilvl="0">
      <w:lvlJc w:val="left"/>
      <w:lvlText w:val="(%1)"/>
      <w:numFmt w:val="decimal"/>
      <w:start w:val="1"/>
    </w:lvl>
  </w:abstractNum>
  <w:abstractNum w:abstractNumId="65">
    <w:nsid w:val="25413BEC"/>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66">
    <w:nsid w:val="17180B0B"/>
    <w:multiLevelType w:val="hybridMultilevel"/>
    <w:lvl w:ilvl="0">
      <w:lvlJc w:val="left"/>
      <w:lvlText w:val="(%1)"/>
      <w:numFmt w:val="lowerRoman"/>
      <w:start w:val="2"/>
    </w:lvl>
  </w:abstractNum>
  <w:abstractNum w:abstractNumId="67">
    <w:nsid w:val="579328B9"/>
    <w:multiLevelType w:val="hybridMultilevel"/>
    <w:lvl w:ilvl="0">
      <w:lvlJc w:val="left"/>
      <w:lvlText w:val="(%1)"/>
      <w:numFmt w:val="decimal"/>
      <w:start w:val="2"/>
    </w:lvl>
  </w:abstractNum>
  <w:abstractNum w:abstractNumId="68">
    <w:nsid w:val="5D205E20"/>
    <w:multiLevelType w:val="hybridMultilevel"/>
    <w:lvl w:ilvl="0">
      <w:lvlJc w:val="left"/>
      <w:lvlText w:val="(%1)"/>
      <w:numFmt w:val="decimal"/>
      <w:start w:val="9"/>
    </w:lvl>
  </w:abstractNum>
  <w:abstractNum w:abstractNumId="69">
    <w:nsid w:val="11CCA8BA"/>
    <w:multiLevelType w:val="hybridMultilevel"/>
    <w:lvl w:ilvl="0">
      <w:lvlJc w:val="left"/>
      <w:lvlText w:val="(%1)"/>
      <w:numFmt w:val="decimal"/>
      <w:start w:val="1"/>
    </w:lvl>
  </w:abstractNum>
  <w:abstractNum w:abstractNumId="70">
    <w:nsid w:val="4D32AB86"/>
    <w:multiLevelType w:val="hybridMultilevel"/>
    <w:lvl w:ilvl="0">
      <w:lvlJc w:val="left"/>
      <w:lvlText w:val="(%1)"/>
      <w:numFmt w:val="decimal"/>
      <w:start w:val="1"/>
    </w:lvl>
  </w:abstractNum>
  <w:abstractNum w:abstractNumId="71">
    <w:nsid w:val="3F07ACC3"/>
    <w:multiLevelType w:val="hybridMultilevel"/>
    <w:lvl w:ilvl="0">
      <w:lvlJc w:val="left"/>
      <w:lvlText w:val="(%1)"/>
      <w:numFmt w:val="decimal"/>
      <w:start w:val="3"/>
    </w:lvl>
  </w:abstractNum>
  <w:abstractNum w:abstractNumId="72">
    <w:nsid w:val="6B47F63E"/>
    <w:multiLevelType w:val="hybridMultilevel"/>
    <w:lvl w:ilvl="0">
      <w:lvlJc w:val="left"/>
      <w:lvlText w:val="(%1)"/>
      <w:numFmt w:val="decimal"/>
      <w:start w:val="1"/>
    </w:lvl>
  </w:abstractNum>
  <w:abstractNum w:abstractNumId="73">
    <w:nsid w:val="5CB44A05"/>
    <w:multiLevelType w:val="hybridMultilevel"/>
    <w:lvl w:ilvl="0">
      <w:lvlJc w:val="left"/>
      <w:lvlText w:val="(%1)"/>
      <w:numFmt w:val="decimal"/>
      <w:start w:val="1"/>
    </w:lvl>
  </w:abstractNum>
  <w:abstractNum w:abstractNumId="74">
    <w:nsid w:val="16CF80F1"/>
    <w:multiLevelType w:val="hybridMultilevel"/>
    <w:lvl w:ilvl="0">
      <w:lvlJc w:val="left"/>
      <w:lvlText w:val="(%1)"/>
      <w:numFmt w:val="decimal"/>
      <w:start w:val="4"/>
    </w:lvl>
  </w:abstractNum>
  <w:abstractNum w:abstractNumId="75">
    <w:nsid w:val="1C695DEC"/>
    <w:multiLevelType w:val="hybridMultilevel"/>
    <w:lvl w:ilvl="0">
      <w:lvlJc w:val="left"/>
      <w:lvlText w:val="(%1)"/>
      <w:numFmt w:val="decimal"/>
      <w:start w:val="1"/>
    </w:lvl>
  </w:abstractNum>
  <w:abstractNum w:abstractNumId="76">
    <w:nsid w:val="3FCFAED9"/>
    <w:multiLevelType w:val="hybridMultilevel"/>
    <w:lvl w:ilvl="0">
      <w:lvlJc w:val="left"/>
      <w:lvlText w:val="(%1)"/>
      <w:numFmt w:val="decimal"/>
      <w:start w:val="2"/>
    </w:lvl>
  </w:abstractNum>
  <w:abstractNum w:abstractNumId="77">
    <w:nsid w:val="F856867"/>
    <w:multiLevelType w:val="hybridMultilevel"/>
    <w:lvl w:ilvl="0">
      <w:lvlJc w:val="left"/>
      <w:lvlText w:val="(%1)"/>
      <w:numFmt w:val="decimal"/>
      <w:start w:val="1"/>
    </w:lvl>
  </w:abstractNum>
  <w:abstractNum w:abstractNumId="78">
    <w:nsid w:val="11B1CC33"/>
    <w:multiLevelType w:val="hybridMultilevel"/>
    <w:lvl w:ilvl="0">
      <w:lvlJc w:val="left"/>
      <w:lvlText w:val="(%1)"/>
      <w:numFmt w:val="decimal"/>
      <w:start w:val="7"/>
    </w:lvl>
  </w:abstractNum>
  <w:abstractNum w:abstractNumId="79">
    <w:nsid w:val="2E22FBB7"/>
    <w:multiLevelType w:val="hybridMultilevel"/>
    <w:lvl w:ilvl="0">
      <w:lvlJc w:val="left"/>
      <w:lvlText w:val="(%1)"/>
      <w:numFmt w:val="decimal"/>
      <w:start w:val="15"/>
    </w:lvl>
  </w:abstractNum>
  <w:abstractNum w:abstractNumId="80">
    <w:nsid w:val="29934699"/>
    <w:multiLevelType w:val="hybridMultilevel"/>
    <w:lvl w:ilvl="0">
      <w:lvlJc w:val="left"/>
      <w:lvlText w:val="(%1)"/>
      <w:numFmt w:val="decimal"/>
      <w:start w:val="1"/>
    </w:lvl>
  </w:abstractNum>
  <w:abstractNum w:abstractNumId="81">
    <w:nsid w:val="77485850"/>
    <w:multiLevelType w:val="hybridMultilevel"/>
    <w:lvl w:ilvl="0">
      <w:lvlJc w:val="left"/>
      <w:lvlText w:val="(%1)"/>
      <w:numFmt w:val="decimal"/>
      <w:start w:val="1"/>
    </w:lvl>
  </w:abstractNum>
  <w:abstractNum w:abstractNumId="82">
    <w:nsid w:val="744939A3"/>
    <w:multiLevelType w:val="hybridMultilevel"/>
    <w:lvl w:ilvl="0">
      <w:lvlJc w:val="left"/>
      <w:lvlText w:val="(%1)"/>
      <w:numFmt w:val="lowerRoman"/>
      <w:start w:val="2"/>
    </w:lvl>
  </w:abstractNum>
  <w:abstractNum w:abstractNumId="83">
    <w:nsid w:val="4FA0D2E3"/>
    <w:multiLevelType w:val="hybridMultilevel"/>
    <w:lvl w:ilvl="0">
      <w:lvlJc w:val="left"/>
      <w:lvlText w:val="(%1)"/>
      <w:numFmt w:val="decimal"/>
      <w:start w:val="1"/>
    </w:lvl>
  </w:abstractNum>
  <w:abstractNum w:abstractNumId="84">
    <w:nsid w:val="6B1D2C14"/>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85">
    <w:nsid w:val="68B867D3"/>
    <w:multiLevelType w:val="hybridMultilevel"/>
    <w:lvl w:ilvl="0">
      <w:lvlJc w:val="left"/>
      <w:lvlText w:val="(%1)"/>
      <w:numFmt w:val="decimal"/>
      <w:start w:val="2"/>
    </w:lvl>
  </w:abstractNum>
  <w:abstractNum w:abstractNumId="86">
    <w:nsid w:val="3F7F5DD9"/>
    <w:multiLevelType w:val="hybridMultilevel"/>
    <w:lvl w:ilvl="0">
      <w:lvlJc w:val="left"/>
      <w:lvlText w:val="(%1)"/>
      <w:numFmt w:val="decimal"/>
      <w:start w:val="1"/>
    </w:lvl>
  </w:abstractNum>
  <w:abstractNum w:abstractNumId="87">
    <w:nsid w:val="2AE05A34"/>
    <w:multiLevelType w:val="hybridMultilevel"/>
    <w:lvl w:ilvl="0">
      <w:lvlJc w:val="left"/>
      <w:lvlText w:val="(%1)"/>
      <w:numFmt w:val="upperLetter"/>
      <w:start w:val="2"/>
    </w:lvl>
    <w:lvl w:ilvl="1">
      <w:lvlJc w:val="left"/>
      <w:lvlText w:val="(%2)"/>
      <w:numFmt w:val="decimal"/>
      <w:start w:val="6"/>
    </w:lvl>
  </w:abstractNum>
  <w:abstractNum w:abstractNumId="88">
    <w:nsid w:val="32794FF7"/>
    <w:multiLevelType w:val="hybridMultilevel"/>
    <w:lvl w:ilvl="0">
      <w:lvlJc w:val="left"/>
      <w:lvlText w:val="(%1)"/>
      <w:numFmt w:val="lowerLetter"/>
      <w:start w:val="1"/>
    </w:lvl>
  </w:abstractNum>
  <w:abstractNum w:abstractNumId="89">
    <w:nsid w:val="5454945E"/>
    <w:multiLevelType w:val="hybridMultilevel"/>
    <w:lvl w:ilvl="0">
      <w:lvlJc w:val="left"/>
      <w:lvlText w:val="(%1)"/>
      <w:numFmt w:val="lowerLetter"/>
      <w:start w:val="2"/>
    </w:lvl>
  </w:abstractNum>
  <w:abstractNum w:abstractNumId="90">
    <w:nsid w:val="4DEFDFA0"/>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91">
    <w:nsid w:val="2123D5F2"/>
    <w:multiLevelType w:val="hybridMultilevel"/>
    <w:lvl w:ilvl="0">
      <w:lvlJc w:val="left"/>
      <w:lvlText w:val="%1"/>
      <w:numFmt w:val="decimal"/>
      <w:start w:val="1"/>
    </w:lvl>
    <w:lvl w:ilvl="1">
      <w:lvlJc w:val="left"/>
      <w:lvlText w:val="(%2)"/>
      <w:numFmt w:val="upperLetter"/>
      <w:start w:val="3"/>
    </w:lvl>
  </w:abstractNum>
  <w:abstractNum w:abstractNumId="92">
    <w:nsid w:val="135B8110"/>
    <w:multiLevelType w:val="hybridMultilevel"/>
    <w:lvl w:ilvl="0">
      <w:lvlJc w:val="left"/>
      <w:lvlText w:val="(%1)"/>
      <w:numFmt w:val="decimal"/>
      <w:start w:val="2"/>
    </w:lvl>
    <w:lvl w:ilvl="1">
      <w:lvlJc w:val="left"/>
      <w:lvlText w:val="%2"/>
      <w:numFmt w:val="upperLetter"/>
      <w:start w:val="1"/>
    </w:lvl>
  </w:abstractNum>
  <w:abstractNum w:abstractNumId="93">
    <w:nsid w:val="94927A8"/>
    <w:multiLevelType w:val="hybridMultilevel"/>
    <w:lvl w:ilvl="0">
      <w:lvlJc w:val="left"/>
      <w:lvlText w:val="(%1)"/>
      <w:numFmt w:val="decimal"/>
      <w:start w:val="1"/>
    </w:lvl>
  </w:abstractNum>
  <w:abstractNum w:abstractNumId="94">
    <w:nsid w:val="DCDF8F6"/>
    <w:multiLevelType w:val="hybridMultilevel"/>
    <w:lvl w:ilvl="0">
      <w:lvlJc w:val="left"/>
      <w:lvlText w:val="(%1)"/>
      <w:numFmt w:val="decimal"/>
      <w:start w:val="1"/>
    </w:lvl>
  </w:abstractNum>
  <w:abstractNum w:abstractNumId="95">
    <w:nsid w:val="52D7B105"/>
    <w:multiLevelType w:val="hybridMultilevel"/>
    <w:lvl w:ilvl="0">
      <w:lvlJc w:val="left"/>
      <w:lvlText w:val="(%1)"/>
      <w:numFmt w:val="decimal"/>
      <w:start w:val="1"/>
    </w:lvl>
  </w:abstractNum>
  <w:abstractNum w:abstractNumId="96">
    <w:nsid w:val="2E8A6394"/>
    <w:multiLevelType w:val="hybridMultilevel"/>
    <w:lvl w:ilvl="0">
      <w:lvlJc w:val="left"/>
      <w:lvlText w:val="(%1)"/>
      <w:numFmt w:val="decimal"/>
      <w:start w:val="1"/>
    </w:lvl>
  </w:abstractNum>
  <w:abstractNum w:abstractNumId="97">
    <w:nsid w:val="24E60401"/>
    <w:multiLevelType w:val="hybridMultilevel"/>
    <w:lvl w:ilvl="0">
      <w:lvlJc w:val="left"/>
      <w:lvlText w:val="(%1)"/>
      <w:numFmt w:val="decimal"/>
      <w:start w:val="2"/>
    </w:lvl>
  </w:abstractNum>
  <w:abstractNum w:abstractNumId="98">
    <w:nsid w:val="2A6AD9BE"/>
    <w:multiLevelType w:val="hybridMultilevel"/>
    <w:lvl w:ilvl="0">
      <w:lvlJc w:val="left"/>
      <w:lvlText w:val="(%1)"/>
      <w:numFmt w:val="decimal"/>
      <w:start w:val="1"/>
    </w:lvl>
  </w:abstractNum>
  <w:abstractNum w:abstractNumId="99">
    <w:nsid w:val="BAAC1B4"/>
    <w:multiLevelType w:val="hybridMultilevel"/>
    <w:lvl w:ilvl="0">
      <w:lvlJc w:val="left"/>
      <w:lvlText w:val="(%1)"/>
      <w:numFmt w:val="decimal"/>
      <w:start w:val="4"/>
    </w:lvl>
  </w:abstractNum>
  <w:abstractNum w:abstractNumId="100">
    <w:nsid w:val="36B2ACBC"/>
    <w:multiLevelType w:val="hybridMultilevel"/>
    <w:lvl w:ilvl="0">
      <w:lvlJc w:val="left"/>
      <w:lvlText w:val="(%1)"/>
      <w:numFmt w:val="decimal"/>
      <w:start w:val="10"/>
    </w:lvl>
  </w:abstractNum>
  <w:abstractNum w:abstractNumId="101">
    <w:nsid w:val="779D8544"/>
    <w:multiLevelType w:val="hybridMultilevel"/>
    <w:lvl w:ilvl="0">
      <w:lvlJc w:val="left"/>
      <w:lvlText w:val="(%1)"/>
      <w:numFmt w:val="decimal"/>
      <w:start w:val="1"/>
    </w:lvl>
  </w:abstractNum>
  <w:abstractNum w:abstractNumId="102">
    <w:nsid w:val="4AB26E78"/>
    <w:multiLevelType w:val="hybridMultilevel"/>
    <w:lvl w:ilvl="0">
      <w:lvlJc w:val="left"/>
      <w:lvlText w:val="(%1)"/>
      <w:numFmt w:val="decimal"/>
      <w:start w:val="3"/>
    </w:lvl>
  </w:abstractNum>
  <w:abstractNum w:abstractNumId="103">
    <w:nsid w:val="21FAA2FA"/>
    <w:multiLevelType w:val="hybridMultilevel"/>
    <w:lvl w:ilvl="0">
      <w:lvlJc w:val="left"/>
      <w:lvlText w:val="(%1)"/>
      <w:numFmt w:val="decimal"/>
      <w:start w:val="1"/>
    </w:lvl>
  </w:abstractNum>
  <w:abstractNum w:abstractNumId="104">
    <w:nsid w:val="5451CF49"/>
    <w:multiLevelType w:val="hybridMultilevel"/>
    <w:lvl w:ilvl="0">
      <w:lvlJc w:val="left"/>
      <w:lvlText w:val="(%1)"/>
      <w:numFmt w:val="decimal"/>
      <w:start w:val="1"/>
    </w:lvl>
  </w:abstractNum>
  <w:abstractNum w:abstractNumId="105">
    <w:nsid w:val="6181EF69"/>
    <w:multiLevelType w:val="hybridMultilevel"/>
    <w:lvl w:ilvl="0">
      <w:lvlJc w:val="left"/>
      <w:lvlText w:val="(%1)"/>
      <w:numFmt w:val="decimal"/>
      <w:start w:val="1"/>
    </w:lvl>
  </w:abstractNum>
  <w:abstractNum w:abstractNumId="106">
    <w:nsid w:val="3E6400E6"/>
    <w:multiLevelType w:val="hybridMultilevel"/>
    <w:lvl w:ilvl="0">
      <w:lvlJc w:val="left"/>
      <w:lvlText w:val="(%1)"/>
      <w:numFmt w:val="decimal"/>
      <w:start w:val="2"/>
    </w:lvl>
  </w:abstractNum>
  <w:abstractNum w:abstractNumId="107">
    <w:nsid w:val="14217E23"/>
    <w:multiLevelType w:val="hybridMultilevel"/>
    <w:lvl w:ilvl="0">
      <w:lvlJc w:val="left"/>
      <w:lvlText w:val="%1"/>
      <w:numFmt w:val="upperLetter"/>
      <w:start w:val="1"/>
    </w:lvl>
    <w:lvl w:ilvl="1">
      <w:lvlJc w:val="left"/>
      <w:lvlText w:val="(%2)"/>
      <w:numFmt w:val="decimal"/>
      <w:start w:val="1"/>
    </w:lvl>
  </w:abstractNum>
  <w:abstractNum w:abstractNumId="108">
    <w:nsid w:val="710757D0"/>
    <w:multiLevelType w:val="hybridMultilevel"/>
    <w:lvl w:ilvl="0">
      <w:lvlJc w:val="left"/>
      <w:lvlText w:val="(%1)"/>
      <w:numFmt w:val="upperLetter"/>
      <w:start w:val="2"/>
    </w:lvl>
    <w:lvl w:ilvl="1">
      <w:lvlJc w:val="left"/>
      <w:lvlText w:val="(%2)"/>
      <w:numFmt w:val="decimal"/>
      <w:start w:val="6"/>
    </w:lvl>
  </w:abstractNum>
  <w:abstractNum w:abstractNumId="109">
    <w:nsid w:val="5015CD1A"/>
    <w:multiLevelType w:val="hybridMultilevel"/>
    <w:lvl w:ilvl="0">
      <w:lvlJc w:val="left"/>
      <w:lvlText w:val="(%1)"/>
      <w:numFmt w:val="decimal"/>
      <w:start w:val="9"/>
    </w:lvl>
  </w:abstractNum>
  <w:abstractNum w:abstractNumId="110">
    <w:nsid w:val="424479DA"/>
    <w:multiLevelType w:val="hybridMultilevel"/>
    <w:lvl w:ilvl="0">
      <w:lvlJc w:val="left"/>
      <w:lvlText w:val="(%1)"/>
      <w:numFmt w:val="decimal"/>
      <w:start w:val="11"/>
    </w:lvl>
  </w:abstractNum>
  <w:abstractNum w:abstractNumId="111">
    <w:nsid w:val="1A9A9E69"/>
    <w:multiLevelType w:val="hybridMultilevel"/>
    <w:lvl w:ilvl="0">
      <w:lvlJc w:val="left"/>
      <w:lvlText w:val="(%1)"/>
      <w:numFmt w:val="decimal"/>
      <w:start w:val="1"/>
    </w:lvl>
  </w:abstractNum>
  <w:abstractNum w:abstractNumId="112">
    <w:nsid w:val="475E256A"/>
    <w:multiLevelType w:val="hybridMultilevel"/>
    <w:lvl w:ilvl="0">
      <w:lvlJc w:val="left"/>
      <w:lvlText w:val="(%1)"/>
      <w:numFmt w:val="decimal"/>
      <w:start w:val="4"/>
    </w:lvl>
  </w:abstractNum>
  <w:abstractNum w:abstractNumId="113">
    <w:nsid w:val="368DB37E"/>
    <w:multiLevelType w:val="hybridMultilevel"/>
    <w:lvl w:ilvl="0">
      <w:lvlJc w:val="left"/>
      <w:lvlText w:val="(%1)"/>
      <w:numFmt w:val="decimal"/>
      <w:start w:val="1"/>
    </w:lvl>
  </w:abstractNum>
  <w:abstractNum w:abstractNumId="114">
    <w:nsid w:val="6A3B714C"/>
    <w:multiLevelType w:val="hybridMultilevel"/>
    <w:lvl w:ilvl="0">
      <w:lvlJc w:val="left"/>
      <w:lvlText w:val="(%1)"/>
      <w:numFmt w:val="decimal"/>
      <w:start w:val="4"/>
    </w:lvl>
  </w:abstractNum>
  <w:abstractNum w:abstractNumId="115">
    <w:nsid w:val="327B517E"/>
    <w:multiLevelType w:val="hybridMultilevel"/>
    <w:lvl w:ilvl="0">
      <w:lvlJc w:val="left"/>
      <w:lvlText w:val="(%1)"/>
      <w:numFmt w:val="decimal"/>
      <w:start w:val="1"/>
    </w:lvl>
  </w:abstractNum>
  <w:abstractNum w:abstractNumId="116">
    <w:nsid w:val="1F461B51"/>
    <w:multiLevelType w:val="hybridMultilevel"/>
    <w:lvl w:ilvl="0">
      <w:lvlJc w:val="left"/>
      <w:lvlText w:val="(%1)"/>
      <w:numFmt w:val="decimal"/>
      <w:start w:val="1"/>
    </w:lvl>
  </w:abstractNum>
  <w:abstractNum w:abstractNumId="117">
    <w:nsid w:val="29BACF25"/>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118">
    <w:nsid w:val="5D5BABB3"/>
    <w:multiLevelType w:val="hybridMultilevel"/>
    <w:lvl w:ilvl="0">
      <w:lvlJc w:val="left"/>
      <w:lvlText w:val="(%1)"/>
      <w:numFmt w:val="upperLetter"/>
      <w:start w:val="2"/>
    </w:lvl>
    <w:lvl w:ilvl="1">
      <w:lvlJc w:val="left"/>
      <w:lvlText w:val="(%2)"/>
      <w:numFmt w:val="lowerRoman"/>
      <w:start w:val="1"/>
    </w:lvl>
  </w:abstractNum>
  <w:abstractNum w:abstractNumId="119">
    <w:nsid w:val="51BF6B48"/>
    <w:multiLevelType w:val="hybridMultilevel"/>
    <w:lvl w:ilvl="0">
      <w:lvlJc w:val="left"/>
      <w:lvlText w:val="(%1)"/>
      <w:numFmt w:val="decimal"/>
      <w:start w:val="2"/>
    </w:lvl>
    <w:lvl w:ilvl="1">
      <w:lvlJc w:val="left"/>
      <w:lvlText w:val="(%2)"/>
      <w:numFmt w:val="upperLetter"/>
      <w:start w:val="1"/>
    </w:lvl>
  </w:abstractNum>
  <w:abstractNum w:abstractNumId="120">
    <w:nsid w:val="7E0F6384"/>
    <w:multiLevelType w:val="hybridMultilevel"/>
    <w:lvl w:ilvl="0">
      <w:lvlJc w:val="left"/>
      <w:lvlText w:val="(%1)"/>
      <w:numFmt w:val="decimal"/>
      <w:start w:val="3"/>
    </w:lvl>
  </w:abstractNum>
  <w:abstractNum w:abstractNumId="121">
    <w:nsid w:val="2B4B8B53"/>
    <w:multiLevelType w:val="hybridMultilevel"/>
    <w:lvl w:ilvl="0">
      <w:lvlJc w:val="left"/>
      <w:lvlText w:val="(%1)"/>
      <w:numFmt w:val="decimal"/>
      <w:start w:val="7"/>
    </w:lvl>
    <w:lvl w:ilvl="1">
      <w:lvlJc w:val="left"/>
      <w:lvlText w:val="(%2)"/>
      <w:numFmt w:val="upperLetter"/>
      <w:start w:val="1"/>
    </w:lvl>
  </w:abstractNum>
  <w:abstractNum w:abstractNumId="122">
    <w:nsid w:val="72E3413A"/>
    <w:multiLevelType w:val="hybridMultilevel"/>
    <w:lvl w:ilvl="0">
      <w:lvlJc w:val="left"/>
      <w:lvlText w:val="(%1)"/>
      <w:numFmt w:val="decimal"/>
      <w:start w:val="1"/>
    </w:lvl>
  </w:abstractNum>
  <w:abstractNum w:abstractNumId="123">
    <w:nsid w:val="116AE494"/>
    <w:multiLevelType w:val="hybridMultilevel"/>
    <w:lvl w:ilvl="0">
      <w:lvlJc w:val="left"/>
      <w:lvlText w:val="(%1)"/>
      <w:numFmt w:val="lowerRoman"/>
      <w:start w:val="1"/>
    </w:lvl>
  </w:abstractNum>
  <w:abstractNum w:abstractNumId="124">
    <w:nsid w:val="3494B2FB"/>
    <w:multiLevelType w:val="hybridMultilevel"/>
    <w:lvl w:ilvl="0">
      <w:lvlJc w:val="left"/>
      <w:lvlText w:val="(%1)"/>
      <w:numFmt w:val="lowerRoman"/>
      <w:start w:val="2"/>
    </w:lvl>
  </w:abstractNum>
  <w:abstractNum w:abstractNumId="125">
    <w:nsid w:val="B13A31"/>
    <w:multiLevelType w:val="hybridMultilevel"/>
    <w:lvl w:ilvl="0">
      <w:lvlJc w:val="left"/>
      <w:lvlText w:val="(%1)"/>
      <w:numFmt w:val="decimal"/>
      <w:start w:val="1"/>
    </w:lvl>
  </w:abstractNum>
  <w:abstractNum w:abstractNumId="126">
    <w:nsid w:val="64429599"/>
    <w:multiLevelType w:val="hybridMultilevel"/>
    <w:lvl w:ilvl="0">
      <w:lvlJc w:val="left"/>
      <w:lvlText w:val="(%1)"/>
      <w:numFmt w:val="decimal"/>
      <w:start w:val="2"/>
    </w:lvl>
  </w:abstractNum>
  <w:abstractNum w:abstractNumId="127">
    <w:nsid w:val="631F1690"/>
    <w:multiLevelType w:val="hybridMultilevel"/>
    <w:lvl w:ilvl="0">
      <w:lvlJc w:val="left"/>
      <w:lvlText w:val="%"/>
      <w:numFmt w:val="bullet"/>
      <w:start w:val="1"/>
    </w:lvl>
  </w:abstractNum>
  <w:abstractNum w:abstractNumId="128">
    <w:nsid w:val="25973E32"/>
    <w:multiLevelType w:val="hybridMultilevel"/>
    <w:lvl w:ilvl="0">
      <w:lvlJc w:val="left"/>
      <w:lvlText w:val="(%1)"/>
      <w:numFmt w:val="lowerLetter"/>
      <w:start w:val="1"/>
    </w:lvl>
  </w:abstractNum>
  <w:abstractNum w:abstractNumId="129">
    <w:nsid w:val="EAD6F57"/>
    <w:multiLevelType w:val="hybridMultilevel"/>
    <w:lvl w:ilvl="0">
      <w:lvlJc w:val="left"/>
      <w:lvlText w:val="(%1)"/>
      <w:numFmt w:val="lowerLetter"/>
      <w:start w:val="5"/>
    </w:lvl>
  </w:abstractNum>
  <w:abstractNum w:abstractNumId="130">
    <w:nsid w:val="6EC9D844"/>
    <w:multiLevelType w:val="hybridMultilevel"/>
    <w:lvl w:ilvl="0">
      <w:lvlJc w:val="left"/>
      <w:lvlText w:val="(%1)"/>
      <w:numFmt w:val="lowerLetter"/>
      <w:start w:val="1"/>
    </w:lvl>
  </w:abstractNum>
  <w:abstractNum w:abstractNumId="131">
    <w:nsid w:val="5C49EAEE"/>
    <w:multiLevelType w:val="hybridMultilevel"/>
    <w:lvl w:ilvl="0">
      <w:lvlJc w:val="left"/>
      <w:lvlText w:val="(%1)"/>
      <w:numFmt w:val="lowerLetter"/>
      <w:start w:val="9"/>
    </w:lvl>
    <w:lvl w:ilvl="1">
      <w:lvlJc w:val="left"/>
      <w:lvlText w:val="(%2)"/>
      <w:numFmt w:val="lowerLetter"/>
      <w:start w:val="3"/>
    </w:lvl>
  </w:abstractNum>
  <w:abstractNum w:abstractNumId="132">
    <w:nsid w:val="64AF49B"/>
    <w:multiLevelType w:val="hybridMultilevel"/>
    <w:lvl w:ilvl="0">
      <w:lvlJc w:val="left"/>
      <w:lvlText w:val="(%1)"/>
      <w:numFmt w:val="lowerLetter"/>
      <w:start w:val="2"/>
    </w:lvl>
  </w:abstractNum>
  <w:abstractNum w:abstractNumId="133">
    <w:nsid w:val="397C46BC"/>
    <w:multiLevelType w:val="hybridMultilevel"/>
    <w:lvl w:ilvl="0">
      <w:lvlJc w:val="left"/>
      <w:lvlText w:val="(%1)"/>
      <w:numFmt w:val="lowerLetter"/>
      <w:start w:val="3"/>
    </w:lvl>
  </w:abstractNum>
  <w:abstractNum w:abstractNumId="134">
    <w:nsid w:val="7E448DE9"/>
    <w:multiLevelType w:val="hybridMultilevel"/>
    <w:lvl w:ilvl="0">
      <w:lvlJc w:val="left"/>
      <w:lvlText w:val="(%1)"/>
      <w:numFmt w:val="lowerRoman"/>
      <w:start w:val="1"/>
    </w:lvl>
  </w:abstractNum>
  <w:abstractNum w:abstractNumId="135">
    <w:nsid w:val="5A9CC3E5"/>
    <w:multiLevelType w:val="hybridMultilevel"/>
    <w:lvl w:ilvl="0">
      <w:lvlJc w:val="left"/>
      <w:lvlText w:val="(%1)"/>
      <w:numFmt w:val="lowerRoman"/>
      <w:start w:val="3"/>
    </w:lvl>
    <w:lvl w:ilvl="1">
      <w:lvlJc w:val="left"/>
      <w:lvlText w:val="(%2)"/>
      <w:numFmt w:val="upperLetter"/>
      <w:start w:val="1"/>
    </w:lvl>
  </w:abstractNum>
  <w:abstractNum w:abstractNumId="136">
    <w:nsid w:val="1AFE3625"/>
    <w:multiLevelType w:val="hybridMultilevel"/>
    <w:lvl w:ilvl="0">
      <w:lvlJc w:val="left"/>
      <w:lvlText w:val="(%1)"/>
      <w:numFmt w:val="lowerLetter"/>
      <w:start w:val="2"/>
    </w:lvl>
    <w:lvl w:ilvl="1">
      <w:lvlJc w:val="left"/>
      <w:lvlText w:val="(%2)"/>
      <w:numFmt w:val="lowerRoman"/>
      <w:start w:val="1"/>
    </w:lvl>
  </w:abstractNum>
  <w:abstractNum w:abstractNumId="137">
    <w:nsid w:val="3CA88ECF"/>
    <w:multiLevelType w:val="hybridMultilevel"/>
    <w:lvl w:ilvl="0">
      <w:lvlJc w:val="left"/>
      <w:lvlText w:val="%1"/>
      <w:numFmt w:val="lowerLetter"/>
      <w:start w:val="1"/>
    </w:lvl>
    <w:lvl w:ilvl="1">
      <w:lvlJc w:val="left"/>
      <w:lvlText w:val="(%2)"/>
      <w:numFmt w:val="lowerRoman"/>
      <w:start w:val="5"/>
    </w:lvl>
  </w:abstractNum>
  <w:abstractNum w:abstractNumId="138">
    <w:nsid w:val="6EBE4208"/>
    <w:multiLevelType w:val="hybridMultilevel"/>
    <w:lvl w:ilvl="0">
      <w:lvlJc w:val="left"/>
      <w:lvlText w:val="(%1)"/>
      <w:numFmt w:val="lowerLetter"/>
      <w:start w:val="3"/>
    </w:lvl>
    <w:lvl w:ilvl="1">
      <w:lvlJc w:val="left"/>
      <w:lvlText w:val="(%2)"/>
      <w:numFmt w:val="lowerRoman"/>
      <w:start w:val="1"/>
    </w:lvl>
  </w:abstractNum>
  <w:abstractNum w:abstractNumId="139">
    <w:nsid w:val="C058DF5"/>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140">
    <w:nsid w:val="CBE5BE9"/>
    <w:multiLevelType w:val="hybridMultilevel"/>
    <w:lvl w:ilvl="0">
      <w:lvlJc w:val="left"/>
      <w:lvlText w:val="(%1)"/>
      <w:numFmt w:val="lowerRoman"/>
      <w:start w:val="3"/>
    </w:lvl>
  </w:abstractNum>
  <w:abstractNum w:abstractNumId="141">
    <w:nsid w:val="3102BBE2"/>
    <w:multiLevelType w:val="hybridMultilevel"/>
    <w:lvl w:ilvl="0">
      <w:lvlJc w:val="left"/>
      <w:lvlText w:val="(%1)"/>
      <w:numFmt w:val="lowerLetter"/>
      <w:start w:val="2"/>
    </w:lvl>
  </w:abstractNum>
  <w:abstractNum w:abstractNumId="142">
    <w:nsid w:val="26A02C5E"/>
    <w:multiLevelType w:val="hybridMultilevel"/>
    <w:lvl w:ilvl="0">
      <w:lvlJc w:val="left"/>
      <w:lvlText w:val="(%1)"/>
      <w:numFmt w:val="lowerLetter"/>
      <w:start w:val="1"/>
    </w:lvl>
  </w:abstractNum>
  <w:abstractNum w:abstractNumId="143">
    <w:nsid w:val="541C8153"/>
    <w:multiLevelType w:val="hybridMultilevel"/>
    <w:lvl w:ilvl="0">
      <w:lvlJc w:val="left"/>
      <w:lvlText w:val="(%1)"/>
      <w:numFmt w:val="lowerRoman"/>
      <w:start w:val="1"/>
    </w:lvl>
  </w:abstractNum>
  <w:abstractNum w:abstractNumId="144">
    <w:nsid w:val="67906F60"/>
    <w:multiLevelType w:val="hybridMultilevel"/>
    <w:lvl w:ilvl="0">
      <w:lvlJc w:val="left"/>
      <w:lvlText w:val="(%1)"/>
      <w:numFmt w:val="lowerRoman"/>
      <w:start w:val="2"/>
    </w:lvl>
  </w:abstractNum>
  <w:abstractNum w:abstractNumId="145">
    <w:nsid w:val="10DB9DAA"/>
    <w:multiLevelType w:val="hybridMultilevel"/>
    <w:lvl w:ilvl="0">
      <w:lvlJc w:val="left"/>
      <w:lvlText w:val="(%1)"/>
      <w:numFmt w:val="lowerRoman"/>
      <w:start w:val="3"/>
    </w:lvl>
  </w:abstractNum>
  <w:abstractNum w:abstractNumId="146">
    <w:nsid w:val="697D2D2"/>
    <w:multiLevelType w:val="hybridMultilevel"/>
    <w:lvl w:ilvl="0">
      <w:lvlJc w:val="left"/>
      <w:lvlText w:val="%1"/>
      <w:numFmt w:val="lowerLetter"/>
      <w:start w:val="1"/>
    </w:lvl>
    <w:lvl w:ilvl="1">
      <w:lvlJc w:val="left"/>
      <w:lvlText w:val="(%2)"/>
      <w:numFmt w:val="lowerRoman"/>
      <w:start w:val="4"/>
    </w:lvl>
  </w:abstractNum>
  <w:abstractNum w:abstractNumId="147">
    <w:nsid w:val="6D68AB2"/>
    <w:multiLevelType w:val="hybridMultilevel"/>
    <w:lvl w:ilvl="0">
      <w:lvlJc w:val="left"/>
      <w:lvlText w:val="(%1)"/>
      <w:numFmt w:val="lowerLetter"/>
      <w:start w:val="2"/>
    </w:lvl>
    <w:lvl w:ilvl="1">
      <w:lvlJc w:val="left"/>
      <w:lvlText w:val="%2"/>
      <w:numFmt w:val="lowerRoman"/>
      <w:start w:val="1"/>
    </w:lvl>
  </w:abstractNum>
  <w:abstractNum w:abstractNumId="148">
    <w:nsid w:val="3A966CD0"/>
    <w:multiLevelType w:val="hybridMultilevel"/>
    <w:lvl w:ilvl="0">
      <w:lvlJc w:val="left"/>
      <w:lvlText w:val="%1"/>
      <w:numFmt w:val="lowerLetter"/>
      <w:start w:val="1"/>
    </w:lvl>
    <w:lvl w:ilvl="1">
      <w:lvlJc w:val="left"/>
      <w:lvlText w:val="(%2)"/>
      <w:numFmt w:val="lowerLetter"/>
      <w:start w:val="1"/>
    </w:lvl>
  </w:abstractNum>
  <w:abstractNum w:abstractNumId="149">
    <w:nsid w:val="63F37E85"/>
    <w:multiLevelType w:val="hybridMultilevel"/>
    <w:lvl w:ilvl="0">
      <w:lvlJc w:val="left"/>
      <w:lvlText w:val="(%1)"/>
      <w:numFmt w:val="lowerLetter"/>
      <w:start w:val="35"/>
    </w:lvl>
    <w:lvl w:ilvl="1">
      <w:lvlJc w:val="left"/>
      <w:lvlText w:val="%2"/>
      <w:numFmt w:val="lowerLetter"/>
      <w:start w:val="1"/>
    </w:lvl>
  </w:abstractNum>
  <w:abstractNum w:abstractNumId="150">
    <w:nsid w:val="5895F5FA"/>
    <w:multiLevelType w:val="hybridMultilevel"/>
    <w:lvl w:ilvl="0">
      <w:lvlJc w:val="left"/>
      <w:lvlText w:val="(%1)"/>
      <w:numFmt w:val="lowerLetter"/>
      <w:start w:val="8"/>
    </w:lvl>
  </w:abstractNum>
  <w:abstractNum w:abstractNumId="151">
    <w:nsid w:val="38A5D054"/>
    <w:multiLevelType w:val="hybridMultilevel"/>
    <w:lvl w:ilvl="0">
      <w:lvlJc w:val="left"/>
      <w:lvlText w:val="(%1)"/>
      <w:numFmt w:val="lowerRoman"/>
      <w:start w:val="1"/>
    </w:lvl>
  </w:abstractNum>
  <w:abstractNum w:abstractNumId="152">
    <w:nsid w:val="F3F09D8"/>
    <w:multiLevelType w:val="hybridMultilevel"/>
    <w:lvl w:ilvl="0">
      <w:lvlJc w:val="left"/>
      <w:lvlText w:val="(%1)"/>
      <w:numFmt w:val="lowerRoman"/>
      <w:start w:val="1"/>
    </w:lvl>
  </w:abstractNum>
  <w:abstractNum w:abstractNumId="153">
    <w:nsid w:val="4B793735"/>
    <w:multiLevelType w:val="hybridMultilevel"/>
    <w:lvl w:ilvl="0">
      <w:lvlJc w:val="left"/>
      <w:lvlText w:val="(%1)"/>
      <w:numFmt w:val="lowerLetter"/>
      <w:start w:val="23"/>
    </w:lvl>
  </w:abstractNum>
  <w:abstractNum w:abstractNumId="154">
    <w:nsid w:val="4A10B4E8"/>
    <w:multiLevelType w:val="hybridMultilevel"/>
    <w:lvl w:ilvl="0">
      <w:lvlJc w:val="left"/>
      <w:lvlText w:val="(%1)"/>
      <w:numFmt w:val="decimal"/>
      <w:start w:val="1"/>
    </w:lvl>
  </w:abstractNum>
  <w:abstractNum w:abstractNumId="155">
    <w:nsid w:val="43D3BCD4"/>
    <w:multiLevelType w:val="hybridMultilevel"/>
    <w:lvl w:ilvl="0">
      <w:lvlJc w:val="left"/>
      <w:lvlText w:val="(%1)"/>
      <w:numFmt w:val="lowerLetter"/>
      <w:start w:val="2"/>
    </w:lvl>
  </w:abstractNum>
  <w:abstractNum w:abstractNumId="156">
    <w:nsid w:val="4C2A7166"/>
    <w:multiLevelType w:val="hybridMultilevel"/>
    <w:lvl w:ilvl="0">
      <w:lvlJc w:val="left"/>
      <w:lvlText w:val="(%1)"/>
      <w:numFmt w:val="lowerLetter"/>
      <w:start w:val="1"/>
    </w:lvl>
  </w:abstractNum>
  <w:abstractNum w:abstractNumId="157">
    <w:nsid w:val="2E534A82"/>
    <w:multiLevelType w:val="hybridMultilevel"/>
    <w:lvl w:ilvl="0">
      <w:lvlJc w:val="left"/>
      <w:lvlText w:val="(%1)"/>
      <w:numFmt w:val="lowerLetter"/>
      <w:start w:val="2"/>
    </w:lvl>
  </w:abstractNum>
  <w:abstractNum w:abstractNumId="158">
    <w:nsid w:val="26F2D364"/>
    <w:multiLevelType w:val="hybridMultilevel"/>
    <w:lvl w:ilvl="0">
      <w:lvlJc w:val="left"/>
      <w:lvlText w:val="(%1)"/>
      <w:numFmt w:val="lowerLetter"/>
      <w:start w:val="2"/>
    </w:lvl>
  </w:abstractNum>
  <w:abstractNum w:abstractNumId="159">
    <w:nsid w:val="71C1AF98"/>
    <w:multiLevelType w:val="hybridMultilevel"/>
    <w:lvl w:ilvl="0">
      <w:lvlJc w:val="left"/>
      <w:lvlText w:val="(%1)"/>
      <w:numFmt w:val="lowerRoman"/>
      <w:start w:val="2"/>
    </w:lvl>
  </w:abstractNum>
  <w:abstractNum w:abstractNumId="160">
    <w:nsid w:val="3D00B9D9"/>
    <w:multiLevelType w:val="hybridMultilevel"/>
    <w:lvl w:ilvl="0">
      <w:lvlJc w:val="left"/>
      <w:lvlText w:val="(%1)"/>
      <w:numFmt w:val="lowerRoman"/>
      <w:start w:val="3"/>
    </w:lvl>
  </w:abstractNum>
  <w:abstractNum w:abstractNumId="161">
    <w:nsid w:val="15BCABA8"/>
    <w:multiLevelType w:val="hybridMultilevel"/>
    <w:lvl w:ilvl="0">
      <w:lvlJc w:val="left"/>
      <w:lvlText w:val="(%1)"/>
      <w:numFmt w:val="lowerLetter"/>
      <w:start w:val="2"/>
    </w:lvl>
  </w:abstractNum>
  <w:abstractNum w:abstractNumId="162">
    <w:nsid w:val="4E0B9A87"/>
    <w:multiLevelType w:val="hybridMultilevel"/>
    <w:lvl w:ilvl="0">
      <w:lvlJc w:val="left"/>
      <w:lvlText w:val="(%1)"/>
      <w:numFmt w:val="lowerLetter"/>
      <w:start w:val="4"/>
    </w:lvl>
  </w:abstractNum>
  <w:abstractNum w:abstractNumId="163">
    <w:nsid w:val="434BAE75"/>
    <w:multiLevelType w:val="hybridMultilevel"/>
    <w:lvl w:ilvl="0">
      <w:lvlJc w:val="left"/>
      <w:lvlText w:val="(%1)"/>
      <w:numFmt w:val="lowerLetter"/>
      <w:start w:val="2"/>
    </w:lvl>
    <w:lvl w:ilvl="1">
      <w:lvlJc w:val="left"/>
      <w:lvlText w:val="(%2)"/>
      <w:numFmt w:val="lowerRoman"/>
      <w:start w:val="1"/>
    </w:lvl>
  </w:abstractNum>
  <w:abstractNum w:abstractNumId="164">
    <w:nsid w:val="4F38F265"/>
    <w:multiLevelType w:val="hybridMultilevel"/>
    <w:lvl w:ilvl="0">
      <w:lvlJc w:val="left"/>
      <w:lvlText w:val="(%1)"/>
      <w:numFmt w:val="lowerLetter"/>
      <w:start w:val="1"/>
    </w:lvl>
  </w:abstractNum>
  <w:abstractNum w:abstractNumId="165">
    <w:nsid w:val="4C502870"/>
    <w:multiLevelType w:val="hybridMultilevel"/>
    <w:lvl w:ilvl="0">
      <w:lvlJc w:val="left"/>
      <w:lvlText w:val="(%1)"/>
      <w:numFmt w:val="lowerLetter"/>
      <w:start w:val="2"/>
    </w:lvl>
    <w:lvl w:ilvl="1">
      <w:lvlJc w:val="left"/>
      <w:lvlText w:val="(%2)"/>
      <w:numFmt w:val="lowerLetter"/>
      <w:start w:val="9"/>
    </w:lvl>
  </w:abstractNum>
  <w:abstractNum w:abstractNumId="166">
    <w:nsid w:val="1DE8725A"/>
    <w:multiLevelType w:val="hybridMultilevel"/>
    <w:lvl w:ilvl="0">
      <w:lvlJc w:val="left"/>
      <w:lvlText w:val="(%1)"/>
      <w:numFmt w:val="lowerRoman"/>
      <w:start w:val="2"/>
    </w:lvl>
  </w:abstractNum>
  <w:abstractNum w:abstractNumId="167">
    <w:nsid w:val="6A37288A"/>
    <w:multiLevelType w:val="hybridMultilevel"/>
    <w:lvl w:ilvl="0">
      <w:lvlJc w:val="left"/>
      <w:lvlText w:val="%1"/>
      <w:numFmt w:val="lowerLetter"/>
      <w:start w:val="1"/>
    </w:lvl>
    <w:lvl w:ilvl="1">
      <w:lvlJc w:val="left"/>
      <w:lvlText w:val="(%2)"/>
      <w:numFmt w:val="lowerRoman"/>
      <w:start w:val="5"/>
    </w:lvl>
  </w:abstractNum>
  <w:abstractNum w:abstractNumId="168">
    <w:nsid w:val="8F8B73F"/>
    <w:multiLevelType w:val="hybridMultilevel"/>
    <w:lvl w:ilvl="0">
      <w:lvlJc w:val="left"/>
      <w:lvlText w:val="(%1)"/>
      <w:numFmt w:val="lowerLetter"/>
      <w:start w:val="3"/>
    </w:lvl>
    <w:lvl w:ilvl="1">
      <w:lvlJc w:val="left"/>
      <w:lvlText w:val="%2"/>
      <w:numFmt w:val="lowerRoman"/>
      <w:start w:val="1"/>
    </w:lvl>
  </w:abstractNum>
  <w:abstractNum w:abstractNumId="169">
    <w:nsid w:val="CA6B462"/>
    <w:multiLevelType w:val="hybridMultilevel"/>
    <w:lvl w:ilvl="0">
      <w:lvlJc w:val="left"/>
      <w:lvlText w:val="(%1)"/>
      <w:numFmt w:val="lowerLetter"/>
      <w:start w:val="2"/>
    </w:lvl>
  </w:abstractNum>
  <w:abstractNum w:abstractNumId="170">
    <w:nsid w:val="763CB680"/>
    <w:multiLevelType w:val="hybridMultilevel"/>
    <w:lvl w:ilvl="0">
      <w:lvlJc w:val="left"/>
      <w:lvlText w:val="(%1)"/>
      <w:numFmt w:val="lowerLetter"/>
      <w:start w:val="2"/>
    </w:lvl>
  </w:abstractNum>
  <w:abstractNum w:abstractNumId="171">
    <w:nsid w:val="15B71329"/>
    <w:multiLevelType w:val="hybridMultilevel"/>
    <w:lvl w:ilvl="0">
      <w:lvlJc w:val="left"/>
      <w:lvlText w:val="(%1)"/>
      <w:numFmt w:val="lowerLetter"/>
      <w:start w:val="7"/>
    </w:lvl>
  </w:abstractNum>
  <w:abstractNum w:abstractNumId="172">
    <w:nsid w:val="3DA97044"/>
    <w:multiLevelType w:val="hybridMultilevel"/>
    <w:lvl w:ilvl="0">
      <w:lvlJc w:val="left"/>
      <w:lvlText w:val="(%1)"/>
      <w:numFmt w:val="lowerRoman"/>
      <w:start w:val="1"/>
    </w:lvl>
  </w:abstractNum>
  <w:abstractNum w:abstractNumId="173">
    <w:nsid w:val="1CDCE2DE"/>
    <w:multiLevelType w:val="hybridMultilevel"/>
    <w:lvl w:ilvl="0">
      <w:lvlJc w:val="left"/>
      <w:lvlText w:val="(%1)"/>
      <w:numFmt w:val="lowerLetter"/>
      <w:start w:val="2"/>
    </w:lvl>
  </w:abstractNum>
  <w:abstractNum w:abstractNumId="174">
    <w:nsid w:val="69D3947C"/>
    <w:multiLevelType w:val="hybridMultilevel"/>
    <w:lvl w:ilvl="0">
      <w:lvlJc w:val="left"/>
      <w:lvlText w:val="(%1)"/>
      <w:numFmt w:val="lowerRoman"/>
      <w:start w:val="10"/>
    </w:lvl>
  </w:abstractNum>
  <w:abstractNum w:abstractNumId="175">
    <w:nsid w:val="2539DFA5"/>
    <w:multiLevelType w:val="hybridMultilevel"/>
    <w:lvl w:ilvl="0">
      <w:lvlJc w:val="left"/>
      <w:lvlText w:val="(%1)"/>
      <w:numFmt w:val="lowerLetter"/>
      <w:start w:val="25"/>
    </w:lvl>
  </w:abstractNum>
  <w:abstractNum w:abstractNumId="176">
    <w:nsid w:val="2DB88089"/>
    <w:multiLevelType w:val="hybridMultilevel"/>
    <w:lvl w:ilvl="0">
      <w:lvlJc w:val="left"/>
      <w:lvlText w:val="(%1)"/>
      <w:numFmt w:val="lowerLetter"/>
      <w:start w:val="1"/>
    </w:lvl>
  </w:abstractNum>
  <w:abstractNum w:abstractNumId="177">
    <w:nsid w:val="706B674E"/>
    <w:multiLevelType w:val="hybridMultilevel"/>
    <w:lvl w:ilvl="0">
      <w:lvlJc w:val="left"/>
      <w:lvlText w:val="(%1)"/>
      <w:numFmt w:val="lowerRoman"/>
      <w:start w:val="1"/>
    </w:lvl>
  </w:abstractNum>
  <w:abstractNum w:abstractNumId="178">
    <w:nsid w:val="2C106A57"/>
    <w:multiLevelType w:val="hybridMultilevel"/>
    <w:lvl w:ilvl="0">
      <w:lvlJc w:val="left"/>
      <w:lvlText w:val="(%1)"/>
      <w:numFmt w:val="lowerLetter"/>
      <w:start w:val="2"/>
    </w:lvl>
    <w:lvl w:ilvl="1">
      <w:lvlJc w:val="left"/>
      <w:lvlText w:val="(%2)"/>
      <w:numFmt w:val="lowerLetter"/>
      <w:start w:val="24"/>
    </w:lvl>
  </w:abstractNum>
  <w:abstractNum w:abstractNumId="179">
    <w:nsid w:val="684EED59"/>
    <w:multiLevelType w:val="hybridMultilevel"/>
    <w:lvl w:ilvl="0">
      <w:lvlJc w:val="left"/>
      <w:lvlText w:val="(%1)"/>
      <w:numFmt w:val="lowerLetter"/>
      <w:start w:val="25"/>
    </w:lvl>
  </w:abstractNum>
  <w:abstractNum w:abstractNumId="180">
    <w:nsid w:val="545EE5D3"/>
    <w:multiLevelType w:val="hybridMultilevel"/>
    <w:lvl w:ilvl="0">
      <w:lvlJc w:val="left"/>
      <w:lvlText w:val="(%1)"/>
      <w:numFmt w:val="lowerLetter"/>
      <w:start w:val="24"/>
    </w:lvl>
  </w:abstractNum>
  <w:abstractNum w:abstractNumId="181">
    <w:nsid w:val="4A66051"/>
    <w:multiLevelType w:val="hybridMultilevel"/>
    <w:lvl w:ilvl="0">
      <w:lvlJc w:val="left"/>
      <w:lvlText w:val="(%1)"/>
      <w:numFmt w:val="lowerLetter"/>
      <w:start w:val="24"/>
    </w:lvl>
  </w:abstractNum>
  <w:abstractNum w:abstractNumId="182">
    <w:nsid w:val="20F4BDAD"/>
    <w:multiLevelType w:val="hybridMultilevel"/>
    <w:lvl w:ilvl="0">
      <w:lvlJc w:val="left"/>
      <w:lvlText w:val="(%1)"/>
      <w:numFmt w:val="lowerLetter"/>
      <w:start w:val="1"/>
    </w:lvl>
  </w:abstractNum>
  <w:abstractNum w:abstractNumId="183">
    <w:nsid w:val="639DEFAC"/>
    <w:multiLevelType w:val="hybridMultilevel"/>
    <w:lvl w:ilvl="0">
      <w:lvlJc w:val="left"/>
      <w:lvlText w:val="(%1)"/>
      <w:numFmt w:val="lowerLetter"/>
      <w:start w:val="2"/>
    </w:lvl>
  </w:abstractNum>
  <w:abstractNum w:abstractNumId="184">
    <w:nsid w:val="501F9786"/>
    <w:multiLevelType w:val="hybridMultilevel"/>
    <w:lvl w:ilvl="0">
      <w:lvlJc w:val="left"/>
      <w:lvlText w:val="(%1)"/>
      <w:numFmt w:val="lowerLetter"/>
      <w:start w:val="2"/>
    </w:lvl>
  </w:abstractNum>
  <w:abstractNum w:abstractNumId="185">
    <w:nsid w:val="6B057295"/>
    <w:multiLevelType w:val="hybridMultilevel"/>
    <w:lvl w:ilvl="0">
      <w:lvlJc w:val="left"/>
      <w:lvlText w:val="(%1)"/>
      <w:numFmt w:val="lowerLetter"/>
      <w:start w:val="4"/>
    </w:lvl>
  </w:abstractNum>
  <w:abstractNum w:abstractNumId="186">
    <w:nsid w:val="2771AC80"/>
    <w:multiLevelType w:val="hybridMultilevel"/>
    <w:lvl w:ilvl="0">
      <w:lvlJc w:val="left"/>
      <w:lvlText w:val="(%1)"/>
      <w:numFmt w:val="lowerLetter"/>
      <w:start w:val="5"/>
    </w:lvl>
  </w:abstractNum>
  <w:abstractNum w:abstractNumId="187">
    <w:nsid w:val="1C4A08EC"/>
    <w:multiLevelType w:val="hybridMultilevel"/>
    <w:lvl w:ilvl="0">
      <w:lvlJc w:val="left"/>
      <w:lvlText w:val="(%1)"/>
      <w:numFmt w:val="lowerLetter"/>
      <w:start w:val="2"/>
    </w:lvl>
  </w:abstractNum>
  <w:abstractNum w:abstractNumId="188">
    <w:nsid w:val="1958BD17"/>
    <w:multiLevelType w:val="hybridMultilevel"/>
    <w:lvl w:ilvl="0">
      <w:lvlJc w:val="left"/>
      <w:lvlText w:val="(%1)"/>
      <w:numFmt w:val="lowerLetter"/>
      <w:start w:val="5"/>
    </w:lvl>
  </w:abstractNum>
  <w:abstractNum w:abstractNumId="189">
    <w:nsid w:val="4E647FE4"/>
    <w:multiLevelType w:val="hybridMultilevel"/>
    <w:lvl w:ilvl="0">
      <w:lvlJc w:val="left"/>
      <w:lvlText w:val="(%1)"/>
      <w:numFmt w:val="lowerLetter"/>
      <w:start w:val="1"/>
    </w:lvl>
  </w:abstractNum>
  <w:abstractNum w:abstractNumId="190">
    <w:nsid w:val="E0BB885"/>
    <w:multiLevelType w:val="hybridMultilevel"/>
    <w:lvl w:ilvl="0">
      <w:lvlJc w:val="left"/>
      <w:lvlText w:val="(%1)"/>
      <w:numFmt w:val="lowerLetter"/>
      <w:start w:val="3"/>
    </w:lvl>
  </w:abstractNum>
  <w:abstractNum w:abstractNumId="191">
    <w:nsid w:val="565976F1"/>
    <w:multiLevelType w:val="hybridMultilevel"/>
    <w:lvl w:ilvl="0">
      <w:lvlJc w:val="left"/>
      <w:lvlText w:val="(%1)"/>
      <w:numFmt w:val="lowerLetter"/>
      <w:start w:val="4"/>
    </w:lvl>
  </w:abstractNum>
  <w:abstractNum w:abstractNumId="192">
    <w:nsid w:val="64212B8C"/>
    <w:multiLevelType w:val="hybridMultilevel"/>
    <w:lvl w:ilvl="0">
      <w:lvlJc w:val="left"/>
      <w:lvlText w:val="%1"/>
      <w:numFmt w:val="upperLetter"/>
      <w:start w:val="1"/>
    </w:lvl>
    <w:lvl w:ilvl="1">
      <w:lvlJc w:val="left"/>
      <w:lvlText w:val="(%2)"/>
      <w:numFmt w:val="lowerLetter"/>
      <w:start w:val="7"/>
    </w:lvl>
  </w:abstractNum>
  <w:abstractNum w:abstractNumId="193">
    <w:nsid w:val="5C17530C"/>
    <w:multiLevelType w:val="hybridMultilevel"/>
    <w:lvl w:ilvl="0">
      <w:lvlJc w:val="left"/>
      <w:lvlText w:val="(%1)"/>
      <w:numFmt w:val="upperLetter"/>
      <w:start w:val="1"/>
    </w:lvl>
    <w:lvl w:ilvl="1">
      <w:lvlJc w:val="left"/>
      <w:lvlText w:val="(%2)"/>
      <w:numFmt w:val="lowerLetter"/>
      <w:start w:val="9"/>
    </w:lvl>
  </w:abstractNum>
  <w:abstractNum w:abstractNumId="194">
    <w:nsid w:val="19A52566"/>
    <w:multiLevelType w:val="hybridMultilevel"/>
    <w:lvl w:ilvl="0">
      <w:lvlJc w:val="left"/>
      <w:lvlText w:val="%1"/>
      <w:numFmt w:val="upperLetter"/>
      <w:start w:val="1"/>
    </w:lvl>
    <w:lvl w:ilvl="1">
      <w:lvlJc w:val="left"/>
      <w:lvlText w:val="(%2)"/>
      <w:numFmt w:val="lowerRoman"/>
      <w:start w:val="2"/>
    </w:lvl>
  </w:abstractNum>
  <w:abstractNum w:abstractNumId="195">
    <w:nsid w:val="335A1DF1"/>
    <w:multiLevelType w:val="hybridMultilevel"/>
    <w:lvl w:ilvl="0">
      <w:lvlJc w:val="left"/>
      <w:lvlText w:val="(%1)"/>
      <w:numFmt w:val="upperLetter"/>
      <w:start w:val="2"/>
    </w:lvl>
    <w:lvl w:ilvl="1">
      <w:lvlJc w:val="left"/>
      <w:lvlText w:val="%2"/>
      <w:numFmt w:val="lowerRoman"/>
      <w:start w:val="1"/>
    </w:lvl>
  </w:abstractNum>
  <w:abstractNum w:abstractNumId="196">
    <w:nsid w:val="28677B7C"/>
    <w:multiLevelType w:val="hybridMultilevel"/>
    <w:lvl w:ilvl="0">
      <w:lvlJc w:val="left"/>
      <w:lvlText w:val="(%1)"/>
      <w:numFmt w:val="upperLetter"/>
      <w:start w:val="4"/>
    </w:lvl>
  </w:abstractNum>
  <w:abstractNum w:abstractNumId="197">
    <w:nsid w:val="378D97C0"/>
    <w:multiLevelType w:val="hybridMultilevel"/>
    <w:lvl w:ilvl="0">
      <w:lvlJc w:val="left"/>
      <w:lvlText w:val="(%1)"/>
      <w:numFmt w:val="lowerRoman"/>
      <w:start w:val="1"/>
    </w:lvl>
  </w:abstractNum>
  <w:abstractNum w:abstractNumId="198">
    <w:nsid w:val="1D91467C"/>
    <w:multiLevelType w:val="hybridMultilevel"/>
    <w:lvl w:ilvl="0">
      <w:lvlJc w:val="left"/>
      <w:lvlText w:val="(%1)"/>
      <w:numFmt w:val="lowerLetter"/>
      <w:start w:val="1"/>
    </w:lvl>
  </w:abstractNum>
  <w:abstractNum w:abstractNumId="199">
    <w:nsid w:val="316032BB"/>
    <w:multiLevelType w:val="hybridMultilevel"/>
    <w:lvl w:ilvl="0">
      <w:lvlJc w:val="left"/>
      <w:lvlText w:val="(%1)"/>
      <w:numFmt w:val="lowerLetter"/>
      <w:start w:val="2"/>
    </w:lvl>
  </w:abstractNum>
  <w:abstractNum w:abstractNumId="200">
    <w:nsid w:val="44344C22"/>
    <w:multiLevelType w:val="hybridMultilevel"/>
    <w:lvl w:ilvl="0">
      <w:lvlJc w:val="left"/>
      <w:lvlText w:val="(%1)"/>
      <w:numFmt w:val="lowerLetter"/>
      <w:start w:val="2"/>
    </w:lvl>
  </w:abstractNum>
  <w:abstractNum w:abstractNumId="201">
    <w:nsid w:val="13CDFCFC"/>
    <w:multiLevelType w:val="hybridMultilevel"/>
    <w:lvl w:ilvl="0">
      <w:lvlJc w:val="left"/>
      <w:lvlText w:val="(%1)"/>
      <w:numFmt w:val="lowerLetter"/>
      <w:start w:val="3"/>
    </w:lvl>
  </w:abstractNum>
  <w:abstractNum w:abstractNumId="202">
    <w:nsid w:val="471745E4"/>
    <w:multiLevelType w:val="hybridMultilevel"/>
    <w:lvl w:ilvl="0">
      <w:lvlJc w:val="left"/>
      <w:lvlText w:val="(%1)"/>
      <w:numFmt w:val="lowerRoman"/>
      <w:start w:val="2"/>
    </w:lvl>
  </w:abstractNum>
  <w:abstractNum w:abstractNumId="203">
    <w:nsid w:val="1DDBC66"/>
    <w:multiLevelType w:val="hybridMultilevel"/>
    <w:lvl w:ilvl="0">
      <w:lvlJc w:val="left"/>
      <w:lvlText w:val="(%1)"/>
      <w:numFmt w:val="lowerLetter"/>
      <w:start w:val="2"/>
    </w:lvl>
  </w:abstractNum>
  <w:abstractNum w:abstractNumId="204">
    <w:nsid w:val="30AADFDA"/>
    <w:multiLevelType w:val="hybridMultilevel"/>
    <w:lvl w:ilvl="0">
      <w:lvlJc w:val="left"/>
      <w:lvlText w:val="(%1)"/>
      <w:numFmt w:val="decimal"/>
      <w:start w:val="1"/>
    </w:lvl>
  </w:abstractNum>
  <w:abstractNum w:abstractNumId="205">
    <w:nsid w:val="30EADA61"/>
    <w:multiLevelType w:val="hybridMultilevel"/>
    <w:lvl w:ilvl="0">
      <w:lvlJc w:val="left"/>
      <w:lvlText w:val="(%1)"/>
      <w:numFmt w:val="decimal"/>
      <w:start w:val="1"/>
    </w:lvl>
  </w:abstractNum>
  <w:abstractNum w:abstractNumId="206">
    <w:nsid w:val="27179C0B"/>
    <w:multiLevelType w:val="hybridMultilevel"/>
    <w:lvl w:ilvl="0">
      <w:lvlJc w:val="left"/>
      <w:lvlText w:val="(%1)"/>
      <w:numFmt w:val="decimal"/>
      <w:start w:val="2"/>
    </w:lvl>
  </w:abstractNum>
  <w:abstractNum w:abstractNumId="207">
    <w:nsid w:val="5E636063"/>
    <w:multiLevelType w:val="hybridMultilevel"/>
    <w:lvl w:ilvl="0">
      <w:lvlJc w:val="left"/>
      <w:lvlText w:val="(%1)"/>
      <w:numFmt w:val="decimal"/>
      <w:start w:val="4"/>
    </w:lvl>
  </w:abstractNum>
  <w:abstractNum w:abstractNumId="208">
    <w:nsid w:val="215641AF"/>
    <w:multiLevelType w:val="hybridMultilevel"/>
    <w:lvl w:ilvl="0">
      <w:lvlJc w:val="left"/>
      <w:lvlText w:val="*"/>
      <w:numFmt w:val="bullet"/>
      <w:start w:val="1"/>
    </w:lvl>
  </w:abstractNum>
  <w:abstractNum w:abstractNumId="209">
    <w:nsid w:val="53280662"/>
    <w:multiLevelType w:val="hybridMultilevel"/>
    <w:lvl w:ilvl="0">
      <w:lvlJc w:val="left"/>
      <w:lvlText w:val="%1."/>
      <w:numFmt w:val="decimal"/>
      <w:start w:val="1"/>
    </w:lvl>
  </w:abstractNum>
  <w:abstractNum w:abstractNumId="210">
    <w:nsid w:val="46B24DBC"/>
    <w:multiLevelType w:val="hybridMultilevel"/>
    <w:lvl w:ilvl="0">
      <w:lvlJc w:val="left"/>
      <w:lvlText w:val="%1."/>
      <w:numFmt w:val="decimal"/>
      <w:start w:val="2"/>
    </w:lvl>
  </w:abstractNum>
  <w:abstractNum w:abstractNumId="211">
    <w:nsid w:val="75B52783"/>
    <w:multiLevelType w:val="hybridMultilevel"/>
    <w:lvl w:ilvl="0">
      <w:lvlJc w:val="left"/>
      <w:lvlText w:val="%1."/>
      <w:numFmt w:val="decimal"/>
      <w:start w:val="3"/>
    </w:lvl>
  </w:abstractNum>
  <w:abstractNum w:abstractNumId="212">
    <w:nsid w:val="57CE66B4"/>
    <w:multiLevelType w:val="hybridMultilevel"/>
    <w:lvl w:ilvl="0">
      <w:lvlJc w:val="left"/>
      <w:lvlText w:val="%1."/>
      <w:numFmt w:val="decimal"/>
      <w:start w:val="4"/>
    </w:lvl>
  </w:abstractNum>
  <w:abstractNum w:abstractNumId="213">
    <w:nsid w:val="67A70B69"/>
    <w:multiLevelType w:val="hybridMultilevel"/>
    <w:lvl w:ilvl="0">
      <w:lvlJc w:val="left"/>
      <w:lvlText w:val="%1."/>
      <w:numFmt w:val="decimal"/>
      <w:start w:val="5"/>
    </w:lvl>
  </w:abstractNum>
  <w:abstractNum w:abstractNumId="214">
    <w:nsid w:val="5953172F"/>
    <w:multiLevelType w:val="hybridMultilevel"/>
    <w:lvl w:ilvl="0">
      <w:lvlJc w:val="left"/>
      <w:lvlText w:val="%1."/>
      <w:numFmt w:val="decimal"/>
      <w:start w:val="6"/>
    </w:lvl>
  </w:abstractNum>
  <w:abstractNum w:abstractNumId="215">
    <w:nsid w:val="27EDFE3A"/>
    <w:multiLevelType w:val="hybridMultilevel"/>
    <w:lvl w:ilvl="0">
      <w:lvlJc w:val="left"/>
      <w:lvlText w:val="%1."/>
      <w:numFmt w:val="decimal"/>
      <w:start w:val="7"/>
    </w:lvl>
  </w:abstractNum>
  <w:abstractNum w:abstractNumId="216">
    <w:nsid w:val="52AC7DFF"/>
    <w:multiLevelType w:val="hybridMultilevel"/>
    <w:lvl w:ilvl="0">
      <w:lvlJc w:val="left"/>
      <w:lvlText w:val="%1."/>
      <w:numFmt w:val="decimal"/>
      <w:start w:val="8"/>
    </w:lvl>
  </w:abstractNum>
  <w:abstractNum w:abstractNumId="217">
    <w:nsid w:val="C4C3AF"/>
    <w:multiLevelType w:val="hybridMultilevel"/>
    <w:lvl w:ilvl="0">
      <w:lvlJc w:val="left"/>
      <w:lvlText w:val="%1."/>
      <w:numFmt w:val="decimal"/>
      <w:start w:val="9"/>
    </w:lvl>
  </w:abstractNum>
  <w:abstractNum w:abstractNumId="218">
    <w:nsid w:val="44380727"/>
    <w:multiLevelType w:val="hybridMultilevel"/>
    <w:lvl w:ilvl="0">
      <w:lvlJc w:val="left"/>
      <w:lvlText w:val="%1."/>
      <w:numFmt w:val="decimal"/>
      <w:start w:val="10"/>
    </w:lvl>
  </w:abstractNum>
  <w:abstractNum w:abstractNumId="219">
    <w:nsid w:val="6C053B16"/>
    <w:multiLevelType w:val="hybridMultilevel"/>
    <w:lvl w:ilvl="0">
      <w:lvlJc w:val="left"/>
      <w:lvlText w:val="%1."/>
      <w:numFmt w:val="decimal"/>
      <w:start w:val="11"/>
    </w:lvl>
  </w:abstractNum>
  <w:abstractNum w:abstractNumId="220">
    <w:nsid w:val="4F294393"/>
    <w:multiLevelType w:val="hybridMultilevel"/>
    <w:lvl w:ilvl="0">
      <w:lvlJc w:val="left"/>
      <w:lvlText w:val="%1."/>
      <w:numFmt w:val="decimal"/>
      <w:start w:val="12"/>
    </w:lvl>
  </w:abstractNum>
  <w:abstractNum w:abstractNumId="221">
    <w:nsid w:val="5243BFAC"/>
    <w:multiLevelType w:val="hybridMultilevel"/>
    <w:lvl w:ilvl="0">
      <w:lvlJc w:val="left"/>
      <w:lvlText w:val="%1."/>
      <w:numFmt w:val="decimal"/>
      <w:start w:val="13"/>
    </w:lvl>
  </w:abstractNum>
  <w:abstractNum w:abstractNumId="222">
    <w:nsid w:val="425EB207"/>
    <w:multiLevelType w:val="hybridMultilevel"/>
    <w:lvl w:ilvl="0">
      <w:lvlJc w:val="left"/>
      <w:lvlText w:val="%1."/>
      <w:numFmt w:val="decimal"/>
      <w:start w:val="14"/>
    </w:lvl>
  </w:abstractNum>
  <w:abstractNum w:abstractNumId="223">
    <w:nsid w:val="334A6F1F"/>
    <w:multiLevelType w:val="hybridMultilevel"/>
    <w:lvl w:ilvl="0">
      <w:lvlJc w:val="left"/>
      <w:lvlText w:val="%1."/>
      <w:numFmt w:val="decimal"/>
      <w:start w:val="15"/>
    </w:lvl>
  </w:abstractNum>
  <w:abstractNum w:abstractNumId="224">
    <w:nsid w:val="2E5B12B8"/>
    <w:multiLevelType w:val="hybridMultilevel"/>
    <w:lvl w:ilvl="0">
      <w:lvlJc w:val="left"/>
      <w:lvlText w:val="%1."/>
      <w:numFmt w:val="decimal"/>
      <w:start w:val="16"/>
    </w:lvl>
  </w:abstractNum>
  <w:abstractNum w:abstractNumId="225">
    <w:nsid w:val="5C03D76D"/>
    <w:multiLevelType w:val="hybridMultilevel"/>
    <w:lvl w:ilvl="0">
      <w:lvlJc w:val="left"/>
      <w:lvlText w:val="%1."/>
      <w:numFmt w:val="decimal"/>
      <w:start w:val="17"/>
    </w:lvl>
  </w:abstractNum>
  <w:abstractNum w:abstractNumId="226">
    <w:nsid w:val="66A48D11"/>
    <w:multiLevelType w:val="hybridMultilevel"/>
    <w:lvl w:ilvl="0">
      <w:lvlJc w:val="left"/>
      <w:lvlText w:val="*"/>
      <w:numFmt w:val="bullet"/>
      <w:start w:val="1"/>
    </w:lvl>
  </w:abstractNum>
  <w:abstractNum w:abstractNumId="227">
    <w:nsid w:val="56C28E34"/>
    <w:multiLevelType w:val="hybridMultilevel"/>
    <w:lvl w:ilvl="0">
      <w:lvlJc w:val="left"/>
      <w:lvlText w:val="*"/>
      <w:numFmt w:val="bullet"/>
      <w:start w:val="1"/>
    </w:lvl>
  </w:abstractNum>
  <w:abstractNum w:abstractNumId="228">
    <w:nsid w:val="13916F2D"/>
    <w:multiLevelType w:val="hybridMultilevel"/>
    <w:lvl w:ilvl="0">
      <w:lvlJc w:val="left"/>
      <w:lvlText w:val="*"/>
      <w:numFmt w:val="bullet"/>
      <w:start w:val="1"/>
    </w:lvl>
  </w:abstractNum>
  <w:abstractNum w:abstractNumId="229">
    <w:nsid w:val="435D38D"/>
    <w:multiLevelType w:val="hybridMultilevel"/>
    <w:lvl w:ilvl="0">
      <w:lvlJc w:val="left"/>
      <w:lvlText w:val="%1."/>
      <w:numFmt w:val="decimal"/>
      <w:start w:val="1"/>
    </w:lvl>
  </w:abstractNum>
  <w:abstractNum w:abstractNumId="230">
    <w:nsid w:val="822C0EF"/>
    <w:multiLevelType w:val="hybridMultilevel"/>
    <w:lvl w:ilvl="0">
      <w:lvlJc w:val="left"/>
      <w:lvlText w:val="%1."/>
      <w:numFmt w:val="decimal"/>
      <w:start w:val="4"/>
    </w:lvl>
  </w:abstractNum>
  <w:abstractNum w:abstractNumId="231">
    <w:nsid w:val="57C5BB4F"/>
    <w:multiLevelType w:val="hybridMultilevel"/>
    <w:lvl w:ilvl="0">
      <w:lvlJc w:val="left"/>
      <w:lvlText w:val="(%1)"/>
      <w:numFmt w:val="lowerLetter"/>
      <w:start w:val="1"/>
    </w:lvl>
  </w:abstractNum>
  <w:abstractNum w:abstractNumId="232">
    <w:nsid w:val="1803D089"/>
    <w:multiLevelType w:val="hybridMultilevel"/>
    <w:lvl w:ilvl="0">
      <w:lvlJc w:val="left"/>
      <w:lvlText w:val="(%1)"/>
      <w:numFmt w:val="decimal"/>
      <w:start w:val="1"/>
    </w:lvl>
  </w:abstractNum>
  <w:abstractNum w:abstractNumId="233">
    <w:nsid w:val="4F3A06D4"/>
    <w:multiLevelType w:val="hybridMultilevel"/>
    <w:lvl w:ilvl="0">
      <w:lvlJc w:val="left"/>
      <w:lvlText w:val="x"/>
      <w:numFmt w:val="bullet"/>
      <w:start w:val="1"/>
    </w:lvl>
  </w:abstractNum>
  <w:abstractNum w:abstractNumId="234">
    <w:nsid w:val="59A377B6"/>
    <w:multiLevelType w:val="hybridMultilevel"/>
    <w:lvl w:ilvl="0">
      <w:lvlJc w:val="left"/>
      <w:lvlText w:val="(%1)"/>
      <w:numFmt w:val="lowerLetter"/>
      <w:start w:val="1"/>
    </w:lvl>
  </w:abstractNum>
  <w:abstractNum w:abstractNumId="235">
    <w:nsid w:val="48AEB063"/>
    <w:multiLevelType w:val="hybridMultilevel"/>
    <w:lvl w:ilvl="0">
      <w:lvlJc w:val="left"/>
      <w:lvlText w:val="*"/>
      <w:numFmt w:val="bullet"/>
      <w:start w:val="1"/>
    </w:lvl>
  </w:abstractNum>
  <w:abstractNum w:abstractNumId="236">
    <w:nsid w:val="24E135"/>
    <w:multiLevelType w:val="hybridMultilevel"/>
    <w:lvl w:ilvl="0">
      <w:lvlJc w:val="left"/>
      <w:lvlText w:val="**"/>
      <w:numFmt w:val="bullet"/>
      <w:start w:val="1"/>
    </w:lvl>
  </w:abstractNum>
  <w:abstractNum w:abstractNumId="237">
    <w:nsid w:val="BB13C1"/>
    <w:multiLevelType w:val="hybridMultilevel"/>
    <w:lvl w:ilvl="0">
      <w:lvlJc w:val="left"/>
      <w:lvlText w:val="***"/>
      <w:numFmt w:val="bullet"/>
      <w:start w:val="1"/>
    </w:lvl>
  </w:abstractNum>
  <w:abstractNum w:abstractNumId="238">
    <w:nsid w:val="271210C7"/>
    <w:multiLevelType w:val="hybridMultilevel"/>
    <w:lvl w:ilvl="0">
      <w:lvlJc w:val="left"/>
      <w:lvlText w:val="x"/>
      <w:numFmt w:val="bullet"/>
      <w:start w:val="1"/>
    </w:lvl>
  </w:abstractNum>
  <w:abstractNum w:abstractNumId="239">
    <w:nsid w:val="217B22E4"/>
    <w:multiLevelType w:val="hybridMultilevel"/>
    <w:lvl w:ilvl="0">
      <w:lvlJc w:val="left"/>
      <w:lvlText w:val="(%1)"/>
      <w:numFmt w:val="lowerLetter"/>
      <w:start w:val="1"/>
    </w:lvl>
  </w:abstractNum>
  <w:abstractNum w:abstractNumId="240">
    <w:nsid w:val="53E31A24"/>
    <w:multiLevelType w:val="hybridMultilevel"/>
    <w:lvl w:ilvl="0">
      <w:lvlJc w:val="left"/>
      <w:lvlText w:val="*"/>
      <w:numFmt w:val="bullet"/>
      <w:start w:val="1"/>
    </w:lvl>
  </w:abstractNum>
  <w:abstractNum w:abstractNumId="241">
    <w:nsid w:val="6DC45E83"/>
    <w:multiLevelType w:val="hybridMultilevel"/>
    <w:lvl w:ilvl="0">
      <w:lvlJc w:val="left"/>
      <w:lvlText w:val="**"/>
      <w:numFmt w:val="bullet"/>
      <w:start w:val="1"/>
    </w:lvl>
  </w:abstractNum>
  <w:abstractNum w:abstractNumId="242">
    <w:nsid w:val="17304A67"/>
    <w:multiLevelType w:val="hybridMultilevel"/>
    <w:lvl w:ilvl="0">
      <w:lvlJc w:val="left"/>
      <w:lvlText w:val="***"/>
      <w:numFmt w:val="bullet"/>
      <w:start w:val="1"/>
    </w:lvl>
  </w:abstractNum>
  <w:abstractNum w:abstractNumId="243">
    <w:nsid w:val="2BB180D8"/>
    <w:multiLevelType w:val="hybridMultilevel"/>
    <w:lvl w:ilvl="0">
      <w:lvlJc w:val="left"/>
      <w:lvlText w:val="x"/>
      <w:numFmt w:val="bullet"/>
      <w:start w:val="1"/>
    </w:lvl>
  </w:abstractNum>
  <w:abstractNum w:abstractNumId="244">
    <w:nsid w:val="556B69ED"/>
    <w:multiLevelType w:val="hybridMultilevel"/>
    <w:lvl w:ilvl="0">
      <w:lvlJc w:val="left"/>
      <w:lvlText w:val="(%1)"/>
      <w:numFmt w:val="lowerLetter"/>
      <w:start w:val="1"/>
    </w:lvl>
  </w:abstractNum>
  <w:abstractNum w:abstractNumId="245">
    <w:nsid w:val="70836196"/>
    <w:multiLevelType w:val="hybridMultilevel"/>
    <w:lvl w:ilvl="0">
      <w:lvlJc w:val="left"/>
      <w:lvlText w:val="*"/>
      <w:numFmt w:val="bullet"/>
      <w:start w:val="1"/>
    </w:lvl>
  </w:abstractNum>
  <w:abstractNum w:abstractNumId="246">
    <w:nsid w:val="539F7F12"/>
    <w:multiLevelType w:val="hybridMultilevel"/>
    <w:lvl w:ilvl="0">
      <w:lvlJc w:val="left"/>
      <w:lvlText w:val="**"/>
      <w:numFmt w:val="bullet"/>
      <w:start w:val="1"/>
    </w:lvl>
  </w:abstractNum>
  <w:abstractNum w:abstractNumId="247">
    <w:nsid w:val="2817E7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2019-12-10T05:06:53Z</dcterms:created>
  <dcterms:modified xsi:type="dcterms:W3CDTF">2019-12-10T05:06:53Z</dcterms:modified>
</cp:coreProperties>
</file>