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08/22/2023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08/22/2023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7,000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41.56</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08/22/2023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5,374</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63.75</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584,488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08/22/2023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1,626</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64.53</w:t>
            </w:r>
            <w:r>
              <w:rPr>
                <w:rFonts w:ascii="Arial" w:cs="Arial" w:eastAsia="Arial" w:hAnsi="Arial"/>
                <w:sz w:val="21"/>
                <w:szCs w:val="21"/>
                <w:color w:val="008000"/>
                <w:w w:val="95"/>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582,862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08/22/2023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10/24/2025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96,308</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and option exercises reported on this Form 4 were effected automatically pursuant to a Rule 10b5-1 trading plan adopted by the Reporting Person on May 15, 2023.</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$63.365 to $64.36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$64.375 to $64.715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08/24/2023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2023-08-24T19:20:12Z</dcterms:created>
  <dcterms:modified xsi:type="dcterms:W3CDTF">2023-08-24T19:20:12Z</dcterms:modified>
</cp:coreProperties>
</file>